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6D8A8" w14:textId="77777777" w:rsidR="00754172" w:rsidRDefault="00754172">
      <w:pPr>
        <w:jc w:val="center"/>
        <w:rPr>
          <w:rFonts w:ascii="Times New Roman" w:eastAsia="Times New Roman" w:hAnsi="Times New Roman" w:cs="Times New Roman"/>
        </w:rPr>
      </w:pPr>
    </w:p>
    <w:p w14:paraId="07D2907B" w14:textId="77777777" w:rsidR="00754172" w:rsidRDefault="00000000">
      <w:pPr>
        <w:rPr>
          <w:rFonts w:ascii="Times New Roman" w:eastAsia="Times New Roman" w:hAnsi="Times New Roman" w:cs="Times New Roman"/>
          <w:b/>
          <w:bCs/>
        </w:rPr>
      </w:pPr>
      <w:r>
        <w:rPr>
          <w:rFonts w:ascii="Times New Roman" w:eastAsia="Times New Roman" w:hAnsi="Times New Roman" w:cs="Times New Roman"/>
          <w:b/>
          <w:bCs/>
        </w:rPr>
        <w:t>La investigación sobre educación secundaria en las universidades en Argentina: agencias productoras y articulaciones</w:t>
      </w:r>
    </w:p>
    <w:p w14:paraId="33FD844B" w14:textId="77777777" w:rsidR="00754172" w:rsidRDefault="00754172">
      <w:pPr>
        <w:jc w:val="center"/>
        <w:rPr>
          <w:rFonts w:ascii="Times New Roman" w:eastAsia="Times New Roman" w:hAnsi="Times New Roman" w:cs="Times New Roman"/>
        </w:rPr>
      </w:pPr>
    </w:p>
    <w:p w14:paraId="1FC90146" w14:textId="77777777" w:rsidR="00754172" w:rsidRPr="003A3267" w:rsidRDefault="00000000">
      <w:pPr>
        <w:spacing w:after="0" w:line="240" w:lineRule="auto"/>
        <w:jc w:val="right"/>
        <w:rPr>
          <w:rFonts w:ascii="Times New Roman" w:eastAsia="Times New Roman" w:hAnsi="Times New Roman" w:cs="Times New Roman"/>
          <w:lang w:val="en-US"/>
        </w:rPr>
      </w:pPr>
      <w:r w:rsidRPr="003A3267">
        <w:rPr>
          <w:rFonts w:ascii="Times New Roman" w:eastAsia="Times New Roman" w:hAnsi="Times New Roman" w:cs="Times New Roman"/>
          <w:lang w:val="en-US"/>
        </w:rPr>
        <w:t>Daniel Pinkasz</w:t>
      </w:r>
    </w:p>
    <w:p w14:paraId="7D428D9A" w14:textId="77777777" w:rsidR="00754172" w:rsidRPr="003A3267" w:rsidRDefault="00000000">
      <w:pPr>
        <w:spacing w:after="0" w:line="240" w:lineRule="auto"/>
        <w:jc w:val="right"/>
        <w:rPr>
          <w:rFonts w:ascii="Times New Roman" w:eastAsia="Times New Roman" w:hAnsi="Times New Roman" w:cs="Times New Roman"/>
          <w:lang w:val="en-US"/>
        </w:rPr>
      </w:pPr>
      <w:r w:rsidRPr="003A3267">
        <w:rPr>
          <w:rFonts w:ascii="Times New Roman" w:eastAsia="Times New Roman" w:hAnsi="Times New Roman" w:cs="Times New Roman"/>
          <w:lang w:val="en-US"/>
        </w:rPr>
        <w:t>FLACSO-UNGS</w:t>
      </w:r>
    </w:p>
    <w:p w14:paraId="7D3F4F78" w14:textId="77777777" w:rsidR="00754172" w:rsidRPr="003A3267" w:rsidRDefault="00000000">
      <w:pPr>
        <w:spacing w:after="0" w:line="240" w:lineRule="auto"/>
        <w:jc w:val="right"/>
        <w:rPr>
          <w:rFonts w:ascii="Times New Roman" w:eastAsia="Times New Roman" w:hAnsi="Times New Roman" w:cs="Times New Roman"/>
          <w:lang w:val="en-US"/>
        </w:rPr>
      </w:pPr>
      <w:r w:rsidRPr="003A3267">
        <w:rPr>
          <w:rFonts w:ascii="Times New Roman" w:eastAsia="Times New Roman" w:hAnsi="Times New Roman" w:cs="Times New Roman"/>
          <w:lang w:val="en-US"/>
        </w:rPr>
        <w:t>dpinkasz@flacso.org.ar</w:t>
      </w:r>
    </w:p>
    <w:p w14:paraId="00D8989F" w14:textId="77777777" w:rsidR="00754172" w:rsidRPr="003A3267" w:rsidRDefault="00754172">
      <w:pPr>
        <w:spacing w:after="0" w:line="240" w:lineRule="auto"/>
        <w:jc w:val="right"/>
        <w:rPr>
          <w:rFonts w:ascii="Times New Roman" w:eastAsia="Times New Roman" w:hAnsi="Times New Roman" w:cs="Times New Roman"/>
          <w:lang w:val="en-US"/>
        </w:rPr>
      </w:pPr>
    </w:p>
    <w:p w14:paraId="1063C024" w14:textId="77777777" w:rsidR="00754172" w:rsidRPr="003A3267" w:rsidRDefault="00000000">
      <w:pPr>
        <w:spacing w:after="0" w:line="240" w:lineRule="auto"/>
        <w:jc w:val="right"/>
        <w:rPr>
          <w:rFonts w:ascii="Times New Roman" w:eastAsia="Times New Roman" w:hAnsi="Times New Roman" w:cs="Times New Roman"/>
          <w:lang w:val="pt-BR"/>
        </w:rPr>
      </w:pPr>
      <w:r w:rsidRPr="003A3267">
        <w:rPr>
          <w:rFonts w:ascii="Times New Roman" w:eastAsia="Times New Roman" w:hAnsi="Times New Roman" w:cs="Times New Roman"/>
          <w:lang w:val="pt-BR"/>
        </w:rPr>
        <w:t>Sebastián Fuentes</w:t>
      </w:r>
    </w:p>
    <w:p w14:paraId="5DCED748" w14:textId="77777777" w:rsidR="00754172" w:rsidRPr="003A3267" w:rsidRDefault="00000000">
      <w:pPr>
        <w:spacing w:after="0" w:line="240" w:lineRule="auto"/>
        <w:jc w:val="right"/>
        <w:rPr>
          <w:rFonts w:ascii="Times New Roman" w:eastAsia="Times New Roman" w:hAnsi="Times New Roman" w:cs="Times New Roman"/>
          <w:lang w:val="pt-BR"/>
        </w:rPr>
      </w:pPr>
      <w:r w:rsidRPr="003A3267">
        <w:rPr>
          <w:rFonts w:ascii="Times New Roman" w:eastAsia="Times New Roman" w:hAnsi="Times New Roman" w:cs="Times New Roman"/>
          <w:lang w:val="pt-BR"/>
        </w:rPr>
        <w:t>FLACSO-UNTREF</w:t>
      </w:r>
    </w:p>
    <w:p w14:paraId="6325BEF5" w14:textId="77777777" w:rsidR="00754172" w:rsidRPr="003A3267" w:rsidRDefault="00000000">
      <w:pPr>
        <w:spacing w:after="0" w:line="240" w:lineRule="auto"/>
        <w:jc w:val="right"/>
        <w:rPr>
          <w:rFonts w:ascii="Times New Roman" w:eastAsia="Times New Roman" w:hAnsi="Times New Roman" w:cs="Times New Roman"/>
          <w:lang w:val="pt-BR"/>
        </w:rPr>
      </w:pPr>
      <w:r w:rsidRPr="003A3267">
        <w:rPr>
          <w:rFonts w:ascii="Times New Roman" w:eastAsia="Times New Roman" w:hAnsi="Times New Roman" w:cs="Times New Roman"/>
          <w:lang w:val="pt-BR"/>
        </w:rPr>
        <w:t>sfuentes@flacso.org.ar</w:t>
      </w:r>
    </w:p>
    <w:p w14:paraId="3A1B9E69" w14:textId="77777777" w:rsidR="00754172" w:rsidRPr="003A3267" w:rsidRDefault="00754172">
      <w:pPr>
        <w:spacing w:after="0" w:line="240" w:lineRule="auto"/>
        <w:jc w:val="right"/>
        <w:rPr>
          <w:rFonts w:ascii="Times New Roman" w:eastAsia="Times New Roman" w:hAnsi="Times New Roman" w:cs="Times New Roman"/>
          <w:lang w:val="pt-BR"/>
        </w:rPr>
      </w:pPr>
    </w:p>
    <w:p w14:paraId="50990114" w14:textId="77777777" w:rsidR="00754172" w:rsidRPr="003A3267" w:rsidRDefault="00000000">
      <w:pPr>
        <w:tabs>
          <w:tab w:val="center" w:pos="4252"/>
          <w:tab w:val="right" w:pos="8504"/>
        </w:tabs>
        <w:spacing w:after="0" w:line="240" w:lineRule="auto"/>
        <w:rPr>
          <w:rFonts w:ascii="Times New Roman" w:eastAsia="Times New Roman" w:hAnsi="Times New Roman" w:cs="Times New Roman"/>
          <w:lang w:val="pt-BR"/>
        </w:rPr>
      </w:pPr>
      <w:r w:rsidRPr="003A3267">
        <w:rPr>
          <w:rFonts w:ascii="Times New Roman" w:eastAsia="Times New Roman" w:hAnsi="Times New Roman" w:cs="Times New Roman"/>
          <w:lang w:val="pt-BR"/>
        </w:rPr>
        <w:tab/>
      </w:r>
      <w:r w:rsidRPr="003A3267">
        <w:rPr>
          <w:rFonts w:ascii="Times New Roman" w:eastAsia="Times New Roman" w:hAnsi="Times New Roman" w:cs="Times New Roman"/>
          <w:lang w:val="pt-BR"/>
        </w:rPr>
        <w:tab/>
        <w:t>Nancy Montes</w:t>
      </w:r>
    </w:p>
    <w:p w14:paraId="18CB3B6D" w14:textId="77777777" w:rsidR="00754172" w:rsidRPr="003A3267" w:rsidRDefault="00000000">
      <w:pPr>
        <w:spacing w:after="0" w:line="240" w:lineRule="auto"/>
        <w:jc w:val="right"/>
        <w:rPr>
          <w:rFonts w:ascii="Times New Roman" w:eastAsia="Times New Roman" w:hAnsi="Times New Roman" w:cs="Times New Roman"/>
          <w:lang w:val="pt-BR"/>
        </w:rPr>
      </w:pPr>
      <w:r w:rsidRPr="003A3267">
        <w:rPr>
          <w:rFonts w:ascii="Times New Roman" w:eastAsia="Times New Roman" w:hAnsi="Times New Roman" w:cs="Times New Roman"/>
          <w:lang w:val="pt-BR"/>
        </w:rPr>
        <w:t>FLACSO-OEI</w:t>
      </w:r>
    </w:p>
    <w:p w14:paraId="47B3924C" w14:textId="77777777" w:rsidR="00754172"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nmontes@flacso.org.ar</w:t>
      </w:r>
    </w:p>
    <w:p w14:paraId="4F00554F" w14:textId="77777777" w:rsidR="00754172" w:rsidRDefault="00754172">
      <w:pPr>
        <w:spacing w:after="0" w:line="240" w:lineRule="auto"/>
        <w:jc w:val="right"/>
        <w:rPr>
          <w:rFonts w:ascii="Times New Roman" w:eastAsia="Times New Roman" w:hAnsi="Times New Roman" w:cs="Times New Roman"/>
        </w:rPr>
      </w:pPr>
    </w:p>
    <w:p w14:paraId="5AD5A086" w14:textId="77777777" w:rsidR="00754172" w:rsidRDefault="00754172">
      <w:pPr>
        <w:jc w:val="center"/>
        <w:rPr>
          <w:rFonts w:ascii="Times New Roman" w:eastAsia="Times New Roman" w:hAnsi="Times New Roman" w:cs="Times New Roman"/>
        </w:rPr>
      </w:pPr>
    </w:p>
    <w:p w14:paraId="507C12F0" w14:textId="77777777" w:rsidR="00754172" w:rsidRDefault="0000000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Resumen</w:t>
      </w:r>
    </w:p>
    <w:p w14:paraId="42EF6E5C" w14:textId="77777777" w:rsidR="00754172" w:rsidRDefault="00000000">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Este texto presenta un análisis de la producción de conocimiento de las universidades estatales argentinas sobre la educación secundaria de nuestro país con los datos catalográficos disponibles en el repositorio de investigaciones, producciones y personas de la</w:t>
      </w:r>
      <w:hyperlink r:id="rId7">
        <w:r>
          <w:rPr>
            <w:rFonts w:ascii="Times New Roman" w:eastAsia="Times New Roman" w:hAnsi="Times New Roman" w:cs="Times New Roman"/>
          </w:rPr>
          <w:t xml:space="preserve"> </w:t>
        </w:r>
      </w:hyperlink>
      <w:hyperlink r:id="rId8">
        <w:r>
          <w:rPr>
            <w:rFonts w:ascii="Times New Roman" w:eastAsia="Times New Roman" w:hAnsi="Times New Roman" w:cs="Times New Roman"/>
            <w:color w:val="1155CC"/>
            <w:u w:val="single"/>
          </w:rPr>
          <w:t>base RIES</w:t>
        </w:r>
      </w:hyperlink>
      <w:r>
        <w:rPr>
          <w:rFonts w:ascii="Times New Roman" w:eastAsia="Times New Roman" w:hAnsi="Times New Roman" w:cs="Times New Roman"/>
        </w:rPr>
        <w:t xml:space="preserve"> y reflexiones sobre la contribución universitaria a la producción del campo de la educación y al de las políticas en la Argentina reciente. La ponencia plantea un análisis que articula la producción de la investigación en universidades estatales sobre la educación secundaria -considerando la diacronía temática del período 2003-2021 y la territorialización de la producción-, identificando las relaciones entre los temas investigados, las agencias productoras y los núcleos de la agenda pública y política sobre el nivel secundario en el período. </w:t>
      </w:r>
    </w:p>
    <w:p w14:paraId="76698BD9" w14:textId="77777777" w:rsidR="00754172" w:rsidRDefault="00000000">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El estudio se basa en el análisis de 1.858 proyectos y 1.701 publicaciones sobre la educación secundaria argentina, producidas en el país entre 2003 y julio de 2021. Existe una actualización de 2023 que eleva los totales a 1.965 proyectos y 1.703 publicaciones</w:t>
      </w:r>
      <w:r>
        <w:rPr>
          <w:rFonts w:ascii="Times New Roman" w:eastAsia="Times New Roman" w:hAnsi="Times New Roman" w:cs="Times New Roman"/>
          <w:color w:val="0000FF"/>
        </w:rPr>
        <w:t xml:space="preserve">. </w:t>
      </w:r>
      <w:r>
        <w:rPr>
          <w:rFonts w:ascii="Times New Roman" w:eastAsia="Times New Roman" w:hAnsi="Times New Roman" w:cs="Times New Roman"/>
        </w:rPr>
        <w:t xml:space="preserve">Se verifica un período de alta producción (años 2007 a 2014) que coincide con la preocupación por la Enseñanza Secundaria en el tope la agenda de la política educativa (extensión de la obligatoriedad de la secundaria, políticas federales de expansión de la oferta e inclusión de estudiantes, modificación del modelo institucional), al mismo tiempo que se constata una convergencia temática sobre líneas que guardan relación con dicha agenda. Asimismo, se confirma el desequilibrio regional (que se replica en la producción </w:t>
      </w:r>
      <w:r>
        <w:rPr>
          <w:rFonts w:ascii="Times New Roman" w:eastAsia="Times New Roman" w:hAnsi="Times New Roman" w:cs="Times New Roman"/>
        </w:rPr>
        <w:lastRenderedPageBreak/>
        <w:t xml:space="preserve">científica de otros campos de conocimiento y en la propia distribución del sistema de educación superior) en cuanto a la presencia de organismos productores por región y por frecuencia en el desarrollo de proyectos de investigación, ambos factores estrechamente ligados a la historia del sistema universitario y a la de su expansión, así como por el volumen de producción e investigadores en algunas regiones del país. </w:t>
      </w:r>
    </w:p>
    <w:p w14:paraId="4A26E829" w14:textId="77777777" w:rsidR="00754172" w:rsidRDefault="00000000">
      <w:pPr>
        <w:spacing w:before="240" w:after="240" w:line="276" w:lineRule="auto"/>
        <w:jc w:val="both"/>
        <w:rPr>
          <w:rFonts w:ascii="Times New Roman" w:eastAsia="Times New Roman" w:hAnsi="Times New Roman" w:cs="Times New Roman"/>
          <w:b/>
          <w:bCs/>
        </w:rPr>
      </w:pPr>
      <w:r>
        <w:rPr>
          <w:rFonts w:ascii="Times New Roman" w:eastAsia="Times New Roman" w:hAnsi="Times New Roman" w:cs="Times New Roman"/>
        </w:rPr>
        <w:t xml:space="preserve">Las universidades estatales con mayor producción están concentradas en la región centro y se distribuyen mayoritariamente, aunque con excepciones relevantes, entre las llamadas universidades históricas, lo que podría explicarse por la multiplicidad de unidades académicas que las componen. El tópico </w:t>
      </w:r>
      <w:r>
        <w:rPr>
          <w:rFonts w:ascii="Times New Roman" w:eastAsia="Times New Roman" w:hAnsi="Times New Roman" w:cs="Times New Roman"/>
          <w:i/>
          <w:iCs/>
        </w:rPr>
        <w:t xml:space="preserve">Enseñanza, aprendizaje y </w:t>
      </w:r>
      <w:proofErr w:type="spellStart"/>
      <w:r>
        <w:rPr>
          <w:rFonts w:ascii="Times New Roman" w:eastAsia="Times New Roman" w:hAnsi="Times New Roman" w:cs="Times New Roman"/>
          <w:i/>
          <w:iCs/>
        </w:rPr>
        <w:t>curriculum</w:t>
      </w:r>
      <w:proofErr w:type="spellEnd"/>
      <w:r>
        <w:rPr>
          <w:rFonts w:ascii="Times New Roman" w:eastAsia="Times New Roman" w:hAnsi="Times New Roman" w:cs="Times New Roman"/>
        </w:rPr>
        <w:t xml:space="preserve"> -categoría clasificatoria de la Base RIES- presenta, frente a otros más frecuentes, una mayor dispersión territorial, lo cual, sin modificar la tendencia general, podría explicarse por el hecho de que esta temática está compuesta por un conjunto de subtemas amplio y por la amplia distribución en el territorio nacional de cátedras y equipos de investigación en universidades estatales, además de constituir también una cuestión de agenda de las políticas de formación y de enseñanza. </w:t>
      </w:r>
    </w:p>
    <w:p w14:paraId="51A54F20" w14:textId="77777777" w:rsidR="00754172" w:rsidRDefault="00000000">
      <w:pPr>
        <w:spacing w:line="276"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Palabras clave: </w:t>
      </w:r>
      <w:r>
        <w:rPr>
          <w:rFonts w:ascii="Times New Roman" w:eastAsia="Times New Roman" w:hAnsi="Times New Roman" w:cs="Times New Roman"/>
        </w:rPr>
        <w:t xml:space="preserve">INVESTIGACIÓN, UNIVERSIDADES ESTATALES, EDUCACIÓN SECUNDARIA, POLÍTICAS PÚBLICAS, HETEROGENEIDAD TERRITORIAL </w:t>
      </w:r>
      <w:r>
        <w:rPr>
          <w:rFonts w:ascii="Times New Roman" w:eastAsia="Times New Roman" w:hAnsi="Times New Roman" w:cs="Times New Roman"/>
          <w:b/>
          <w:bCs/>
        </w:rPr>
        <w:t xml:space="preserve"> </w:t>
      </w:r>
    </w:p>
    <w:p w14:paraId="4DD95D7C" w14:textId="77777777" w:rsidR="00754172" w:rsidRDefault="00754172">
      <w:pPr>
        <w:spacing w:line="240" w:lineRule="auto"/>
        <w:jc w:val="both"/>
        <w:rPr>
          <w:rFonts w:ascii="Times New Roman" w:eastAsia="Times New Roman" w:hAnsi="Times New Roman" w:cs="Times New Roman"/>
          <w:b/>
          <w:bCs/>
        </w:rPr>
      </w:pPr>
    </w:p>
    <w:p w14:paraId="26E4363D" w14:textId="77777777" w:rsidR="00754172"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Introducción</w:t>
      </w:r>
    </w:p>
    <w:p w14:paraId="1C0193FC" w14:textId="77777777" w:rsidR="00754172"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Esta ponencia tiene tres objetivos: a) presentar el desarrollo de una base de producción de conocimiento sobre educación secundaria en la Argentina que, en el marco de las dinámicas que caracterizan a la ciencia y al acceso abierto, busca ampliar los canales de divulgación, no solo al interior del campo académico sino alcanzando también a otros ámbitos de producción y promoviendo los usos de resultados de las investigaciones; b) describir y analizar la producción realizadas desde las universidades estatales haciendo foco en un tres campos temático en particular (los que concentran la mayor cantidad de proyectos y publicaciones) y c) postular que un dispositivo de este tipo permite mapear de modo integral, además de campos temáticos abordados, qué equipos de investigación, investigadores/a, instituciones y organismos conforman el corpus de lo que se investiga en una tema que, en los últimos años, ocupa la agenda social y educativa. Así, se constituye en un lente que también incide sobre el campo, en tanto permite ampliar y reunir producciones dispersas, promoviendo la ampliación de referencias y evidencias disponibles. El trabajo recupera parcialmente fragmentos e ideas de textos ya publicados o en prensa elaborados por sus autores/as (oportunamente citados). </w:t>
      </w:r>
    </w:p>
    <w:p w14:paraId="0396EB84" w14:textId="77777777" w:rsidR="00754172" w:rsidRDefault="00000000">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El análisis de la producción de la investigación en universidades estatales sobre la educación secundaria -considerando la diacronía temática del período 2003-2021 y la </w:t>
      </w:r>
      <w:r>
        <w:rPr>
          <w:rFonts w:ascii="Times New Roman" w:eastAsia="Times New Roman" w:hAnsi="Times New Roman" w:cs="Times New Roman"/>
        </w:rPr>
        <w:lastRenderedPageBreak/>
        <w:t xml:space="preserve">territorialización de la producción- identifica las relaciones entre los temas investigados, las agencias productoras y los núcleos de la agenda pública y política sobre el nivel secundario. </w:t>
      </w:r>
    </w:p>
    <w:p w14:paraId="4FD5C692" w14:textId="77777777" w:rsidR="00754172" w:rsidRDefault="00000000">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El corpus está </w:t>
      </w:r>
      <w:proofErr w:type="spellStart"/>
      <w:r>
        <w:rPr>
          <w:rFonts w:ascii="Times New Roman" w:eastAsia="Times New Roman" w:hAnsi="Times New Roman" w:cs="Times New Roman"/>
        </w:rPr>
        <w:t>constituído</w:t>
      </w:r>
      <w:proofErr w:type="spellEnd"/>
      <w:r>
        <w:rPr>
          <w:rFonts w:ascii="Times New Roman" w:eastAsia="Times New Roman" w:hAnsi="Times New Roman" w:cs="Times New Roman"/>
        </w:rPr>
        <w:t xml:space="preserve"> por 1.858 proyectos y 1.701 publicaciones sobre la educación secundaria argentina, producidas en el país entre 2003 y julio de 2021, aunque existe una actualización de la base del año 2023 que eleva los totales a 1.965 proyectos y 1.703 publicaciones, pero que no fueron incorporadas al análisis de este estudio. Se verifica un período de alta producción (años 2007 a 2014) que coincide con la preocupación por la enseñanza secundaria en el tope la agenda de la política educativa (extensión de la obligatoriedad de la secundaria, políticas federales de expansión de la oferta e inclusión de estudiantes, modificación del modelo institucional), al mismo tiempo que se constata una convergencia temática sobre líneas que guardan relación con dicha agenda.</w:t>
      </w:r>
    </w:p>
    <w:p w14:paraId="572FC1E7" w14:textId="77777777" w:rsidR="00754172" w:rsidRDefault="00000000">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En el texto se utiliza la expresión “universidades estatales” para incluir a aquellas de dependencia nacional o provincial. </w:t>
      </w:r>
    </w:p>
    <w:p w14:paraId="5E2EA637" w14:textId="77777777" w:rsidR="00754172" w:rsidRDefault="00000000">
      <w:pPr>
        <w:spacing w:line="276" w:lineRule="auto"/>
        <w:rPr>
          <w:rFonts w:ascii="Times New Roman" w:eastAsia="Times New Roman" w:hAnsi="Times New Roman" w:cs="Times New Roman"/>
          <w:b/>
          <w:bCs/>
        </w:rPr>
      </w:pPr>
      <w:r>
        <w:rPr>
          <w:rFonts w:ascii="Times New Roman" w:eastAsia="Times New Roman" w:hAnsi="Times New Roman" w:cs="Times New Roman"/>
          <w:b/>
          <w:bCs/>
        </w:rPr>
        <w:t>Desarrollo</w:t>
      </w:r>
    </w:p>
    <w:p w14:paraId="3EAB6A04" w14:textId="77777777" w:rsidR="00754172" w:rsidRDefault="00000000">
      <w:pPr>
        <w:spacing w:line="276" w:lineRule="auto"/>
        <w:jc w:val="both"/>
        <w:rPr>
          <w:rFonts w:ascii="Times New Roman" w:eastAsia="Times New Roman" w:hAnsi="Times New Roman" w:cs="Times New Roman"/>
          <w:b/>
          <w:bCs/>
          <w:i/>
          <w:iCs/>
        </w:rPr>
      </w:pPr>
      <w:r>
        <w:rPr>
          <w:rFonts w:ascii="Times New Roman" w:eastAsia="Times New Roman" w:hAnsi="Times New Roman" w:cs="Times New Roman"/>
          <w:b/>
          <w:bCs/>
          <w:i/>
          <w:iCs/>
        </w:rPr>
        <w:t xml:space="preserve">Contexto de surgimiento de la iniciativa RIES </w:t>
      </w:r>
    </w:p>
    <w:p w14:paraId="510EF3B8" w14:textId="77777777" w:rsidR="00754172"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La Reunión de Investigadores/as sobre Educación Secundaria surge en el año 2013 como una iniciativa del Área Educación de FLACSO. Se cumplían entonces 30 años de la creación del Área, que había surgido con una agenda de investigación preocupada por las políticas y las desigualdades educativas específicas del nivel medio. Un grupo de investigadores/as del Área, específicamente del recién creado Programa Educación, Conocimiento y Sociedad, se propusieron generar un espacio de recapitulación, debate y reflexión sobre el acumulado en la investigación en educación sobre el nivel secundario. Se desplegaron dos estrategias: la convocatoria a reuniones de investigadores/as y la conformación de una base de datos que reuniera lo producido (publicaciones), identificara a los agentes productores (investigadores/as) y remitiera al contexto de producción (proyectos de investigación). Ambas estrategias eran convergentes: se buscaba identificar equipos de investigación con un cierto recorrido -además de los equipos del Área Educación de FLACSO- evitando los sesgos endogámicos que caracterizan al campo. Explícitamente, la intención era identificar y corroborar la existencia de equipos e investigaciones más allá de las personas y producciones habitualmente citadas o referidas tanto por la relevancia de sus trabajos y citaciones, como por las redes de contacto entre investigadores/as e instituciones. La conformación de una base, sustentada en relevamientos específicos, iba a permitir en todo caso corroborar o problematizar y ampliar a quiénes convocar para las reuniones científicas. </w:t>
      </w:r>
    </w:p>
    <w:p w14:paraId="45A8B2A2" w14:textId="77777777" w:rsidR="00754172"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Algunos de los antecedentes considerados para la construcción de la base temática lo constituyó el proyecto desplegado por la entonces Unidad de investigaciones educativas del Ministerio de Educación que sistematizó la producción disponible sobre la reforma educativa de los años noventa, a cargo de un equipo de trabajo coordinado por Mariano Palamidessi; los trabajos de colegas que tomaron a la producción de conocimiento y a los programas de investigación como objeto de análisis (</w:t>
      </w:r>
      <w:proofErr w:type="spellStart"/>
      <w:r>
        <w:rPr>
          <w:rFonts w:ascii="Times New Roman" w:eastAsia="Times New Roman" w:hAnsi="Times New Roman" w:cs="Times New Roman"/>
        </w:rPr>
        <w:t>Palamidessi</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et al</w:t>
      </w:r>
      <w:r>
        <w:rPr>
          <w:rFonts w:ascii="Times New Roman" w:eastAsia="Times New Roman" w:hAnsi="Times New Roman" w:cs="Times New Roman"/>
        </w:rPr>
        <w:t xml:space="preserve">., 2007) y cuerpos normativos que promovían e impulsaban la existencia de repositorios institucionales, la ciencia abierta y la obligación de publicar resultados a los proyectos de investigación que contaran con financiamiento estatal (aún en proceso de consolidación). La ley de repositorios institucionales 26.899 a la que se hace referencia se sancionó en el año 2013.   </w:t>
      </w:r>
    </w:p>
    <w:p w14:paraId="73D9D40E" w14:textId="77777777" w:rsidR="00754172"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Para responder a la pregunta acerca de qué se estaba produciendo sobre educación secundaria en el país se realizó un primer relevamiento a partir de la base de datos de proyectos registrados en el Programa Incentivos a la Investigación de la Secretaría de Políticas Universitarias. Esta sistematización fue complementada con relevamientos bibliográficos realizados </w:t>
      </w:r>
      <w:r>
        <w:rPr>
          <w:rFonts w:ascii="Times New Roman" w:eastAsia="Times New Roman" w:hAnsi="Times New Roman" w:cs="Times New Roman"/>
          <w:i/>
          <w:iCs/>
        </w:rPr>
        <w:t>ad hoc</w:t>
      </w:r>
      <w:r>
        <w:rPr>
          <w:rFonts w:ascii="Times New Roman" w:eastAsia="Times New Roman" w:hAnsi="Times New Roman" w:cs="Times New Roman"/>
        </w:rPr>
        <w:t xml:space="preserve"> para la elaboración de un estado del arte previo (</w:t>
      </w:r>
      <w:proofErr w:type="spellStart"/>
      <w:r>
        <w:rPr>
          <w:rFonts w:ascii="Times New Roman" w:eastAsia="Times New Roman" w:hAnsi="Times New Roman" w:cs="Times New Roman"/>
        </w:rPr>
        <w:t>Tiramonti</w:t>
      </w:r>
      <w:proofErr w:type="spellEnd"/>
      <w:r>
        <w:rPr>
          <w:rFonts w:ascii="Times New Roman" w:eastAsia="Times New Roman" w:hAnsi="Times New Roman" w:cs="Times New Roman"/>
        </w:rPr>
        <w:t xml:space="preserve"> y Fuentes, 2012). La base de datos del Programa Incentivos permitió ampliar e identificar proyectos de investigación de los cuales el equipo RIES no tenía conocimiento previo, pero presentaba problemas de consistencia y falta de datos: existían títulos de proyectos de investigación sin resumen, con listados de investigadores/as incompletos, sin publicaciones asociadas en muchos casos y con problemas en la identificación del año de ejecución del proyecto. No obstante, al estar consignadas las instituciones de radicación de los proyectos se pudo armar un primer esqueleto institucional a nivel federal. Complementado con listados de producciones científicas disponibles en línea y/o ya analizados para el estado de la cuestión previo, se pudo avanzar hacia una primera caracterización del campo, que permitió consolidar un listado de 593 proyectos de equipos e investigadores/as que fueron convocados a la I Reunión Científica RIES realizada en mayo de 2013 en la sede de la FLACSO (Montes, 2013). </w:t>
      </w:r>
    </w:p>
    <w:p w14:paraId="06A909D0" w14:textId="77777777" w:rsidR="00754172"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Luego de este primer encuentro y apoyado en la necesidad de contar con relevamientos más exhaustivos sobre el campo de la producción de conocimiento sobre la educación secundaria en la Argentina, se realizaron relevamientos específicos. En 2014-2015 se contó con el apoyo de Unicef Argentina para realizar un relevamiento exhaustivo en el sistema universitario-científico del país y el desarrollo de una plataforma que albergara los proyectos y publicaciones que se iban compilando. </w:t>
      </w:r>
    </w:p>
    <w:p w14:paraId="1DEA1342" w14:textId="77777777" w:rsidR="00754172"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Este apoyo permitió también organizar un equipo de trabajo para ampliar el relevamiento. En ese momento se realizó una consulta vía mail a las secretarías de investigación, centros e institutos de investigación de facultades, departamentos o áreas centralizadas de las universidades públicas y privadas del país sobre los proyectos, personas y publicaciones realizadas sobre educación secundaria desde 2003 a la fecha. También se procesó </w:t>
      </w:r>
      <w:r>
        <w:rPr>
          <w:rFonts w:ascii="Times New Roman" w:eastAsia="Times New Roman" w:hAnsi="Times New Roman" w:cs="Times New Roman"/>
        </w:rPr>
        <w:lastRenderedPageBreak/>
        <w:t xml:space="preserve">información sobre proyectos de investigación financiados por la entonces Agencia Nacional de Promoción Científica y Tecnológica, el Consejo Nacional de Investigaciones Científicas y Técnicas, con requerimientos de información solicitados </w:t>
      </w:r>
      <w:r>
        <w:rPr>
          <w:rFonts w:ascii="Times New Roman" w:eastAsia="Times New Roman" w:hAnsi="Times New Roman" w:cs="Times New Roman"/>
          <w:i/>
          <w:iCs/>
        </w:rPr>
        <w:t>ad hoc.</w:t>
      </w:r>
      <w:r>
        <w:rPr>
          <w:rFonts w:ascii="Times New Roman" w:eastAsia="Times New Roman" w:hAnsi="Times New Roman" w:cs="Times New Roman"/>
        </w:rPr>
        <w:t xml:space="preserve"> Se realizaron, a su vez, consultas a sindicatos docentes, organismos de cooperación, fundaciones y </w:t>
      </w:r>
      <w:proofErr w:type="spellStart"/>
      <w:r>
        <w:rPr>
          <w:rFonts w:ascii="Times New Roman" w:eastAsia="Times New Roman" w:hAnsi="Times New Roman" w:cs="Times New Roman"/>
          <w:i/>
          <w:iCs/>
        </w:rPr>
        <w:t>think</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tanks</w:t>
      </w:r>
      <w:proofErr w:type="spellEnd"/>
      <w:r>
        <w:rPr>
          <w:rFonts w:ascii="Times New Roman" w:eastAsia="Times New Roman" w:hAnsi="Times New Roman" w:cs="Times New Roman"/>
          <w:i/>
          <w:iCs/>
        </w:rPr>
        <w:t>.</w:t>
      </w:r>
      <w:r>
        <w:rPr>
          <w:rFonts w:ascii="Times New Roman" w:eastAsia="Times New Roman" w:hAnsi="Times New Roman" w:cs="Times New Roman"/>
        </w:rPr>
        <w:t xml:space="preserve"> Se avanzó asimismo en </w:t>
      </w:r>
      <w:proofErr w:type="gramStart"/>
      <w:r>
        <w:rPr>
          <w:rFonts w:ascii="Times New Roman" w:eastAsia="Times New Roman" w:hAnsi="Times New Roman" w:cs="Times New Roman"/>
        </w:rPr>
        <w:t>el relevamientos</w:t>
      </w:r>
      <w:proofErr w:type="gramEnd"/>
      <w:r>
        <w:rPr>
          <w:rFonts w:ascii="Times New Roman" w:eastAsia="Times New Roman" w:hAnsi="Times New Roman" w:cs="Times New Roman"/>
        </w:rPr>
        <w:t xml:space="preserve"> en línea con dos objetivos y en dos planos: por un lado, el relevamiento de la información subida a la web sobre proyectos de investigación y publicaciones del conjunto institucional antedicho, de universidades a organismos de cooperación. Ello incluyó la consulta a los incipientes repositorios institucionales para identificar las tesis de posgrado (maestría y doctorado) sobre el tema, incluidas en el relevamiento para conformar la base. Por el otro, se avanzó en la búsqueda, identificación, lectura e incorporación de publicaciones de acceso abierto </w:t>
      </w:r>
      <w:proofErr w:type="spellStart"/>
      <w:r>
        <w:rPr>
          <w:rFonts w:ascii="Times New Roman" w:eastAsia="Times New Roman" w:hAnsi="Times New Roman" w:cs="Times New Roman"/>
        </w:rPr>
        <w:t>disponibilizada</w:t>
      </w:r>
      <w:proofErr w:type="spellEnd"/>
      <w:r>
        <w:rPr>
          <w:rFonts w:ascii="Times New Roman" w:eastAsia="Times New Roman" w:hAnsi="Times New Roman" w:cs="Times New Roman"/>
        </w:rPr>
        <w:t xml:space="preserve"> en los repositorios regionales Scielo y Redalyc. </w:t>
      </w:r>
    </w:p>
    <w:p w14:paraId="37F18246" w14:textId="77777777" w:rsidR="00754172"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En ese contexto de trabajo se realizaron consultas a responsables de desarrollos que ya habían avanzado en digitalizar producciones académicas, como la Biblioteca virtual desarrollada por CLACSO y la plataforma </w:t>
      </w:r>
      <w:proofErr w:type="spellStart"/>
      <w:r>
        <w:rPr>
          <w:rFonts w:ascii="Times New Roman" w:eastAsia="Times New Roman" w:hAnsi="Times New Roman" w:cs="Times New Roman"/>
        </w:rPr>
        <w:t>Intelligo</w:t>
      </w:r>
      <w:proofErr w:type="spellEnd"/>
      <w:r>
        <w:rPr>
          <w:rFonts w:ascii="Times New Roman" w:eastAsia="Times New Roman" w:hAnsi="Times New Roman" w:cs="Times New Roman"/>
        </w:rPr>
        <w:t xml:space="preserve"> que, además de </w:t>
      </w:r>
      <w:proofErr w:type="spellStart"/>
      <w:r>
        <w:rPr>
          <w:rFonts w:ascii="Times New Roman" w:eastAsia="Times New Roman" w:hAnsi="Times New Roman" w:cs="Times New Roman"/>
        </w:rPr>
        <w:t>disponibilizar</w:t>
      </w:r>
      <w:proofErr w:type="spellEnd"/>
      <w:r>
        <w:rPr>
          <w:rFonts w:ascii="Times New Roman" w:eastAsia="Times New Roman" w:hAnsi="Times New Roman" w:cs="Times New Roman"/>
        </w:rPr>
        <w:t xml:space="preserve"> artículos y trabajos científicos, ofrecía </w:t>
      </w:r>
      <w:proofErr w:type="spellStart"/>
      <w:proofErr w:type="gramStart"/>
      <w:r>
        <w:rPr>
          <w:rFonts w:ascii="Times New Roman" w:eastAsia="Times New Roman" w:hAnsi="Times New Roman" w:cs="Times New Roman"/>
        </w:rPr>
        <w:t>clusters</w:t>
      </w:r>
      <w:proofErr w:type="spellEnd"/>
      <w:proofErr w:type="gramEnd"/>
      <w:r>
        <w:rPr>
          <w:rFonts w:ascii="Times New Roman" w:eastAsia="Times New Roman" w:hAnsi="Times New Roman" w:cs="Times New Roman"/>
        </w:rPr>
        <w:t xml:space="preserve"> temáticos que vinculaban autorías, países e instituciones. </w:t>
      </w:r>
    </w:p>
    <w:p w14:paraId="471F9337" w14:textId="77777777" w:rsidR="00754172"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Los resultados de estos relevamientos e indagaciones conllevaron la tarea de asociar proyectos con personas y con sus publicaciones, dada la información obtenida de distintas fuentes. Ello requirió, por ejemplo, reconstruir la información sobre el proyecto de investigación del que emergían publicaciones y cuyos datos a menudo se podían presentar en notas al pie de las publicaciones. Esta información era contrastada con la información web de la universidad o la información provista por la misma ante la consulta del equipo que realizó el relevamiento. El trabajo de asociación requirió chequeos cruzados para consistir la base de datos que luego se </w:t>
      </w:r>
      <w:proofErr w:type="spellStart"/>
      <w:r>
        <w:rPr>
          <w:rFonts w:ascii="Times New Roman" w:eastAsia="Times New Roman" w:hAnsi="Times New Roman" w:cs="Times New Roman"/>
        </w:rPr>
        <w:t>disponibilizaría</w:t>
      </w:r>
      <w:proofErr w:type="spellEnd"/>
      <w:r>
        <w:rPr>
          <w:rFonts w:ascii="Times New Roman" w:eastAsia="Times New Roman" w:hAnsi="Times New Roman" w:cs="Times New Roman"/>
        </w:rPr>
        <w:t xml:space="preserve">, bajo acceso abierto, para la consulta amplia sin requisitos de </w:t>
      </w:r>
      <w:proofErr w:type="spellStart"/>
      <w:r>
        <w:rPr>
          <w:rFonts w:ascii="Times New Roman" w:eastAsia="Times New Roman" w:hAnsi="Times New Roman" w:cs="Times New Roman"/>
        </w:rPr>
        <w:t>logueo</w:t>
      </w:r>
      <w:proofErr w:type="spellEnd"/>
      <w:r>
        <w:rPr>
          <w:rFonts w:ascii="Times New Roman" w:eastAsia="Times New Roman" w:hAnsi="Times New Roman" w:cs="Times New Roman"/>
        </w:rPr>
        <w:t xml:space="preserve">. Asimismo, se </w:t>
      </w:r>
      <w:proofErr w:type="spellStart"/>
      <w:r>
        <w:rPr>
          <w:rFonts w:ascii="Times New Roman" w:eastAsia="Times New Roman" w:hAnsi="Times New Roman" w:cs="Times New Roman"/>
        </w:rPr>
        <w:t>disponibilizó</w:t>
      </w:r>
      <w:proofErr w:type="spellEnd"/>
      <w:r>
        <w:rPr>
          <w:rFonts w:ascii="Times New Roman" w:eastAsia="Times New Roman" w:hAnsi="Times New Roman" w:cs="Times New Roman"/>
        </w:rPr>
        <w:t xml:space="preserve"> una pestaña en la web de la base para que los y las investigadores/as enviaran información sobre proyectos y publicaciones que, o bien no había sido capturada previamente, o porque se trataba de nuevas publicaciones y proyectos. </w:t>
      </w:r>
    </w:p>
    <w:p w14:paraId="215F9261" w14:textId="77777777" w:rsidR="00754172"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Desde entonces, la Base fue ampliándose de manera continua, a partir de los envíos de investigadores/as, y mediante relevamientos de actualización específicos. Uno se realizó en 2018, otros dos en 2021 y 2023, en el marco del proyecto RIES-PISAC (“La reconfiguración de las desigualdades vinculadas a la educación secundaria argentina en situación de pandemia/</w:t>
      </w:r>
      <w:proofErr w:type="spellStart"/>
      <w:r>
        <w:rPr>
          <w:rFonts w:ascii="Times New Roman" w:eastAsia="Times New Roman" w:hAnsi="Times New Roman" w:cs="Times New Roman"/>
        </w:rPr>
        <w:t>pospandemia</w:t>
      </w:r>
      <w:proofErr w:type="spellEnd"/>
      <w:r>
        <w:rPr>
          <w:rFonts w:ascii="Times New Roman" w:eastAsia="Times New Roman" w:hAnsi="Times New Roman" w:cs="Times New Roman"/>
        </w:rPr>
        <w:t xml:space="preserve">”. Directora: Renata Giovine. Convocatoria PISAC-COVID, Agencia Nacional de Promoción de la Investigación, el desarrollo tecnológico y la innovación y Consejo de Decanos de Ciencias Sociales (2021-2022) y del PICTO-Redes (“Dispositivos de apoyo a las trayectorias educativas y laborales de jóvenes en contextos de desigualdad en pandemia y postpandemia”. Directora: Renata Giovine, </w:t>
      </w:r>
      <w:r>
        <w:rPr>
          <w:rFonts w:ascii="Times New Roman" w:eastAsia="Times New Roman" w:hAnsi="Times New Roman" w:cs="Times New Roman"/>
        </w:rPr>
        <w:lastRenderedPageBreak/>
        <w:t xml:space="preserve">radicación UNICEN. Convocatoria de la Agencia Nacional de Promoción de la Investigación, el desarrollo tecnológico y la innovación (2022-2024), respectivamente. Si bien la actualización continúa, </w:t>
      </w:r>
      <w:proofErr w:type="gramStart"/>
      <w:r>
        <w:rPr>
          <w:rFonts w:ascii="Times New Roman" w:eastAsia="Times New Roman" w:hAnsi="Times New Roman" w:cs="Times New Roman"/>
        </w:rPr>
        <w:t>al día de hoy</w:t>
      </w:r>
      <w:proofErr w:type="gramEnd"/>
      <w:r>
        <w:rPr>
          <w:rFonts w:ascii="Times New Roman" w:eastAsia="Times New Roman" w:hAnsi="Times New Roman" w:cs="Times New Roman"/>
        </w:rPr>
        <w:t xml:space="preserve"> la información de la base tiene consistencia reuniendo información de 20 años sobre este campo específico en la Argentina. </w:t>
      </w:r>
    </w:p>
    <w:p w14:paraId="6A7F4E34" w14:textId="77777777" w:rsidR="00754172" w:rsidRDefault="00000000">
      <w:pPr>
        <w:spacing w:line="276" w:lineRule="auto"/>
        <w:jc w:val="both"/>
        <w:rPr>
          <w:rFonts w:ascii="Times New Roman" w:eastAsia="Times New Roman" w:hAnsi="Times New Roman" w:cs="Times New Roman"/>
          <w:b/>
          <w:bCs/>
          <w:i/>
          <w:iCs/>
        </w:rPr>
      </w:pPr>
      <w:r>
        <w:rPr>
          <w:rFonts w:ascii="Times New Roman" w:eastAsia="Times New Roman" w:hAnsi="Times New Roman" w:cs="Times New Roman"/>
          <w:b/>
          <w:bCs/>
          <w:i/>
          <w:iCs/>
        </w:rPr>
        <w:t xml:space="preserve">Otros criterios que organizaron la colección del corpus de producción de conocimiento y la información </w:t>
      </w:r>
      <w:proofErr w:type="spellStart"/>
      <w:r>
        <w:rPr>
          <w:rFonts w:ascii="Times New Roman" w:eastAsia="Times New Roman" w:hAnsi="Times New Roman" w:cs="Times New Roman"/>
          <w:b/>
          <w:bCs/>
          <w:i/>
          <w:iCs/>
        </w:rPr>
        <w:t>disponibilizada</w:t>
      </w:r>
      <w:proofErr w:type="spellEnd"/>
    </w:p>
    <w:p w14:paraId="30E81F39" w14:textId="77777777" w:rsidR="00754172"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Para el armado de la base se prefirió utilizar la expresión “producción de conocimiento” en lugar del término “investigación” o los términos “investigación científica o académica” bajo la premisa de que también otros ámbitos y actores en los últimos años contribuyeron al conocimiento y análisis de, en este caso, la educación secundaria, sus condiciones, políticas, problemáticas y dinámicas, actores que no están ubicados necesariamente en universidades o centros de investigación. Así, sindicatos docentes, áreas estatales de investigación de los ministerios de educación, organismos de cooperación o de financiamiento y</w:t>
      </w:r>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think</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tanks</w:t>
      </w:r>
      <w:proofErr w:type="spellEnd"/>
      <w:r>
        <w:rPr>
          <w:rFonts w:ascii="Times New Roman" w:eastAsia="Times New Roman" w:hAnsi="Times New Roman" w:cs="Times New Roman"/>
          <w:i/>
          <w:iCs/>
        </w:rPr>
        <w:t xml:space="preserve"> u</w:t>
      </w:r>
      <w:r>
        <w:rPr>
          <w:rFonts w:ascii="Times New Roman" w:eastAsia="Times New Roman" w:hAnsi="Times New Roman" w:cs="Times New Roman"/>
        </w:rPr>
        <w:t xml:space="preserve"> organizaciones de la sociedad civil han tomado a su cargo la tarea de realizar estudios o producciones que colaboran con la consolidación de un corpus de conocimiento que se realizan, ciertamente, bajo diferentes reglas y propósitos pero que también realizan aportes a qué se sabe sobre la educación secundaria en la Argentina de los últimos años. Así, la selección de productos a incorporar alcanzó un amplio abanico de formatos: libros, capítulos de libros, tesis de posgrado, informes, ponencias y </w:t>
      </w:r>
      <w:proofErr w:type="spellStart"/>
      <w:r>
        <w:rPr>
          <w:rFonts w:ascii="Times New Roman" w:eastAsia="Times New Roman" w:hAnsi="Times New Roman" w:cs="Times New Roman"/>
          <w:i/>
          <w:iCs/>
        </w:rPr>
        <w:t>papers</w:t>
      </w:r>
      <w:proofErr w:type="spellEnd"/>
      <w:r>
        <w:rPr>
          <w:rFonts w:ascii="Times New Roman" w:eastAsia="Times New Roman" w:hAnsi="Times New Roman" w:cs="Times New Roman"/>
        </w:rPr>
        <w:t xml:space="preserve"> conforman la base relevada, siempre que estos trabajos cuenten con una base empírica a la cual se referencian y analizan. Se excluyeron así ensayos y relatos de experiencias. </w:t>
      </w:r>
    </w:p>
    <w:p w14:paraId="54028A9F" w14:textId="77777777" w:rsidR="00754172"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Además del acceso a proyectos y publicaciones la base ha promovido la elaboración de nuevas producciones que la tomaron como insumo y referencia, como son los estados del arte. Este tipo de producción si bien está presente en muchos proyectos como un componente necesario del proceso de investigación, no siempre asume la forma de una publicación (</w:t>
      </w:r>
      <w:proofErr w:type="spellStart"/>
      <w:r>
        <w:rPr>
          <w:rFonts w:ascii="Times New Roman" w:eastAsia="Times New Roman" w:hAnsi="Times New Roman" w:cs="Times New Roman"/>
        </w:rPr>
        <w:t>Pinkasz</w:t>
      </w:r>
      <w:proofErr w:type="spellEnd"/>
      <w:r>
        <w:rPr>
          <w:rFonts w:ascii="Times New Roman" w:eastAsia="Times New Roman" w:hAnsi="Times New Roman" w:cs="Times New Roman"/>
        </w:rPr>
        <w:t xml:space="preserve"> y Montes, 2020). Asimismo, la Base en sí se constituyó en </w:t>
      </w:r>
      <w:proofErr w:type="gramStart"/>
      <w:r>
        <w:rPr>
          <w:rFonts w:ascii="Times New Roman" w:eastAsia="Times New Roman" w:hAnsi="Times New Roman" w:cs="Times New Roman"/>
        </w:rPr>
        <w:t>un  analizador</w:t>
      </w:r>
      <w:proofErr w:type="gramEnd"/>
      <w:r>
        <w:rPr>
          <w:rFonts w:ascii="Times New Roman" w:eastAsia="Times New Roman" w:hAnsi="Times New Roman" w:cs="Times New Roman"/>
        </w:rPr>
        <w:t xml:space="preserve"> de la producción de conocimiento según diferentes coordenadas, como se presenta más adelante. Por su parte, la convocatoria a reuniones científicas tuvo como principio organizador distanciarse del modo habitual de las convocatorias a congresos y proponer la reflexión sobre los objetos y abordajes de investigación y centrar las presentaciones en las categorías y los enfoques, su utilidad, sus límites y potencialidades, así como en los supuestos que estaban guiando los procesos de investigación y de diálogo sobre la escolarización en el nivel medio. Algunas de las preguntas que impulsaron los primeros encuentros giraron en torno a interrogantes y problemas teóricos que guiaban la investigación en temas de educación secundaria; las tradiciones presenten en la investigación social y educativa y las relaciones que ponían en juego el campo político, </w:t>
      </w:r>
      <w:r>
        <w:rPr>
          <w:rFonts w:ascii="Times New Roman" w:eastAsia="Times New Roman" w:hAnsi="Times New Roman" w:cs="Times New Roman"/>
        </w:rPr>
        <w:lastRenderedPageBreak/>
        <w:t xml:space="preserve">el campo académico y el campo pedagógico, en la investigación en educación secundaria de los últimos años.  </w:t>
      </w:r>
    </w:p>
    <w:p w14:paraId="008CE975" w14:textId="6A7D5E86" w:rsidR="00754172" w:rsidRDefault="00000000">
      <w:pPr>
        <w:spacing w:after="0" w:line="276" w:lineRule="auto"/>
        <w:jc w:val="both"/>
        <w:rPr>
          <w:rFonts w:ascii="Times New Roman" w:eastAsia="Times New Roman" w:hAnsi="Times New Roman" w:cs="Times New Roman"/>
          <w:b/>
          <w:bCs/>
          <w:i/>
          <w:iCs/>
        </w:rPr>
      </w:pPr>
      <w:r>
        <w:rPr>
          <w:rFonts w:ascii="Times New Roman" w:eastAsia="Times New Roman" w:hAnsi="Times New Roman" w:cs="Times New Roman"/>
          <w:b/>
          <w:bCs/>
          <w:i/>
          <w:iCs/>
        </w:rPr>
        <w:t xml:space="preserve">La agenda de producción de conocimiento en educación secundaria en el período 2003 </w:t>
      </w:r>
      <w:r w:rsidR="003A3267">
        <w:rPr>
          <w:rFonts w:ascii="Times New Roman" w:eastAsia="Times New Roman" w:hAnsi="Times New Roman" w:cs="Times New Roman"/>
          <w:b/>
          <w:bCs/>
          <w:i/>
          <w:iCs/>
        </w:rPr>
        <w:t xml:space="preserve">a </w:t>
      </w:r>
      <w:r>
        <w:rPr>
          <w:rFonts w:ascii="Times New Roman" w:eastAsia="Times New Roman" w:hAnsi="Times New Roman" w:cs="Times New Roman"/>
          <w:b/>
          <w:bCs/>
          <w:i/>
          <w:iCs/>
        </w:rPr>
        <w:t>2021</w:t>
      </w:r>
    </w:p>
    <w:p w14:paraId="38E4CC00" w14:textId="77777777" w:rsidR="00754172" w:rsidRDefault="00000000">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A continuación, se presenta una lectura posible de la agenda de investigación a partir de la clasificación temática de la base. La organización temática de la Base </w:t>
      </w:r>
      <w:proofErr w:type="gramStart"/>
      <w:r>
        <w:rPr>
          <w:rFonts w:ascii="Times New Roman" w:eastAsia="Times New Roman" w:hAnsi="Times New Roman" w:cs="Times New Roman"/>
        </w:rPr>
        <w:t>RIES  ha</w:t>
      </w:r>
      <w:proofErr w:type="gramEnd"/>
      <w:r>
        <w:rPr>
          <w:rFonts w:ascii="Times New Roman" w:eastAsia="Times New Roman" w:hAnsi="Times New Roman" w:cs="Times New Roman"/>
        </w:rPr>
        <w:t xml:space="preserve"> sido propuesta por Fuentes (2021) como un identificador de las lógicas que están presentes en el campo de investigación en educación secundaria dado que no se trata de una clasificación con criterios disciplinares externos al campo o con criterios exclusivamente catalográficos. Se trata de un intento de leer, a partir de la frecuencia de temas clasificados de manera inductiva -una construcción de quienes organizan el repositorio- el procesamiento que hace el campo como mediador de una agenda social y pública sobre el “problema” de la educación secundaria (Acosta, </w:t>
      </w:r>
      <w:r>
        <w:rPr>
          <w:rFonts w:ascii="Times New Roman" w:eastAsia="Times New Roman" w:hAnsi="Times New Roman" w:cs="Times New Roman"/>
          <w:i/>
          <w:iCs/>
        </w:rPr>
        <w:t>et al</w:t>
      </w:r>
      <w:r>
        <w:rPr>
          <w:rFonts w:ascii="Times New Roman" w:eastAsia="Times New Roman" w:hAnsi="Times New Roman" w:cs="Times New Roman"/>
        </w:rPr>
        <w:t>., 2020). Así en el repertorio temático y su clasificación pueden advertirse:</w:t>
      </w:r>
    </w:p>
    <w:p w14:paraId="3C72F312" w14:textId="77777777" w:rsidR="00754172" w:rsidRDefault="00000000">
      <w:pPr>
        <w:widowControl w:val="0"/>
        <w:numPr>
          <w:ilvl w:val="0"/>
          <w:numId w:val="1"/>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“La preeminencia de los temas de agenda pública en los que los/as investigadores/as desarrollan sus </w:t>
      </w:r>
      <w:r>
        <w:rPr>
          <w:rFonts w:ascii="Times New Roman" w:eastAsia="Times New Roman" w:hAnsi="Times New Roman" w:cs="Times New Roman"/>
          <w:i/>
          <w:iCs/>
        </w:rPr>
        <w:t>experticias,</w:t>
      </w:r>
    </w:p>
    <w:p w14:paraId="20E3BB07" w14:textId="77777777" w:rsidR="00754172" w:rsidRDefault="00000000">
      <w:pPr>
        <w:widowControl w:val="0"/>
        <w:numPr>
          <w:ilvl w:val="0"/>
          <w:numId w:val="1"/>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temas que son construidos y consolidados a lo largo de alianzas entre académicos/as, activismos y militancias,</w:t>
      </w:r>
    </w:p>
    <w:p w14:paraId="5B8ACBF1" w14:textId="77777777" w:rsidR="00754172" w:rsidRDefault="00000000">
      <w:pPr>
        <w:widowControl w:val="0"/>
        <w:numPr>
          <w:ilvl w:val="0"/>
          <w:numId w:val="1"/>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temas que emergen entre los diálogos y reapropiaciones de las categorías científicas, como las de la política educativa, </w:t>
      </w:r>
    </w:p>
    <w:p w14:paraId="76BEB291" w14:textId="77777777" w:rsidR="00754172" w:rsidRDefault="00000000">
      <w:pPr>
        <w:widowControl w:val="0"/>
        <w:numPr>
          <w:ilvl w:val="0"/>
          <w:numId w:val="1"/>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temas que surgen de las categorías que organizan administrativamente el sistema educativo,</w:t>
      </w:r>
    </w:p>
    <w:p w14:paraId="0CD55299" w14:textId="77777777" w:rsidR="00754172" w:rsidRDefault="00000000">
      <w:pPr>
        <w:widowControl w:val="0"/>
        <w:numPr>
          <w:ilvl w:val="0"/>
          <w:numId w:val="1"/>
        </w:numPr>
        <w:spacing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temas que combinan lógicas propias del sistema educativo -la organización curricular de la enseñanza en disciplinas o áreas- con la misma lógica que organiza </w:t>
      </w:r>
      <w:proofErr w:type="spellStart"/>
      <w:r>
        <w:rPr>
          <w:rFonts w:ascii="Times New Roman" w:eastAsia="Times New Roman" w:hAnsi="Times New Roman" w:cs="Times New Roman"/>
        </w:rPr>
        <w:t>sub-campos</w:t>
      </w:r>
      <w:proofErr w:type="spellEnd"/>
      <w:r>
        <w:rPr>
          <w:rFonts w:ascii="Times New Roman" w:eastAsia="Times New Roman" w:hAnsi="Times New Roman" w:cs="Times New Roman"/>
        </w:rPr>
        <w:t xml:space="preserve"> específicos en la investigación en educación” (Fuentes, 2021, p. 35).</w:t>
      </w:r>
    </w:p>
    <w:p w14:paraId="6ECE7D0A" w14:textId="77777777" w:rsidR="00754172" w:rsidRDefault="00000000">
      <w:pPr>
        <w:spacing w:after="240" w:line="240" w:lineRule="auto"/>
        <w:jc w:val="both"/>
        <w:rPr>
          <w:rFonts w:ascii="Times New Roman" w:eastAsia="Times New Roman" w:hAnsi="Times New Roman" w:cs="Times New Roman"/>
          <w:i/>
          <w:iCs/>
        </w:rPr>
      </w:pPr>
      <w:r>
        <w:rPr>
          <w:rFonts w:ascii="Times New Roman" w:eastAsia="Times New Roman" w:hAnsi="Times New Roman" w:cs="Times New Roman"/>
          <w:i/>
          <w:iCs/>
        </w:rPr>
        <w:t>Aclaración metodológica</w:t>
      </w:r>
    </w:p>
    <w:p w14:paraId="37473080" w14:textId="77777777" w:rsidR="003A3267" w:rsidRDefault="00000000" w:rsidP="003A3267">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El repositorio adopta una doble clasificación temática, esto quiere decir que un mismo proyecto o una misma publicación pueden estar clasificados bajo dos ejes temáticos, aunque no todos los objetos cumplen esta condición. Esto supone una sobreestimación de frecuencias dada la duplicación de algunos proyectos cuando se realiza la descripción del contenido del repositorio en función de las temáticas abordadas por las investigaciones. Por otra parte, el repositorio acumula dos tipos de objetos: los proyectos y las publicaciones. Cuando en este capítulo la unidad de análisis sean los objetos, contabilizará los proyectos y no las publicaciones porque da cuenta de la orientación de la agenda, más allá de sus productos. Finalmente, para evitar duplicaciones, cuando se crucen proyectos por tema y alguna otra variable, como por ejemplo organismo productor, emplearemos la clasificación principal, por lo cual los totales de proyectos de la tabla 1 </w:t>
      </w:r>
      <w:r>
        <w:rPr>
          <w:rFonts w:ascii="Times New Roman" w:eastAsia="Times New Roman" w:hAnsi="Times New Roman" w:cs="Times New Roman"/>
        </w:rPr>
        <w:lastRenderedPageBreak/>
        <w:t xml:space="preserve">no coincidirán con los totales de las tablas siguientes, dado que la tabla 1 contiene los proyectos o publicaciones contabilizados según la clasificación temática principal y secundaria. </w:t>
      </w:r>
    </w:p>
    <w:p w14:paraId="79F70DA8" w14:textId="77777777" w:rsidR="003A3267" w:rsidRDefault="003A3267" w:rsidP="003A3267">
      <w:pPr>
        <w:spacing w:after="0" w:line="276" w:lineRule="auto"/>
        <w:jc w:val="both"/>
        <w:rPr>
          <w:rFonts w:ascii="Times New Roman" w:eastAsia="Times New Roman" w:hAnsi="Times New Roman" w:cs="Times New Roman"/>
        </w:rPr>
      </w:pPr>
    </w:p>
    <w:p w14:paraId="4CC6FB4D" w14:textId="411C690E" w:rsidR="00754172" w:rsidRDefault="00000000" w:rsidP="003A3267">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La Base organizó un conjunto de clasificadores nativos para albergar la producción recogida que se presenta en la Tabla 1. </w:t>
      </w:r>
    </w:p>
    <w:p w14:paraId="7CA4A402" w14:textId="77777777" w:rsidR="003A3267" w:rsidRDefault="003A3267" w:rsidP="003A3267">
      <w:pPr>
        <w:spacing w:after="0" w:line="276" w:lineRule="auto"/>
        <w:jc w:val="both"/>
        <w:rPr>
          <w:rFonts w:ascii="Times New Roman" w:eastAsia="Times New Roman" w:hAnsi="Times New Roman" w:cs="Times New Roman"/>
        </w:rPr>
      </w:pPr>
    </w:p>
    <w:p w14:paraId="08A3924A" w14:textId="77777777" w:rsidR="00754172" w:rsidRDefault="00000000">
      <w:pPr>
        <w:widowControl w:val="0"/>
        <w:spacing w:after="24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Tabla 1. Temas clasificadores de la producción de conocimiento empleados en la Base RIES, en orden alfabético (proyectos y publicaciones) y su frecuencia (en absolutos) al año 2021.</w:t>
      </w:r>
    </w:p>
    <w:tbl>
      <w:tblPr>
        <w:tblStyle w:val="a"/>
        <w:tblW w:w="8500" w:type="dxa"/>
        <w:tblInd w:w="0" w:type="dxa"/>
        <w:tblLayout w:type="fixed"/>
        <w:tblLook w:val="0400" w:firstRow="0" w:lastRow="0" w:firstColumn="0" w:lastColumn="0" w:noHBand="0" w:noVBand="1"/>
      </w:tblPr>
      <w:tblGrid>
        <w:gridCol w:w="8500"/>
      </w:tblGrid>
      <w:tr w:rsidR="00754172" w14:paraId="76E97CF3" w14:textId="77777777">
        <w:trPr>
          <w:trHeight w:val="320"/>
        </w:trPr>
        <w:tc>
          <w:tcPr>
            <w:tcW w:w="8500" w:type="dxa"/>
            <w:tcBorders>
              <w:top w:val="single" w:sz="4" w:space="0" w:color="000000"/>
              <w:left w:val="single" w:sz="4" w:space="0" w:color="000000"/>
              <w:bottom w:val="single" w:sz="4" w:space="0" w:color="000000"/>
              <w:right w:val="single" w:sz="4" w:space="0" w:color="000000"/>
            </w:tcBorders>
          </w:tcPr>
          <w:p w14:paraId="062FE825" w14:textId="77777777" w:rsidR="00754172"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Cuerpo, género, sexualidad (132)</w:t>
            </w:r>
          </w:p>
        </w:tc>
      </w:tr>
      <w:tr w:rsidR="00754172" w14:paraId="118AF701" w14:textId="77777777">
        <w:trPr>
          <w:trHeight w:val="640"/>
        </w:trPr>
        <w:tc>
          <w:tcPr>
            <w:tcW w:w="8500" w:type="dxa"/>
            <w:tcBorders>
              <w:top w:val="nil"/>
              <w:left w:val="single" w:sz="4" w:space="0" w:color="000000"/>
              <w:bottom w:val="single" w:sz="4" w:space="0" w:color="000000"/>
              <w:right w:val="single" w:sz="4" w:space="0" w:color="000000"/>
            </w:tcBorders>
          </w:tcPr>
          <w:p w14:paraId="766B683E" w14:textId="77777777" w:rsidR="00754172"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Educación no formal, Educación Popular, movimientos sociales (61)</w:t>
            </w:r>
          </w:p>
        </w:tc>
      </w:tr>
      <w:tr w:rsidR="00754172" w14:paraId="01DD673E" w14:textId="77777777">
        <w:trPr>
          <w:trHeight w:val="320"/>
        </w:trPr>
        <w:tc>
          <w:tcPr>
            <w:tcW w:w="8500" w:type="dxa"/>
            <w:tcBorders>
              <w:top w:val="nil"/>
              <w:left w:val="single" w:sz="4" w:space="0" w:color="000000"/>
              <w:bottom w:val="single" w:sz="4" w:space="0" w:color="000000"/>
              <w:right w:val="single" w:sz="4" w:space="0" w:color="000000"/>
            </w:tcBorders>
            <w:shd w:val="clear" w:color="auto" w:fill="C6D9F1"/>
          </w:tcPr>
          <w:p w14:paraId="1B32AB2C" w14:textId="77777777" w:rsidR="00754172"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Educación y desigualdad (677)</w:t>
            </w:r>
          </w:p>
        </w:tc>
      </w:tr>
      <w:tr w:rsidR="00754172" w14:paraId="7A7C7839" w14:textId="77777777">
        <w:trPr>
          <w:trHeight w:val="640"/>
        </w:trPr>
        <w:tc>
          <w:tcPr>
            <w:tcW w:w="8500" w:type="dxa"/>
            <w:tcBorders>
              <w:top w:val="nil"/>
              <w:left w:val="single" w:sz="4" w:space="0" w:color="000000"/>
              <w:bottom w:val="single" w:sz="4" w:space="0" w:color="000000"/>
              <w:right w:val="single" w:sz="4" w:space="0" w:color="000000"/>
            </w:tcBorders>
            <w:shd w:val="clear" w:color="auto" w:fill="D9E1F2"/>
          </w:tcPr>
          <w:p w14:paraId="25CE681A" w14:textId="77777777" w:rsidR="00754172"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Enseñanza y aprendizaje y </w:t>
            </w:r>
            <w:proofErr w:type="spellStart"/>
            <w:r>
              <w:rPr>
                <w:rFonts w:ascii="Times New Roman" w:eastAsia="Times New Roman" w:hAnsi="Times New Roman" w:cs="Times New Roman"/>
                <w:sz w:val="20"/>
                <w:szCs w:val="20"/>
              </w:rPr>
              <w:t>curriculum</w:t>
            </w:r>
            <w:proofErr w:type="spellEnd"/>
            <w:r>
              <w:rPr>
                <w:rFonts w:ascii="Times New Roman" w:eastAsia="Times New Roman" w:hAnsi="Times New Roman" w:cs="Times New Roman"/>
                <w:sz w:val="20"/>
                <w:szCs w:val="20"/>
              </w:rPr>
              <w:t xml:space="preserve"> (944)</w:t>
            </w:r>
          </w:p>
        </w:tc>
      </w:tr>
      <w:tr w:rsidR="00754172" w14:paraId="3C1BFE77" w14:textId="77777777">
        <w:trPr>
          <w:trHeight w:val="320"/>
        </w:trPr>
        <w:tc>
          <w:tcPr>
            <w:tcW w:w="8500" w:type="dxa"/>
            <w:tcBorders>
              <w:top w:val="nil"/>
              <w:left w:val="single" w:sz="4" w:space="0" w:color="000000"/>
              <w:bottom w:val="single" w:sz="4" w:space="0" w:color="000000"/>
              <w:right w:val="single" w:sz="4" w:space="0" w:color="000000"/>
            </w:tcBorders>
          </w:tcPr>
          <w:p w14:paraId="141D1E31" w14:textId="77777777" w:rsidR="00754172"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Evaluación (95)</w:t>
            </w:r>
          </w:p>
        </w:tc>
      </w:tr>
      <w:tr w:rsidR="00754172" w14:paraId="60483560" w14:textId="77777777">
        <w:trPr>
          <w:trHeight w:val="332"/>
        </w:trPr>
        <w:tc>
          <w:tcPr>
            <w:tcW w:w="8500" w:type="dxa"/>
            <w:tcBorders>
              <w:top w:val="nil"/>
              <w:left w:val="single" w:sz="4" w:space="0" w:color="000000"/>
              <w:bottom w:val="single" w:sz="4" w:space="0" w:color="000000"/>
              <w:right w:val="single" w:sz="4" w:space="0" w:color="000000"/>
            </w:tcBorders>
          </w:tcPr>
          <w:p w14:paraId="18FDEBB5" w14:textId="77777777" w:rsidR="00754172"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Historia de la educación (85)</w:t>
            </w:r>
          </w:p>
        </w:tc>
      </w:tr>
      <w:tr w:rsidR="00754172" w14:paraId="742BEB9A" w14:textId="77777777">
        <w:trPr>
          <w:trHeight w:val="320"/>
        </w:trPr>
        <w:tc>
          <w:tcPr>
            <w:tcW w:w="8500" w:type="dxa"/>
            <w:tcBorders>
              <w:top w:val="nil"/>
              <w:left w:val="single" w:sz="4" w:space="0" w:color="000000"/>
              <w:bottom w:val="single" w:sz="4" w:space="0" w:color="000000"/>
              <w:right w:val="single" w:sz="4" w:space="0" w:color="000000"/>
            </w:tcBorders>
          </w:tcPr>
          <w:p w14:paraId="4D348DAC" w14:textId="77777777" w:rsidR="00754172"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Institución y gestión escolar (372)</w:t>
            </w:r>
          </w:p>
        </w:tc>
      </w:tr>
      <w:tr w:rsidR="00754172" w14:paraId="4ABE6383" w14:textId="77777777">
        <w:trPr>
          <w:trHeight w:val="320"/>
        </w:trPr>
        <w:tc>
          <w:tcPr>
            <w:tcW w:w="8500" w:type="dxa"/>
            <w:tcBorders>
              <w:top w:val="nil"/>
              <w:left w:val="single" w:sz="4" w:space="0" w:color="000000"/>
              <w:bottom w:val="single" w:sz="4" w:space="0" w:color="000000"/>
              <w:right w:val="single" w:sz="4" w:space="0" w:color="000000"/>
            </w:tcBorders>
          </w:tcPr>
          <w:p w14:paraId="53FA7745" w14:textId="77777777" w:rsidR="00754172"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Modalidades Educativas (252)</w:t>
            </w:r>
          </w:p>
        </w:tc>
      </w:tr>
      <w:tr w:rsidR="00754172" w14:paraId="664B3A46" w14:textId="77777777">
        <w:trPr>
          <w:trHeight w:val="320"/>
        </w:trPr>
        <w:tc>
          <w:tcPr>
            <w:tcW w:w="8500" w:type="dxa"/>
            <w:tcBorders>
              <w:top w:val="nil"/>
              <w:left w:val="single" w:sz="4" w:space="0" w:color="000000"/>
              <w:bottom w:val="single" w:sz="4" w:space="0" w:color="000000"/>
              <w:right w:val="single" w:sz="4" w:space="0" w:color="000000"/>
            </w:tcBorders>
            <w:shd w:val="clear" w:color="auto" w:fill="D9E1F2"/>
          </w:tcPr>
          <w:p w14:paraId="04FC8371" w14:textId="77777777" w:rsidR="00754172"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Políticas educativas (990)</w:t>
            </w:r>
          </w:p>
        </w:tc>
      </w:tr>
      <w:tr w:rsidR="00754172" w14:paraId="0DD685C8" w14:textId="77777777">
        <w:trPr>
          <w:trHeight w:val="320"/>
        </w:trPr>
        <w:tc>
          <w:tcPr>
            <w:tcW w:w="8500" w:type="dxa"/>
            <w:tcBorders>
              <w:top w:val="nil"/>
              <w:left w:val="single" w:sz="4" w:space="0" w:color="000000"/>
              <w:bottom w:val="single" w:sz="4" w:space="0" w:color="000000"/>
              <w:right w:val="single" w:sz="4" w:space="0" w:color="000000"/>
            </w:tcBorders>
          </w:tcPr>
          <w:p w14:paraId="6F07806B" w14:textId="77777777" w:rsidR="00754172"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Profesores (323)</w:t>
            </w:r>
          </w:p>
        </w:tc>
      </w:tr>
      <w:tr w:rsidR="00754172" w14:paraId="468EE079" w14:textId="77777777">
        <w:trPr>
          <w:trHeight w:val="374"/>
        </w:trPr>
        <w:tc>
          <w:tcPr>
            <w:tcW w:w="8500" w:type="dxa"/>
            <w:tcBorders>
              <w:top w:val="nil"/>
              <w:left w:val="single" w:sz="4" w:space="0" w:color="000000"/>
              <w:bottom w:val="single" w:sz="4" w:space="0" w:color="000000"/>
              <w:right w:val="single" w:sz="4" w:space="0" w:color="000000"/>
            </w:tcBorders>
          </w:tcPr>
          <w:p w14:paraId="79D6F556" w14:textId="77777777" w:rsidR="00754172"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Representaciones sobre la escuela (335)</w:t>
            </w:r>
          </w:p>
        </w:tc>
      </w:tr>
      <w:tr w:rsidR="00754172" w14:paraId="112DE7EC" w14:textId="77777777">
        <w:trPr>
          <w:trHeight w:val="320"/>
        </w:trPr>
        <w:tc>
          <w:tcPr>
            <w:tcW w:w="8500" w:type="dxa"/>
            <w:tcBorders>
              <w:top w:val="nil"/>
              <w:left w:val="single" w:sz="4" w:space="0" w:color="000000"/>
              <w:bottom w:val="single" w:sz="4" w:space="0" w:color="000000"/>
              <w:right w:val="single" w:sz="4" w:space="0" w:color="000000"/>
            </w:tcBorders>
          </w:tcPr>
          <w:p w14:paraId="72466216" w14:textId="77777777" w:rsidR="00754172"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Salud y escuela (42)</w:t>
            </w:r>
          </w:p>
        </w:tc>
      </w:tr>
      <w:tr w:rsidR="00754172" w14:paraId="5778775B" w14:textId="77777777">
        <w:trPr>
          <w:trHeight w:val="640"/>
        </w:trPr>
        <w:tc>
          <w:tcPr>
            <w:tcW w:w="8500" w:type="dxa"/>
            <w:tcBorders>
              <w:top w:val="nil"/>
              <w:left w:val="single" w:sz="4" w:space="0" w:color="000000"/>
              <w:bottom w:val="single" w:sz="4" w:space="0" w:color="000000"/>
              <w:right w:val="single" w:sz="4" w:space="0" w:color="000000"/>
            </w:tcBorders>
          </w:tcPr>
          <w:p w14:paraId="2926FB03" w14:textId="77777777" w:rsidR="00754172"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Tecnologías de la Información y la Comunicación (TIC) (223)</w:t>
            </w:r>
          </w:p>
        </w:tc>
      </w:tr>
      <w:tr w:rsidR="00754172" w14:paraId="4CB75569" w14:textId="77777777">
        <w:trPr>
          <w:trHeight w:val="530"/>
        </w:trPr>
        <w:tc>
          <w:tcPr>
            <w:tcW w:w="8500" w:type="dxa"/>
            <w:tcBorders>
              <w:top w:val="nil"/>
              <w:left w:val="single" w:sz="4" w:space="0" w:color="000000"/>
              <w:bottom w:val="single" w:sz="4" w:space="0" w:color="000000"/>
              <w:right w:val="single" w:sz="4" w:space="0" w:color="000000"/>
            </w:tcBorders>
          </w:tcPr>
          <w:p w14:paraId="4387D306" w14:textId="77777777" w:rsidR="00754172"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Trayectorias educativas, transiciones entre niveles. Orientación escolar (420)</w:t>
            </w:r>
          </w:p>
        </w:tc>
      </w:tr>
      <w:tr w:rsidR="00754172" w14:paraId="33FAEC7F" w14:textId="77777777">
        <w:trPr>
          <w:trHeight w:val="320"/>
        </w:trPr>
        <w:tc>
          <w:tcPr>
            <w:tcW w:w="8500" w:type="dxa"/>
            <w:tcBorders>
              <w:top w:val="nil"/>
              <w:left w:val="single" w:sz="4" w:space="0" w:color="000000"/>
              <w:bottom w:val="single" w:sz="4" w:space="0" w:color="000000"/>
              <w:right w:val="single" w:sz="4" w:space="0" w:color="000000"/>
            </w:tcBorders>
          </w:tcPr>
          <w:p w14:paraId="30547AE2" w14:textId="77777777" w:rsidR="00754172"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Vínculos y convivencia escolar (278)</w:t>
            </w:r>
          </w:p>
        </w:tc>
      </w:tr>
    </w:tbl>
    <w:p w14:paraId="3C4F870C" w14:textId="77777777" w:rsidR="00754172" w:rsidRDefault="0000000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Fuente: Elaboración propia a partir de la Base RIES.</w:t>
      </w:r>
    </w:p>
    <w:p w14:paraId="51FCB911" w14:textId="77777777" w:rsidR="00754172" w:rsidRDefault="00754172">
      <w:pPr>
        <w:spacing w:after="0" w:line="240" w:lineRule="auto"/>
        <w:jc w:val="both"/>
        <w:rPr>
          <w:rFonts w:ascii="Times New Roman" w:eastAsia="Times New Roman" w:hAnsi="Times New Roman" w:cs="Times New Roman"/>
          <w:b/>
          <w:bCs/>
          <w:sz w:val="22"/>
          <w:szCs w:val="22"/>
        </w:rPr>
      </w:pPr>
    </w:p>
    <w:p w14:paraId="6754959E" w14:textId="77777777" w:rsidR="00754172" w:rsidRDefault="00754172">
      <w:pPr>
        <w:spacing w:after="0" w:line="240" w:lineRule="auto"/>
        <w:jc w:val="both"/>
        <w:rPr>
          <w:rFonts w:ascii="Times New Roman" w:eastAsia="Times New Roman" w:hAnsi="Times New Roman" w:cs="Times New Roman"/>
          <w:b/>
          <w:bCs/>
        </w:rPr>
      </w:pPr>
    </w:p>
    <w:p w14:paraId="32FCC370" w14:textId="77777777" w:rsidR="00754172" w:rsidRDefault="00000000">
      <w:pPr>
        <w:spacing w:after="0" w:line="240" w:lineRule="auto"/>
        <w:jc w:val="both"/>
        <w:rPr>
          <w:rFonts w:ascii="Times New Roman" w:eastAsia="Times New Roman" w:hAnsi="Times New Roman" w:cs="Times New Roman"/>
          <w:b/>
          <w:bCs/>
          <w:i/>
          <w:iCs/>
        </w:rPr>
      </w:pPr>
      <w:r>
        <w:rPr>
          <w:rFonts w:ascii="Times New Roman" w:eastAsia="Times New Roman" w:hAnsi="Times New Roman" w:cs="Times New Roman"/>
          <w:b/>
          <w:bCs/>
          <w:i/>
          <w:iCs/>
        </w:rPr>
        <w:t>Contribución a la agenda de producción de conocimiento por parte de los organismos productores</w:t>
      </w:r>
    </w:p>
    <w:p w14:paraId="25E26EE3" w14:textId="77777777" w:rsidR="00754172" w:rsidRDefault="00754172">
      <w:pPr>
        <w:spacing w:after="0" w:line="240" w:lineRule="auto"/>
        <w:jc w:val="both"/>
        <w:rPr>
          <w:rFonts w:ascii="Times New Roman" w:eastAsia="Times New Roman" w:hAnsi="Times New Roman" w:cs="Times New Roman"/>
        </w:rPr>
      </w:pPr>
    </w:p>
    <w:p w14:paraId="7AC4D413" w14:textId="77777777" w:rsidR="00754172" w:rsidRDefault="00000000">
      <w:pPr>
        <w:spacing w:after="0" w:line="240" w:lineRule="auto"/>
        <w:jc w:val="both"/>
        <w:rPr>
          <w:rFonts w:ascii="Times New Roman" w:eastAsia="Times New Roman" w:hAnsi="Times New Roman" w:cs="Times New Roman"/>
          <w:strike/>
        </w:rPr>
      </w:pPr>
      <w:r>
        <w:rPr>
          <w:rFonts w:ascii="Times New Roman" w:eastAsia="Times New Roman" w:hAnsi="Times New Roman" w:cs="Times New Roman"/>
        </w:rPr>
        <w:t xml:space="preserve">A continuación, se presenta la distribución de los temas de los proyectos por tipo de organismo productor según se clasifican en la Base RIES (en adelante la Base). Buena parte de esta sección ha sido desarrollada en </w:t>
      </w:r>
      <w:proofErr w:type="spellStart"/>
      <w:r>
        <w:rPr>
          <w:rFonts w:ascii="Times New Roman" w:eastAsia="Times New Roman" w:hAnsi="Times New Roman" w:cs="Times New Roman"/>
        </w:rPr>
        <w:t>Pinkasz</w:t>
      </w:r>
      <w:proofErr w:type="spellEnd"/>
      <w:r>
        <w:rPr>
          <w:rFonts w:ascii="Times New Roman" w:eastAsia="Times New Roman" w:hAnsi="Times New Roman" w:cs="Times New Roman"/>
        </w:rPr>
        <w:t xml:space="preserve"> (2026). </w:t>
      </w:r>
    </w:p>
    <w:p w14:paraId="6C08E665" w14:textId="77777777" w:rsidR="00754172" w:rsidRDefault="00754172">
      <w:pPr>
        <w:spacing w:after="0" w:line="240" w:lineRule="auto"/>
        <w:jc w:val="both"/>
        <w:rPr>
          <w:rFonts w:ascii="Times New Roman" w:eastAsia="Times New Roman" w:hAnsi="Times New Roman" w:cs="Times New Roman"/>
        </w:rPr>
      </w:pPr>
    </w:p>
    <w:p w14:paraId="2C7B9685" w14:textId="77777777" w:rsidR="00754172" w:rsidRDefault="00000000">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Centros de investigación, organismos internacionales, </w:t>
      </w:r>
      <w:proofErr w:type="spellStart"/>
      <w:r>
        <w:rPr>
          <w:rFonts w:ascii="Times New Roman" w:eastAsia="Times New Roman" w:hAnsi="Times New Roman" w:cs="Times New Roman"/>
          <w:i/>
          <w:iCs/>
        </w:rPr>
        <w:t>think</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tanks</w:t>
      </w:r>
      <w:proofErr w:type="spellEnd"/>
      <w:r>
        <w:rPr>
          <w:rFonts w:ascii="Times New Roman" w:eastAsia="Times New Roman" w:hAnsi="Times New Roman" w:cs="Times New Roman"/>
        </w:rPr>
        <w:t xml:space="preserve"> y organizaciones de la sociedad civil. En este grupo se incluye la Facultad Latinoamericana de </w:t>
      </w:r>
      <w:r>
        <w:rPr>
          <w:rFonts w:ascii="Times New Roman" w:eastAsia="Times New Roman" w:hAnsi="Times New Roman" w:cs="Times New Roman"/>
        </w:rPr>
        <w:lastRenderedPageBreak/>
        <w:t>Ciencias Sociales (FLACSO - Argentina) que en el repositorio está clasificada como “Universidad Internacional”.</w:t>
      </w:r>
    </w:p>
    <w:p w14:paraId="1C4A4077" w14:textId="77777777" w:rsidR="00754172" w:rsidRDefault="00000000">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Organismos públicos: oficinas técnicas de investigación (por lo general ministerios de educación) nacionales y provinciales</w:t>
      </w:r>
    </w:p>
    <w:p w14:paraId="6797C808" w14:textId="77777777" w:rsidR="00754172" w:rsidRDefault="00000000">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Gremios docentes</w:t>
      </w:r>
    </w:p>
    <w:p w14:paraId="44E1BA97" w14:textId="77777777" w:rsidR="00754172" w:rsidRDefault="00000000">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Universidades estatales (incluye Universidades nacionales y provinciales con financiamiento estatal)</w:t>
      </w:r>
    </w:p>
    <w:p w14:paraId="22C00AF9" w14:textId="77777777" w:rsidR="00754172" w:rsidRDefault="00000000">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Universidades privadas</w:t>
      </w:r>
    </w:p>
    <w:p w14:paraId="3C71BD50" w14:textId="77777777" w:rsidR="00754172" w:rsidRDefault="00754172">
      <w:pPr>
        <w:spacing w:after="0" w:line="240" w:lineRule="auto"/>
        <w:jc w:val="both"/>
        <w:rPr>
          <w:rFonts w:ascii="Times New Roman" w:eastAsia="Times New Roman" w:hAnsi="Times New Roman" w:cs="Times New Roman"/>
        </w:rPr>
      </w:pPr>
    </w:p>
    <w:p w14:paraId="72786B25" w14:textId="77777777" w:rsidR="00754172" w:rsidRDefault="00000000">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En primer lugar, se describe la contribución en número de proyectos de los distintos organismos clasificados según tipología utilizada según la clasificación temática elaborada para la base RIES. El </w:t>
      </w:r>
      <w:r>
        <w:rPr>
          <w:rFonts w:ascii="Times New Roman" w:eastAsia="Times New Roman" w:hAnsi="Times New Roman" w:cs="Times New Roman"/>
          <w:i/>
          <w:iCs/>
        </w:rPr>
        <w:t>n</w:t>
      </w:r>
      <w:r>
        <w:rPr>
          <w:rFonts w:ascii="Times New Roman" w:eastAsia="Times New Roman" w:hAnsi="Times New Roman" w:cs="Times New Roman"/>
        </w:rPr>
        <w:t xml:space="preserve"> total contabiliza la cantidad de proyectos por tema según el criterio de clasificación principal. Seguidamente, se describe la producción de algunos organismos en particular, según líneas temáticas.</w:t>
      </w:r>
    </w:p>
    <w:p w14:paraId="10B3566B" w14:textId="77777777" w:rsidR="00754172" w:rsidRDefault="00754172">
      <w:pPr>
        <w:spacing w:after="0" w:line="360" w:lineRule="auto"/>
        <w:jc w:val="both"/>
        <w:rPr>
          <w:rFonts w:ascii="Arial" w:eastAsia="Arial" w:hAnsi="Arial" w:cs="Arial"/>
        </w:rPr>
      </w:pPr>
    </w:p>
    <w:p w14:paraId="4B06F09B" w14:textId="77777777" w:rsidR="00754172" w:rsidRDefault="0000000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Cuadro 1. Proyectos disponibles en la base para todo el período por organismo productor según temática trabajada (en absolutos). Años 2003 a 2021.</w:t>
      </w:r>
    </w:p>
    <w:p w14:paraId="64494AD0" w14:textId="77777777" w:rsidR="00754172" w:rsidRDefault="00754172">
      <w:pPr>
        <w:spacing w:after="0" w:line="240" w:lineRule="auto"/>
        <w:jc w:val="both"/>
        <w:rPr>
          <w:rFonts w:ascii="Arial" w:eastAsia="Arial" w:hAnsi="Arial" w:cs="Arial"/>
        </w:rPr>
      </w:pPr>
    </w:p>
    <w:tbl>
      <w:tblPr>
        <w:tblStyle w:val="a0"/>
        <w:tblW w:w="8835" w:type="dxa"/>
        <w:tblInd w:w="0" w:type="dxa"/>
        <w:tblLayout w:type="fixed"/>
        <w:tblLook w:val="0400" w:firstRow="0" w:lastRow="0" w:firstColumn="0" w:lastColumn="0" w:noHBand="0" w:noVBand="1"/>
      </w:tblPr>
      <w:tblGrid>
        <w:gridCol w:w="1545"/>
        <w:gridCol w:w="1365"/>
        <w:gridCol w:w="960"/>
        <w:gridCol w:w="915"/>
        <w:gridCol w:w="855"/>
        <w:gridCol w:w="960"/>
        <w:gridCol w:w="615"/>
        <w:gridCol w:w="675"/>
        <w:gridCol w:w="945"/>
      </w:tblGrid>
      <w:tr w:rsidR="00754172" w14:paraId="08889AEE" w14:textId="77777777">
        <w:trPr>
          <w:trHeight w:val="300"/>
        </w:trPr>
        <w:tc>
          <w:tcPr>
            <w:tcW w:w="1545" w:type="dxa"/>
            <w:tcBorders>
              <w:top w:val="single" w:sz="8" w:space="0" w:color="000000"/>
              <w:left w:val="single" w:sz="8" w:space="0" w:color="000000"/>
              <w:bottom w:val="single" w:sz="8" w:space="0" w:color="000000"/>
              <w:right w:val="single" w:sz="8" w:space="0" w:color="000000"/>
            </w:tcBorders>
            <w:vAlign w:val="center"/>
          </w:tcPr>
          <w:p w14:paraId="6AC80BF7"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Temas</w:t>
            </w:r>
          </w:p>
        </w:tc>
        <w:tc>
          <w:tcPr>
            <w:tcW w:w="1365" w:type="dxa"/>
            <w:tcBorders>
              <w:top w:val="single" w:sz="8" w:space="0" w:color="000000"/>
              <w:left w:val="nil"/>
              <w:bottom w:val="single" w:sz="8" w:space="0" w:color="000000"/>
              <w:right w:val="single" w:sz="8" w:space="0" w:color="000000"/>
            </w:tcBorders>
            <w:vAlign w:val="center"/>
          </w:tcPr>
          <w:p w14:paraId="177FECFB"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Centros de investigación y organismos internacionales</w:t>
            </w:r>
          </w:p>
        </w:tc>
        <w:tc>
          <w:tcPr>
            <w:tcW w:w="960" w:type="dxa"/>
            <w:tcBorders>
              <w:top w:val="single" w:sz="8" w:space="0" w:color="000000"/>
              <w:left w:val="nil"/>
              <w:bottom w:val="single" w:sz="8" w:space="0" w:color="000000"/>
              <w:right w:val="single" w:sz="8" w:space="0" w:color="000000"/>
            </w:tcBorders>
            <w:vAlign w:val="center"/>
          </w:tcPr>
          <w:p w14:paraId="21B3228A"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Organismos </w:t>
            </w:r>
          </w:p>
          <w:p w14:paraId="7040DB4D"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públicos</w:t>
            </w:r>
          </w:p>
        </w:tc>
        <w:tc>
          <w:tcPr>
            <w:tcW w:w="915" w:type="dxa"/>
            <w:tcBorders>
              <w:top w:val="single" w:sz="8" w:space="0" w:color="000000"/>
              <w:left w:val="nil"/>
              <w:bottom w:val="single" w:sz="8" w:space="0" w:color="000000"/>
              <w:right w:val="single" w:sz="8" w:space="0" w:color="000000"/>
            </w:tcBorders>
            <w:vAlign w:val="center"/>
          </w:tcPr>
          <w:p w14:paraId="032A0AA5"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Gremios</w:t>
            </w:r>
          </w:p>
        </w:tc>
        <w:tc>
          <w:tcPr>
            <w:tcW w:w="855" w:type="dxa"/>
            <w:tcBorders>
              <w:top w:val="single" w:sz="8" w:space="0" w:color="000000"/>
              <w:left w:val="nil"/>
              <w:bottom w:val="single" w:sz="8" w:space="0" w:color="000000"/>
              <w:right w:val="single" w:sz="8" w:space="0" w:color="000000"/>
            </w:tcBorders>
            <w:vAlign w:val="center"/>
          </w:tcPr>
          <w:p w14:paraId="7EE6FE2E"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Univ. estatales </w:t>
            </w:r>
          </w:p>
        </w:tc>
        <w:tc>
          <w:tcPr>
            <w:tcW w:w="960" w:type="dxa"/>
            <w:tcBorders>
              <w:top w:val="single" w:sz="8" w:space="0" w:color="000000"/>
              <w:left w:val="nil"/>
              <w:bottom w:val="single" w:sz="8" w:space="0" w:color="000000"/>
              <w:right w:val="single" w:sz="8" w:space="0" w:color="000000"/>
            </w:tcBorders>
            <w:vAlign w:val="center"/>
          </w:tcPr>
          <w:p w14:paraId="7EB22B49" w14:textId="77777777" w:rsidR="00754172" w:rsidRDefault="00000000">
            <w:pPr>
              <w:spacing w:after="0" w:line="240" w:lineRule="auto"/>
              <w:jc w:val="center"/>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Univ</w:t>
            </w:r>
            <w:proofErr w:type="spellEnd"/>
            <w:r>
              <w:rPr>
                <w:rFonts w:ascii="Times New Roman" w:eastAsia="Times New Roman" w:hAnsi="Times New Roman" w:cs="Times New Roman"/>
                <w:b/>
                <w:bCs/>
                <w:sz w:val="18"/>
                <w:szCs w:val="18"/>
              </w:rPr>
              <w:t xml:space="preserve"> privadas</w:t>
            </w:r>
          </w:p>
        </w:tc>
        <w:tc>
          <w:tcPr>
            <w:tcW w:w="615" w:type="dxa"/>
            <w:tcBorders>
              <w:top w:val="single" w:sz="8" w:space="0" w:color="000000"/>
              <w:left w:val="nil"/>
              <w:bottom w:val="single" w:sz="8" w:space="0" w:color="000000"/>
              <w:right w:val="single" w:sz="8" w:space="0" w:color="000000"/>
            </w:tcBorders>
            <w:vAlign w:val="center"/>
          </w:tcPr>
          <w:p w14:paraId="14339B1D"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Otros</w:t>
            </w:r>
          </w:p>
        </w:tc>
        <w:tc>
          <w:tcPr>
            <w:tcW w:w="675" w:type="dxa"/>
            <w:tcBorders>
              <w:top w:val="single" w:sz="8" w:space="0" w:color="000000"/>
              <w:left w:val="nil"/>
              <w:bottom w:val="single" w:sz="8" w:space="0" w:color="000000"/>
              <w:right w:val="single" w:sz="8" w:space="0" w:color="000000"/>
            </w:tcBorders>
            <w:vAlign w:val="center"/>
          </w:tcPr>
          <w:p w14:paraId="1AD26A4D"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S/I</w:t>
            </w:r>
          </w:p>
        </w:tc>
        <w:tc>
          <w:tcPr>
            <w:tcW w:w="945" w:type="dxa"/>
            <w:tcBorders>
              <w:top w:val="single" w:sz="8" w:space="0" w:color="000000"/>
              <w:left w:val="nil"/>
              <w:bottom w:val="single" w:sz="8" w:space="0" w:color="000000"/>
              <w:right w:val="single" w:sz="8" w:space="0" w:color="000000"/>
            </w:tcBorders>
            <w:vAlign w:val="center"/>
          </w:tcPr>
          <w:p w14:paraId="1544B962"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Total</w:t>
            </w:r>
          </w:p>
        </w:tc>
      </w:tr>
      <w:tr w:rsidR="00754172" w14:paraId="5103C73F" w14:textId="77777777">
        <w:trPr>
          <w:trHeight w:val="730"/>
        </w:trPr>
        <w:tc>
          <w:tcPr>
            <w:tcW w:w="1545" w:type="dxa"/>
            <w:tcBorders>
              <w:top w:val="nil"/>
              <w:left w:val="single" w:sz="8" w:space="0" w:color="000000"/>
              <w:bottom w:val="single" w:sz="8" w:space="0" w:color="000000"/>
              <w:right w:val="single" w:sz="8" w:space="0" w:color="000000"/>
            </w:tcBorders>
            <w:shd w:val="clear" w:color="auto" w:fill="FFC000"/>
            <w:vAlign w:val="center"/>
          </w:tcPr>
          <w:p w14:paraId="7BAC4405"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Enseñanza y aprendizaje y </w:t>
            </w:r>
            <w:proofErr w:type="spellStart"/>
            <w:r>
              <w:rPr>
                <w:rFonts w:ascii="Times New Roman" w:eastAsia="Times New Roman" w:hAnsi="Times New Roman" w:cs="Times New Roman"/>
                <w:sz w:val="18"/>
                <w:szCs w:val="18"/>
              </w:rPr>
              <w:t>curriculum</w:t>
            </w:r>
            <w:proofErr w:type="spellEnd"/>
          </w:p>
        </w:tc>
        <w:tc>
          <w:tcPr>
            <w:tcW w:w="1365" w:type="dxa"/>
            <w:tcBorders>
              <w:top w:val="nil"/>
              <w:left w:val="nil"/>
              <w:bottom w:val="single" w:sz="8" w:space="0" w:color="000000"/>
              <w:right w:val="single" w:sz="8" w:space="0" w:color="000000"/>
            </w:tcBorders>
            <w:shd w:val="clear" w:color="auto" w:fill="FFC000"/>
            <w:vAlign w:val="center"/>
          </w:tcPr>
          <w:p w14:paraId="1ABA706D"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960" w:type="dxa"/>
            <w:tcBorders>
              <w:top w:val="nil"/>
              <w:left w:val="nil"/>
              <w:bottom w:val="single" w:sz="8" w:space="0" w:color="000000"/>
              <w:right w:val="single" w:sz="8" w:space="0" w:color="000000"/>
            </w:tcBorders>
            <w:shd w:val="clear" w:color="auto" w:fill="FFC000"/>
            <w:vAlign w:val="center"/>
          </w:tcPr>
          <w:p w14:paraId="7D77BBC4"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915" w:type="dxa"/>
            <w:tcBorders>
              <w:top w:val="nil"/>
              <w:left w:val="nil"/>
              <w:bottom w:val="single" w:sz="8" w:space="0" w:color="000000"/>
              <w:right w:val="single" w:sz="8" w:space="0" w:color="000000"/>
            </w:tcBorders>
            <w:shd w:val="clear" w:color="auto" w:fill="FFC000"/>
            <w:vAlign w:val="center"/>
          </w:tcPr>
          <w:p w14:paraId="756B5AEA"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55" w:type="dxa"/>
            <w:tcBorders>
              <w:top w:val="nil"/>
              <w:left w:val="nil"/>
              <w:bottom w:val="single" w:sz="8" w:space="0" w:color="000000"/>
              <w:right w:val="single" w:sz="8" w:space="0" w:color="000000"/>
            </w:tcBorders>
            <w:shd w:val="clear" w:color="auto" w:fill="FFC000"/>
            <w:vAlign w:val="center"/>
          </w:tcPr>
          <w:p w14:paraId="328BC80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440</w:t>
            </w:r>
          </w:p>
        </w:tc>
        <w:tc>
          <w:tcPr>
            <w:tcW w:w="960" w:type="dxa"/>
            <w:tcBorders>
              <w:top w:val="nil"/>
              <w:left w:val="nil"/>
              <w:bottom w:val="single" w:sz="8" w:space="0" w:color="000000"/>
              <w:right w:val="single" w:sz="8" w:space="0" w:color="000000"/>
            </w:tcBorders>
            <w:shd w:val="clear" w:color="auto" w:fill="FFC000"/>
            <w:vAlign w:val="center"/>
          </w:tcPr>
          <w:p w14:paraId="3784B817"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615" w:type="dxa"/>
            <w:tcBorders>
              <w:top w:val="nil"/>
              <w:left w:val="nil"/>
              <w:bottom w:val="single" w:sz="8" w:space="0" w:color="000000"/>
              <w:right w:val="single" w:sz="8" w:space="0" w:color="000000"/>
            </w:tcBorders>
            <w:shd w:val="clear" w:color="auto" w:fill="FFC000"/>
            <w:vAlign w:val="center"/>
          </w:tcPr>
          <w:p w14:paraId="79970924"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675" w:type="dxa"/>
            <w:tcBorders>
              <w:top w:val="nil"/>
              <w:left w:val="nil"/>
              <w:bottom w:val="single" w:sz="8" w:space="0" w:color="000000"/>
              <w:right w:val="single" w:sz="8" w:space="0" w:color="000000"/>
            </w:tcBorders>
            <w:shd w:val="clear" w:color="auto" w:fill="FFC000"/>
            <w:vAlign w:val="center"/>
          </w:tcPr>
          <w:p w14:paraId="3246B28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945" w:type="dxa"/>
            <w:tcBorders>
              <w:top w:val="nil"/>
              <w:left w:val="nil"/>
              <w:bottom w:val="single" w:sz="8" w:space="0" w:color="000000"/>
              <w:right w:val="single" w:sz="8" w:space="0" w:color="000000"/>
            </w:tcBorders>
            <w:shd w:val="clear" w:color="auto" w:fill="FFC000"/>
            <w:vAlign w:val="center"/>
          </w:tcPr>
          <w:p w14:paraId="5D3B8FAD"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481</w:t>
            </w:r>
          </w:p>
        </w:tc>
      </w:tr>
      <w:tr w:rsidR="00754172" w14:paraId="5CBEA062" w14:textId="77777777">
        <w:trPr>
          <w:trHeight w:val="490"/>
        </w:trPr>
        <w:tc>
          <w:tcPr>
            <w:tcW w:w="1545" w:type="dxa"/>
            <w:tcBorders>
              <w:top w:val="nil"/>
              <w:left w:val="single" w:sz="8" w:space="0" w:color="000000"/>
              <w:bottom w:val="single" w:sz="8" w:space="0" w:color="000000"/>
              <w:right w:val="single" w:sz="8" w:space="0" w:color="000000"/>
            </w:tcBorders>
            <w:shd w:val="clear" w:color="auto" w:fill="FFC000"/>
            <w:vAlign w:val="center"/>
          </w:tcPr>
          <w:p w14:paraId="18FFAF34"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Políticas educativas</w:t>
            </w:r>
          </w:p>
        </w:tc>
        <w:tc>
          <w:tcPr>
            <w:tcW w:w="1365" w:type="dxa"/>
            <w:tcBorders>
              <w:top w:val="nil"/>
              <w:left w:val="nil"/>
              <w:bottom w:val="single" w:sz="8" w:space="0" w:color="000000"/>
              <w:right w:val="single" w:sz="8" w:space="0" w:color="000000"/>
            </w:tcBorders>
            <w:shd w:val="clear" w:color="auto" w:fill="FFC000"/>
            <w:vAlign w:val="center"/>
          </w:tcPr>
          <w:p w14:paraId="23F1264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42</w:t>
            </w:r>
          </w:p>
        </w:tc>
        <w:tc>
          <w:tcPr>
            <w:tcW w:w="960" w:type="dxa"/>
            <w:tcBorders>
              <w:top w:val="nil"/>
              <w:left w:val="nil"/>
              <w:bottom w:val="single" w:sz="8" w:space="0" w:color="000000"/>
              <w:right w:val="single" w:sz="8" w:space="0" w:color="000000"/>
            </w:tcBorders>
            <w:shd w:val="clear" w:color="auto" w:fill="FFC000"/>
            <w:vAlign w:val="center"/>
          </w:tcPr>
          <w:p w14:paraId="755610B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915" w:type="dxa"/>
            <w:tcBorders>
              <w:top w:val="nil"/>
              <w:left w:val="nil"/>
              <w:bottom w:val="single" w:sz="8" w:space="0" w:color="000000"/>
              <w:right w:val="single" w:sz="8" w:space="0" w:color="000000"/>
            </w:tcBorders>
            <w:shd w:val="clear" w:color="auto" w:fill="FFC000"/>
            <w:vAlign w:val="center"/>
          </w:tcPr>
          <w:p w14:paraId="01CCFD2D"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55" w:type="dxa"/>
            <w:tcBorders>
              <w:top w:val="nil"/>
              <w:left w:val="nil"/>
              <w:bottom w:val="single" w:sz="8" w:space="0" w:color="000000"/>
              <w:right w:val="single" w:sz="8" w:space="0" w:color="000000"/>
            </w:tcBorders>
            <w:shd w:val="clear" w:color="auto" w:fill="FFC000"/>
            <w:vAlign w:val="center"/>
          </w:tcPr>
          <w:p w14:paraId="30196B0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169</w:t>
            </w:r>
          </w:p>
        </w:tc>
        <w:tc>
          <w:tcPr>
            <w:tcW w:w="960" w:type="dxa"/>
            <w:tcBorders>
              <w:top w:val="nil"/>
              <w:left w:val="nil"/>
              <w:bottom w:val="single" w:sz="8" w:space="0" w:color="000000"/>
              <w:right w:val="single" w:sz="8" w:space="0" w:color="000000"/>
            </w:tcBorders>
            <w:shd w:val="clear" w:color="auto" w:fill="FFC000"/>
            <w:vAlign w:val="center"/>
          </w:tcPr>
          <w:p w14:paraId="5A2B0664"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615" w:type="dxa"/>
            <w:tcBorders>
              <w:top w:val="nil"/>
              <w:left w:val="nil"/>
              <w:bottom w:val="single" w:sz="8" w:space="0" w:color="000000"/>
              <w:right w:val="single" w:sz="8" w:space="0" w:color="000000"/>
            </w:tcBorders>
            <w:shd w:val="clear" w:color="auto" w:fill="FFC000"/>
            <w:vAlign w:val="center"/>
          </w:tcPr>
          <w:p w14:paraId="3FA112EE"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675" w:type="dxa"/>
            <w:tcBorders>
              <w:top w:val="nil"/>
              <w:left w:val="nil"/>
              <w:bottom w:val="single" w:sz="8" w:space="0" w:color="000000"/>
              <w:right w:val="single" w:sz="8" w:space="0" w:color="000000"/>
            </w:tcBorders>
            <w:shd w:val="clear" w:color="auto" w:fill="FFC000"/>
            <w:vAlign w:val="center"/>
          </w:tcPr>
          <w:p w14:paraId="215FFDD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45" w:type="dxa"/>
            <w:tcBorders>
              <w:top w:val="nil"/>
              <w:left w:val="nil"/>
              <w:bottom w:val="single" w:sz="8" w:space="0" w:color="000000"/>
              <w:right w:val="single" w:sz="8" w:space="0" w:color="000000"/>
            </w:tcBorders>
            <w:shd w:val="clear" w:color="auto" w:fill="FFC000"/>
            <w:vAlign w:val="center"/>
          </w:tcPr>
          <w:p w14:paraId="7A990E18"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253</w:t>
            </w:r>
          </w:p>
        </w:tc>
      </w:tr>
      <w:tr w:rsidR="00754172" w14:paraId="59A61618" w14:textId="77777777">
        <w:trPr>
          <w:trHeight w:val="490"/>
        </w:trPr>
        <w:tc>
          <w:tcPr>
            <w:tcW w:w="1545" w:type="dxa"/>
            <w:tcBorders>
              <w:top w:val="nil"/>
              <w:left w:val="single" w:sz="8" w:space="0" w:color="000000"/>
              <w:bottom w:val="single" w:sz="8" w:space="0" w:color="000000"/>
              <w:right w:val="single" w:sz="8" w:space="0" w:color="000000"/>
            </w:tcBorders>
            <w:shd w:val="clear" w:color="auto" w:fill="FFC000"/>
            <w:vAlign w:val="center"/>
          </w:tcPr>
          <w:p w14:paraId="181BBE93"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Educación y desigualdad</w:t>
            </w:r>
          </w:p>
        </w:tc>
        <w:tc>
          <w:tcPr>
            <w:tcW w:w="1365" w:type="dxa"/>
            <w:tcBorders>
              <w:top w:val="nil"/>
              <w:left w:val="nil"/>
              <w:bottom w:val="single" w:sz="8" w:space="0" w:color="000000"/>
              <w:right w:val="single" w:sz="8" w:space="0" w:color="000000"/>
            </w:tcBorders>
            <w:shd w:val="clear" w:color="auto" w:fill="FFC000"/>
            <w:vAlign w:val="center"/>
          </w:tcPr>
          <w:p w14:paraId="7B6AC140"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w:t>
            </w:r>
          </w:p>
        </w:tc>
        <w:tc>
          <w:tcPr>
            <w:tcW w:w="960" w:type="dxa"/>
            <w:tcBorders>
              <w:top w:val="nil"/>
              <w:left w:val="nil"/>
              <w:bottom w:val="single" w:sz="8" w:space="0" w:color="000000"/>
              <w:right w:val="single" w:sz="8" w:space="0" w:color="000000"/>
            </w:tcBorders>
            <w:shd w:val="clear" w:color="auto" w:fill="FFC000"/>
            <w:vAlign w:val="center"/>
          </w:tcPr>
          <w:p w14:paraId="4984A8C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915" w:type="dxa"/>
            <w:tcBorders>
              <w:top w:val="nil"/>
              <w:left w:val="nil"/>
              <w:bottom w:val="single" w:sz="8" w:space="0" w:color="000000"/>
              <w:right w:val="single" w:sz="8" w:space="0" w:color="000000"/>
            </w:tcBorders>
            <w:shd w:val="clear" w:color="auto" w:fill="FFC000"/>
            <w:vAlign w:val="center"/>
          </w:tcPr>
          <w:p w14:paraId="014B2C1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55" w:type="dxa"/>
            <w:tcBorders>
              <w:top w:val="nil"/>
              <w:left w:val="nil"/>
              <w:bottom w:val="single" w:sz="8" w:space="0" w:color="000000"/>
              <w:right w:val="single" w:sz="8" w:space="0" w:color="000000"/>
            </w:tcBorders>
            <w:shd w:val="clear" w:color="auto" w:fill="FFC000"/>
            <w:vAlign w:val="center"/>
          </w:tcPr>
          <w:p w14:paraId="3BE638E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108</w:t>
            </w:r>
          </w:p>
        </w:tc>
        <w:tc>
          <w:tcPr>
            <w:tcW w:w="960" w:type="dxa"/>
            <w:tcBorders>
              <w:top w:val="nil"/>
              <w:left w:val="nil"/>
              <w:bottom w:val="single" w:sz="8" w:space="0" w:color="000000"/>
              <w:right w:val="single" w:sz="8" w:space="0" w:color="000000"/>
            </w:tcBorders>
            <w:shd w:val="clear" w:color="auto" w:fill="FFC000"/>
            <w:vAlign w:val="center"/>
          </w:tcPr>
          <w:p w14:paraId="0A20EC2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615" w:type="dxa"/>
            <w:tcBorders>
              <w:top w:val="nil"/>
              <w:left w:val="nil"/>
              <w:bottom w:val="single" w:sz="8" w:space="0" w:color="000000"/>
              <w:right w:val="single" w:sz="8" w:space="0" w:color="000000"/>
            </w:tcBorders>
            <w:shd w:val="clear" w:color="auto" w:fill="FFC000"/>
            <w:vAlign w:val="center"/>
          </w:tcPr>
          <w:p w14:paraId="2C0F6B8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675" w:type="dxa"/>
            <w:tcBorders>
              <w:top w:val="nil"/>
              <w:left w:val="nil"/>
              <w:bottom w:val="single" w:sz="8" w:space="0" w:color="000000"/>
              <w:right w:val="single" w:sz="8" w:space="0" w:color="000000"/>
            </w:tcBorders>
            <w:shd w:val="clear" w:color="auto" w:fill="FFC000"/>
            <w:vAlign w:val="center"/>
          </w:tcPr>
          <w:p w14:paraId="669C129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45" w:type="dxa"/>
            <w:tcBorders>
              <w:top w:val="nil"/>
              <w:left w:val="nil"/>
              <w:bottom w:val="single" w:sz="8" w:space="0" w:color="000000"/>
              <w:right w:val="single" w:sz="8" w:space="0" w:color="000000"/>
            </w:tcBorders>
            <w:shd w:val="clear" w:color="auto" w:fill="FFC000"/>
            <w:vAlign w:val="center"/>
          </w:tcPr>
          <w:p w14:paraId="0C815BA9"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170</w:t>
            </w:r>
          </w:p>
        </w:tc>
      </w:tr>
      <w:tr w:rsidR="00754172" w14:paraId="238CBB10" w14:textId="77777777">
        <w:trPr>
          <w:trHeight w:val="1450"/>
        </w:trPr>
        <w:tc>
          <w:tcPr>
            <w:tcW w:w="1545" w:type="dxa"/>
            <w:tcBorders>
              <w:top w:val="nil"/>
              <w:left w:val="single" w:sz="8" w:space="0" w:color="000000"/>
              <w:bottom w:val="single" w:sz="8" w:space="0" w:color="000000"/>
              <w:right w:val="single" w:sz="8" w:space="0" w:color="000000"/>
            </w:tcBorders>
            <w:vAlign w:val="center"/>
          </w:tcPr>
          <w:p w14:paraId="53AA7D4B"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Trayectorias educativas, transiciones entre niveles. Orientación escolar</w:t>
            </w:r>
          </w:p>
        </w:tc>
        <w:tc>
          <w:tcPr>
            <w:tcW w:w="1365" w:type="dxa"/>
            <w:tcBorders>
              <w:top w:val="nil"/>
              <w:left w:val="nil"/>
              <w:bottom w:val="single" w:sz="8" w:space="0" w:color="000000"/>
              <w:right w:val="single" w:sz="8" w:space="0" w:color="000000"/>
            </w:tcBorders>
            <w:vAlign w:val="center"/>
          </w:tcPr>
          <w:p w14:paraId="4E9599A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tc>
        <w:tc>
          <w:tcPr>
            <w:tcW w:w="960" w:type="dxa"/>
            <w:tcBorders>
              <w:top w:val="nil"/>
              <w:left w:val="nil"/>
              <w:bottom w:val="single" w:sz="8" w:space="0" w:color="000000"/>
              <w:right w:val="single" w:sz="8" w:space="0" w:color="000000"/>
            </w:tcBorders>
            <w:vAlign w:val="center"/>
          </w:tcPr>
          <w:p w14:paraId="5C33D190"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tc>
        <w:tc>
          <w:tcPr>
            <w:tcW w:w="915" w:type="dxa"/>
            <w:tcBorders>
              <w:top w:val="nil"/>
              <w:left w:val="nil"/>
              <w:bottom w:val="single" w:sz="8" w:space="0" w:color="000000"/>
              <w:right w:val="single" w:sz="8" w:space="0" w:color="000000"/>
            </w:tcBorders>
            <w:vAlign w:val="center"/>
          </w:tcPr>
          <w:p w14:paraId="4AFB68DD"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55" w:type="dxa"/>
            <w:tcBorders>
              <w:top w:val="nil"/>
              <w:left w:val="nil"/>
              <w:bottom w:val="single" w:sz="8" w:space="0" w:color="000000"/>
              <w:right w:val="single" w:sz="8" w:space="0" w:color="000000"/>
            </w:tcBorders>
            <w:vAlign w:val="center"/>
          </w:tcPr>
          <w:p w14:paraId="29F2C12D"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w:t>
            </w:r>
          </w:p>
        </w:tc>
        <w:tc>
          <w:tcPr>
            <w:tcW w:w="960" w:type="dxa"/>
            <w:tcBorders>
              <w:top w:val="nil"/>
              <w:left w:val="nil"/>
              <w:bottom w:val="single" w:sz="8" w:space="0" w:color="000000"/>
              <w:right w:val="single" w:sz="8" w:space="0" w:color="000000"/>
            </w:tcBorders>
            <w:vAlign w:val="center"/>
          </w:tcPr>
          <w:p w14:paraId="60E99B7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615" w:type="dxa"/>
            <w:tcBorders>
              <w:top w:val="nil"/>
              <w:left w:val="nil"/>
              <w:bottom w:val="single" w:sz="8" w:space="0" w:color="000000"/>
              <w:right w:val="single" w:sz="8" w:space="0" w:color="000000"/>
            </w:tcBorders>
            <w:vAlign w:val="center"/>
          </w:tcPr>
          <w:p w14:paraId="7CFED077"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675" w:type="dxa"/>
            <w:tcBorders>
              <w:top w:val="nil"/>
              <w:left w:val="nil"/>
              <w:bottom w:val="single" w:sz="8" w:space="0" w:color="000000"/>
              <w:right w:val="single" w:sz="8" w:space="0" w:color="000000"/>
            </w:tcBorders>
            <w:vAlign w:val="center"/>
          </w:tcPr>
          <w:p w14:paraId="56905F10"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45" w:type="dxa"/>
            <w:tcBorders>
              <w:top w:val="nil"/>
              <w:left w:val="nil"/>
              <w:bottom w:val="single" w:sz="8" w:space="0" w:color="000000"/>
              <w:right w:val="single" w:sz="8" w:space="0" w:color="000000"/>
            </w:tcBorders>
            <w:vAlign w:val="center"/>
          </w:tcPr>
          <w:p w14:paraId="7B9BD023"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148</w:t>
            </w:r>
          </w:p>
        </w:tc>
      </w:tr>
      <w:tr w:rsidR="00754172" w14:paraId="142C1A71" w14:textId="77777777">
        <w:trPr>
          <w:trHeight w:val="300"/>
        </w:trPr>
        <w:tc>
          <w:tcPr>
            <w:tcW w:w="1545" w:type="dxa"/>
            <w:tcBorders>
              <w:top w:val="nil"/>
              <w:left w:val="single" w:sz="8" w:space="0" w:color="000000"/>
              <w:bottom w:val="single" w:sz="8" w:space="0" w:color="000000"/>
              <w:right w:val="single" w:sz="8" w:space="0" w:color="000000"/>
            </w:tcBorders>
            <w:vAlign w:val="center"/>
          </w:tcPr>
          <w:p w14:paraId="68F12176"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Profesores</w:t>
            </w:r>
          </w:p>
        </w:tc>
        <w:tc>
          <w:tcPr>
            <w:tcW w:w="1365" w:type="dxa"/>
            <w:tcBorders>
              <w:top w:val="nil"/>
              <w:left w:val="nil"/>
              <w:bottom w:val="single" w:sz="8" w:space="0" w:color="000000"/>
              <w:right w:val="single" w:sz="8" w:space="0" w:color="000000"/>
            </w:tcBorders>
            <w:vAlign w:val="center"/>
          </w:tcPr>
          <w:p w14:paraId="059DA51B"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w:t>
            </w:r>
          </w:p>
        </w:tc>
        <w:tc>
          <w:tcPr>
            <w:tcW w:w="960" w:type="dxa"/>
            <w:tcBorders>
              <w:top w:val="nil"/>
              <w:left w:val="nil"/>
              <w:bottom w:val="single" w:sz="8" w:space="0" w:color="000000"/>
              <w:right w:val="single" w:sz="8" w:space="0" w:color="000000"/>
            </w:tcBorders>
            <w:vAlign w:val="center"/>
          </w:tcPr>
          <w:p w14:paraId="0BD3AC3E"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915" w:type="dxa"/>
            <w:tcBorders>
              <w:top w:val="nil"/>
              <w:left w:val="nil"/>
              <w:bottom w:val="single" w:sz="8" w:space="0" w:color="000000"/>
              <w:right w:val="single" w:sz="8" w:space="0" w:color="000000"/>
            </w:tcBorders>
            <w:vAlign w:val="center"/>
          </w:tcPr>
          <w:p w14:paraId="5283792D"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55" w:type="dxa"/>
            <w:tcBorders>
              <w:top w:val="nil"/>
              <w:left w:val="nil"/>
              <w:bottom w:val="single" w:sz="8" w:space="0" w:color="000000"/>
              <w:right w:val="single" w:sz="8" w:space="0" w:color="000000"/>
            </w:tcBorders>
            <w:vAlign w:val="center"/>
          </w:tcPr>
          <w:p w14:paraId="18CC851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85</w:t>
            </w:r>
          </w:p>
        </w:tc>
        <w:tc>
          <w:tcPr>
            <w:tcW w:w="960" w:type="dxa"/>
            <w:tcBorders>
              <w:top w:val="nil"/>
              <w:left w:val="nil"/>
              <w:bottom w:val="single" w:sz="8" w:space="0" w:color="000000"/>
              <w:right w:val="single" w:sz="8" w:space="0" w:color="000000"/>
            </w:tcBorders>
            <w:vAlign w:val="center"/>
          </w:tcPr>
          <w:p w14:paraId="791ACA1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615" w:type="dxa"/>
            <w:tcBorders>
              <w:top w:val="nil"/>
              <w:left w:val="nil"/>
              <w:bottom w:val="single" w:sz="8" w:space="0" w:color="000000"/>
              <w:right w:val="single" w:sz="8" w:space="0" w:color="000000"/>
            </w:tcBorders>
            <w:vAlign w:val="center"/>
          </w:tcPr>
          <w:p w14:paraId="13C72B5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675" w:type="dxa"/>
            <w:tcBorders>
              <w:top w:val="nil"/>
              <w:left w:val="nil"/>
              <w:bottom w:val="single" w:sz="8" w:space="0" w:color="000000"/>
              <w:right w:val="single" w:sz="8" w:space="0" w:color="000000"/>
            </w:tcBorders>
            <w:vAlign w:val="center"/>
          </w:tcPr>
          <w:p w14:paraId="5AD7A7B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45" w:type="dxa"/>
            <w:tcBorders>
              <w:top w:val="nil"/>
              <w:left w:val="nil"/>
              <w:bottom w:val="single" w:sz="8" w:space="0" w:color="000000"/>
              <w:right w:val="single" w:sz="8" w:space="0" w:color="000000"/>
            </w:tcBorders>
            <w:vAlign w:val="center"/>
          </w:tcPr>
          <w:p w14:paraId="1E49E6E8"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114</w:t>
            </w:r>
          </w:p>
        </w:tc>
      </w:tr>
      <w:tr w:rsidR="00754172" w14:paraId="13C47007" w14:textId="77777777">
        <w:trPr>
          <w:trHeight w:val="730"/>
        </w:trPr>
        <w:tc>
          <w:tcPr>
            <w:tcW w:w="1545" w:type="dxa"/>
            <w:tcBorders>
              <w:top w:val="nil"/>
              <w:left w:val="single" w:sz="8" w:space="0" w:color="000000"/>
              <w:bottom w:val="single" w:sz="8" w:space="0" w:color="000000"/>
              <w:right w:val="single" w:sz="8" w:space="0" w:color="000000"/>
            </w:tcBorders>
            <w:vAlign w:val="center"/>
          </w:tcPr>
          <w:p w14:paraId="7AFF1174"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Vínculos y convivencia escolar</w:t>
            </w:r>
          </w:p>
        </w:tc>
        <w:tc>
          <w:tcPr>
            <w:tcW w:w="1365" w:type="dxa"/>
            <w:tcBorders>
              <w:top w:val="nil"/>
              <w:left w:val="nil"/>
              <w:bottom w:val="single" w:sz="8" w:space="0" w:color="000000"/>
              <w:right w:val="single" w:sz="8" w:space="0" w:color="000000"/>
            </w:tcBorders>
            <w:vAlign w:val="center"/>
          </w:tcPr>
          <w:p w14:paraId="264D7605"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960" w:type="dxa"/>
            <w:tcBorders>
              <w:top w:val="nil"/>
              <w:left w:val="nil"/>
              <w:bottom w:val="single" w:sz="8" w:space="0" w:color="000000"/>
              <w:right w:val="single" w:sz="8" w:space="0" w:color="000000"/>
            </w:tcBorders>
            <w:vAlign w:val="center"/>
          </w:tcPr>
          <w:p w14:paraId="04B5606E"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15" w:type="dxa"/>
            <w:tcBorders>
              <w:top w:val="nil"/>
              <w:left w:val="nil"/>
              <w:bottom w:val="single" w:sz="8" w:space="0" w:color="000000"/>
              <w:right w:val="single" w:sz="8" w:space="0" w:color="000000"/>
            </w:tcBorders>
            <w:vAlign w:val="center"/>
          </w:tcPr>
          <w:p w14:paraId="3D4121CB"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55" w:type="dxa"/>
            <w:tcBorders>
              <w:top w:val="nil"/>
              <w:left w:val="nil"/>
              <w:bottom w:val="single" w:sz="8" w:space="0" w:color="000000"/>
              <w:right w:val="single" w:sz="8" w:space="0" w:color="000000"/>
            </w:tcBorders>
            <w:vAlign w:val="center"/>
          </w:tcPr>
          <w:p w14:paraId="06BA4DAE"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88</w:t>
            </w:r>
          </w:p>
        </w:tc>
        <w:tc>
          <w:tcPr>
            <w:tcW w:w="960" w:type="dxa"/>
            <w:tcBorders>
              <w:top w:val="nil"/>
              <w:left w:val="nil"/>
              <w:bottom w:val="single" w:sz="8" w:space="0" w:color="000000"/>
              <w:right w:val="single" w:sz="8" w:space="0" w:color="000000"/>
            </w:tcBorders>
            <w:vAlign w:val="center"/>
          </w:tcPr>
          <w:p w14:paraId="3442B30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615" w:type="dxa"/>
            <w:tcBorders>
              <w:top w:val="nil"/>
              <w:left w:val="nil"/>
              <w:bottom w:val="single" w:sz="8" w:space="0" w:color="000000"/>
              <w:right w:val="single" w:sz="8" w:space="0" w:color="000000"/>
            </w:tcBorders>
            <w:vAlign w:val="center"/>
          </w:tcPr>
          <w:p w14:paraId="7DDACA7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675" w:type="dxa"/>
            <w:tcBorders>
              <w:top w:val="nil"/>
              <w:left w:val="nil"/>
              <w:bottom w:val="single" w:sz="8" w:space="0" w:color="000000"/>
              <w:right w:val="single" w:sz="8" w:space="0" w:color="000000"/>
            </w:tcBorders>
            <w:vAlign w:val="center"/>
          </w:tcPr>
          <w:p w14:paraId="4D96168A"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45" w:type="dxa"/>
            <w:tcBorders>
              <w:top w:val="nil"/>
              <w:left w:val="nil"/>
              <w:bottom w:val="single" w:sz="8" w:space="0" w:color="000000"/>
              <w:right w:val="single" w:sz="8" w:space="0" w:color="000000"/>
            </w:tcBorders>
            <w:vAlign w:val="center"/>
          </w:tcPr>
          <w:p w14:paraId="11EB87C6"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109</w:t>
            </w:r>
          </w:p>
        </w:tc>
      </w:tr>
      <w:tr w:rsidR="00754172" w14:paraId="71A27231" w14:textId="77777777">
        <w:trPr>
          <w:trHeight w:val="730"/>
        </w:trPr>
        <w:tc>
          <w:tcPr>
            <w:tcW w:w="1545" w:type="dxa"/>
            <w:tcBorders>
              <w:top w:val="nil"/>
              <w:left w:val="single" w:sz="8" w:space="0" w:color="000000"/>
              <w:bottom w:val="single" w:sz="8" w:space="0" w:color="000000"/>
              <w:right w:val="single" w:sz="8" w:space="0" w:color="000000"/>
            </w:tcBorders>
            <w:vAlign w:val="center"/>
          </w:tcPr>
          <w:p w14:paraId="720A7FC0"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Representaciones sobre la escuela</w:t>
            </w:r>
          </w:p>
        </w:tc>
        <w:tc>
          <w:tcPr>
            <w:tcW w:w="1365" w:type="dxa"/>
            <w:tcBorders>
              <w:top w:val="nil"/>
              <w:left w:val="nil"/>
              <w:bottom w:val="single" w:sz="8" w:space="0" w:color="000000"/>
              <w:right w:val="single" w:sz="8" w:space="0" w:color="000000"/>
            </w:tcBorders>
            <w:vAlign w:val="center"/>
          </w:tcPr>
          <w:p w14:paraId="17D3E655"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960" w:type="dxa"/>
            <w:tcBorders>
              <w:top w:val="nil"/>
              <w:left w:val="nil"/>
              <w:bottom w:val="single" w:sz="8" w:space="0" w:color="000000"/>
              <w:right w:val="single" w:sz="8" w:space="0" w:color="000000"/>
            </w:tcBorders>
            <w:vAlign w:val="center"/>
          </w:tcPr>
          <w:p w14:paraId="37380ED7"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915" w:type="dxa"/>
            <w:tcBorders>
              <w:top w:val="nil"/>
              <w:left w:val="nil"/>
              <w:bottom w:val="single" w:sz="8" w:space="0" w:color="000000"/>
              <w:right w:val="single" w:sz="8" w:space="0" w:color="000000"/>
            </w:tcBorders>
            <w:vAlign w:val="center"/>
          </w:tcPr>
          <w:p w14:paraId="7C9E1E4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55" w:type="dxa"/>
            <w:tcBorders>
              <w:top w:val="nil"/>
              <w:left w:val="nil"/>
              <w:bottom w:val="single" w:sz="8" w:space="0" w:color="000000"/>
              <w:right w:val="single" w:sz="8" w:space="0" w:color="000000"/>
            </w:tcBorders>
            <w:vAlign w:val="center"/>
          </w:tcPr>
          <w:p w14:paraId="58FC7145"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85</w:t>
            </w:r>
          </w:p>
        </w:tc>
        <w:tc>
          <w:tcPr>
            <w:tcW w:w="960" w:type="dxa"/>
            <w:tcBorders>
              <w:top w:val="nil"/>
              <w:left w:val="nil"/>
              <w:bottom w:val="single" w:sz="8" w:space="0" w:color="000000"/>
              <w:right w:val="single" w:sz="8" w:space="0" w:color="000000"/>
            </w:tcBorders>
            <w:vAlign w:val="center"/>
          </w:tcPr>
          <w:p w14:paraId="6792380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615" w:type="dxa"/>
            <w:tcBorders>
              <w:top w:val="nil"/>
              <w:left w:val="nil"/>
              <w:bottom w:val="single" w:sz="8" w:space="0" w:color="000000"/>
              <w:right w:val="single" w:sz="8" w:space="0" w:color="000000"/>
            </w:tcBorders>
            <w:vAlign w:val="center"/>
          </w:tcPr>
          <w:p w14:paraId="6F7D890A"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675" w:type="dxa"/>
            <w:tcBorders>
              <w:top w:val="nil"/>
              <w:left w:val="nil"/>
              <w:bottom w:val="single" w:sz="8" w:space="0" w:color="000000"/>
              <w:right w:val="single" w:sz="8" w:space="0" w:color="000000"/>
            </w:tcBorders>
            <w:vAlign w:val="center"/>
          </w:tcPr>
          <w:p w14:paraId="3DFF2C8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945" w:type="dxa"/>
            <w:tcBorders>
              <w:top w:val="nil"/>
              <w:left w:val="nil"/>
              <w:bottom w:val="single" w:sz="8" w:space="0" w:color="000000"/>
              <w:right w:val="single" w:sz="8" w:space="0" w:color="000000"/>
            </w:tcBorders>
            <w:vAlign w:val="center"/>
          </w:tcPr>
          <w:p w14:paraId="015D4165"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106</w:t>
            </w:r>
          </w:p>
        </w:tc>
      </w:tr>
      <w:tr w:rsidR="00754172" w14:paraId="1D03511A" w14:textId="77777777">
        <w:trPr>
          <w:trHeight w:val="300"/>
        </w:trPr>
        <w:tc>
          <w:tcPr>
            <w:tcW w:w="1545" w:type="dxa"/>
            <w:tcBorders>
              <w:top w:val="nil"/>
              <w:left w:val="single" w:sz="8" w:space="0" w:color="000000"/>
              <w:bottom w:val="single" w:sz="8" w:space="0" w:color="000000"/>
              <w:right w:val="single" w:sz="8" w:space="0" w:color="000000"/>
            </w:tcBorders>
            <w:vAlign w:val="center"/>
          </w:tcPr>
          <w:p w14:paraId="0003ABFB"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Modalidades</w:t>
            </w:r>
          </w:p>
        </w:tc>
        <w:tc>
          <w:tcPr>
            <w:tcW w:w="1365" w:type="dxa"/>
            <w:tcBorders>
              <w:top w:val="nil"/>
              <w:left w:val="nil"/>
              <w:bottom w:val="single" w:sz="8" w:space="0" w:color="000000"/>
              <w:right w:val="single" w:sz="8" w:space="0" w:color="000000"/>
            </w:tcBorders>
            <w:vAlign w:val="center"/>
          </w:tcPr>
          <w:p w14:paraId="27E963A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960" w:type="dxa"/>
            <w:tcBorders>
              <w:top w:val="nil"/>
              <w:left w:val="nil"/>
              <w:bottom w:val="single" w:sz="8" w:space="0" w:color="000000"/>
              <w:right w:val="single" w:sz="8" w:space="0" w:color="000000"/>
            </w:tcBorders>
            <w:vAlign w:val="center"/>
          </w:tcPr>
          <w:p w14:paraId="3FA18CC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c>
          <w:tcPr>
            <w:tcW w:w="915" w:type="dxa"/>
            <w:tcBorders>
              <w:top w:val="nil"/>
              <w:left w:val="nil"/>
              <w:bottom w:val="single" w:sz="8" w:space="0" w:color="000000"/>
              <w:right w:val="single" w:sz="8" w:space="0" w:color="000000"/>
            </w:tcBorders>
            <w:vAlign w:val="center"/>
          </w:tcPr>
          <w:p w14:paraId="33A1DCE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55" w:type="dxa"/>
            <w:tcBorders>
              <w:top w:val="nil"/>
              <w:left w:val="nil"/>
              <w:bottom w:val="single" w:sz="8" w:space="0" w:color="000000"/>
              <w:right w:val="single" w:sz="8" w:space="0" w:color="000000"/>
            </w:tcBorders>
            <w:vAlign w:val="center"/>
          </w:tcPr>
          <w:p w14:paraId="63A3A98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73</w:t>
            </w:r>
          </w:p>
        </w:tc>
        <w:tc>
          <w:tcPr>
            <w:tcW w:w="960" w:type="dxa"/>
            <w:tcBorders>
              <w:top w:val="nil"/>
              <w:left w:val="nil"/>
              <w:bottom w:val="single" w:sz="8" w:space="0" w:color="000000"/>
              <w:right w:val="single" w:sz="8" w:space="0" w:color="000000"/>
            </w:tcBorders>
            <w:vAlign w:val="center"/>
          </w:tcPr>
          <w:p w14:paraId="18ACBC87"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615" w:type="dxa"/>
            <w:tcBorders>
              <w:top w:val="nil"/>
              <w:left w:val="nil"/>
              <w:bottom w:val="single" w:sz="8" w:space="0" w:color="000000"/>
              <w:right w:val="single" w:sz="8" w:space="0" w:color="000000"/>
            </w:tcBorders>
            <w:vAlign w:val="center"/>
          </w:tcPr>
          <w:p w14:paraId="35C937E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675" w:type="dxa"/>
            <w:tcBorders>
              <w:top w:val="nil"/>
              <w:left w:val="nil"/>
              <w:bottom w:val="single" w:sz="8" w:space="0" w:color="000000"/>
              <w:right w:val="single" w:sz="8" w:space="0" w:color="000000"/>
            </w:tcBorders>
            <w:vAlign w:val="center"/>
          </w:tcPr>
          <w:p w14:paraId="03723685"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45" w:type="dxa"/>
            <w:tcBorders>
              <w:top w:val="nil"/>
              <w:left w:val="nil"/>
              <w:bottom w:val="single" w:sz="8" w:space="0" w:color="000000"/>
              <w:right w:val="single" w:sz="8" w:space="0" w:color="000000"/>
            </w:tcBorders>
            <w:vAlign w:val="center"/>
          </w:tcPr>
          <w:p w14:paraId="4FA23620"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104</w:t>
            </w:r>
          </w:p>
        </w:tc>
      </w:tr>
      <w:tr w:rsidR="00754172" w14:paraId="229375AC" w14:textId="77777777">
        <w:trPr>
          <w:trHeight w:val="1210"/>
        </w:trPr>
        <w:tc>
          <w:tcPr>
            <w:tcW w:w="1545" w:type="dxa"/>
            <w:tcBorders>
              <w:top w:val="nil"/>
              <w:left w:val="single" w:sz="8" w:space="0" w:color="000000"/>
              <w:bottom w:val="single" w:sz="8" w:space="0" w:color="000000"/>
              <w:right w:val="single" w:sz="8" w:space="0" w:color="000000"/>
            </w:tcBorders>
            <w:vAlign w:val="center"/>
          </w:tcPr>
          <w:p w14:paraId="234B265E"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Tecnologías de la Información y la Comunicación (TIC)</w:t>
            </w:r>
          </w:p>
        </w:tc>
        <w:tc>
          <w:tcPr>
            <w:tcW w:w="1365" w:type="dxa"/>
            <w:tcBorders>
              <w:top w:val="nil"/>
              <w:left w:val="nil"/>
              <w:bottom w:val="single" w:sz="8" w:space="0" w:color="000000"/>
              <w:right w:val="single" w:sz="8" w:space="0" w:color="000000"/>
            </w:tcBorders>
            <w:vAlign w:val="center"/>
          </w:tcPr>
          <w:p w14:paraId="150BA86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960" w:type="dxa"/>
            <w:tcBorders>
              <w:top w:val="nil"/>
              <w:left w:val="nil"/>
              <w:bottom w:val="single" w:sz="8" w:space="0" w:color="000000"/>
              <w:right w:val="single" w:sz="8" w:space="0" w:color="000000"/>
            </w:tcBorders>
            <w:vAlign w:val="center"/>
          </w:tcPr>
          <w:p w14:paraId="7B4889D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915" w:type="dxa"/>
            <w:tcBorders>
              <w:top w:val="nil"/>
              <w:left w:val="nil"/>
              <w:bottom w:val="single" w:sz="8" w:space="0" w:color="000000"/>
              <w:right w:val="single" w:sz="8" w:space="0" w:color="000000"/>
            </w:tcBorders>
            <w:vAlign w:val="center"/>
          </w:tcPr>
          <w:p w14:paraId="28DC610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55" w:type="dxa"/>
            <w:tcBorders>
              <w:top w:val="nil"/>
              <w:left w:val="nil"/>
              <w:bottom w:val="single" w:sz="8" w:space="0" w:color="000000"/>
              <w:right w:val="single" w:sz="8" w:space="0" w:color="000000"/>
            </w:tcBorders>
            <w:vAlign w:val="center"/>
          </w:tcPr>
          <w:p w14:paraId="29825F3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87</w:t>
            </w:r>
          </w:p>
        </w:tc>
        <w:tc>
          <w:tcPr>
            <w:tcW w:w="960" w:type="dxa"/>
            <w:tcBorders>
              <w:top w:val="nil"/>
              <w:left w:val="nil"/>
              <w:bottom w:val="single" w:sz="8" w:space="0" w:color="000000"/>
              <w:right w:val="single" w:sz="8" w:space="0" w:color="000000"/>
            </w:tcBorders>
            <w:vAlign w:val="center"/>
          </w:tcPr>
          <w:p w14:paraId="098BCADA"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615" w:type="dxa"/>
            <w:tcBorders>
              <w:top w:val="nil"/>
              <w:left w:val="nil"/>
              <w:bottom w:val="single" w:sz="8" w:space="0" w:color="000000"/>
              <w:right w:val="single" w:sz="8" w:space="0" w:color="000000"/>
            </w:tcBorders>
            <w:vAlign w:val="center"/>
          </w:tcPr>
          <w:p w14:paraId="52F1C910"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675" w:type="dxa"/>
            <w:tcBorders>
              <w:top w:val="nil"/>
              <w:left w:val="nil"/>
              <w:bottom w:val="single" w:sz="8" w:space="0" w:color="000000"/>
              <w:right w:val="single" w:sz="8" w:space="0" w:color="000000"/>
            </w:tcBorders>
            <w:vAlign w:val="center"/>
          </w:tcPr>
          <w:p w14:paraId="20BB49AD"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45" w:type="dxa"/>
            <w:tcBorders>
              <w:top w:val="nil"/>
              <w:left w:val="nil"/>
              <w:bottom w:val="single" w:sz="8" w:space="0" w:color="000000"/>
              <w:right w:val="single" w:sz="8" w:space="0" w:color="000000"/>
            </w:tcBorders>
            <w:vAlign w:val="center"/>
          </w:tcPr>
          <w:p w14:paraId="4C0623AD"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102</w:t>
            </w:r>
          </w:p>
        </w:tc>
      </w:tr>
      <w:tr w:rsidR="00754172" w14:paraId="711B4873" w14:textId="77777777">
        <w:trPr>
          <w:trHeight w:val="490"/>
        </w:trPr>
        <w:tc>
          <w:tcPr>
            <w:tcW w:w="1545" w:type="dxa"/>
            <w:tcBorders>
              <w:top w:val="nil"/>
              <w:left w:val="single" w:sz="8" w:space="0" w:color="000000"/>
              <w:bottom w:val="single" w:sz="8" w:space="0" w:color="000000"/>
              <w:right w:val="single" w:sz="8" w:space="0" w:color="000000"/>
            </w:tcBorders>
            <w:vAlign w:val="center"/>
          </w:tcPr>
          <w:p w14:paraId="0E160873"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Institución y gestión escolar</w:t>
            </w:r>
          </w:p>
        </w:tc>
        <w:tc>
          <w:tcPr>
            <w:tcW w:w="1365" w:type="dxa"/>
            <w:tcBorders>
              <w:top w:val="nil"/>
              <w:left w:val="nil"/>
              <w:bottom w:val="single" w:sz="8" w:space="0" w:color="000000"/>
              <w:right w:val="single" w:sz="8" w:space="0" w:color="000000"/>
            </w:tcBorders>
            <w:vAlign w:val="center"/>
          </w:tcPr>
          <w:p w14:paraId="7E4EE9C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960" w:type="dxa"/>
            <w:tcBorders>
              <w:top w:val="nil"/>
              <w:left w:val="nil"/>
              <w:bottom w:val="single" w:sz="8" w:space="0" w:color="000000"/>
              <w:right w:val="single" w:sz="8" w:space="0" w:color="000000"/>
            </w:tcBorders>
            <w:vAlign w:val="center"/>
          </w:tcPr>
          <w:p w14:paraId="346AAA58"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915" w:type="dxa"/>
            <w:tcBorders>
              <w:top w:val="nil"/>
              <w:left w:val="nil"/>
              <w:bottom w:val="single" w:sz="8" w:space="0" w:color="000000"/>
              <w:right w:val="single" w:sz="8" w:space="0" w:color="000000"/>
            </w:tcBorders>
            <w:vAlign w:val="center"/>
          </w:tcPr>
          <w:p w14:paraId="7B15B6F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55" w:type="dxa"/>
            <w:tcBorders>
              <w:top w:val="nil"/>
              <w:left w:val="nil"/>
              <w:bottom w:val="single" w:sz="8" w:space="0" w:color="000000"/>
              <w:right w:val="single" w:sz="8" w:space="0" w:color="000000"/>
            </w:tcBorders>
            <w:vAlign w:val="center"/>
          </w:tcPr>
          <w:p w14:paraId="0B1979D4"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69</w:t>
            </w:r>
          </w:p>
        </w:tc>
        <w:tc>
          <w:tcPr>
            <w:tcW w:w="960" w:type="dxa"/>
            <w:tcBorders>
              <w:top w:val="nil"/>
              <w:left w:val="nil"/>
              <w:bottom w:val="single" w:sz="8" w:space="0" w:color="000000"/>
              <w:right w:val="single" w:sz="8" w:space="0" w:color="000000"/>
            </w:tcBorders>
            <w:vAlign w:val="center"/>
          </w:tcPr>
          <w:p w14:paraId="6B6367CB"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615" w:type="dxa"/>
            <w:tcBorders>
              <w:top w:val="nil"/>
              <w:left w:val="nil"/>
              <w:bottom w:val="single" w:sz="8" w:space="0" w:color="000000"/>
              <w:right w:val="single" w:sz="8" w:space="0" w:color="000000"/>
            </w:tcBorders>
            <w:vAlign w:val="center"/>
          </w:tcPr>
          <w:p w14:paraId="5F91D64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675" w:type="dxa"/>
            <w:tcBorders>
              <w:top w:val="nil"/>
              <w:left w:val="nil"/>
              <w:bottom w:val="single" w:sz="8" w:space="0" w:color="000000"/>
              <w:right w:val="single" w:sz="8" w:space="0" w:color="000000"/>
            </w:tcBorders>
            <w:vAlign w:val="center"/>
          </w:tcPr>
          <w:p w14:paraId="78D61B4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45" w:type="dxa"/>
            <w:tcBorders>
              <w:top w:val="nil"/>
              <w:left w:val="nil"/>
              <w:bottom w:val="single" w:sz="8" w:space="0" w:color="000000"/>
              <w:right w:val="single" w:sz="8" w:space="0" w:color="000000"/>
            </w:tcBorders>
            <w:vAlign w:val="center"/>
          </w:tcPr>
          <w:p w14:paraId="48E0BF64"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94</w:t>
            </w:r>
          </w:p>
        </w:tc>
      </w:tr>
      <w:tr w:rsidR="00754172" w14:paraId="10CB1B42" w14:textId="77777777">
        <w:trPr>
          <w:trHeight w:val="730"/>
        </w:trPr>
        <w:tc>
          <w:tcPr>
            <w:tcW w:w="1545" w:type="dxa"/>
            <w:tcBorders>
              <w:top w:val="nil"/>
              <w:left w:val="single" w:sz="8" w:space="0" w:color="000000"/>
              <w:bottom w:val="single" w:sz="8" w:space="0" w:color="000000"/>
              <w:right w:val="single" w:sz="8" w:space="0" w:color="000000"/>
            </w:tcBorders>
            <w:vAlign w:val="center"/>
          </w:tcPr>
          <w:p w14:paraId="3EB75DE9"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Cuerpo, género, sexualidad</w:t>
            </w:r>
          </w:p>
        </w:tc>
        <w:tc>
          <w:tcPr>
            <w:tcW w:w="1365" w:type="dxa"/>
            <w:tcBorders>
              <w:top w:val="nil"/>
              <w:left w:val="nil"/>
              <w:bottom w:val="single" w:sz="8" w:space="0" w:color="000000"/>
              <w:right w:val="single" w:sz="8" w:space="0" w:color="000000"/>
            </w:tcBorders>
            <w:vAlign w:val="center"/>
          </w:tcPr>
          <w:p w14:paraId="1B9A907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960" w:type="dxa"/>
            <w:tcBorders>
              <w:top w:val="nil"/>
              <w:left w:val="nil"/>
              <w:bottom w:val="single" w:sz="8" w:space="0" w:color="000000"/>
              <w:right w:val="single" w:sz="8" w:space="0" w:color="000000"/>
            </w:tcBorders>
            <w:vAlign w:val="center"/>
          </w:tcPr>
          <w:p w14:paraId="13A59A8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915" w:type="dxa"/>
            <w:tcBorders>
              <w:top w:val="nil"/>
              <w:left w:val="nil"/>
              <w:bottom w:val="single" w:sz="8" w:space="0" w:color="000000"/>
              <w:right w:val="single" w:sz="8" w:space="0" w:color="000000"/>
            </w:tcBorders>
            <w:vAlign w:val="center"/>
          </w:tcPr>
          <w:p w14:paraId="5326BAD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55" w:type="dxa"/>
            <w:tcBorders>
              <w:top w:val="nil"/>
              <w:left w:val="nil"/>
              <w:bottom w:val="single" w:sz="8" w:space="0" w:color="000000"/>
              <w:right w:val="single" w:sz="8" w:space="0" w:color="000000"/>
            </w:tcBorders>
            <w:vAlign w:val="center"/>
          </w:tcPr>
          <w:p w14:paraId="0FDB672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47</w:t>
            </w:r>
          </w:p>
        </w:tc>
        <w:tc>
          <w:tcPr>
            <w:tcW w:w="960" w:type="dxa"/>
            <w:tcBorders>
              <w:top w:val="nil"/>
              <w:left w:val="nil"/>
              <w:bottom w:val="single" w:sz="8" w:space="0" w:color="000000"/>
              <w:right w:val="single" w:sz="8" w:space="0" w:color="000000"/>
            </w:tcBorders>
            <w:vAlign w:val="center"/>
          </w:tcPr>
          <w:p w14:paraId="6F105BB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615" w:type="dxa"/>
            <w:tcBorders>
              <w:top w:val="nil"/>
              <w:left w:val="nil"/>
              <w:bottom w:val="single" w:sz="8" w:space="0" w:color="000000"/>
              <w:right w:val="single" w:sz="8" w:space="0" w:color="000000"/>
            </w:tcBorders>
            <w:vAlign w:val="center"/>
          </w:tcPr>
          <w:p w14:paraId="619A750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675" w:type="dxa"/>
            <w:tcBorders>
              <w:top w:val="nil"/>
              <w:left w:val="nil"/>
              <w:bottom w:val="single" w:sz="8" w:space="0" w:color="000000"/>
              <w:right w:val="single" w:sz="8" w:space="0" w:color="000000"/>
            </w:tcBorders>
            <w:vAlign w:val="center"/>
          </w:tcPr>
          <w:p w14:paraId="7D899FAE"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45" w:type="dxa"/>
            <w:tcBorders>
              <w:top w:val="nil"/>
              <w:left w:val="nil"/>
              <w:bottom w:val="single" w:sz="8" w:space="0" w:color="000000"/>
              <w:right w:val="single" w:sz="8" w:space="0" w:color="000000"/>
            </w:tcBorders>
            <w:vAlign w:val="center"/>
          </w:tcPr>
          <w:p w14:paraId="23BFD13F"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56</w:t>
            </w:r>
          </w:p>
        </w:tc>
      </w:tr>
      <w:tr w:rsidR="00754172" w14:paraId="021A95CC" w14:textId="77777777">
        <w:trPr>
          <w:trHeight w:val="490"/>
        </w:trPr>
        <w:tc>
          <w:tcPr>
            <w:tcW w:w="1545" w:type="dxa"/>
            <w:tcBorders>
              <w:top w:val="nil"/>
              <w:left w:val="single" w:sz="8" w:space="0" w:color="000000"/>
              <w:bottom w:val="single" w:sz="8" w:space="0" w:color="000000"/>
              <w:right w:val="single" w:sz="8" w:space="0" w:color="000000"/>
            </w:tcBorders>
            <w:vAlign w:val="center"/>
          </w:tcPr>
          <w:p w14:paraId="5AE15D62"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Historia de la educación</w:t>
            </w:r>
          </w:p>
        </w:tc>
        <w:tc>
          <w:tcPr>
            <w:tcW w:w="1365" w:type="dxa"/>
            <w:tcBorders>
              <w:top w:val="nil"/>
              <w:left w:val="nil"/>
              <w:bottom w:val="single" w:sz="8" w:space="0" w:color="000000"/>
              <w:right w:val="single" w:sz="8" w:space="0" w:color="000000"/>
            </w:tcBorders>
            <w:vAlign w:val="center"/>
          </w:tcPr>
          <w:p w14:paraId="12C87177"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960" w:type="dxa"/>
            <w:tcBorders>
              <w:top w:val="nil"/>
              <w:left w:val="nil"/>
              <w:bottom w:val="single" w:sz="8" w:space="0" w:color="000000"/>
              <w:right w:val="single" w:sz="8" w:space="0" w:color="000000"/>
            </w:tcBorders>
            <w:vAlign w:val="center"/>
          </w:tcPr>
          <w:p w14:paraId="2EB5952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15" w:type="dxa"/>
            <w:tcBorders>
              <w:top w:val="nil"/>
              <w:left w:val="nil"/>
              <w:bottom w:val="single" w:sz="8" w:space="0" w:color="000000"/>
              <w:right w:val="single" w:sz="8" w:space="0" w:color="000000"/>
            </w:tcBorders>
            <w:vAlign w:val="center"/>
          </w:tcPr>
          <w:p w14:paraId="0728F35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55" w:type="dxa"/>
            <w:tcBorders>
              <w:top w:val="nil"/>
              <w:left w:val="nil"/>
              <w:bottom w:val="single" w:sz="8" w:space="0" w:color="000000"/>
              <w:right w:val="single" w:sz="8" w:space="0" w:color="000000"/>
            </w:tcBorders>
            <w:vAlign w:val="center"/>
          </w:tcPr>
          <w:p w14:paraId="490BD3C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32</w:t>
            </w:r>
          </w:p>
        </w:tc>
        <w:tc>
          <w:tcPr>
            <w:tcW w:w="960" w:type="dxa"/>
            <w:tcBorders>
              <w:top w:val="nil"/>
              <w:left w:val="nil"/>
              <w:bottom w:val="single" w:sz="8" w:space="0" w:color="000000"/>
              <w:right w:val="single" w:sz="8" w:space="0" w:color="000000"/>
            </w:tcBorders>
            <w:vAlign w:val="center"/>
          </w:tcPr>
          <w:p w14:paraId="65C75EB7"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615" w:type="dxa"/>
            <w:tcBorders>
              <w:top w:val="nil"/>
              <w:left w:val="nil"/>
              <w:bottom w:val="single" w:sz="8" w:space="0" w:color="000000"/>
              <w:right w:val="single" w:sz="8" w:space="0" w:color="000000"/>
            </w:tcBorders>
            <w:vAlign w:val="center"/>
          </w:tcPr>
          <w:p w14:paraId="2C8976E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675" w:type="dxa"/>
            <w:tcBorders>
              <w:top w:val="nil"/>
              <w:left w:val="nil"/>
              <w:bottom w:val="single" w:sz="8" w:space="0" w:color="000000"/>
              <w:right w:val="single" w:sz="8" w:space="0" w:color="000000"/>
            </w:tcBorders>
            <w:vAlign w:val="center"/>
          </w:tcPr>
          <w:p w14:paraId="30A2A53A"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45" w:type="dxa"/>
            <w:tcBorders>
              <w:top w:val="nil"/>
              <w:left w:val="nil"/>
              <w:bottom w:val="single" w:sz="8" w:space="0" w:color="000000"/>
              <w:right w:val="single" w:sz="8" w:space="0" w:color="000000"/>
            </w:tcBorders>
            <w:vAlign w:val="center"/>
          </w:tcPr>
          <w:p w14:paraId="6AA975D6"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36</w:t>
            </w:r>
          </w:p>
        </w:tc>
      </w:tr>
      <w:tr w:rsidR="00754172" w14:paraId="0620DBBA" w14:textId="77777777">
        <w:trPr>
          <w:trHeight w:val="300"/>
        </w:trPr>
        <w:tc>
          <w:tcPr>
            <w:tcW w:w="1545" w:type="dxa"/>
            <w:tcBorders>
              <w:top w:val="nil"/>
              <w:left w:val="single" w:sz="8" w:space="0" w:color="000000"/>
              <w:bottom w:val="single" w:sz="8" w:space="0" w:color="000000"/>
              <w:right w:val="single" w:sz="8" w:space="0" w:color="000000"/>
            </w:tcBorders>
            <w:vAlign w:val="center"/>
          </w:tcPr>
          <w:p w14:paraId="50F15AAC"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Evaluación</w:t>
            </w:r>
          </w:p>
        </w:tc>
        <w:tc>
          <w:tcPr>
            <w:tcW w:w="1365" w:type="dxa"/>
            <w:tcBorders>
              <w:top w:val="nil"/>
              <w:left w:val="nil"/>
              <w:bottom w:val="single" w:sz="8" w:space="0" w:color="000000"/>
              <w:right w:val="single" w:sz="8" w:space="0" w:color="000000"/>
            </w:tcBorders>
            <w:vAlign w:val="center"/>
          </w:tcPr>
          <w:p w14:paraId="56304EBA"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960" w:type="dxa"/>
            <w:tcBorders>
              <w:top w:val="nil"/>
              <w:left w:val="nil"/>
              <w:bottom w:val="single" w:sz="8" w:space="0" w:color="000000"/>
              <w:right w:val="single" w:sz="8" w:space="0" w:color="000000"/>
            </w:tcBorders>
            <w:vAlign w:val="center"/>
          </w:tcPr>
          <w:p w14:paraId="1649290A"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915" w:type="dxa"/>
            <w:tcBorders>
              <w:top w:val="nil"/>
              <w:left w:val="nil"/>
              <w:bottom w:val="single" w:sz="8" w:space="0" w:color="000000"/>
              <w:right w:val="single" w:sz="8" w:space="0" w:color="000000"/>
            </w:tcBorders>
            <w:vAlign w:val="center"/>
          </w:tcPr>
          <w:p w14:paraId="0FB81497"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55" w:type="dxa"/>
            <w:tcBorders>
              <w:top w:val="nil"/>
              <w:left w:val="nil"/>
              <w:bottom w:val="single" w:sz="8" w:space="0" w:color="000000"/>
              <w:right w:val="single" w:sz="8" w:space="0" w:color="000000"/>
            </w:tcBorders>
            <w:vAlign w:val="center"/>
          </w:tcPr>
          <w:p w14:paraId="23FAA1ED"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tc>
        <w:tc>
          <w:tcPr>
            <w:tcW w:w="960" w:type="dxa"/>
            <w:tcBorders>
              <w:top w:val="nil"/>
              <w:left w:val="nil"/>
              <w:bottom w:val="single" w:sz="8" w:space="0" w:color="000000"/>
              <w:right w:val="single" w:sz="8" w:space="0" w:color="000000"/>
            </w:tcBorders>
            <w:vAlign w:val="center"/>
          </w:tcPr>
          <w:p w14:paraId="6122B5F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615" w:type="dxa"/>
            <w:tcBorders>
              <w:top w:val="nil"/>
              <w:left w:val="nil"/>
              <w:bottom w:val="single" w:sz="8" w:space="0" w:color="000000"/>
              <w:right w:val="single" w:sz="8" w:space="0" w:color="000000"/>
            </w:tcBorders>
            <w:vAlign w:val="center"/>
          </w:tcPr>
          <w:p w14:paraId="0BACDA9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675" w:type="dxa"/>
            <w:tcBorders>
              <w:top w:val="nil"/>
              <w:left w:val="nil"/>
              <w:bottom w:val="single" w:sz="8" w:space="0" w:color="000000"/>
              <w:right w:val="single" w:sz="8" w:space="0" w:color="000000"/>
            </w:tcBorders>
            <w:vAlign w:val="center"/>
          </w:tcPr>
          <w:p w14:paraId="014BB738"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45" w:type="dxa"/>
            <w:tcBorders>
              <w:top w:val="nil"/>
              <w:left w:val="nil"/>
              <w:bottom w:val="single" w:sz="8" w:space="0" w:color="000000"/>
              <w:right w:val="single" w:sz="8" w:space="0" w:color="000000"/>
            </w:tcBorders>
            <w:vAlign w:val="center"/>
          </w:tcPr>
          <w:p w14:paraId="50C08E53"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34</w:t>
            </w:r>
          </w:p>
        </w:tc>
      </w:tr>
      <w:tr w:rsidR="00754172" w14:paraId="597BA767" w14:textId="77777777">
        <w:trPr>
          <w:trHeight w:val="1450"/>
        </w:trPr>
        <w:tc>
          <w:tcPr>
            <w:tcW w:w="1545" w:type="dxa"/>
            <w:tcBorders>
              <w:top w:val="nil"/>
              <w:left w:val="single" w:sz="8" w:space="0" w:color="000000"/>
              <w:bottom w:val="single" w:sz="8" w:space="0" w:color="000000"/>
              <w:right w:val="single" w:sz="8" w:space="0" w:color="000000"/>
            </w:tcBorders>
            <w:vAlign w:val="center"/>
          </w:tcPr>
          <w:p w14:paraId="359A17C8"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Educación no formal, Educación Popular, movimientos sociales</w:t>
            </w:r>
          </w:p>
        </w:tc>
        <w:tc>
          <w:tcPr>
            <w:tcW w:w="1365" w:type="dxa"/>
            <w:tcBorders>
              <w:top w:val="nil"/>
              <w:left w:val="nil"/>
              <w:bottom w:val="single" w:sz="8" w:space="0" w:color="000000"/>
              <w:right w:val="single" w:sz="8" w:space="0" w:color="000000"/>
            </w:tcBorders>
            <w:vAlign w:val="center"/>
          </w:tcPr>
          <w:p w14:paraId="738F29B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60" w:type="dxa"/>
            <w:tcBorders>
              <w:top w:val="nil"/>
              <w:left w:val="nil"/>
              <w:bottom w:val="single" w:sz="8" w:space="0" w:color="000000"/>
              <w:right w:val="single" w:sz="8" w:space="0" w:color="000000"/>
            </w:tcBorders>
            <w:vAlign w:val="center"/>
          </w:tcPr>
          <w:p w14:paraId="5641794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15" w:type="dxa"/>
            <w:tcBorders>
              <w:top w:val="nil"/>
              <w:left w:val="nil"/>
              <w:bottom w:val="single" w:sz="8" w:space="0" w:color="000000"/>
              <w:right w:val="single" w:sz="8" w:space="0" w:color="000000"/>
            </w:tcBorders>
            <w:vAlign w:val="center"/>
          </w:tcPr>
          <w:p w14:paraId="28D65A0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55" w:type="dxa"/>
            <w:tcBorders>
              <w:top w:val="nil"/>
              <w:left w:val="nil"/>
              <w:bottom w:val="single" w:sz="8" w:space="0" w:color="000000"/>
              <w:right w:val="single" w:sz="8" w:space="0" w:color="000000"/>
            </w:tcBorders>
            <w:vAlign w:val="center"/>
          </w:tcPr>
          <w:p w14:paraId="4249ACF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w:t>
            </w:r>
          </w:p>
        </w:tc>
        <w:tc>
          <w:tcPr>
            <w:tcW w:w="960" w:type="dxa"/>
            <w:tcBorders>
              <w:top w:val="nil"/>
              <w:left w:val="nil"/>
              <w:bottom w:val="single" w:sz="8" w:space="0" w:color="000000"/>
              <w:right w:val="single" w:sz="8" w:space="0" w:color="000000"/>
            </w:tcBorders>
            <w:vAlign w:val="center"/>
          </w:tcPr>
          <w:p w14:paraId="1F7C7BE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615" w:type="dxa"/>
            <w:tcBorders>
              <w:top w:val="nil"/>
              <w:left w:val="nil"/>
              <w:bottom w:val="single" w:sz="8" w:space="0" w:color="000000"/>
              <w:right w:val="single" w:sz="8" w:space="0" w:color="000000"/>
            </w:tcBorders>
            <w:vAlign w:val="center"/>
          </w:tcPr>
          <w:p w14:paraId="05AB464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675" w:type="dxa"/>
            <w:tcBorders>
              <w:top w:val="nil"/>
              <w:left w:val="nil"/>
              <w:bottom w:val="single" w:sz="8" w:space="0" w:color="000000"/>
              <w:right w:val="single" w:sz="8" w:space="0" w:color="000000"/>
            </w:tcBorders>
            <w:vAlign w:val="center"/>
          </w:tcPr>
          <w:p w14:paraId="16B321EE"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45" w:type="dxa"/>
            <w:tcBorders>
              <w:top w:val="nil"/>
              <w:left w:val="nil"/>
              <w:bottom w:val="single" w:sz="8" w:space="0" w:color="000000"/>
              <w:right w:val="single" w:sz="8" w:space="0" w:color="000000"/>
            </w:tcBorders>
            <w:vAlign w:val="center"/>
          </w:tcPr>
          <w:p w14:paraId="712953AA"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26</w:t>
            </w:r>
          </w:p>
        </w:tc>
      </w:tr>
      <w:tr w:rsidR="00754172" w14:paraId="2553447B" w14:textId="77777777">
        <w:trPr>
          <w:trHeight w:val="300"/>
        </w:trPr>
        <w:tc>
          <w:tcPr>
            <w:tcW w:w="1545" w:type="dxa"/>
            <w:tcBorders>
              <w:top w:val="nil"/>
              <w:left w:val="single" w:sz="8" w:space="0" w:color="000000"/>
              <w:bottom w:val="single" w:sz="8" w:space="0" w:color="000000"/>
              <w:right w:val="single" w:sz="8" w:space="0" w:color="000000"/>
            </w:tcBorders>
            <w:vAlign w:val="center"/>
          </w:tcPr>
          <w:p w14:paraId="77D203FD"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Salud y escuela</w:t>
            </w:r>
          </w:p>
        </w:tc>
        <w:tc>
          <w:tcPr>
            <w:tcW w:w="1365" w:type="dxa"/>
            <w:tcBorders>
              <w:top w:val="nil"/>
              <w:left w:val="nil"/>
              <w:bottom w:val="single" w:sz="8" w:space="0" w:color="000000"/>
              <w:right w:val="single" w:sz="8" w:space="0" w:color="000000"/>
            </w:tcBorders>
            <w:vAlign w:val="bottom"/>
          </w:tcPr>
          <w:p w14:paraId="4EEFFE7D" w14:textId="77777777" w:rsidR="00754172"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tc>
        <w:tc>
          <w:tcPr>
            <w:tcW w:w="960" w:type="dxa"/>
            <w:tcBorders>
              <w:top w:val="nil"/>
              <w:left w:val="nil"/>
              <w:bottom w:val="single" w:sz="8" w:space="0" w:color="000000"/>
              <w:right w:val="single" w:sz="8" w:space="0" w:color="000000"/>
            </w:tcBorders>
            <w:vAlign w:val="center"/>
          </w:tcPr>
          <w:p w14:paraId="6802EBBB"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15" w:type="dxa"/>
            <w:tcBorders>
              <w:top w:val="nil"/>
              <w:left w:val="nil"/>
              <w:bottom w:val="single" w:sz="8" w:space="0" w:color="000000"/>
              <w:right w:val="single" w:sz="8" w:space="0" w:color="000000"/>
            </w:tcBorders>
            <w:vAlign w:val="center"/>
          </w:tcPr>
          <w:p w14:paraId="531A5B78"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55" w:type="dxa"/>
            <w:tcBorders>
              <w:top w:val="nil"/>
              <w:left w:val="nil"/>
              <w:bottom w:val="single" w:sz="8" w:space="0" w:color="000000"/>
              <w:right w:val="single" w:sz="8" w:space="0" w:color="000000"/>
            </w:tcBorders>
            <w:vAlign w:val="center"/>
          </w:tcPr>
          <w:p w14:paraId="3533F21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960" w:type="dxa"/>
            <w:tcBorders>
              <w:top w:val="nil"/>
              <w:left w:val="nil"/>
              <w:bottom w:val="single" w:sz="8" w:space="0" w:color="000000"/>
              <w:right w:val="single" w:sz="8" w:space="0" w:color="000000"/>
            </w:tcBorders>
            <w:vAlign w:val="center"/>
          </w:tcPr>
          <w:p w14:paraId="24DA707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615" w:type="dxa"/>
            <w:tcBorders>
              <w:top w:val="nil"/>
              <w:left w:val="nil"/>
              <w:bottom w:val="single" w:sz="8" w:space="0" w:color="000000"/>
              <w:right w:val="single" w:sz="8" w:space="0" w:color="000000"/>
            </w:tcBorders>
            <w:vAlign w:val="center"/>
          </w:tcPr>
          <w:p w14:paraId="6B192320"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675" w:type="dxa"/>
            <w:tcBorders>
              <w:top w:val="nil"/>
              <w:left w:val="nil"/>
              <w:bottom w:val="single" w:sz="8" w:space="0" w:color="000000"/>
              <w:right w:val="single" w:sz="8" w:space="0" w:color="000000"/>
            </w:tcBorders>
            <w:vAlign w:val="center"/>
          </w:tcPr>
          <w:p w14:paraId="3E656EA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45" w:type="dxa"/>
            <w:tcBorders>
              <w:top w:val="nil"/>
              <w:left w:val="nil"/>
              <w:bottom w:val="single" w:sz="8" w:space="0" w:color="000000"/>
              <w:right w:val="single" w:sz="8" w:space="0" w:color="000000"/>
            </w:tcBorders>
            <w:vAlign w:val="center"/>
          </w:tcPr>
          <w:p w14:paraId="545393A0"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22</w:t>
            </w:r>
          </w:p>
        </w:tc>
      </w:tr>
      <w:tr w:rsidR="00754172" w14:paraId="212680D1" w14:textId="77777777">
        <w:trPr>
          <w:trHeight w:val="490"/>
        </w:trPr>
        <w:tc>
          <w:tcPr>
            <w:tcW w:w="1545" w:type="dxa"/>
            <w:tcBorders>
              <w:top w:val="nil"/>
              <w:left w:val="single" w:sz="8" w:space="0" w:color="000000"/>
              <w:bottom w:val="single" w:sz="8" w:space="0" w:color="000000"/>
              <w:right w:val="single" w:sz="8" w:space="0" w:color="000000"/>
            </w:tcBorders>
            <w:vAlign w:val="center"/>
          </w:tcPr>
          <w:p w14:paraId="0676F6FB"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Sin información</w:t>
            </w:r>
          </w:p>
        </w:tc>
        <w:tc>
          <w:tcPr>
            <w:tcW w:w="1365" w:type="dxa"/>
            <w:tcBorders>
              <w:top w:val="nil"/>
              <w:left w:val="nil"/>
              <w:bottom w:val="single" w:sz="8" w:space="0" w:color="000000"/>
              <w:right w:val="single" w:sz="8" w:space="0" w:color="000000"/>
            </w:tcBorders>
            <w:vAlign w:val="bottom"/>
          </w:tcPr>
          <w:p w14:paraId="1CEDBBED" w14:textId="77777777" w:rsidR="00754172"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tc>
        <w:tc>
          <w:tcPr>
            <w:tcW w:w="960" w:type="dxa"/>
            <w:tcBorders>
              <w:top w:val="nil"/>
              <w:left w:val="nil"/>
              <w:bottom w:val="single" w:sz="8" w:space="0" w:color="000000"/>
              <w:right w:val="single" w:sz="8" w:space="0" w:color="000000"/>
            </w:tcBorders>
            <w:vAlign w:val="center"/>
          </w:tcPr>
          <w:p w14:paraId="674F242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15" w:type="dxa"/>
            <w:tcBorders>
              <w:top w:val="nil"/>
              <w:left w:val="nil"/>
              <w:bottom w:val="single" w:sz="8" w:space="0" w:color="000000"/>
              <w:right w:val="single" w:sz="8" w:space="0" w:color="000000"/>
            </w:tcBorders>
            <w:vAlign w:val="center"/>
          </w:tcPr>
          <w:p w14:paraId="622BAB3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55" w:type="dxa"/>
            <w:tcBorders>
              <w:top w:val="nil"/>
              <w:left w:val="nil"/>
              <w:bottom w:val="single" w:sz="8" w:space="0" w:color="000000"/>
              <w:right w:val="single" w:sz="8" w:space="0" w:color="000000"/>
            </w:tcBorders>
            <w:vAlign w:val="center"/>
          </w:tcPr>
          <w:p w14:paraId="405420CA"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60" w:type="dxa"/>
            <w:tcBorders>
              <w:top w:val="nil"/>
              <w:left w:val="nil"/>
              <w:bottom w:val="single" w:sz="8" w:space="0" w:color="000000"/>
              <w:right w:val="single" w:sz="8" w:space="0" w:color="000000"/>
            </w:tcBorders>
            <w:vAlign w:val="center"/>
          </w:tcPr>
          <w:p w14:paraId="767ACDFB"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615" w:type="dxa"/>
            <w:tcBorders>
              <w:top w:val="nil"/>
              <w:left w:val="nil"/>
              <w:bottom w:val="single" w:sz="8" w:space="0" w:color="000000"/>
              <w:right w:val="single" w:sz="8" w:space="0" w:color="000000"/>
            </w:tcBorders>
            <w:vAlign w:val="center"/>
          </w:tcPr>
          <w:p w14:paraId="603D05E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675" w:type="dxa"/>
            <w:tcBorders>
              <w:top w:val="nil"/>
              <w:left w:val="nil"/>
              <w:bottom w:val="single" w:sz="8" w:space="0" w:color="000000"/>
              <w:right w:val="single" w:sz="8" w:space="0" w:color="000000"/>
            </w:tcBorders>
            <w:vAlign w:val="center"/>
          </w:tcPr>
          <w:p w14:paraId="2018422A"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945" w:type="dxa"/>
            <w:tcBorders>
              <w:top w:val="nil"/>
              <w:left w:val="nil"/>
              <w:bottom w:val="single" w:sz="8" w:space="0" w:color="000000"/>
              <w:right w:val="single" w:sz="8" w:space="0" w:color="000000"/>
            </w:tcBorders>
            <w:vAlign w:val="center"/>
          </w:tcPr>
          <w:p w14:paraId="5DAF1787"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w:t>
            </w:r>
          </w:p>
        </w:tc>
      </w:tr>
      <w:tr w:rsidR="00754172" w14:paraId="7F48C83A" w14:textId="77777777">
        <w:trPr>
          <w:trHeight w:val="300"/>
        </w:trPr>
        <w:tc>
          <w:tcPr>
            <w:tcW w:w="1545" w:type="dxa"/>
            <w:tcBorders>
              <w:top w:val="nil"/>
              <w:left w:val="single" w:sz="8" w:space="0" w:color="000000"/>
              <w:bottom w:val="single" w:sz="8" w:space="0" w:color="000000"/>
              <w:right w:val="single" w:sz="8" w:space="0" w:color="000000"/>
            </w:tcBorders>
            <w:vAlign w:val="center"/>
          </w:tcPr>
          <w:p w14:paraId="5D28A58B" w14:textId="77777777" w:rsidR="00754172" w:rsidRDefault="00000000" w:rsidP="003A3267">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Total</w:t>
            </w:r>
          </w:p>
        </w:tc>
        <w:tc>
          <w:tcPr>
            <w:tcW w:w="1365" w:type="dxa"/>
            <w:tcBorders>
              <w:top w:val="nil"/>
              <w:left w:val="nil"/>
              <w:bottom w:val="single" w:sz="8" w:space="0" w:color="000000"/>
              <w:right w:val="single" w:sz="8" w:space="0" w:color="000000"/>
            </w:tcBorders>
            <w:vAlign w:val="center"/>
          </w:tcPr>
          <w:p w14:paraId="7B63BA9B"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167</w:t>
            </w:r>
          </w:p>
        </w:tc>
        <w:tc>
          <w:tcPr>
            <w:tcW w:w="960" w:type="dxa"/>
            <w:tcBorders>
              <w:top w:val="nil"/>
              <w:left w:val="nil"/>
              <w:bottom w:val="single" w:sz="8" w:space="0" w:color="000000"/>
              <w:right w:val="single" w:sz="8" w:space="0" w:color="000000"/>
            </w:tcBorders>
            <w:vAlign w:val="center"/>
          </w:tcPr>
          <w:p w14:paraId="3BFAC8D7"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116</w:t>
            </w:r>
          </w:p>
        </w:tc>
        <w:tc>
          <w:tcPr>
            <w:tcW w:w="915" w:type="dxa"/>
            <w:tcBorders>
              <w:top w:val="nil"/>
              <w:left w:val="nil"/>
              <w:bottom w:val="single" w:sz="8" w:space="0" w:color="000000"/>
              <w:right w:val="single" w:sz="8" w:space="0" w:color="000000"/>
            </w:tcBorders>
            <w:vAlign w:val="center"/>
          </w:tcPr>
          <w:p w14:paraId="1EF7B5C0"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w:t>
            </w:r>
          </w:p>
        </w:tc>
        <w:tc>
          <w:tcPr>
            <w:tcW w:w="855" w:type="dxa"/>
            <w:tcBorders>
              <w:top w:val="nil"/>
              <w:left w:val="nil"/>
              <w:bottom w:val="single" w:sz="8" w:space="0" w:color="000000"/>
              <w:right w:val="single" w:sz="8" w:space="0" w:color="000000"/>
            </w:tcBorders>
            <w:vAlign w:val="center"/>
          </w:tcPr>
          <w:p w14:paraId="200451D5"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1.445</w:t>
            </w:r>
          </w:p>
        </w:tc>
        <w:tc>
          <w:tcPr>
            <w:tcW w:w="960" w:type="dxa"/>
            <w:tcBorders>
              <w:top w:val="nil"/>
              <w:left w:val="nil"/>
              <w:bottom w:val="single" w:sz="8" w:space="0" w:color="000000"/>
              <w:right w:val="single" w:sz="8" w:space="0" w:color="000000"/>
            </w:tcBorders>
            <w:vAlign w:val="center"/>
          </w:tcPr>
          <w:p w14:paraId="60C40C01"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79</w:t>
            </w:r>
          </w:p>
        </w:tc>
        <w:tc>
          <w:tcPr>
            <w:tcW w:w="615" w:type="dxa"/>
            <w:tcBorders>
              <w:top w:val="nil"/>
              <w:left w:val="nil"/>
              <w:bottom w:val="single" w:sz="8" w:space="0" w:color="000000"/>
              <w:right w:val="single" w:sz="8" w:space="0" w:color="000000"/>
            </w:tcBorders>
            <w:vAlign w:val="center"/>
          </w:tcPr>
          <w:p w14:paraId="5C0D61F8"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39</w:t>
            </w:r>
          </w:p>
        </w:tc>
        <w:tc>
          <w:tcPr>
            <w:tcW w:w="675" w:type="dxa"/>
            <w:tcBorders>
              <w:top w:val="nil"/>
              <w:left w:val="nil"/>
              <w:bottom w:val="single" w:sz="8" w:space="0" w:color="000000"/>
              <w:right w:val="single" w:sz="8" w:space="0" w:color="000000"/>
            </w:tcBorders>
            <w:vAlign w:val="center"/>
          </w:tcPr>
          <w:p w14:paraId="08745E9C"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w:t>
            </w:r>
          </w:p>
        </w:tc>
        <w:tc>
          <w:tcPr>
            <w:tcW w:w="945" w:type="dxa"/>
            <w:tcBorders>
              <w:top w:val="nil"/>
              <w:left w:val="nil"/>
              <w:bottom w:val="single" w:sz="8" w:space="0" w:color="000000"/>
              <w:right w:val="single" w:sz="8" w:space="0" w:color="000000"/>
            </w:tcBorders>
            <w:vAlign w:val="center"/>
          </w:tcPr>
          <w:p w14:paraId="735E2F48"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1.858</w:t>
            </w:r>
          </w:p>
        </w:tc>
      </w:tr>
    </w:tbl>
    <w:p w14:paraId="263648A4" w14:textId="77777777" w:rsidR="00754172" w:rsidRDefault="0000000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Fuente: Elaboración propia a partir de la Base RIES.</w:t>
      </w:r>
    </w:p>
    <w:p w14:paraId="0B8D80E4" w14:textId="77777777" w:rsidR="00754172" w:rsidRDefault="00754172">
      <w:pPr>
        <w:spacing w:after="0" w:line="240" w:lineRule="auto"/>
        <w:jc w:val="both"/>
        <w:rPr>
          <w:rFonts w:ascii="Arial" w:eastAsia="Arial" w:hAnsi="Arial" w:cs="Arial"/>
        </w:rPr>
      </w:pPr>
    </w:p>
    <w:p w14:paraId="4E965EFA" w14:textId="77777777" w:rsidR="00754172" w:rsidRDefault="00000000">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¿Cuáles son los organismos que más contribuyen desde el punto de vista cuantitativo a la producción de conocimiento en y sobre la educación secundaria? Claramente, las universidades estatales son las grandes productoras de conocimiento sobre educación secundaria. Esta afirmación no es sorprendente si se considera que el conglomerado universitario está compuesto por numerosas instituciones, algunas de las cuales a su vez están compuestas por varias unidades académicas (Facultades o Departamentos). Las universidades estatales concentran equipos especializados en varios temas, lo cual explica también su alta presencia en todos los temas que organizan el repositorio, no obstante, sería necesario complementar esta perspectiva con estudios de productividad y bibliométricos, para estimar una contribución que supere la mera enumeración de proyectos o publicaciones. Le siguen en cuanto a frecuencia de proyectos los Centros de Investigación que agrupa a un total de 21 organismos y los organismos estatales, la mayoría sectoriales, de educación. </w:t>
      </w:r>
    </w:p>
    <w:p w14:paraId="79C686D7" w14:textId="77777777" w:rsidR="00754172" w:rsidRDefault="00754172">
      <w:pPr>
        <w:spacing w:after="0" w:line="276" w:lineRule="auto"/>
        <w:jc w:val="both"/>
        <w:rPr>
          <w:rFonts w:ascii="Times New Roman" w:eastAsia="Times New Roman" w:hAnsi="Times New Roman" w:cs="Times New Roman"/>
        </w:rPr>
      </w:pPr>
    </w:p>
    <w:p w14:paraId="502FE722" w14:textId="77777777" w:rsidR="00754172" w:rsidRDefault="00000000">
      <w:pPr>
        <w:spacing w:after="0" w:line="276" w:lineRule="auto"/>
        <w:jc w:val="both"/>
        <w:rPr>
          <w:rFonts w:ascii="Times New Roman" w:eastAsia="Times New Roman" w:hAnsi="Times New Roman" w:cs="Times New Roman"/>
          <w:i/>
          <w:iCs/>
        </w:rPr>
      </w:pPr>
      <w:r>
        <w:rPr>
          <w:rFonts w:ascii="Times New Roman" w:eastAsia="Times New Roman" w:hAnsi="Times New Roman" w:cs="Times New Roman"/>
        </w:rPr>
        <w:t xml:space="preserve">Como se ve en la tabla precedente los temas más frecuentes en el repositorio son Enseñanza y aprendizaje y currículum, Políticas Educativas, Educación y desigualdad que concentran un tercio del total de proyectos. A continuación, se describe de manera más detallada la información desagregada por tema.  </w:t>
      </w:r>
    </w:p>
    <w:p w14:paraId="58C2D519" w14:textId="77777777" w:rsidR="00754172" w:rsidRDefault="00754172">
      <w:pPr>
        <w:spacing w:after="0" w:line="276" w:lineRule="auto"/>
        <w:jc w:val="both"/>
        <w:rPr>
          <w:rFonts w:ascii="Times New Roman" w:eastAsia="Times New Roman" w:hAnsi="Times New Roman" w:cs="Times New Roman"/>
          <w:b/>
          <w:bCs/>
        </w:rPr>
      </w:pPr>
    </w:p>
    <w:p w14:paraId="45760071" w14:textId="77777777" w:rsidR="00754172" w:rsidRDefault="00000000">
      <w:pPr>
        <w:spacing w:after="0" w:line="276" w:lineRule="auto"/>
        <w:jc w:val="both"/>
        <w:rPr>
          <w:rFonts w:ascii="Times New Roman" w:eastAsia="Times New Roman" w:hAnsi="Times New Roman" w:cs="Times New Roman"/>
          <w:i/>
          <w:iCs/>
        </w:rPr>
      </w:pPr>
      <w:r>
        <w:rPr>
          <w:rFonts w:ascii="Times New Roman" w:eastAsia="Times New Roman" w:hAnsi="Times New Roman" w:cs="Times New Roman"/>
          <w:i/>
          <w:iCs/>
        </w:rPr>
        <w:lastRenderedPageBreak/>
        <w:t xml:space="preserve">Enseñanza y aprendizaje y </w:t>
      </w:r>
      <w:proofErr w:type="spellStart"/>
      <w:r>
        <w:rPr>
          <w:rFonts w:ascii="Times New Roman" w:eastAsia="Times New Roman" w:hAnsi="Times New Roman" w:cs="Times New Roman"/>
          <w:i/>
          <w:iCs/>
        </w:rPr>
        <w:t>curriculum</w:t>
      </w:r>
      <w:proofErr w:type="spellEnd"/>
    </w:p>
    <w:p w14:paraId="5AFBB927" w14:textId="77777777" w:rsidR="00754172" w:rsidRDefault="00754172">
      <w:pPr>
        <w:spacing w:after="0" w:line="276" w:lineRule="auto"/>
        <w:jc w:val="both"/>
        <w:rPr>
          <w:rFonts w:ascii="Times New Roman" w:eastAsia="Times New Roman" w:hAnsi="Times New Roman" w:cs="Times New Roman"/>
          <w:i/>
          <w:iCs/>
        </w:rPr>
      </w:pPr>
    </w:p>
    <w:p w14:paraId="05FAFFAA" w14:textId="77777777" w:rsidR="00754172" w:rsidRDefault="00000000">
      <w:pPr>
        <w:spacing w:after="0" w:line="276" w:lineRule="auto"/>
        <w:jc w:val="both"/>
        <w:rPr>
          <w:rFonts w:ascii="Times New Roman" w:eastAsia="Times New Roman" w:hAnsi="Times New Roman" w:cs="Times New Roman"/>
          <w:b/>
          <w:bCs/>
        </w:rPr>
      </w:pPr>
      <w:r>
        <w:rPr>
          <w:rFonts w:ascii="Times New Roman" w:eastAsia="Times New Roman" w:hAnsi="Times New Roman" w:cs="Times New Roman"/>
        </w:rPr>
        <w:t xml:space="preserve">De los 481 proyectos clasificados bajo este eje temático, 440, la gran mayoría, son desarrollados por las universidades estatales tanto nacionales como provinciales. Pareciera evidente que la agenda de enseñanza, aprendizaje y </w:t>
      </w:r>
      <w:proofErr w:type="spellStart"/>
      <w:r>
        <w:rPr>
          <w:rFonts w:ascii="Times New Roman" w:eastAsia="Times New Roman" w:hAnsi="Times New Roman" w:cs="Times New Roman"/>
        </w:rPr>
        <w:t>curriculum</w:t>
      </w:r>
      <w:proofErr w:type="spellEnd"/>
      <w:r>
        <w:rPr>
          <w:rFonts w:ascii="Times New Roman" w:eastAsia="Times New Roman" w:hAnsi="Times New Roman" w:cs="Times New Roman"/>
        </w:rPr>
        <w:t xml:space="preserve"> es encarada por estas unidades académicas, orientación asociada a la especialización y al interés de las cátedras de formación de las carreras de grado y de posgrado. De las universidades nacionales y provinciales que registran producción en este eje temático, 8 concentran 282 proyectos, es decir más de la mitad y, el resto, 231 proyectos. En el cuadro siguiente figuran las 12 universidades estatales que registran 10 o más proyectos sobre este tema. Las primeras son dos de las tres grandes universidades históricas que se ubican en la región centro, lo que contribuye al desequilibrio regional. Destaquemos que, entre todas, la Universidad Nacional de La Plata (UNLP) se destaca por sobre el resto de las universidades por la gran cantidad de producciones, en este y en otros campos como se presenta más adelante, seguida por la Universidad Nacional de Córdoba (UNC). La Universidad de Buenos Aires (UBA) puede ubicarse en el grupo que registra alrededor de 25 proyectos junto con la Universidad Nacional del Comahue (</w:t>
      </w:r>
      <w:proofErr w:type="spellStart"/>
      <w:r>
        <w:rPr>
          <w:rFonts w:ascii="Times New Roman" w:eastAsia="Times New Roman" w:hAnsi="Times New Roman" w:cs="Times New Roman"/>
        </w:rPr>
        <w:t>UNCo</w:t>
      </w:r>
      <w:proofErr w:type="spellEnd"/>
      <w:r>
        <w:rPr>
          <w:rFonts w:ascii="Times New Roman" w:eastAsia="Times New Roman" w:hAnsi="Times New Roman" w:cs="Times New Roman"/>
        </w:rPr>
        <w:t>), la Nacional de Salta (</w:t>
      </w:r>
      <w:proofErr w:type="spellStart"/>
      <w:r>
        <w:rPr>
          <w:rFonts w:ascii="Times New Roman" w:eastAsia="Times New Roman" w:hAnsi="Times New Roman" w:cs="Times New Roman"/>
        </w:rPr>
        <w:t>UNSa</w:t>
      </w:r>
      <w:proofErr w:type="spellEnd"/>
      <w:r>
        <w:rPr>
          <w:rFonts w:ascii="Times New Roman" w:eastAsia="Times New Roman" w:hAnsi="Times New Roman" w:cs="Times New Roman"/>
        </w:rPr>
        <w:t xml:space="preserve">) y la de General Sarmiento (UNGS). Con independencia de la cantidad de proyectos, se observa que la investigación en este campo está distribuida en varias regiones del territorio nacional. </w:t>
      </w:r>
    </w:p>
    <w:p w14:paraId="092EBEDB" w14:textId="77777777" w:rsidR="00754172" w:rsidRDefault="00754172">
      <w:pPr>
        <w:spacing w:after="0" w:line="276" w:lineRule="auto"/>
        <w:jc w:val="both"/>
        <w:rPr>
          <w:rFonts w:ascii="Times New Roman" w:eastAsia="Times New Roman" w:hAnsi="Times New Roman" w:cs="Times New Roman"/>
          <w:b/>
          <w:bCs/>
        </w:rPr>
      </w:pPr>
    </w:p>
    <w:p w14:paraId="615C7D78" w14:textId="77777777" w:rsidR="00754172" w:rsidRDefault="0000000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Cuadro 2. Proyectos relativos a Enseñanza y aprendizaje y currículum según universidades estatales en que se radican (en absolutos). Años 2003 a 2021.</w:t>
      </w:r>
    </w:p>
    <w:p w14:paraId="3446615A" w14:textId="77777777" w:rsidR="00754172" w:rsidRDefault="00754172">
      <w:pPr>
        <w:spacing w:after="0" w:line="240" w:lineRule="auto"/>
        <w:jc w:val="both"/>
        <w:rPr>
          <w:rFonts w:ascii="Arial" w:eastAsia="Arial" w:hAnsi="Arial" w:cs="Arial"/>
          <w:sz w:val="22"/>
          <w:szCs w:val="22"/>
        </w:rPr>
      </w:pPr>
    </w:p>
    <w:tbl>
      <w:tblPr>
        <w:tblStyle w:val="a1"/>
        <w:tblW w:w="4110" w:type="dxa"/>
        <w:tblInd w:w="0" w:type="dxa"/>
        <w:tblLayout w:type="fixed"/>
        <w:tblLook w:val="0400" w:firstRow="0" w:lastRow="0" w:firstColumn="0" w:lastColumn="0" w:noHBand="0" w:noVBand="1"/>
      </w:tblPr>
      <w:tblGrid>
        <w:gridCol w:w="2100"/>
        <w:gridCol w:w="2010"/>
      </w:tblGrid>
      <w:tr w:rsidR="00754172" w14:paraId="66BA2A41" w14:textId="77777777">
        <w:trPr>
          <w:trHeight w:val="290"/>
        </w:trPr>
        <w:tc>
          <w:tcPr>
            <w:tcW w:w="2100" w:type="dxa"/>
            <w:tcBorders>
              <w:top w:val="single" w:sz="4" w:space="0" w:color="000000"/>
              <w:left w:val="single" w:sz="4" w:space="0" w:color="000000"/>
              <w:bottom w:val="single" w:sz="4" w:space="0" w:color="000000"/>
              <w:right w:val="single" w:sz="4" w:space="0" w:color="000000"/>
            </w:tcBorders>
            <w:vAlign w:val="center"/>
          </w:tcPr>
          <w:p w14:paraId="0B117DBC"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Universidad estatal</w:t>
            </w:r>
          </w:p>
        </w:tc>
        <w:tc>
          <w:tcPr>
            <w:tcW w:w="2010" w:type="dxa"/>
            <w:tcBorders>
              <w:top w:val="single" w:sz="4" w:space="0" w:color="000000"/>
              <w:left w:val="nil"/>
              <w:bottom w:val="single" w:sz="4" w:space="0" w:color="000000"/>
              <w:right w:val="single" w:sz="4" w:space="0" w:color="000000"/>
            </w:tcBorders>
            <w:vAlign w:val="center"/>
          </w:tcPr>
          <w:p w14:paraId="39114613"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Investigaciones</w:t>
            </w:r>
          </w:p>
        </w:tc>
      </w:tr>
      <w:tr w:rsidR="00754172" w14:paraId="48DA1910" w14:textId="77777777">
        <w:trPr>
          <w:trHeight w:val="290"/>
        </w:trPr>
        <w:tc>
          <w:tcPr>
            <w:tcW w:w="2100" w:type="dxa"/>
            <w:tcBorders>
              <w:top w:val="nil"/>
              <w:left w:val="single" w:sz="4" w:space="0" w:color="000000"/>
              <w:bottom w:val="single" w:sz="4" w:space="0" w:color="000000"/>
              <w:right w:val="single" w:sz="4" w:space="0" w:color="000000"/>
            </w:tcBorders>
            <w:vAlign w:val="bottom"/>
          </w:tcPr>
          <w:p w14:paraId="0EF3FA46"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UNLP</w:t>
            </w:r>
          </w:p>
        </w:tc>
        <w:tc>
          <w:tcPr>
            <w:tcW w:w="2010" w:type="dxa"/>
            <w:tcBorders>
              <w:top w:val="nil"/>
              <w:left w:val="nil"/>
              <w:bottom w:val="single" w:sz="4" w:space="0" w:color="000000"/>
              <w:right w:val="single" w:sz="4" w:space="0" w:color="000000"/>
            </w:tcBorders>
            <w:vAlign w:val="bottom"/>
          </w:tcPr>
          <w:p w14:paraId="40D5102B"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65</w:t>
            </w:r>
          </w:p>
        </w:tc>
      </w:tr>
      <w:tr w:rsidR="00754172" w14:paraId="689BEE7D" w14:textId="77777777">
        <w:trPr>
          <w:trHeight w:val="290"/>
        </w:trPr>
        <w:tc>
          <w:tcPr>
            <w:tcW w:w="2100" w:type="dxa"/>
            <w:tcBorders>
              <w:top w:val="nil"/>
              <w:left w:val="single" w:sz="4" w:space="0" w:color="000000"/>
              <w:bottom w:val="single" w:sz="4" w:space="0" w:color="000000"/>
              <w:right w:val="single" w:sz="4" w:space="0" w:color="000000"/>
            </w:tcBorders>
            <w:vAlign w:val="bottom"/>
          </w:tcPr>
          <w:p w14:paraId="720053AD"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UNC</w:t>
            </w:r>
          </w:p>
        </w:tc>
        <w:tc>
          <w:tcPr>
            <w:tcW w:w="2010" w:type="dxa"/>
            <w:tcBorders>
              <w:top w:val="nil"/>
              <w:left w:val="nil"/>
              <w:bottom w:val="single" w:sz="4" w:space="0" w:color="000000"/>
              <w:right w:val="single" w:sz="4" w:space="0" w:color="000000"/>
            </w:tcBorders>
            <w:vAlign w:val="bottom"/>
          </w:tcPr>
          <w:p w14:paraId="1196FE0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p>
        </w:tc>
      </w:tr>
      <w:tr w:rsidR="00754172" w14:paraId="6C71E207" w14:textId="77777777">
        <w:trPr>
          <w:trHeight w:val="290"/>
        </w:trPr>
        <w:tc>
          <w:tcPr>
            <w:tcW w:w="2100" w:type="dxa"/>
            <w:tcBorders>
              <w:top w:val="nil"/>
              <w:left w:val="single" w:sz="4" w:space="0" w:color="000000"/>
              <w:bottom w:val="single" w:sz="4" w:space="0" w:color="000000"/>
              <w:right w:val="single" w:sz="4" w:space="0" w:color="000000"/>
            </w:tcBorders>
            <w:vAlign w:val="bottom"/>
          </w:tcPr>
          <w:p w14:paraId="41192819"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UBA</w:t>
            </w:r>
          </w:p>
        </w:tc>
        <w:tc>
          <w:tcPr>
            <w:tcW w:w="2010" w:type="dxa"/>
            <w:tcBorders>
              <w:top w:val="nil"/>
              <w:left w:val="nil"/>
              <w:bottom w:val="single" w:sz="4" w:space="0" w:color="000000"/>
              <w:right w:val="single" w:sz="4" w:space="0" w:color="000000"/>
            </w:tcBorders>
            <w:vAlign w:val="bottom"/>
          </w:tcPr>
          <w:p w14:paraId="7D24162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tc>
      </w:tr>
      <w:tr w:rsidR="00754172" w14:paraId="29A8B1E3" w14:textId="77777777">
        <w:trPr>
          <w:trHeight w:val="290"/>
        </w:trPr>
        <w:tc>
          <w:tcPr>
            <w:tcW w:w="2100" w:type="dxa"/>
            <w:tcBorders>
              <w:top w:val="nil"/>
              <w:left w:val="single" w:sz="4" w:space="0" w:color="000000"/>
              <w:bottom w:val="single" w:sz="4" w:space="0" w:color="000000"/>
              <w:right w:val="single" w:sz="4" w:space="0" w:color="000000"/>
            </w:tcBorders>
            <w:vAlign w:val="bottom"/>
          </w:tcPr>
          <w:p w14:paraId="67F91210" w14:textId="77777777" w:rsidR="00754172" w:rsidRDefault="00000000" w:rsidP="003A3267">
            <w:pPr>
              <w:spacing w:after="0" w:line="240" w:lineRule="auto"/>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UNCo</w:t>
            </w:r>
            <w:proofErr w:type="spellEnd"/>
          </w:p>
        </w:tc>
        <w:tc>
          <w:tcPr>
            <w:tcW w:w="2010" w:type="dxa"/>
            <w:tcBorders>
              <w:top w:val="nil"/>
              <w:left w:val="nil"/>
              <w:bottom w:val="single" w:sz="4" w:space="0" w:color="000000"/>
              <w:right w:val="single" w:sz="4" w:space="0" w:color="000000"/>
            </w:tcBorders>
            <w:vAlign w:val="bottom"/>
          </w:tcPr>
          <w:p w14:paraId="5936E2D4"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w:t>
            </w:r>
          </w:p>
        </w:tc>
      </w:tr>
      <w:tr w:rsidR="00754172" w14:paraId="64ABCD05" w14:textId="77777777">
        <w:trPr>
          <w:trHeight w:val="290"/>
        </w:trPr>
        <w:tc>
          <w:tcPr>
            <w:tcW w:w="2100" w:type="dxa"/>
            <w:tcBorders>
              <w:top w:val="nil"/>
              <w:left w:val="single" w:sz="4" w:space="0" w:color="000000"/>
              <w:bottom w:val="single" w:sz="4" w:space="0" w:color="000000"/>
              <w:right w:val="single" w:sz="4" w:space="0" w:color="000000"/>
            </w:tcBorders>
            <w:vAlign w:val="bottom"/>
          </w:tcPr>
          <w:p w14:paraId="47BD2742" w14:textId="77777777" w:rsidR="00754172" w:rsidRDefault="00000000" w:rsidP="003A3267">
            <w:pPr>
              <w:spacing w:after="0" w:line="240" w:lineRule="auto"/>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UNSa</w:t>
            </w:r>
            <w:proofErr w:type="spellEnd"/>
          </w:p>
        </w:tc>
        <w:tc>
          <w:tcPr>
            <w:tcW w:w="2010" w:type="dxa"/>
            <w:tcBorders>
              <w:top w:val="nil"/>
              <w:left w:val="nil"/>
              <w:bottom w:val="single" w:sz="4" w:space="0" w:color="000000"/>
              <w:right w:val="single" w:sz="4" w:space="0" w:color="000000"/>
            </w:tcBorders>
            <w:vAlign w:val="bottom"/>
          </w:tcPr>
          <w:p w14:paraId="3E97E7FE"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w:t>
            </w:r>
          </w:p>
        </w:tc>
      </w:tr>
      <w:tr w:rsidR="00754172" w14:paraId="2ABC3745" w14:textId="77777777">
        <w:trPr>
          <w:trHeight w:val="290"/>
        </w:trPr>
        <w:tc>
          <w:tcPr>
            <w:tcW w:w="2100" w:type="dxa"/>
            <w:tcBorders>
              <w:top w:val="nil"/>
              <w:left w:val="single" w:sz="4" w:space="0" w:color="000000"/>
              <w:bottom w:val="single" w:sz="4" w:space="0" w:color="000000"/>
              <w:right w:val="single" w:sz="4" w:space="0" w:color="000000"/>
            </w:tcBorders>
            <w:vAlign w:val="bottom"/>
          </w:tcPr>
          <w:p w14:paraId="2DE5192D"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UNGS</w:t>
            </w:r>
          </w:p>
        </w:tc>
        <w:tc>
          <w:tcPr>
            <w:tcW w:w="2010" w:type="dxa"/>
            <w:tcBorders>
              <w:top w:val="nil"/>
              <w:left w:val="nil"/>
              <w:bottom w:val="single" w:sz="4" w:space="0" w:color="000000"/>
              <w:right w:val="single" w:sz="4" w:space="0" w:color="000000"/>
            </w:tcBorders>
            <w:vAlign w:val="bottom"/>
          </w:tcPr>
          <w:p w14:paraId="49039D74"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w:t>
            </w:r>
          </w:p>
        </w:tc>
      </w:tr>
      <w:tr w:rsidR="00754172" w14:paraId="05125766" w14:textId="77777777">
        <w:trPr>
          <w:trHeight w:val="290"/>
        </w:trPr>
        <w:tc>
          <w:tcPr>
            <w:tcW w:w="2100" w:type="dxa"/>
            <w:tcBorders>
              <w:top w:val="nil"/>
              <w:left w:val="single" w:sz="4" w:space="0" w:color="000000"/>
              <w:bottom w:val="single" w:sz="4" w:space="0" w:color="000000"/>
              <w:right w:val="single" w:sz="4" w:space="0" w:color="000000"/>
            </w:tcBorders>
            <w:vAlign w:val="bottom"/>
          </w:tcPr>
          <w:p w14:paraId="11A11A86"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UNL</w:t>
            </w:r>
          </w:p>
        </w:tc>
        <w:tc>
          <w:tcPr>
            <w:tcW w:w="2010" w:type="dxa"/>
            <w:tcBorders>
              <w:top w:val="nil"/>
              <w:left w:val="nil"/>
              <w:bottom w:val="single" w:sz="4" w:space="0" w:color="000000"/>
              <w:right w:val="single" w:sz="4" w:space="0" w:color="000000"/>
            </w:tcBorders>
            <w:vAlign w:val="bottom"/>
          </w:tcPr>
          <w:p w14:paraId="6C8352F4"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tr w:rsidR="00754172" w14:paraId="1D19C262" w14:textId="77777777">
        <w:trPr>
          <w:trHeight w:val="290"/>
        </w:trPr>
        <w:tc>
          <w:tcPr>
            <w:tcW w:w="2100" w:type="dxa"/>
            <w:tcBorders>
              <w:top w:val="nil"/>
              <w:left w:val="single" w:sz="4" w:space="0" w:color="000000"/>
              <w:bottom w:val="single" w:sz="4" w:space="0" w:color="000000"/>
              <w:right w:val="single" w:sz="4" w:space="0" w:color="000000"/>
            </w:tcBorders>
            <w:vAlign w:val="bottom"/>
          </w:tcPr>
          <w:p w14:paraId="2BAFA82B"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UNSJ</w:t>
            </w:r>
          </w:p>
        </w:tc>
        <w:tc>
          <w:tcPr>
            <w:tcW w:w="2010" w:type="dxa"/>
            <w:tcBorders>
              <w:top w:val="nil"/>
              <w:left w:val="nil"/>
              <w:bottom w:val="single" w:sz="4" w:space="0" w:color="000000"/>
              <w:right w:val="single" w:sz="4" w:space="0" w:color="000000"/>
            </w:tcBorders>
            <w:vAlign w:val="bottom"/>
          </w:tcPr>
          <w:p w14:paraId="0CD3315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r>
      <w:tr w:rsidR="00754172" w14:paraId="11512325" w14:textId="77777777">
        <w:trPr>
          <w:trHeight w:val="290"/>
        </w:trPr>
        <w:tc>
          <w:tcPr>
            <w:tcW w:w="2100" w:type="dxa"/>
            <w:tcBorders>
              <w:top w:val="nil"/>
              <w:left w:val="single" w:sz="4" w:space="0" w:color="000000"/>
              <w:bottom w:val="single" w:sz="4" w:space="0" w:color="000000"/>
              <w:right w:val="single" w:sz="4" w:space="0" w:color="000000"/>
            </w:tcBorders>
            <w:vAlign w:val="bottom"/>
          </w:tcPr>
          <w:p w14:paraId="0042FE46" w14:textId="77777777" w:rsidR="00754172" w:rsidRDefault="00000000" w:rsidP="003A3267">
            <w:pPr>
              <w:spacing w:after="0" w:line="240" w:lineRule="auto"/>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UNCuyo</w:t>
            </w:r>
            <w:proofErr w:type="spellEnd"/>
          </w:p>
        </w:tc>
        <w:tc>
          <w:tcPr>
            <w:tcW w:w="2010" w:type="dxa"/>
            <w:tcBorders>
              <w:top w:val="nil"/>
              <w:left w:val="nil"/>
              <w:bottom w:val="single" w:sz="4" w:space="0" w:color="000000"/>
              <w:right w:val="single" w:sz="4" w:space="0" w:color="000000"/>
            </w:tcBorders>
            <w:vAlign w:val="bottom"/>
          </w:tcPr>
          <w:p w14:paraId="252180A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r>
      <w:tr w:rsidR="00754172" w14:paraId="0AFA833C" w14:textId="77777777">
        <w:trPr>
          <w:trHeight w:val="290"/>
        </w:trPr>
        <w:tc>
          <w:tcPr>
            <w:tcW w:w="2100" w:type="dxa"/>
            <w:tcBorders>
              <w:top w:val="nil"/>
              <w:left w:val="single" w:sz="4" w:space="0" w:color="000000"/>
              <w:bottom w:val="single" w:sz="4" w:space="0" w:color="000000"/>
              <w:right w:val="single" w:sz="4" w:space="0" w:color="000000"/>
            </w:tcBorders>
            <w:vAlign w:val="bottom"/>
          </w:tcPr>
          <w:p w14:paraId="70BE0533"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UNICEN</w:t>
            </w:r>
          </w:p>
        </w:tc>
        <w:tc>
          <w:tcPr>
            <w:tcW w:w="2010" w:type="dxa"/>
            <w:tcBorders>
              <w:top w:val="nil"/>
              <w:left w:val="nil"/>
              <w:bottom w:val="single" w:sz="4" w:space="0" w:color="000000"/>
              <w:right w:val="single" w:sz="4" w:space="0" w:color="000000"/>
            </w:tcBorders>
            <w:vAlign w:val="bottom"/>
          </w:tcPr>
          <w:p w14:paraId="44DA6FA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r>
      <w:tr w:rsidR="00754172" w14:paraId="46A124E2" w14:textId="77777777">
        <w:trPr>
          <w:trHeight w:val="290"/>
        </w:trPr>
        <w:tc>
          <w:tcPr>
            <w:tcW w:w="2100" w:type="dxa"/>
            <w:tcBorders>
              <w:top w:val="nil"/>
              <w:left w:val="single" w:sz="4" w:space="0" w:color="000000"/>
              <w:bottom w:val="single" w:sz="4" w:space="0" w:color="000000"/>
              <w:right w:val="single" w:sz="4" w:space="0" w:color="000000"/>
            </w:tcBorders>
            <w:vAlign w:val="bottom"/>
          </w:tcPr>
          <w:p w14:paraId="47894A4C" w14:textId="77777777" w:rsidR="00754172" w:rsidRDefault="00000000" w:rsidP="003A3267">
            <w:pPr>
              <w:spacing w:after="0" w:line="240" w:lineRule="auto"/>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UNLPam</w:t>
            </w:r>
            <w:proofErr w:type="spellEnd"/>
          </w:p>
        </w:tc>
        <w:tc>
          <w:tcPr>
            <w:tcW w:w="2010" w:type="dxa"/>
            <w:tcBorders>
              <w:top w:val="nil"/>
              <w:left w:val="nil"/>
              <w:bottom w:val="single" w:sz="4" w:space="0" w:color="000000"/>
              <w:right w:val="single" w:sz="4" w:space="0" w:color="000000"/>
            </w:tcBorders>
            <w:vAlign w:val="bottom"/>
          </w:tcPr>
          <w:p w14:paraId="78F4139B"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r>
      <w:tr w:rsidR="00754172" w14:paraId="70E45448" w14:textId="77777777">
        <w:trPr>
          <w:trHeight w:val="290"/>
        </w:trPr>
        <w:tc>
          <w:tcPr>
            <w:tcW w:w="2100" w:type="dxa"/>
            <w:tcBorders>
              <w:top w:val="nil"/>
              <w:left w:val="single" w:sz="4" w:space="0" w:color="000000"/>
              <w:bottom w:val="single" w:sz="4" w:space="0" w:color="000000"/>
              <w:right w:val="single" w:sz="4" w:space="0" w:color="000000"/>
            </w:tcBorders>
            <w:vAlign w:val="bottom"/>
          </w:tcPr>
          <w:p w14:paraId="2F10CA72"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UNRC</w:t>
            </w:r>
          </w:p>
        </w:tc>
        <w:tc>
          <w:tcPr>
            <w:tcW w:w="2010" w:type="dxa"/>
            <w:tcBorders>
              <w:top w:val="nil"/>
              <w:left w:val="nil"/>
              <w:bottom w:val="single" w:sz="4" w:space="0" w:color="000000"/>
              <w:right w:val="single" w:sz="4" w:space="0" w:color="000000"/>
            </w:tcBorders>
            <w:vAlign w:val="bottom"/>
          </w:tcPr>
          <w:p w14:paraId="323330C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r>
    </w:tbl>
    <w:p w14:paraId="02823B42" w14:textId="77777777" w:rsidR="00754172" w:rsidRDefault="0000000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Fuente: Elaboración propia a partir de la Base RIES.</w:t>
      </w:r>
    </w:p>
    <w:p w14:paraId="5927F212" w14:textId="77777777" w:rsidR="00754172" w:rsidRDefault="00754172">
      <w:pPr>
        <w:spacing w:after="0" w:line="240" w:lineRule="auto"/>
        <w:jc w:val="both"/>
        <w:rPr>
          <w:rFonts w:ascii="Times New Roman" w:eastAsia="Times New Roman" w:hAnsi="Times New Roman" w:cs="Times New Roman"/>
        </w:rPr>
      </w:pPr>
    </w:p>
    <w:p w14:paraId="6C7E84FD" w14:textId="77777777" w:rsidR="00754172" w:rsidRDefault="00000000">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El eje temático Enseñanza y aprendizaje y currículum engloba a un conjunto de temas cuyo objeto es el estudio de la transmisión de conocimientos desde distintas perspectivas. </w:t>
      </w:r>
      <w:r>
        <w:rPr>
          <w:rFonts w:ascii="Times New Roman" w:eastAsia="Times New Roman" w:hAnsi="Times New Roman" w:cs="Times New Roman"/>
        </w:rPr>
        <w:lastRenderedPageBreak/>
        <w:t>Desagregando en subtemas los proyectos que están agrupados en este eje, se advierte que las llamadas áreas curriculares básicas son objeto de investigación de 38 de las 43 universidades estatales, con una concentración de investigaciones en el área que agrupa a las Ciencias Exactas y Naturales (de las que sobresale Matemática), seguidas de Escritura y Comprensión Lectora. Se advierten universidades “especializadas” en algunos temas, lo que probablemente se explique por las estructuras institucionales, como la carrera de Educación Física de la UNLP o por la presencia de equipos con continuidad que se han especializado en temáticas específicas, como en el caso de la UNC para el caso de Escritura y comprensión lectora, y dispositivos pedagógicos y currículum.</w:t>
      </w:r>
    </w:p>
    <w:p w14:paraId="4CC0D6B2" w14:textId="77777777" w:rsidR="00754172" w:rsidRDefault="00754172">
      <w:pPr>
        <w:spacing w:after="0" w:line="276" w:lineRule="auto"/>
        <w:jc w:val="both"/>
        <w:rPr>
          <w:rFonts w:ascii="Times New Roman" w:eastAsia="Times New Roman" w:hAnsi="Times New Roman" w:cs="Times New Roman"/>
        </w:rPr>
      </w:pPr>
    </w:p>
    <w:p w14:paraId="1CF93D03" w14:textId="77777777" w:rsidR="00754172" w:rsidRDefault="00754172">
      <w:pPr>
        <w:spacing w:after="0" w:line="240" w:lineRule="auto"/>
        <w:jc w:val="both"/>
        <w:rPr>
          <w:rFonts w:ascii="Times New Roman" w:eastAsia="Times New Roman" w:hAnsi="Times New Roman" w:cs="Times New Roman"/>
        </w:rPr>
      </w:pPr>
    </w:p>
    <w:p w14:paraId="20A66778" w14:textId="77777777" w:rsidR="00754172" w:rsidRDefault="0000000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Cuadro 3. Distribución de subtemas de Enseñanza, aprendizaje y currículum en las doce universidades con más presencia de proyectos en el tema (Orden alfabético, en absolutos). Años 2003 a 2021.</w:t>
      </w:r>
    </w:p>
    <w:p w14:paraId="2ADC3618" w14:textId="77777777" w:rsidR="00754172" w:rsidRDefault="00754172">
      <w:pPr>
        <w:spacing w:after="0" w:line="240" w:lineRule="auto"/>
        <w:jc w:val="both"/>
        <w:rPr>
          <w:rFonts w:ascii="Arial" w:eastAsia="Arial" w:hAnsi="Arial" w:cs="Arial"/>
          <w:sz w:val="22"/>
          <w:szCs w:val="22"/>
        </w:rPr>
      </w:pPr>
    </w:p>
    <w:tbl>
      <w:tblPr>
        <w:tblStyle w:val="a2"/>
        <w:tblW w:w="9481" w:type="dxa"/>
        <w:tblInd w:w="-1003" w:type="dxa"/>
        <w:tblLayout w:type="fixed"/>
        <w:tblLook w:val="0400" w:firstRow="0" w:lastRow="0" w:firstColumn="0" w:lastColumn="0" w:noHBand="0" w:noVBand="1"/>
      </w:tblPr>
      <w:tblGrid>
        <w:gridCol w:w="729"/>
        <w:gridCol w:w="729"/>
        <w:gridCol w:w="729"/>
        <w:gridCol w:w="731"/>
        <w:gridCol w:w="729"/>
        <w:gridCol w:w="729"/>
        <w:gridCol w:w="731"/>
        <w:gridCol w:w="729"/>
        <w:gridCol w:w="729"/>
        <w:gridCol w:w="730"/>
        <w:gridCol w:w="728"/>
        <w:gridCol w:w="728"/>
        <w:gridCol w:w="730"/>
      </w:tblGrid>
      <w:tr w:rsidR="00754172" w14:paraId="2FAD8CCD" w14:textId="77777777" w:rsidTr="003A3267">
        <w:trPr>
          <w:trHeight w:val="970"/>
        </w:trPr>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5D1405D7"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UNIV</w:t>
            </w:r>
          </w:p>
        </w:tc>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6431021D"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Ciencia y Tecnología, Argumentación científica</w:t>
            </w:r>
          </w:p>
        </w:tc>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472AF9C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Ciudadanía</w:t>
            </w:r>
          </w:p>
        </w:tc>
        <w:tc>
          <w:tcPr>
            <w:tcW w:w="731" w:type="dxa"/>
            <w:tcBorders>
              <w:top w:val="single" w:sz="4" w:space="0" w:color="auto"/>
              <w:left w:val="single" w:sz="4" w:space="0" w:color="auto"/>
              <w:bottom w:val="single" w:sz="4" w:space="0" w:color="auto"/>
              <w:right w:val="single" w:sz="4" w:space="0" w:color="auto"/>
            </w:tcBorders>
            <w:shd w:val="clear" w:color="auto" w:fill="D9E1F2"/>
            <w:vAlign w:val="center"/>
          </w:tcPr>
          <w:p w14:paraId="56BD7965"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Disciplinas artísticas</w:t>
            </w:r>
          </w:p>
        </w:tc>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3DE70EAE"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Dispositivos pedagógicos y </w:t>
            </w:r>
            <w:proofErr w:type="spellStart"/>
            <w:r>
              <w:rPr>
                <w:rFonts w:ascii="Times New Roman" w:eastAsia="Times New Roman" w:hAnsi="Times New Roman" w:cs="Times New Roman"/>
                <w:sz w:val="18"/>
                <w:szCs w:val="18"/>
              </w:rPr>
              <w:t>curriculum</w:t>
            </w:r>
            <w:proofErr w:type="spellEnd"/>
          </w:p>
        </w:tc>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642AEDC5"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Educación Física</w:t>
            </w:r>
          </w:p>
        </w:tc>
        <w:tc>
          <w:tcPr>
            <w:tcW w:w="731" w:type="dxa"/>
            <w:tcBorders>
              <w:top w:val="single" w:sz="4" w:space="0" w:color="auto"/>
              <w:left w:val="single" w:sz="4" w:space="0" w:color="auto"/>
              <w:bottom w:val="single" w:sz="4" w:space="0" w:color="auto"/>
              <w:right w:val="single" w:sz="4" w:space="0" w:color="auto"/>
            </w:tcBorders>
            <w:shd w:val="clear" w:color="auto" w:fill="D9E1F2"/>
            <w:vAlign w:val="center"/>
          </w:tcPr>
          <w:p w14:paraId="5DF0801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Escritura y comprensión lectora</w:t>
            </w:r>
          </w:p>
        </w:tc>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6E70122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Filosofía</w:t>
            </w:r>
          </w:p>
        </w:tc>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5C747944"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Geografía</w:t>
            </w:r>
          </w:p>
        </w:tc>
        <w:tc>
          <w:tcPr>
            <w:tcW w:w="730" w:type="dxa"/>
            <w:tcBorders>
              <w:top w:val="single" w:sz="4" w:space="0" w:color="auto"/>
              <w:left w:val="single" w:sz="4" w:space="0" w:color="auto"/>
              <w:bottom w:val="single" w:sz="4" w:space="0" w:color="auto"/>
              <w:right w:val="single" w:sz="4" w:space="0" w:color="auto"/>
            </w:tcBorders>
            <w:shd w:val="clear" w:color="auto" w:fill="D9E1F2"/>
            <w:vAlign w:val="center"/>
          </w:tcPr>
          <w:p w14:paraId="7B5D1A8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Historia</w:t>
            </w:r>
          </w:p>
        </w:tc>
        <w:tc>
          <w:tcPr>
            <w:tcW w:w="728" w:type="dxa"/>
            <w:tcBorders>
              <w:top w:val="single" w:sz="4" w:space="0" w:color="auto"/>
              <w:left w:val="single" w:sz="4" w:space="0" w:color="auto"/>
              <w:bottom w:val="single" w:sz="4" w:space="0" w:color="auto"/>
              <w:right w:val="single" w:sz="4" w:space="0" w:color="auto"/>
            </w:tcBorders>
            <w:shd w:val="clear" w:color="auto" w:fill="D9E1F2"/>
            <w:vAlign w:val="center"/>
          </w:tcPr>
          <w:p w14:paraId="3DCF1A9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Literatura</w:t>
            </w:r>
          </w:p>
        </w:tc>
        <w:tc>
          <w:tcPr>
            <w:tcW w:w="728" w:type="dxa"/>
            <w:tcBorders>
              <w:top w:val="single" w:sz="4" w:space="0" w:color="auto"/>
              <w:left w:val="single" w:sz="4" w:space="0" w:color="auto"/>
              <w:bottom w:val="single" w:sz="4" w:space="0" w:color="auto"/>
              <w:right w:val="single" w:sz="4" w:space="0" w:color="auto"/>
            </w:tcBorders>
            <w:shd w:val="clear" w:color="auto" w:fill="D9E1F2"/>
            <w:vAlign w:val="center"/>
          </w:tcPr>
          <w:p w14:paraId="4D3CB8C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Matemática/Física/Biología/Medio ambiente</w:t>
            </w:r>
          </w:p>
        </w:tc>
        <w:tc>
          <w:tcPr>
            <w:tcW w:w="730" w:type="dxa"/>
            <w:tcBorders>
              <w:top w:val="single" w:sz="4" w:space="0" w:color="auto"/>
              <w:left w:val="single" w:sz="4" w:space="0" w:color="auto"/>
              <w:bottom w:val="single" w:sz="4" w:space="0" w:color="auto"/>
              <w:right w:val="single" w:sz="4" w:space="0" w:color="auto"/>
            </w:tcBorders>
            <w:shd w:val="clear" w:color="auto" w:fill="D9E1F2"/>
            <w:vAlign w:val="center"/>
          </w:tcPr>
          <w:p w14:paraId="2D8A5A0E"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Total</w:t>
            </w:r>
          </w:p>
        </w:tc>
      </w:tr>
      <w:tr w:rsidR="00754172" w14:paraId="25044F16" w14:textId="77777777" w:rsidTr="003A3267">
        <w:trPr>
          <w:trHeight w:val="300"/>
        </w:trPr>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2FFF536A" w14:textId="77777777" w:rsidR="00754172" w:rsidRDefault="00000000" w:rsidP="003A3267">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UNLP</w:t>
            </w:r>
          </w:p>
        </w:tc>
        <w:tc>
          <w:tcPr>
            <w:tcW w:w="729" w:type="dxa"/>
            <w:tcBorders>
              <w:top w:val="single" w:sz="4" w:space="0" w:color="auto"/>
              <w:left w:val="single" w:sz="4" w:space="0" w:color="auto"/>
              <w:bottom w:val="single" w:sz="4" w:space="0" w:color="auto"/>
              <w:right w:val="single" w:sz="4" w:space="0" w:color="auto"/>
            </w:tcBorders>
            <w:vAlign w:val="center"/>
          </w:tcPr>
          <w:p w14:paraId="712FD32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729" w:type="dxa"/>
            <w:tcBorders>
              <w:top w:val="single" w:sz="4" w:space="0" w:color="auto"/>
              <w:left w:val="single" w:sz="4" w:space="0" w:color="auto"/>
              <w:bottom w:val="single" w:sz="4" w:space="0" w:color="auto"/>
              <w:right w:val="single" w:sz="4" w:space="0" w:color="auto"/>
            </w:tcBorders>
            <w:vAlign w:val="center"/>
          </w:tcPr>
          <w:p w14:paraId="52C4BAF0"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31" w:type="dxa"/>
            <w:tcBorders>
              <w:top w:val="single" w:sz="4" w:space="0" w:color="auto"/>
              <w:left w:val="single" w:sz="4" w:space="0" w:color="auto"/>
              <w:bottom w:val="single" w:sz="4" w:space="0" w:color="auto"/>
              <w:right w:val="single" w:sz="4" w:space="0" w:color="auto"/>
            </w:tcBorders>
            <w:vAlign w:val="center"/>
          </w:tcPr>
          <w:p w14:paraId="60446A85"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729" w:type="dxa"/>
            <w:tcBorders>
              <w:top w:val="single" w:sz="4" w:space="0" w:color="auto"/>
              <w:left w:val="single" w:sz="4" w:space="0" w:color="auto"/>
              <w:bottom w:val="single" w:sz="4" w:space="0" w:color="auto"/>
              <w:right w:val="single" w:sz="4" w:space="0" w:color="auto"/>
            </w:tcBorders>
            <w:vAlign w:val="center"/>
          </w:tcPr>
          <w:p w14:paraId="3BB74848"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29" w:type="dxa"/>
            <w:tcBorders>
              <w:top w:val="single" w:sz="4" w:space="0" w:color="auto"/>
              <w:left w:val="single" w:sz="4" w:space="0" w:color="auto"/>
              <w:bottom w:val="single" w:sz="4" w:space="0" w:color="auto"/>
              <w:right w:val="single" w:sz="4" w:space="0" w:color="auto"/>
            </w:tcBorders>
            <w:vAlign w:val="center"/>
          </w:tcPr>
          <w:p w14:paraId="015CD57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c>
          <w:tcPr>
            <w:tcW w:w="731" w:type="dxa"/>
            <w:tcBorders>
              <w:top w:val="single" w:sz="4" w:space="0" w:color="auto"/>
              <w:left w:val="single" w:sz="4" w:space="0" w:color="auto"/>
              <w:bottom w:val="single" w:sz="4" w:space="0" w:color="auto"/>
              <w:right w:val="single" w:sz="4" w:space="0" w:color="auto"/>
            </w:tcBorders>
            <w:vAlign w:val="center"/>
          </w:tcPr>
          <w:p w14:paraId="6174F70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729" w:type="dxa"/>
            <w:tcBorders>
              <w:top w:val="single" w:sz="4" w:space="0" w:color="auto"/>
              <w:left w:val="single" w:sz="4" w:space="0" w:color="auto"/>
              <w:bottom w:val="single" w:sz="4" w:space="0" w:color="auto"/>
              <w:right w:val="single" w:sz="4" w:space="0" w:color="auto"/>
            </w:tcBorders>
            <w:vAlign w:val="center"/>
          </w:tcPr>
          <w:p w14:paraId="5F351950"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29" w:type="dxa"/>
            <w:tcBorders>
              <w:top w:val="single" w:sz="4" w:space="0" w:color="auto"/>
              <w:left w:val="single" w:sz="4" w:space="0" w:color="auto"/>
              <w:bottom w:val="single" w:sz="4" w:space="0" w:color="auto"/>
              <w:right w:val="single" w:sz="4" w:space="0" w:color="auto"/>
            </w:tcBorders>
            <w:vAlign w:val="center"/>
          </w:tcPr>
          <w:p w14:paraId="1318F49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730" w:type="dxa"/>
            <w:tcBorders>
              <w:top w:val="single" w:sz="4" w:space="0" w:color="auto"/>
              <w:left w:val="single" w:sz="4" w:space="0" w:color="auto"/>
              <w:bottom w:val="single" w:sz="4" w:space="0" w:color="auto"/>
              <w:right w:val="single" w:sz="4" w:space="0" w:color="auto"/>
            </w:tcBorders>
            <w:vAlign w:val="center"/>
          </w:tcPr>
          <w:p w14:paraId="3F6C3F97"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728" w:type="dxa"/>
            <w:tcBorders>
              <w:top w:val="single" w:sz="4" w:space="0" w:color="auto"/>
              <w:left w:val="single" w:sz="4" w:space="0" w:color="auto"/>
              <w:bottom w:val="single" w:sz="4" w:space="0" w:color="auto"/>
              <w:right w:val="single" w:sz="4" w:space="0" w:color="auto"/>
            </w:tcBorders>
            <w:vAlign w:val="center"/>
          </w:tcPr>
          <w:p w14:paraId="36D04B90"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728" w:type="dxa"/>
            <w:tcBorders>
              <w:top w:val="single" w:sz="4" w:space="0" w:color="auto"/>
              <w:left w:val="single" w:sz="4" w:space="0" w:color="auto"/>
              <w:bottom w:val="single" w:sz="4" w:space="0" w:color="auto"/>
              <w:right w:val="single" w:sz="4" w:space="0" w:color="auto"/>
            </w:tcBorders>
            <w:vAlign w:val="center"/>
          </w:tcPr>
          <w:p w14:paraId="6FEFA6A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730" w:type="dxa"/>
            <w:tcBorders>
              <w:top w:val="single" w:sz="4" w:space="0" w:color="auto"/>
              <w:left w:val="single" w:sz="4" w:space="0" w:color="auto"/>
              <w:bottom w:val="single" w:sz="4" w:space="0" w:color="auto"/>
              <w:right w:val="single" w:sz="4" w:space="0" w:color="auto"/>
            </w:tcBorders>
            <w:shd w:val="clear" w:color="auto" w:fill="D9E1F2"/>
            <w:vAlign w:val="center"/>
          </w:tcPr>
          <w:p w14:paraId="57D86E17"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64</w:t>
            </w:r>
          </w:p>
        </w:tc>
      </w:tr>
      <w:tr w:rsidR="00754172" w14:paraId="7141BDB6" w14:textId="77777777" w:rsidTr="003A3267">
        <w:trPr>
          <w:trHeight w:val="300"/>
        </w:trPr>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315AB398" w14:textId="77777777" w:rsidR="00754172" w:rsidRDefault="00000000" w:rsidP="003A3267">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UNC</w:t>
            </w:r>
          </w:p>
        </w:tc>
        <w:tc>
          <w:tcPr>
            <w:tcW w:w="729" w:type="dxa"/>
            <w:tcBorders>
              <w:top w:val="single" w:sz="4" w:space="0" w:color="auto"/>
              <w:left w:val="single" w:sz="4" w:space="0" w:color="auto"/>
              <w:bottom w:val="single" w:sz="4" w:space="0" w:color="auto"/>
              <w:right w:val="single" w:sz="4" w:space="0" w:color="auto"/>
            </w:tcBorders>
            <w:vAlign w:val="center"/>
          </w:tcPr>
          <w:p w14:paraId="7FA8955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729" w:type="dxa"/>
            <w:tcBorders>
              <w:top w:val="single" w:sz="4" w:space="0" w:color="auto"/>
              <w:left w:val="single" w:sz="4" w:space="0" w:color="auto"/>
              <w:bottom w:val="single" w:sz="4" w:space="0" w:color="auto"/>
              <w:right w:val="single" w:sz="4" w:space="0" w:color="auto"/>
            </w:tcBorders>
            <w:vAlign w:val="center"/>
          </w:tcPr>
          <w:p w14:paraId="01757975"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31" w:type="dxa"/>
            <w:tcBorders>
              <w:top w:val="single" w:sz="4" w:space="0" w:color="auto"/>
              <w:left w:val="single" w:sz="4" w:space="0" w:color="auto"/>
              <w:bottom w:val="single" w:sz="4" w:space="0" w:color="auto"/>
              <w:right w:val="single" w:sz="4" w:space="0" w:color="auto"/>
            </w:tcBorders>
            <w:vAlign w:val="center"/>
          </w:tcPr>
          <w:p w14:paraId="12C12AFD"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729" w:type="dxa"/>
            <w:tcBorders>
              <w:top w:val="single" w:sz="4" w:space="0" w:color="auto"/>
              <w:left w:val="single" w:sz="4" w:space="0" w:color="auto"/>
              <w:bottom w:val="single" w:sz="4" w:space="0" w:color="auto"/>
              <w:right w:val="single" w:sz="4" w:space="0" w:color="auto"/>
            </w:tcBorders>
            <w:vAlign w:val="center"/>
          </w:tcPr>
          <w:p w14:paraId="179AE935"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29" w:type="dxa"/>
            <w:tcBorders>
              <w:top w:val="single" w:sz="4" w:space="0" w:color="auto"/>
              <w:left w:val="single" w:sz="4" w:space="0" w:color="auto"/>
              <w:bottom w:val="single" w:sz="4" w:space="0" w:color="auto"/>
              <w:right w:val="single" w:sz="4" w:space="0" w:color="auto"/>
            </w:tcBorders>
            <w:vAlign w:val="center"/>
          </w:tcPr>
          <w:p w14:paraId="2CF1453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1" w:type="dxa"/>
            <w:tcBorders>
              <w:top w:val="single" w:sz="4" w:space="0" w:color="auto"/>
              <w:left w:val="single" w:sz="4" w:space="0" w:color="auto"/>
              <w:bottom w:val="single" w:sz="4" w:space="0" w:color="auto"/>
              <w:right w:val="single" w:sz="4" w:space="0" w:color="auto"/>
            </w:tcBorders>
            <w:vAlign w:val="center"/>
          </w:tcPr>
          <w:p w14:paraId="3EF8746E"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729" w:type="dxa"/>
            <w:tcBorders>
              <w:top w:val="single" w:sz="4" w:space="0" w:color="auto"/>
              <w:left w:val="single" w:sz="4" w:space="0" w:color="auto"/>
              <w:bottom w:val="single" w:sz="4" w:space="0" w:color="auto"/>
              <w:right w:val="single" w:sz="4" w:space="0" w:color="auto"/>
            </w:tcBorders>
            <w:vAlign w:val="center"/>
          </w:tcPr>
          <w:p w14:paraId="5C977950"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29" w:type="dxa"/>
            <w:tcBorders>
              <w:top w:val="single" w:sz="4" w:space="0" w:color="auto"/>
              <w:left w:val="single" w:sz="4" w:space="0" w:color="auto"/>
              <w:bottom w:val="single" w:sz="4" w:space="0" w:color="auto"/>
              <w:right w:val="single" w:sz="4" w:space="0" w:color="auto"/>
            </w:tcBorders>
            <w:vAlign w:val="center"/>
          </w:tcPr>
          <w:p w14:paraId="3A15D00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0" w:type="dxa"/>
            <w:tcBorders>
              <w:top w:val="single" w:sz="4" w:space="0" w:color="auto"/>
              <w:left w:val="single" w:sz="4" w:space="0" w:color="auto"/>
              <w:bottom w:val="single" w:sz="4" w:space="0" w:color="auto"/>
              <w:right w:val="single" w:sz="4" w:space="0" w:color="auto"/>
            </w:tcBorders>
            <w:vAlign w:val="center"/>
          </w:tcPr>
          <w:p w14:paraId="71DA477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728" w:type="dxa"/>
            <w:tcBorders>
              <w:top w:val="single" w:sz="4" w:space="0" w:color="auto"/>
              <w:left w:val="single" w:sz="4" w:space="0" w:color="auto"/>
              <w:bottom w:val="single" w:sz="4" w:space="0" w:color="auto"/>
              <w:right w:val="single" w:sz="4" w:space="0" w:color="auto"/>
            </w:tcBorders>
            <w:vAlign w:val="center"/>
          </w:tcPr>
          <w:p w14:paraId="5DF4F03B"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28" w:type="dxa"/>
            <w:tcBorders>
              <w:top w:val="single" w:sz="4" w:space="0" w:color="auto"/>
              <w:left w:val="single" w:sz="4" w:space="0" w:color="auto"/>
              <w:bottom w:val="single" w:sz="4" w:space="0" w:color="auto"/>
              <w:right w:val="single" w:sz="4" w:space="0" w:color="auto"/>
            </w:tcBorders>
            <w:vAlign w:val="center"/>
          </w:tcPr>
          <w:p w14:paraId="18B0EA44"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30" w:type="dxa"/>
            <w:tcBorders>
              <w:top w:val="single" w:sz="4" w:space="0" w:color="auto"/>
              <w:left w:val="single" w:sz="4" w:space="0" w:color="auto"/>
              <w:bottom w:val="single" w:sz="4" w:space="0" w:color="auto"/>
              <w:right w:val="single" w:sz="4" w:space="0" w:color="auto"/>
            </w:tcBorders>
            <w:shd w:val="clear" w:color="auto" w:fill="D9E1F2"/>
            <w:vAlign w:val="center"/>
          </w:tcPr>
          <w:p w14:paraId="5617FC95"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43</w:t>
            </w:r>
          </w:p>
        </w:tc>
      </w:tr>
      <w:tr w:rsidR="00754172" w14:paraId="7BFC852C" w14:textId="77777777" w:rsidTr="003A3267">
        <w:trPr>
          <w:trHeight w:val="300"/>
        </w:trPr>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0217EA4E" w14:textId="77777777" w:rsidR="00754172" w:rsidRDefault="00000000" w:rsidP="003A3267">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UBA</w:t>
            </w:r>
          </w:p>
        </w:tc>
        <w:tc>
          <w:tcPr>
            <w:tcW w:w="729" w:type="dxa"/>
            <w:tcBorders>
              <w:top w:val="single" w:sz="4" w:space="0" w:color="auto"/>
              <w:left w:val="single" w:sz="4" w:space="0" w:color="auto"/>
              <w:bottom w:val="single" w:sz="4" w:space="0" w:color="auto"/>
              <w:right w:val="single" w:sz="4" w:space="0" w:color="auto"/>
            </w:tcBorders>
            <w:vAlign w:val="center"/>
          </w:tcPr>
          <w:p w14:paraId="6A845720"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729" w:type="dxa"/>
            <w:tcBorders>
              <w:top w:val="single" w:sz="4" w:space="0" w:color="auto"/>
              <w:left w:val="single" w:sz="4" w:space="0" w:color="auto"/>
              <w:bottom w:val="single" w:sz="4" w:space="0" w:color="auto"/>
              <w:right w:val="single" w:sz="4" w:space="0" w:color="auto"/>
            </w:tcBorders>
            <w:vAlign w:val="center"/>
          </w:tcPr>
          <w:p w14:paraId="720F4795"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731" w:type="dxa"/>
            <w:tcBorders>
              <w:top w:val="single" w:sz="4" w:space="0" w:color="auto"/>
              <w:left w:val="single" w:sz="4" w:space="0" w:color="auto"/>
              <w:bottom w:val="single" w:sz="4" w:space="0" w:color="auto"/>
              <w:right w:val="single" w:sz="4" w:space="0" w:color="auto"/>
            </w:tcBorders>
            <w:vAlign w:val="center"/>
          </w:tcPr>
          <w:p w14:paraId="4F3A119E"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01C2C93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729" w:type="dxa"/>
            <w:tcBorders>
              <w:top w:val="single" w:sz="4" w:space="0" w:color="auto"/>
              <w:left w:val="single" w:sz="4" w:space="0" w:color="auto"/>
              <w:bottom w:val="single" w:sz="4" w:space="0" w:color="auto"/>
              <w:right w:val="single" w:sz="4" w:space="0" w:color="auto"/>
            </w:tcBorders>
            <w:vAlign w:val="center"/>
          </w:tcPr>
          <w:p w14:paraId="28AE359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1" w:type="dxa"/>
            <w:tcBorders>
              <w:top w:val="single" w:sz="4" w:space="0" w:color="auto"/>
              <w:left w:val="single" w:sz="4" w:space="0" w:color="auto"/>
              <w:bottom w:val="single" w:sz="4" w:space="0" w:color="auto"/>
              <w:right w:val="single" w:sz="4" w:space="0" w:color="auto"/>
            </w:tcBorders>
            <w:vAlign w:val="center"/>
          </w:tcPr>
          <w:p w14:paraId="3E4BEB28"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729" w:type="dxa"/>
            <w:tcBorders>
              <w:top w:val="single" w:sz="4" w:space="0" w:color="auto"/>
              <w:left w:val="single" w:sz="4" w:space="0" w:color="auto"/>
              <w:bottom w:val="single" w:sz="4" w:space="0" w:color="auto"/>
              <w:right w:val="single" w:sz="4" w:space="0" w:color="auto"/>
            </w:tcBorders>
            <w:vAlign w:val="center"/>
          </w:tcPr>
          <w:p w14:paraId="0189389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729" w:type="dxa"/>
            <w:tcBorders>
              <w:top w:val="single" w:sz="4" w:space="0" w:color="auto"/>
              <w:left w:val="single" w:sz="4" w:space="0" w:color="auto"/>
              <w:bottom w:val="single" w:sz="4" w:space="0" w:color="auto"/>
              <w:right w:val="single" w:sz="4" w:space="0" w:color="auto"/>
            </w:tcBorders>
            <w:vAlign w:val="center"/>
          </w:tcPr>
          <w:p w14:paraId="084C071E"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0" w:type="dxa"/>
            <w:tcBorders>
              <w:top w:val="single" w:sz="4" w:space="0" w:color="auto"/>
              <w:left w:val="single" w:sz="4" w:space="0" w:color="auto"/>
              <w:bottom w:val="single" w:sz="4" w:space="0" w:color="auto"/>
              <w:right w:val="single" w:sz="4" w:space="0" w:color="auto"/>
            </w:tcBorders>
            <w:vAlign w:val="center"/>
          </w:tcPr>
          <w:p w14:paraId="67B9C7B7"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28" w:type="dxa"/>
            <w:tcBorders>
              <w:top w:val="single" w:sz="4" w:space="0" w:color="auto"/>
              <w:left w:val="single" w:sz="4" w:space="0" w:color="auto"/>
              <w:bottom w:val="single" w:sz="4" w:space="0" w:color="auto"/>
              <w:right w:val="single" w:sz="4" w:space="0" w:color="auto"/>
            </w:tcBorders>
            <w:vAlign w:val="center"/>
          </w:tcPr>
          <w:p w14:paraId="5D2F973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28" w:type="dxa"/>
            <w:tcBorders>
              <w:top w:val="single" w:sz="4" w:space="0" w:color="auto"/>
              <w:left w:val="single" w:sz="4" w:space="0" w:color="auto"/>
              <w:bottom w:val="single" w:sz="4" w:space="0" w:color="auto"/>
              <w:right w:val="single" w:sz="4" w:space="0" w:color="auto"/>
            </w:tcBorders>
            <w:vAlign w:val="center"/>
          </w:tcPr>
          <w:p w14:paraId="05C86E4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730" w:type="dxa"/>
            <w:tcBorders>
              <w:top w:val="single" w:sz="4" w:space="0" w:color="auto"/>
              <w:left w:val="single" w:sz="4" w:space="0" w:color="auto"/>
              <w:bottom w:val="single" w:sz="4" w:space="0" w:color="auto"/>
              <w:right w:val="single" w:sz="4" w:space="0" w:color="auto"/>
            </w:tcBorders>
            <w:shd w:val="clear" w:color="auto" w:fill="D9E1F2"/>
            <w:vAlign w:val="center"/>
          </w:tcPr>
          <w:p w14:paraId="753B38BC"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25</w:t>
            </w:r>
          </w:p>
        </w:tc>
      </w:tr>
      <w:tr w:rsidR="00754172" w14:paraId="661F9E8F" w14:textId="77777777" w:rsidTr="003A3267">
        <w:trPr>
          <w:trHeight w:val="300"/>
        </w:trPr>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218DD303" w14:textId="77777777" w:rsidR="00754172" w:rsidRDefault="00000000" w:rsidP="003A3267">
            <w:pPr>
              <w:spacing w:after="0" w:line="240" w:lineRule="auto"/>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UNCo</w:t>
            </w:r>
            <w:proofErr w:type="spellEnd"/>
          </w:p>
        </w:tc>
        <w:tc>
          <w:tcPr>
            <w:tcW w:w="729" w:type="dxa"/>
            <w:tcBorders>
              <w:top w:val="single" w:sz="4" w:space="0" w:color="auto"/>
              <w:left w:val="single" w:sz="4" w:space="0" w:color="auto"/>
              <w:bottom w:val="single" w:sz="4" w:space="0" w:color="auto"/>
              <w:right w:val="single" w:sz="4" w:space="0" w:color="auto"/>
            </w:tcBorders>
            <w:vAlign w:val="center"/>
          </w:tcPr>
          <w:p w14:paraId="58E4CE77"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29" w:type="dxa"/>
            <w:tcBorders>
              <w:top w:val="single" w:sz="4" w:space="0" w:color="auto"/>
              <w:left w:val="single" w:sz="4" w:space="0" w:color="auto"/>
              <w:bottom w:val="single" w:sz="4" w:space="0" w:color="auto"/>
              <w:right w:val="single" w:sz="4" w:space="0" w:color="auto"/>
            </w:tcBorders>
            <w:vAlign w:val="center"/>
          </w:tcPr>
          <w:p w14:paraId="5CD183CB"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731" w:type="dxa"/>
            <w:tcBorders>
              <w:top w:val="single" w:sz="4" w:space="0" w:color="auto"/>
              <w:left w:val="single" w:sz="4" w:space="0" w:color="auto"/>
              <w:bottom w:val="single" w:sz="4" w:space="0" w:color="auto"/>
              <w:right w:val="single" w:sz="4" w:space="0" w:color="auto"/>
            </w:tcBorders>
            <w:vAlign w:val="center"/>
          </w:tcPr>
          <w:p w14:paraId="6CB9F768"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355549DE"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729" w:type="dxa"/>
            <w:tcBorders>
              <w:top w:val="single" w:sz="4" w:space="0" w:color="auto"/>
              <w:left w:val="single" w:sz="4" w:space="0" w:color="auto"/>
              <w:bottom w:val="single" w:sz="4" w:space="0" w:color="auto"/>
              <w:right w:val="single" w:sz="4" w:space="0" w:color="auto"/>
            </w:tcBorders>
            <w:vAlign w:val="center"/>
          </w:tcPr>
          <w:p w14:paraId="23FF918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731" w:type="dxa"/>
            <w:tcBorders>
              <w:top w:val="single" w:sz="4" w:space="0" w:color="auto"/>
              <w:left w:val="single" w:sz="4" w:space="0" w:color="auto"/>
              <w:bottom w:val="single" w:sz="4" w:space="0" w:color="auto"/>
              <w:right w:val="single" w:sz="4" w:space="0" w:color="auto"/>
            </w:tcBorders>
            <w:vAlign w:val="center"/>
          </w:tcPr>
          <w:p w14:paraId="1E7DE31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29" w:type="dxa"/>
            <w:tcBorders>
              <w:top w:val="single" w:sz="4" w:space="0" w:color="auto"/>
              <w:left w:val="single" w:sz="4" w:space="0" w:color="auto"/>
              <w:bottom w:val="single" w:sz="4" w:space="0" w:color="auto"/>
              <w:right w:val="single" w:sz="4" w:space="0" w:color="auto"/>
            </w:tcBorders>
            <w:vAlign w:val="center"/>
          </w:tcPr>
          <w:p w14:paraId="5E7EED4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4660E46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0" w:type="dxa"/>
            <w:tcBorders>
              <w:top w:val="single" w:sz="4" w:space="0" w:color="auto"/>
              <w:left w:val="single" w:sz="4" w:space="0" w:color="auto"/>
              <w:bottom w:val="single" w:sz="4" w:space="0" w:color="auto"/>
              <w:right w:val="single" w:sz="4" w:space="0" w:color="auto"/>
            </w:tcBorders>
            <w:vAlign w:val="center"/>
          </w:tcPr>
          <w:p w14:paraId="0E262A3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728" w:type="dxa"/>
            <w:tcBorders>
              <w:top w:val="single" w:sz="4" w:space="0" w:color="auto"/>
              <w:left w:val="single" w:sz="4" w:space="0" w:color="auto"/>
              <w:bottom w:val="single" w:sz="4" w:space="0" w:color="auto"/>
              <w:right w:val="single" w:sz="4" w:space="0" w:color="auto"/>
            </w:tcBorders>
            <w:vAlign w:val="center"/>
          </w:tcPr>
          <w:p w14:paraId="692D622E"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728" w:type="dxa"/>
            <w:tcBorders>
              <w:top w:val="single" w:sz="4" w:space="0" w:color="auto"/>
              <w:left w:val="single" w:sz="4" w:space="0" w:color="auto"/>
              <w:bottom w:val="single" w:sz="4" w:space="0" w:color="auto"/>
              <w:right w:val="single" w:sz="4" w:space="0" w:color="auto"/>
            </w:tcBorders>
            <w:vAlign w:val="center"/>
          </w:tcPr>
          <w:p w14:paraId="0D1C6A6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730" w:type="dxa"/>
            <w:tcBorders>
              <w:top w:val="single" w:sz="4" w:space="0" w:color="auto"/>
              <w:left w:val="single" w:sz="4" w:space="0" w:color="auto"/>
              <w:bottom w:val="single" w:sz="4" w:space="0" w:color="auto"/>
              <w:right w:val="single" w:sz="4" w:space="0" w:color="auto"/>
            </w:tcBorders>
            <w:shd w:val="clear" w:color="auto" w:fill="D9E1F2"/>
            <w:vAlign w:val="center"/>
          </w:tcPr>
          <w:p w14:paraId="162A0C1E"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24</w:t>
            </w:r>
          </w:p>
        </w:tc>
      </w:tr>
      <w:tr w:rsidR="00754172" w14:paraId="6EB79E0A" w14:textId="77777777" w:rsidTr="003A3267">
        <w:trPr>
          <w:trHeight w:val="300"/>
        </w:trPr>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6612AE9C" w14:textId="77777777" w:rsidR="00754172" w:rsidRDefault="00000000" w:rsidP="003A3267">
            <w:pPr>
              <w:spacing w:after="0" w:line="240" w:lineRule="auto"/>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UNSa</w:t>
            </w:r>
            <w:proofErr w:type="spellEnd"/>
          </w:p>
        </w:tc>
        <w:tc>
          <w:tcPr>
            <w:tcW w:w="729" w:type="dxa"/>
            <w:tcBorders>
              <w:top w:val="single" w:sz="4" w:space="0" w:color="auto"/>
              <w:left w:val="single" w:sz="4" w:space="0" w:color="auto"/>
              <w:bottom w:val="single" w:sz="4" w:space="0" w:color="auto"/>
              <w:right w:val="single" w:sz="4" w:space="0" w:color="auto"/>
            </w:tcBorders>
            <w:vAlign w:val="center"/>
          </w:tcPr>
          <w:p w14:paraId="75C18EA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729" w:type="dxa"/>
            <w:tcBorders>
              <w:top w:val="single" w:sz="4" w:space="0" w:color="auto"/>
              <w:left w:val="single" w:sz="4" w:space="0" w:color="auto"/>
              <w:bottom w:val="single" w:sz="4" w:space="0" w:color="auto"/>
              <w:right w:val="single" w:sz="4" w:space="0" w:color="auto"/>
            </w:tcBorders>
            <w:vAlign w:val="center"/>
          </w:tcPr>
          <w:p w14:paraId="1D89AF4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1" w:type="dxa"/>
            <w:tcBorders>
              <w:top w:val="single" w:sz="4" w:space="0" w:color="auto"/>
              <w:left w:val="single" w:sz="4" w:space="0" w:color="auto"/>
              <w:bottom w:val="single" w:sz="4" w:space="0" w:color="auto"/>
              <w:right w:val="single" w:sz="4" w:space="0" w:color="auto"/>
            </w:tcBorders>
            <w:vAlign w:val="center"/>
          </w:tcPr>
          <w:p w14:paraId="4615E2C7"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29" w:type="dxa"/>
            <w:tcBorders>
              <w:top w:val="single" w:sz="4" w:space="0" w:color="auto"/>
              <w:left w:val="single" w:sz="4" w:space="0" w:color="auto"/>
              <w:bottom w:val="single" w:sz="4" w:space="0" w:color="auto"/>
              <w:right w:val="single" w:sz="4" w:space="0" w:color="auto"/>
            </w:tcBorders>
            <w:vAlign w:val="center"/>
          </w:tcPr>
          <w:p w14:paraId="50A9B7A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19F810F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1" w:type="dxa"/>
            <w:tcBorders>
              <w:top w:val="single" w:sz="4" w:space="0" w:color="auto"/>
              <w:left w:val="single" w:sz="4" w:space="0" w:color="auto"/>
              <w:bottom w:val="single" w:sz="4" w:space="0" w:color="auto"/>
              <w:right w:val="single" w:sz="4" w:space="0" w:color="auto"/>
            </w:tcBorders>
            <w:vAlign w:val="center"/>
          </w:tcPr>
          <w:p w14:paraId="5CB062AB"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729" w:type="dxa"/>
            <w:tcBorders>
              <w:top w:val="single" w:sz="4" w:space="0" w:color="auto"/>
              <w:left w:val="single" w:sz="4" w:space="0" w:color="auto"/>
              <w:bottom w:val="single" w:sz="4" w:space="0" w:color="auto"/>
              <w:right w:val="single" w:sz="4" w:space="0" w:color="auto"/>
            </w:tcBorders>
            <w:vAlign w:val="center"/>
          </w:tcPr>
          <w:p w14:paraId="75C6332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729" w:type="dxa"/>
            <w:tcBorders>
              <w:top w:val="single" w:sz="4" w:space="0" w:color="auto"/>
              <w:left w:val="single" w:sz="4" w:space="0" w:color="auto"/>
              <w:bottom w:val="single" w:sz="4" w:space="0" w:color="auto"/>
              <w:right w:val="single" w:sz="4" w:space="0" w:color="auto"/>
            </w:tcBorders>
            <w:vAlign w:val="center"/>
          </w:tcPr>
          <w:p w14:paraId="4FA4603D"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0" w:type="dxa"/>
            <w:tcBorders>
              <w:top w:val="single" w:sz="4" w:space="0" w:color="auto"/>
              <w:left w:val="single" w:sz="4" w:space="0" w:color="auto"/>
              <w:bottom w:val="single" w:sz="4" w:space="0" w:color="auto"/>
              <w:right w:val="single" w:sz="4" w:space="0" w:color="auto"/>
            </w:tcBorders>
            <w:vAlign w:val="center"/>
          </w:tcPr>
          <w:p w14:paraId="700CE9A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728" w:type="dxa"/>
            <w:tcBorders>
              <w:top w:val="single" w:sz="4" w:space="0" w:color="auto"/>
              <w:left w:val="single" w:sz="4" w:space="0" w:color="auto"/>
              <w:bottom w:val="single" w:sz="4" w:space="0" w:color="auto"/>
              <w:right w:val="single" w:sz="4" w:space="0" w:color="auto"/>
            </w:tcBorders>
            <w:vAlign w:val="center"/>
          </w:tcPr>
          <w:p w14:paraId="3A6DE37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728" w:type="dxa"/>
            <w:tcBorders>
              <w:top w:val="single" w:sz="4" w:space="0" w:color="auto"/>
              <w:left w:val="single" w:sz="4" w:space="0" w:color="auto"/>
              <w:bottom w:val="single" w:sz="4" w:space="0" w:color="auto"/>
              <w:right w:val="single" w:sz="4" w:space="0" w:color="auto"/>
            </w:tcBorders>
            <w:vAlign w:val="center"/>
          </w:tcPr>
          <w:p w14:paraId="24BD61F8"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730" w:type="dxa"/>
            <w:tcBorders>
              <w:top w:val="single" w:sz="4" w:space="0" w:color="auto"/>
              <w:left w:val="single" w:sz="4" w:space="0" w:color="auto"/>
              <w:bottom w:val="single" w:sz="4" w:space="0" w:color="auto"/>
              <w:right w:val="single" w:sz="4" w:space="0" w:color="auto"/>
            </w:tcBorders>
            <w:shd w:val="clear" w:color="auto" w:fill="D9E1F2"/>
            <w:vAlign w:val="center"/>
          </w:tcPr>
          <w:p w14:paraId="106430FA"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24</w:t>
            </w:r>
          </w:p>
        </w:tc>
      </w:tr>
      <w:tr w:rsidR="00754172" w14:paraId="7A14C0D2" w14:textId="77777777" w:rsidTr="003A3267">
        <w:trPr>
          <w:trHeight w:val="300"/>
        </w:trPr>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1536E0D1" w14:textId="77777777" w:rsidR="00754172" w:rsidRDefault="00000000" w:rsidP="003A3267">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UNGS</w:t>
            </w:r>
          </w:p>
        </w:tc>
        <w:tc>
          <w:tcPr>
            <w:tcW w:w="729" w:type="dxa"/>
            <w:tcBorders>
              <w:top w:val="single" w:sz="4" w:space="0" w:color="auto"/>
              <w:left w:val="single" w:sz="4" w:space="0" w:color="auto"/>
              <w:bottom w:val="single" w:sz="4" w:space="0" w:color="auto"/>
              <w:right w:val="single" w:sz="4" w:space="0" w:color="auto"/>
            </w:tcBorders>
            <w:vAlign w:val="center"/>
          </w:tcPr>
          <w:p w14:paraId="755B7D1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729" w:type="dxa"/>
            <w:tcBorders>
              <w:top w:val="single" w:sz="4" w:space="0" w:color="auto"/>
              <w:left w:val="single" w:sz="4" w:space="0" w:color="auto"/>
              <w:bottom w:val="single" w:sz="4" w:space="0" w:color="auto"/>
              <w:right w:val="single" w:sz="4" w:space="0" w:color="auto"/>
            </w:tcBorders>
            <w:vAlign w:val="center"/>
          </w:tcPr>
          <w:p w14:paraId="51DA493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1" w:type="dxa"/>
            <w:tcBorders>
              <w:top w:val="single" w:sz="4" w:space="0" w:color="auto"/>
              <w:left w:val="single" w:sz="4" w:space="0" w:color="auto"/>
              <w:bottom w:val="single" w:sz="4" w:space="0" w:color="auto"/>
              <w:right w:val="single" w:sz="4" w:space="0" w:color="auto"/>
            </w:tcBorders>
            <w:vAlign w:val="center"/>
          </w:tcPr>
          <w:p w14:paraId="3E37EB58"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024C6E6E"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729" w:type="dxa"/>
            <w:tcBorders>
              <w:top w:val="single" w:sz="4" w:space="0" w:color="auto"/>
              <w:left w:val="single" w:sz="4" w:space="0" w:color="auto"/>
              <w:bottom w:val="single" w:sz="4" w:space="0" w:color="auto"/>
              <w:right w:val="single" w:sz="4" w:space="0" w:color="auto"/>
            </w:tcBorders>
            <w:vAlign w:val="center"/>
          </w:tcPr>
          <w:p w14:paraId="4935352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1" w:type="dxa"/>
            <w:tcBorders>
              <w:top w:val="single" w:sz="4" w:space="0" w:color="auto"/>
              <w:left w:val="single" w:sz="4" w:space="0" w:color="auto"/>
              <w:bottom w:val="single" w:sz="4" w:space="0" w:color="auto"/>
              <w:right w:val="single" w:sz="4" w:space="0" w:color="auto"/>
            </w:tcBorders>
            <w:vAlign w:val="center"/>
          </w:tcPr>
          <w:p w14:paraId="1945B035"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729" w:type="dxa"/>
            <w:tcBorders>
              <w:top w:val="single" w:sz="4" w:space="0" w:color="auto"/>
              <w:left w:val="single" w:sz="4" w:space="0" w:color="auto"/>
              <w:bottom w:val="single" w:sz="4" w:space="0" w:color="auto"/>
              <w:right w:val="single" w:sz="4" w:space="0" w:color="auto"/>
            </w:tcBorders>
            <w:vAlign w:val="center"/>
          </w:tcPr>
          <w:p w14:paraId="218595DB"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729" w:type="dxa"/>
            <w:tcBorders>
              <w:top w:val="single" w:sz="4" w:space="0" w:color="auto"/>
              <w:left w:val="single" w:sz="4" w:space="0" w:color="auto"/>
              <w:bottom w:val="single" w:sz="4" w:space="0" w:color="auto"/>
              <w:right w:val="single" w:sz="4" w:space="0" w:color="auto"/>
            </w:tcBorders>
            <w:vAlign w:val="center"/>
          </w:tcPr>
          <w:p w14:paraId="1CD2B9AB"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30" w:type="dxa"/>
            <w:tcBorders>
              <w:top w:val="single" w:sz="4" w:space="0" w:color="auto"/>
              <w:left w:val="single" w:sz="4" w:space="0" w:color="auto"/>
              <w:bottom w:val="single" w:sz="4" w:space="0" w:color="auto"/>
              <w:right w:val="single" w:sz="4" w:space="0" w:color="auto"/>
            </w:tcBorders>
            <w:vAlign w:val="center"/>
          </w:tcPr>
          <w:p w14:paraId="5B29970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728" w:type="dxa"/>
            <w:tcBorders>
              <w:top w:val="single" w:sz="4" w:space="0" w:color="auto"/>
              <w:left w:val="single" w:sz="4" w:space="0" w:color="auto"/>
              <w:bottom w:val="single" w:sz="4" w:space="0" w:color="auto"/>
              <w:right w:val="single" w:sz="4" w:space="0" w:color="auto"/>
            </w:tcBorders>
            <w:vAlign w:val="center"/>
          </w:tcPr>
          <w:p w14:paraId="6594EE4B"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728" w:type="dxa"/>
            <w:tcBorders>
              <w:top w:val="single" w:sz="4" w:space="0" w:color="auto"/>
              <w:left w:val="single" w:sz="4" w:space="0" w:color="auto"/>
              <w:bottom w:val="single" w:sz="4" w:space="0" w:color="auto"/>
              <w:right w:val="single" w:sz="4" w:space="0" w:color="auto"/>
            </w:tcBorders>
            <w:vAlign w:val="center"/>
          </w:tcPr>
          <w:p w14:paraId="1D8696E7"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730" w:type="dxa"/>
            <w:tcBorders>
              <w:top w:val="single" w:sz="4" w:space="0" w:color="auto"/>
              <w:left w:val="single" w:sz="4" w:space="0" w:color="auto"/>
              <w:bottom w:val="single" w:sz="4" w:space="0" w:color="auto"/>
              <w:right w:val="single" w:sz="4" w:space="0" w:color="auto"/>
            </w:tcBorders>
            <w:shd w:val="clear" w:color="auto" w:fill="D9E1F2"/>
            <w:vAlign w:val="center"/>
          </w:tcPr>
          <w:p w14:paraId="4F57E5B9"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23</w:t>
            </w:r>
          </w:p>
        </w:tc>
      </w:tr>
      <w:tr w:rsidR="00754172" w14:paraId="2009D7ED" w14:textId="77777777" w:rsidTr="003A3267">
        <w:trPr>
          <w:trHeight w:val="300"/>
        </w:trPr>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09363799" w14:textId="77777777" w:rsidR="00754172" w:rsidRDefault="00000000" w:rsidP="003A3267">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UNL</w:t>
            </w:r>
          </w:p>
        </w:tc>
        <w:tc>
          <w:tcPr>
            <w:tcW w:w="729" w:type="dxa"/>
            <w:tcBorders>
              <w:top w:val="single" w:sz="4" w:space="0" w:color="auto"/>
              <w:left w:val="single" w:sz="4" w:space="0" w:color="auto"/>
              <w:bottom w:val="single" w:sz="4" w:space="0" w:color="auto"/>
              <w:right w:val="single" w:sz="4" w:space="0" w:color="auto"/>
            </w:tcBorders>
            <w:vAlign w:val="center"/>
          </w:tcPr>
          <w:p w14:paraId="7FFF8D1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09D3D6FD"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1" w:type="dxa"/>
            <w:tcBorders>
              <w:top w:val="single" w:sz="4" w:space="0" w:color="auto"/>
              <w:left w:val="single" w:sz="4" w:space="0" w:color="auto"/>
              <w:bottom w:val="single" w:sz="4" w:space="0" w:color="auto"/>
              <w:right w:val="single" w:sz="4" w:space="0" w:color="auto"/>
            </w:tcBorders>
            <w:vAlign w:val="center"/>
          </w:tcPr>
          <w:p w14:paraId="1EEB6DA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48DB1715"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729" w:type="dxa"/>
            <w:tcBorders>
              <w:top w:val="single" w:sz="4" w:space="0" w:color="auto"/>
              <w:left w:val="single" w:sz="4" w:space="0" w:color="auto"/>
              <w:bottom w:val="single" w:sz="4" w:space="0" w:color="auto"/>
              <w:right w:val="single" w:sz="4" w:space="0" w:color="auto"/>
            </w:tcBorders>
            <w:vAlign w:val="center"/>
          </w:tcPr>
          <w:p w14:paraId="181151EE"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1" w:type="dxa"/>
            <w:tcBorders>
              <w:top w:val="single" w:sz="4" w:space="0" w:color="auto"/>
              <w:left w:val="single" w:sz="4" w:space="0" w:color="auto"/>
              <w:bottom w:val="single" w:sz="4" w:space="0" w:color="auto"/>
              <w:right w:val="single" w:sz="4" w:space="0" w:color="auto"/>
            </w:tcBorders>
            <w:vAlign w:val="center"/>
          </w:tcPr>
          <w:p w14:paraId="6B80CE0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729" w:type="dxa"/>
            <w:tcBorders>
              <w:top w:val="single" w:sz="4" w:space="0" w:color="auto"/>
              <w:left w:val="single" w:sz="4" w:space="0" w:color="auto"/>
              <w:bottom w:val="single" w:sz="4" w:space="0" w:color="auto"/>
              <w:right w:val="single" w:sz="4" w:space="0" w:color="auto"/>
            </w:tcBorders>
            <w:vAlign w:val="center"/>
          </w:tcPr>
          <w:p w14:paraId="476C058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161E08E8"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0" w:type="dxa"/>
            <w:tcBorders>
              <w:top w:val="single" w:sz="4" w:space="0" w:color="auto"/>
              <w:left w:val="single" w:sz="4" w:space="0" w:color="auto"/>
              <w:bottom w:val="single" w:sz="4" w:space="0" w:color="auto"/>
              <w:right w:val="single" w:sz="4" w:space="0" w:color="auto"/>
            </w:tcBorders>
            <w:vAlign w:val="center"/>
          </w:tcPr>
          <w:p w14:paraId="19486A7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28" w:type="dxa"/>
            <w:tcBorders>
              <w:top w:val="single" w:sz="4" w:space="0" w:color="auto"/>
              <w:left w:val="single" w:sz="4" w:space="0" w:color="auto"/>
              <w:bottom w:val="single" w:sz="4" w:space="0" w:color="auto"/>
              <w:right w:val="single" w:sz="4" w:space="0" w:color="auto"/>
            </w:tcBorders>
            <w:vAlign w:val="center"/>
          </w:tcPr>
          <w:p w14:paraId="0A2974A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728" w:type="dxa"/>
            <w:tcBorders>
              <w:top w:val="single" w:sz="4" w:space="0" w:color="auto"/>
              <w:left w:val="single" w:sz="4" w:space="0" w:color="auto"/>
              <w:bottom w:val="single" w:sz="4" w:space="0" w:color="auto"/>
              <w:right w:val="single" w:sz="4" w:space="0" w:color="auto"/>
            </w:tcBorders>
            <w:vAlign w:val="center"/>
          </w:tcPr>
          <w:p w14:paraId="736D1C8E"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730" w:type="dxa"/>
            <w:tcBorders>
              <w:top w:val="single" w:sz="4" w:space="0" w:color="auto"/>
              <w:left w:val="single" w:sz="4" w:space="0" w:color="auto"/>
              <w:bottom w:val="single" w:sz="4" w:space="0" w:color="auto"/>
              <w:right w:val="single" w:sz="4" w:space="0" w:color="auto"/>
            </w:tcBorders>
            <w:shd w:val="clear" w:color="auto" w:fill="D9E1F2"/>
            <w:vAlign w:val="center"/>
          </w:tcPr>
          <w:p w14:paraId="3BED7763"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20</w:t>
            </w:r>
          </w:p>
        </w:tc>
      </w:tr>
      <w:tr w:rsidR="00754172" w14:paraId="7F5F1BCA" w14:textId="77777777" w:rsidTr="003A3267">
        <w:trPr>
          <w:trHeight w:val="300"/>
        </w:trPr>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34AD5319" w14:textId="77777777" w:rsidR="00754172" w:rsidRDefault="00000000" w:rsidP="003A3267">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UNSJ</w:t>
            </w:r>
          </w:p>
        </w:tc>
        <w:tc>
          <w:tcPr>
            <w:tcW w:w="729" w:type="dxa"/>
            <w:tcBorders>
              <w:top w:val="single" w:sz="4" w:space="0" w:color="auto"/>
              <w:left w:val="single" w:sz="4" w:space="0" w:color="auto"/>
              <w:bottom w:val="single" w:sz="4" w:space="0" w:color="auto"/>
              <w:right w:val="single" w:sz="4" w:space="0" w:color="auto"/>
            </w:tcBorders>
            <w:vAlign w:val="center"/>
          </w:tcPr>
          <w:p w14:paraId="7859C22A"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29" w:type="dxa"/>
            <w:tcBorders>
              <w:top w:val="single" w:sz="4" w:space="0" w:color="auto"/>
              <w:left w:val="single" w:sz="4" w:space="0" w:color="auto"/>
              <w:bottom w:val="single" w:sz="4" w:space="0" w:color="auto"/>
              <w:right w:val="single" w:sz="4" w:space="0" w:color="auto"/>
            </w:tcBorders>
            <w:vAlign w:val="center"/>
          </w:tcPr>
          <w:p w14:paraId="267ACE87"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31" w:type="dxa"/>
            <w:tcBorders>
              <w:top w:val="single" w:sz="4" w:space="0" w:color="auto"/>
              <w:left w:val="single" w:sz="4" w:space="0" w:color="auto"/>
              <w:bottom w:val="single" w:sz="4" w:space="0" w:color="auto"/>
              <w:right w:val="single" w:sz="4" w:space="0" w:color="auto"/>
            </w:tcBorders>
            <w:vAlign w:val="center"/>
          </w:tcPr>
          <w:p w14:paraId="5051E1E4"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7053C14A"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29" w:type="dxa"/>
            <w:tcBorders>
              <w:top w:val="single" w:sz="4" w:space="0" w:color="auto"/>
              <w:left w:val="single" w:sz="4" w:space="0" w:color="auto"/>
              <w:bottom w:val="single" w:sz="4" w:space="0" w:color="auto"/>
              <w:right w:val="single" w:sz="4" w:space="0" w:color="auto"/>
            </w:tcBorders>
            <w:vAlign w:val="center"/>
          </w:tcPr>
          <w:p w14:paraId="582B2F70"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1" w:type="dxa"/>
            <w:tcBorders>
              <w:top w:val="single" w:sz="4" w:space="0" w:color="auto"/>
              <w:left w:val="single" w:sz="4" w:space="0" w:color="auto"/>
              <w:bottom w:val="single" w:sz="4" w:space="0" w:color="auto"/>
              <w:right w:val="single" w:sz="4" w:space="0" w:color="auto"/>
            </w:tcBorders>
            <w:vAlign w:val="center"/>
          </w:tcPr>
          <w:p w14:paraId="0BC7C9C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729" w:type="dxa"/>
            <w:tcBorders>
              <w:top w:val="single" w:sz="4" w:space="0" w:color="auto"/>
              <w:left w:val="single" w:sz="4" w:space="0" w:color="auto"/>
              <w:bottom w:val="single" w:sz="4" w:space="0" w:color="auto"/>
              <w:right w:val="single" w:sz="4" w:space="0" w:color="auto"/>
            </w:tcBorders>
            <w:vAlign w:val="center"/>
          </w:tcPr>
          <w:p w14:paraId="0A93EACD"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67A36D5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0" w:type="dxa"/>
            <w:tcBorders>
              <w:top w:val="single" w:sz="4" w:space="0" w:color="auto"/>
              <w:left w:val="single" w:sz="4" w:space="0" w:color="auto"/>
              <w:bottom w:val="single" w:sz="4" w:space="0" w:color="auto"/>
              <w:right w:val="single" w:sz="4" w:space="0" w:color="auto"/>
            </w:tcBorders>
            <w:vAlign w:val="center"/>
          </w:tcPr>
          <w:p w14:paraId="03A6D5FD"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728" w:type="dxa"/>
            <w:tcBorders>
              <w:top w:val="single" w:sz="4" w:space="0" w:color="auto"/>
              <w:left w:val="single" w:sz="4" w:space="0" w:color="auto"/>
              <w:bottom w:val="single" w:sz="4" w:space="0" w:color="auto"/>
              <w:right w:val="single" w:sz="4" w:space="0" w:color="auto"/>
            </w:tcBorders>
            <w:vAlign w:val="center"/>
          </w:tcPr>
          <w:p w14:paraId="326BF88B"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8" w:type="dxa"/>
            <w:tcBorders>
              <w:top w:val="single" w:sz="4" w:space="0" w:color="auto"/>
              <w:left w:val="single" w:sz="4" w:space="0" w:color="auto"/>
              <w:bottom w:val="single" w:sz="4" w:space="0" w:color="auto"/>
              <w:right w:val="single" w:sz="4" w:space="0" w:color="auto"/>
            </w:tcBorders>
            <w:vAlign w:val="center"/>
          </w:tcPr>
          <w:p w14:paraId="732AB7B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730" w:type="dxa"/>
            <w:tcBorders>
              <w:top w:val="single" w:sz="4" w:space="0" w:color="auto"/>
              <w:left w:val="single" w:sz="4" w:space="0" w:color="auto"/>
              <w:bottom w:val="single" w:sz="4" w:space="0" w:color="auto"/>
              <w:right w:val="single" w:sz="4" w:space="0" w:color="auto"/>
            </w:tcBorders>
            <w:shd w:val="clear" w:color="auto" w:fill="D9E1F2"/>
            <w:vAlign w:val="center"/>
          </w:tcPr>
          <w:p w14:paraId="48D71C22"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18</w:t>
            </w:r>
          </w:p>
        </w:tc>
      </w:tr>
      <w:tr w:rsidR="00754172" w14:paraId="36F821BE" w14:textId="77777777" w:rsidTr="003A3267">
        <w:trPr>
          <w:trHeight w:val="300"/>
        </w:trPr>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7EBA139C" w14:textId="77777777" w:rsidR="00754172" w:rsidRDefault="00000000" w:rsidP="003A3267">
            <w:pPr>
              <w:spacing w:after="0" w:line="240" w:lineRule="auto"/>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UNCuyo</w:t>
            </w:r>
            <w:proofErr w:type="spellEnd"/>
          </w:p>
        </w:tc>
        <w:tc>
          <w:tcPr>
            <w:tcW w:w="729" w:type="dxa"/>
            <w:tcBorders>
              <w:top w:val="single" w:sz="4" w:space="0" w:color="auto"/>
              <w:left w:val="single" w:sz="4" w:space="0" w:color="auto"/>
              <w:bottom w:val="single" w:sz="4" w:space="0" w:color="auto"/>
              <w:right w:val="single" w:sz="4" w:space="0" w:color="auto"/>
            </w:tcBorders>
            <w:vAlign w:val="center"/>
          </w:tcPr>
          <w:p w14:paraId="438F31F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29" w:type="dxa"/>
            <w:tcBorders>
              <w:top w:val="single" w:sz="4" w:space="0" w:color="auto"/>
              <w:left w:val="single" w:sz="4" w:space="0" w:color="auto"/>
              <w:bottom w:val="single" w:sz="4" w:space="0" w:color="auto"/>
              <w:right w:val="single" w:sz="4" w:space="0" w:color="auto"/>
            </w:tcBorders>
            <w:vAlign w:val="center"/>
          </w:tcPr>
          <w:p w14:paraId="677DD3E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31" w:type="dxa"/>
            <w:tcBorders>
              <w:top w:val="single" w:sz="4" w:space="0" w:color="auto"/>
              <w:left w:val="single" w:sz="4" w:space="0" w:color="auto"/>
              <w:bottom w:val="single" w:sz="4" w:space="0" w:color="auto"/>
              <w:right w:val="single" w:sz="4" w:space="0" w:color="auto"/>
            </w:tcBorders>
            <w:vAlign w:val="center"/>
          </w:tcPr>
          <w:p w14:paraId="6136738B"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29" w:type="dxa"/>
            <w:tcBorders>
              <w:top w:val="single" w:sz="4" w:space="0" w:color="auto"/>
              <w:left w:val="single" w:sz="4" w:space="0" w:color="auto"/>
              <w:bottom w:val="single" w:sz="4" w:space="0" w:color="auto"/>
              <w:right w:val="single" w:sz="4" w:space="0" w:color="auto"/>
            </w:tcBorders>
            <w:vAlign w:val="center"/>
          </w:tcPr>
          <w:p w14:paraId="00FB91AA"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4E0FC507"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1" w:type="dxa"/>
            <w:tcBorders>
              <w:top w:val="single" w:sz="4" w:space="0" w:color="auto"/>
              <w:left w:val="single" w:sz="4" w:space="0" w:color="auto"/>
              <w:bottom w:val="single" w:sz="4" w:space="0" w:color="auto"/>
              <w:right w:val="single" w:sz="4" w:space="0" w:color="auto"/>
            </w:tcBorders>
            <w:vAlign w:val="center"/>
          </w:tcPr>
          <w:p w14:paraId="4E06861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729" w:type="dxa"/>
            <w:tcBorders>
              <w:top w:val="single" w:sz="4" w:space="0" w:color="auto"/>
              <w:left w:val="single" w:sz="4" w:space="0" w:color="auto"/>
              <w:bottom w:val="single" w:sz="4" w:space="0" w:color="auto"/>
              <w:right w:val="single" w:sz="4" w:space="0" w:color="auto"/>
            </w:tcBorders>
            <w:vAlign w:val="center"/>
          </w:tcPr>
          <w:p w14:paraId="6B522E6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4ACA819A"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0" w:type="dxa"/>
            <w:tcBorders>
              <w:top w:val="single" w:sz="4" w:space="0" w:color="auto"/>
              <w:left w:val="single" w:sz="4" w:space="0" w:color="auto"/>
              <w:bottom w:val="single" w:sz="4" w:space="0" w:color="auto"/>
              <w:right w:val="single" w:sz="4" w:space="0" w:color="auto"/>
            </w:tcBorders>
            <w:vAlign w:val="center"/>
          </w:tcPr>
          <w:p w14:paraId="55DAD1AD"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728" w:type="dxa"/>
            <w:tcBorders>
              <w:top w:val="single" w:sz="4" w:space="0" w:color="auto"/>
              <w:left w:val="single" w:sz="4" w:space="0" w:color="auto"/>
              <w:bottom w:val="single" w:sz="4" w:space="0" w:color="auto"/>
              <w:right w:val="single" w:sz="4" w:space="0" w:color="auto"/>
            </w:tcBorders>
            <w:vAlign w:val="center"/>
          </w:tcPr>
          <w:p w14:paraId="46AAC6CB"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8" w:type="dxa"/>
            <w:tcBorders>
              <w:top w:val="single" w:sz="4" w:space="0" w:color="auto"/>
              <w:left w:val="single" w:sz="4" w:space="0" w:color="auto"/>
              <w:bottom w:val="single" w:sz="4" w:space="0" w:color="auto"/>
              <w:right w:val="single" w:sz="4" w:space="0" w:color="auto"/>
            </w:tcBorders>
            <w:vAlign w:val="center"/>
          </w:tcPr>
          <w:p w14:paraId="209937A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730" w:type="dxa"/>
            <w:tcBorders>
              <w:top w:val="single" w:sz="4" w:space="0" w:color="auto"/>
              <w:left w:val="single" w:sz="4" w:space="0" w:color="auto"/>
              <w:bottom w:val="single" w:sz="4" w:space="0" w:color="auto"/>
              <w:right w:val="single" w:sz="4" w:space="0" w:color="auto"/>
            </w:tcBorders>
            <w:shd w:val="clear" w:color="auto" w:fill="D9E1F2"/>
            <w:vAlign w:val="center"/>
          </w:tcPr>
          <w:p w14:paraId="30F80C2F"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15</w:t>
            </w:r>
          </w:p>
        </w:tc>
      </w:tr>
      <w:tr w:rsidR="00754172" w14:paraId="4C077E48" w14:textId="77777777" w:rsidTr="003A3267">
        <w:trPr>
          <w:trHeight w:val="300"/>
        </w:trPr>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6833587A" w14:textId="77777777" w:rsidR="00754172" w:rsidRDefault="00000000" w:rsidP="003A3267">
            <w:pPr>
              <w:spacing w:after="0" w:line="240" w:lineRule="auto"/>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UNLPam</w:t>
            </w:r>
            <w:proofErr w:type="spellEnd"/>
          </w:p>
        </w:tc>
        <w:tc>
          <w:tcPr>
            <w:tcW w:w="729" w:type="dxa"/>
            <w:tcBorders>
              <w:top w:val="single" w:sz="4" w:space="0" w:color="auto"/>
              <w:left w:val="single" w:sz="4" w:space="0" w:color="auto"/>
              <w:bottom w:val="single" w:sz="4" w:space="0" w:color="auto"/>
              <w:right w:val="single" w:sz="4" w:space="0" w:color="auto"/>
            </w:tcBorders>
            <w:vAlign w:val="center"/>
          </w:tcPr>
          <w:p w14:paraId="14D6341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7898FBD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31" w:type="dxa"/>
            <w:tcBorders>
              <w:top w:val="single" w:sz="4" w:space="0" w:color="auto"/>
              <w:left w:val="single" w:sz="4" w:space="0" w:color="auto"/>
              <w:bottom w:val="single" w:sz="4" w:space="0" w:color="auto"/>
              <w:right w:val="single" w:sz="4" w:space="0" w:color="auto"/>
            </w:tcBorders>
            <w:vAlign w:val="center"/>
          </w:tcPr>
          <w:p w14:paraId="20017A3D"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73BB2CA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729" w:type="dxa"/>
            <w:tcBorders>
              <w:top w:val="single" w:sz="4" w:space="0" w:color="auto"/>
              <w:left w:val="single" w:sz="4" w:space="0" w:color="auto"/>
              <w:bottom w:val="single" w:sz="4" w:space="0" w:color="auto"/>
              <w:right w:val="single" w:sz="4" w:space="0" w:color="auto"/>
            </w:tcBorders>
            <w:vAlign w:val="center"/>
          </w:tcPr>
          <w:p w14:paraId="6EAC1EB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1" w:type="dxa"/>
            <w:tcBorders>
              <w:top w:val="single" w:sz="4" w:space="0" w:color="auto"/>
              <w:left w:val="single" w:sz="4" w:space="0" w:color="auto"/>
              <w:bottom w:val="single" w:sz="4" w:space="0" w:color="auto"/>
              <w:right w:val="single" w:sz="4" w:space="0" w:color="auto"/>
            </w:tcBorders>
            <w:vAlign w:val="center"/>
          </w:tcPr>
          <w:p w14:paraId="5C2320A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4AA7ABB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729" w:type="dxa"/>
            <w:tcBorders>
              <w:top w:val="single" w:sz="4" w:space="0" w:color="auto"/>
              <w:left w:val="single" w:sz="4" w:space="0" w:color="auto"/>
              <w:bottom w:val="single" w:sz="4" w:space="0" w:color="auto"/>
              <w:right w:val="single" w:sz="4" w:space="0" w:color="auto"/>
            </w:tcBorders>
            <w:vAlign w:val="center"/>
          </w:tcPr>
          <w:p w14:paraId="1D733C30"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30" w:type="dxa"/>
            <w:tcBorders>
              <w:top w:val="single" w:sz="4" w:space="0" w:color="auto"/>
              <w:left w:val="single" w:sz="4" w:space="0" w:color="auto"/>
              <w:bottom w:val="single" w:sz="4" w:space="0" w:color="auto"/>
              <w:right w:val="single" w:sz="4" w:space="0" w:color="auto"/>
            </w:tcBorders>
            <w:vAlign w:val="center"/>
          </w:tcPr>
          <w:p w14:paraId="68D8B375"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28" w:type="dxa"/>
            <w:tcBorders>
              <w:top w:val="single" w:sz="4" w:space="0" w:color="auto"/>
              <w:left w:val="single" w:sz="4" w:space="0" w:color="auto"/>
              <w:bottom w:val="single" w:sz="4" w:space="0" w:color="auto"/>
              <w:right w:val="single" w:sz="4" w:space="0" w:color="auto"/>
            </w:tcBorders>
            <w:vAlign w:val="center"/>
          </w:tcPr>
          <w:p w14:paraId="5C698E48"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8" w:type="dxa"/>
            <w:tcBorders>
              <w:top w:val="single" w:sz="4" w:space="0" w:color="auto"/>
              <w:left w:val="single" w:sz="4" w:space="0" w:color="auto"/>
              <w:bottom w:val="single" w:sz="4" w:space="0" w:color="auto"/>
              <w:right w:val="single" w:sz="4" w:space="0" w:color="auto"/>
            </w:tcBorders>
            <w:vAlign w:val="center"/>
          </w:tcPr>
          <w:p w14:paraId="588446E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730" w:type="dxa"/>
            <w:tcBorders>
              <w:top w:val="single" w:sz="4" w:space="0" w:color="auto"/>
              <w:left w:val="single" w:sz="4" w:space="0" w:color="auto"/>
              <w:bottom w:val="single" w:sz="4" w:space="0" w:color="auto"/>
              <w:right w:val="single" w:sz="4" w:space="0" w:color="auto"/>
            </w:tcBorders>
            <w:shd w:val="clear" w:color="auto" w:fill="D9E1F2"/>
            <w:vAlign w:val="center"/>
          </w:tcPr>
          <w:p w14:paraId="65A02710"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12</w:t>
            </w:r>
          </w:p>
        </w:tc>
      </w:tr>
      <w:tr w:rsidR="00754172" w14:paraId="0A5E5E47" w14:textId="77777777" w:rsidTr="003A3267">
        <w:trPr>
          <w:trHeight w:val="300"/>
        </w:trPr>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56847875" w14:textId="77777777" w:rsidR="00754172" w:rsidRDefault="00000000" w:rsidP="003A3267">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UNICEN</w:t>
            </w:r>
          </w:p>
        </w:tc>
        <w:tc>
          <w:tcPr>
            <w:tcW w:w="729" w:type="dxa"/>
            <w:tcBorders>
              <w:top w:val="single" w:sz="4" w:space="0" w:color="auto"/>
              <w:left w:val="single" w:sz="4" w:space="0" w:color="auto"/>
              <w:bottom w:val="single" w:sz="4" w:space="0" w:color="auto"/>
              <w:right w:val="single" w:sz="4" w:space="0" w:color="auto"/>
            </w:tcBorders>
            <w:vAlign w:val="center"/>
          </w:tcPr>
          <w:p w14:paraId="330DF45A"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29" w:type="dxa"/>
            <w:tcBorders>
              <w:top w:val="single" w:sz="4" w:space="0" w:color="auto"/>
              <w:left w:val="single" w:sz="4" w:space="0" w:color="auto"/>
              <w:bottom w:val="single" w:sz="4" w:space="0" w:color="auto"/>
              <w:right w:val="single" w:sz="4" w:space="0" w:color="auto"/>
            </w:tcBorders>
            <w:vAlign w:val="center"/>
          </w:tcPr>
          <w:p w14:paraId="3963DDFD"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1" w:type="dxa"/>
            <w:tcBorders>
              <w:top w:val="single" w:sz="4" w:space="0" w:color="auto"/>
              <w:left w:val="single" w:sz="4" w:space="0" w:color="auto"/>
              <w:bottom w:val="single" w:sz="4" w:space="0" w:color="auto"/>
              <w:right w:val="single" w:sz="4" w:space="0" w:color="auto"/>
            </w:tcBorders>
            <w:vAlign w:val="center"/>
          </w:tcPr>
          <w:p w14:paraId="4747FCB7"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2FB6CF1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1333CB0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1" w:type="dxa"/>
            <w:tcBorders>
              <w:top w:val="single" w:sz="4" w:space="0" w:color="auto"/>
              <w:left w:val="single" w:sz="4" w:space="0" w:color="auto"/>
              <w:bottom w:val="single" w:sz="4" w:space="0" w:color="auto"/>
              <w:right w:val="single" w:sz="4" w:space="0" w:color="auto"/>
            </w:tcBorders>
            <w:vAlign w:val="center"/>
          </w:tcPr>
          <w:p w14:paraId="45006FF5"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3CD3EE7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2970D4C7"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0" w:type="dxa"/>
            <w:tcBorders>
              <w:top w:val="single" w:sz="4" w:space="0" w:color="auto"/>
              <w:left w:val="single" w:sz="4" w:space="0" w:color="auto"/>
              <w:bottom w:val="single" w:sz="4" w:space="0" w:color="auto"/>
              <w:right w:val="single" w:sz="4" w:space="0" w:color="auto"/>
            </w:tcBorders>
            <w:vAlign w:val="center"/>
          </w:tcPr>
          <w:p w14:paraId="689FA5F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8" w:type="dxa"/>
            <w:tcBorders>
              <w:top w:val="single" w:sz="4" w:space="0" w:color="auto"/>
              <w:left w:val="single" w:sz="4" w:space="0" w:color="auto"/>
              <w:bottom w:val="single" w:sz="4" w:space="0" w:color="auto"/>
              <w:right w:val="single" w:sz="4" w:space="0" w:color="auto"/>
            </w:tcBorders>
            <w:vAlign w:val="center"/>
          </w:tcPr>
          <w:p w14:paraId="4FADEB9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8" w:type="dxa"/>
            <w:tcBorders>
              <w:top w:val="single" w:sz="4" w:space="0" w:color="auto"/>
              <w:left w:val="single" w:sz="4" w:space="0" w:color="auto"/>
              <w:bottom w:val="single" w:sz="4" w:space="0" w:color="auto"/>
              <w:right w:val="single" w:sz="4" w:space="0" w:color="auto"/>
            </w:tcBorders>
            <w:vAlign w:val="center"/>
          </w:tcPr>
          <w:p w14:paraId="5E34B070"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30" w:type="dxa"/>
            <w:tcBorders>
              <w:top w:val="single" w:sz="4" w:space="0" w:color="auto"/>
              <w:left w:val="single" w:sz="4" w:space="0" w:color="auto"/>
              <w:bottom w:val="single" w:sz="4" w:space="0" w:color="auto"/>
              <w:right w:val="single" w:sz="4" w:space="0" w:color="auto"/>
            </w:tcBorders>
            <w:shd w:val="clear" w:color="auto" w:fill="D9E1F2"/>
            <w:vAlign w:val="center"/>
          </w:tcPr>
          <w:p w14:paraId="2661A0B1"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11</w:t>
            </w:r>
          </w:p>
        </w:tc>
      </w:tr>
      <w:tr w:rsidR="00754172" w14:paraId="0B67468E" w14:textId="77777777" w:rsidTr="003A3267">
        <w:trPr>
          <w:trHeight w:val="300"/>
        </w:trPr>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61537134" w14:textId="77777777" w:rsidR="00754172" w:rsidRDefault="00000000" w:rsidP="003A3267">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UNRC</w:t>
            </w:r>
          </w:p>
        </w:tc>
        <w:tc>
          <w:tcPr>
            <w:tcW w:w="729" w:type="dxa"/>
            <w:tcBorders>
              <w:top w:val="single" w:sz="4" w:space="0" w:color="auto"/>
              <w:left w:val="single" w:sz="4" w:space="0" w:color="auto"/>
              <w:bottom w:val="single" w:sz="4" w:space="0" w:color="auto"/>
              <w:right w:val="single" w:sz="4" w:space="0" w:color="auto"/>
            </w:tcBorders>
            <w:vAlign w:val="center"/>
          </w:tcPr>
          <w:p w14:paraId="592AC68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729" w:type="dxa"/>
            <w:tcBorders>
              <w:top w:val="single" w:sz="4" w:space="0" w:color="auto"/>
              <w:left w:val="single" w:sz="4" w:space="0" w:color="auto"/>
              <w:bottom w:val="single" w:sz="4" w:space="0" w:color="auto"/>
              <w:right w:val="single" w:sz="4" w:space="0" w:color="auto"/>
            </w:tcBorders>
            <w:vAlign w:val="center"/>
          </w:tcPr>
          <w:p w14:paraId="591040A7"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1" w:type="dxa"/>
            <w:tcBorders>
              <w:top w:val="single" w:sz="4" w:space="0" w:color="auto"/>
              <w:left w:val="single" w:sz="4" w:space="0" w:color="auto"/>
              <w:bottom w:val="single" w:sz="4" w:space="0" w:color="auto"/>
              <w:right w:val="single" w:sz="4" w:space="0" w:color="auto"/>
            </w:tcBorders>
            <w:vAlign w:val="center"/>
          </w:tcPr>
          <w:p w14:paraId="5F8D254D"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44DCE49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29" w:type="dxa"/>
            <w:tcBorders>
              <w:top w:val="single" w:sz="4" w:space="0" w:color="auto"/>
              <w:left w:val="single" w:sz="4" w:space="0" w:color="auto"/>
              <w:bottom w:val="single" w:sz="4" w:space="0" w:color="auto"/>
              <w:right w:val="single" w:sz="4" w:space="0" w:color="auto"/>
            </w:tcBorders>
            <w:vAlign w:val="center"/>
          </w:tcPr>
          <w:p w14:paraId="693B85F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31" w:type="dxa"/>
            <w:tcBorders>
              <w:top w:val="single" w:sz="4" w:space="0" w:color="auto"/>
              <w:left w:val="single" w:sz="4" w:space="0" w:color="auto"/>
              <w:bottom w:val="single" w:sz="4" w:space="0" w:color="auto"/>
              <w:right w:val="single" w:sz="4" w:space="0" w:color="auto"/>
            </w:tcBorders>
            <w:vAlign w:val="center"/>
          </w:tcPr>
          <w:p w14:paraId="2B8E7B1E"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729" w:type="dxa"/>
            <w:tcBorders>
              <w:top w:val="single" w:sz="4" w:space="0" w:color="auto"/>
              <w:left w:val="single" w:sz="4" w:space="0" w:color="auto"/>
              <w:bottom w:val="single" w:sz="4" w:space="0" w:color="auto"/>
              <w:right w:val="single" w:sz="4" w:space="0" w:color="auto"/>
            </w:tcBorders>
            <w:vAlign w:val="center"/>
          </w:tcPr>
          <w:p w14:paraId="1415FE7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9" w:type="dxa"/>
            <w:tcBorders>
              <w:top w:val="single" w:sz="4" w:space="0" w:color="auto"/>
              <w:left w:val="single" w:sz="4" w:space="0" w:color="auto"/>
              <w:bottom w:val="single" w:sz="4" w:space="0" w:color="auto"/>
              <w:right w:val="single" w:sz="4" w:space="0" w:color="auto"/>
            </w:tcBorders>
            <w:vAlign w:val="center"/>
          </w:tcPr>
          <w:p w14:paraId="2ACF3F5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30" w:type="dxa"/>
            <w:tcBorders>
              <w:top w:val="single" w:sz="4" w:space="0" w:color="auto"/>
              <w:left w:val="single" w:sz="4" w:space="0" w:color="auto"/>
              <w:bottom w:val="single" w:sz="4" w:space="0" w:color="auto"/>
              <w:right w:val="single" w:sz="4" w:space="0" w:color="auto"/>
            </w:tcBorders>
            <w:vAlign w:val="center"/>
          </w:tcPr>
          <w:p w14:paraId="6BBEDED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8" w:type="dxa"/>
            <w:tcBorders>
              <w:top w:val="single" w:sz="4" w:space="0" w:color="auto"/>
              <w:left w:val="single" w:sz="4" w:space="0" w:color="auto"/>
              <w:bottom w:val="single" w:sz="4" w:space="0" w:color="auto"/>
              <w:right w:val="single" w:sz="4" w:space="0" w:color="auto"/>
            </w:tcBorders>
            <w:vAlign w:val="center"/>
          </w:tcPr>
          <w:p w14:paraId="14773127"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8" w:type="dxa"/>
            <w:tcBorders>
              <w:top w:val="single" w:sz="4" w:space="0" w:color="auto"/>
              <w:left w:val="single" w:sz="4" w:space="0" w:color="auto"/>
              <w:bottom w:val="single" w:sz="4" w:space="0" w:color="auto"/>
              <w:right w:val="single" w:sz="4" w:space="0" w:color="auto"/>
            </w:tcBorders>
            <w:vAlign w:val="center"/>
          </w:tcPr>
          <w:p w14:paraId="3BA5593E"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730" w:type="dxa"/>
            <w:tcBorders>
              <w:top w:val="single" w:sz="4" w:space="0" w:color="auto"/>
              <w:left w:val="single" w:sz="4" w:space="0" w:color="auto"/>
              <w:bottom w:val="single" w:sz="4" w:space="0" w:color="auto"/>
              <w:right w:val="single" w:sz="4" w:space="0" w:color="auto"/>
            </w:tcBorders>
            <w:shd w:val="clear" w:color="auto" w:fill="D9E1F2"/>
            <w:vAlign w:val="center"/>
          </w:tcPr>
          <w:p w14:paraId="515D8294"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w:t>
            </w:r>
          </w:p>
        </w:tc>
      </w:tr>
      <w:tr w:rsidR="00754172" w14:paraId="50D4A302" w14:textId="77777777" w:rsidTr="003A3267">
        <w:trPr>
          <w:trHeight w:val="300"/>
        </w:trPr>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140A6073" w14:textId="77777777" w:rsidR="00754172" w:rsidRDefault="00000000" w:rsidP="003A3267">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Total</w:t>
            </w:r>
          </w:p>
        </w:tc>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6D22CB5B"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tc>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6AE0490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tc>
        <w:tc>
          <w:tcPr>
            <w:tcW w:w="731" w:type="dxa"/>
            <w:tcBorders>
              <w:top w:val="single" w:sz="4" w:space="0" w:color="auto"/>
              <w:left w:val="single" w:sz="4" w:space="0" w:color="auto"/>
              <w:bottom w:val="single" w:sz="4" w:space="0" w:color="auto"/>
              <w:right w:val="single" w:sz="4" w:space="0" w:color="auto"/>
            </w:tcBorders>
            <w:shd w:val="clear" w:color="auto" w:fill="D9E1F2"/>
            <w:vAlign w:val="center"/>
          </w:tcPr>
          <w:p w14:paraId="395DC1B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5CDE8524"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w:t>
            </w:r>
          </w:p>
        </w:tc>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5FA69E3A"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731" w:type="dxa"/>
            <w:tcBorders>
              <w:top w:val="single" w:sz="4" w:space="0" w:color="auto"/>
              <w:left w:val="single" w:sz="4" w:space="0" w:color="auto"/>
              <w:bottom w:val="single" w:sz="4" w:space="0" w:color="auto"/>
              <w:right w:val="single" w:sz="4" w:space="0" w:color="auto"/>
            </w:tcBorders>
            <w:shd w:val="clear" w:color="auto" w:fill="D9E1F2"/>
            <w:vAlign w:val="center"/>
          </w:tcPr>
          <w:p w14:paraId="16110358"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39</w:t>
            </w:r>
          </w:p>
        </w:tc>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25BA0C8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29" w:type="dxa"/>
            <w:tcBorders>
              <w:top w:val="single" w:sz="4" w:space="0" w:color="auto"/>
              <w:left w:val="single" w:sz="4" w:space="0" w:color="auto"/>
              <w:bottom w:val="single" w:sz="4" w:space="0" w:color="auto"/>
              <w:right w:val="single" w:sz="4" w:space="0" w:color="auto"/>
            </w:tcBorders>
            <w:shd w:val="clear" w:color="auto" w:fill="D9E1F2"/>
            <w:vAlign w:val="center"/>
          </w:tcPr>
          <w:p w14:paraId="6D7E79EA"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730" w:type="dxa"/>
            <w:tcBorders>
              <w:top w:val="single" w:sz="4" w:space="0" w:color="auto"/>
              <w:left w:val="single" w:sz="4" w:space="0" w:color="auto"/>
              <w:bottom w:val="single" w:sz="4" w:space="0" w:color="auto"/>
              <w:right w:val="single" w:sz="4" w:space="0" w:color="auto"/>
            </w:tcBorders>
            <w:shd w:val="clear" w:color="auto" w:fill="D9E1F2"/>
            <w:vAlign w:val="center"/>
          </w:tcPr>
          <w:p w14:paraId="28180A0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w:t>
            </w:r>
          </w:p>
        </w:tc>
        <w:tc>
          <w:tcPr>
            <w:tcW w:w="728" w:type="dxa"/>
            <w:tcBorders>
              <w:top w:val="single" w:sz="4" w:space="0" w:color="auto"/>
              <w:left w:val="single" w:sz="4" w:space="0" w:color="auto"/>
              <w:bottom w:val="single" w:sz="4" w:space="0" w:color="auto"/>
              <w:right w:val="single" w:sz="4" w:space="0" w:color="auto"/>
            </w:tcBorders>
            <w:shd w:val="clear" w:color="auto" w:fill="D9E1F2"/>
            <w:vAlign w:val="center"/>
          </w:tcPr>
          <w:p w14:paraId="3D45B0D8"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tc>
        <w:tc>
          <w:tcPr>
            <w:tcW w:w="728" w:type="dxa"/>
            <w:tcBorders>
              <w:top w:val="single" w:sz="4" w:space="0" w:color="auto"/>
              <w:left w:val="single" w:sz="4" w:space="0" w:color="auto"/>
              <w:bottom w:val="single" w:sz="4" w:space="0" w:color="auto"/>
              <w:right w:val="single" w:sz="4" w:space="0" w:color="auto"/>
            </w:tcBorders>
            <w:shd w:val="clear" w:color="auto" w:fill="D9E1F2"/>
            <w:vAlign w:val="center"/>
          </w:tcPr>
          <w:p w14:paraId="359E2370"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730" w:type="dxa"/>
            <w:tcBorders>
              <w:top w:val="single" w:sz="4" w:space="0" w:color="auto"/>
              <w:left w:val="single" w:sz="4" w:space="0" w:color="auto"/>
              <w:bottom w:val="single" w:sz="4" w:space="0" w:color="auto"/>
              <w:right w:val="single" w:sz="4" w:space="0" w:color="auto"/>
            </w:tcBorders>
            <w:shd w:val="clear" w:color="auto" w:fill="D9E1F2"/>
            <w:vAlign w:val="center"/>
          </w:tcPr>
          <w:p w14:paraId="0EC258C8"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289</w:t>
            </w:r>
          </w:p>
        </w:tc>
      </w:tr>
    </w:tbl>
    <w:p w14:paraId="087E5FF8" w14:textId="77777777" w:rsidR="00754172" w:rsidRDefault="0000000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Fuente: Elaboración propia a partir de la Base RIES.</w:t>
      </w:r>
    </w:p>
    <w:p w14:paraId="73345135" w14:textId="77777777" w:rsidR="00754172" w:rsidRDefault="00754172">
      <w:pPr>
        <w:spacing w:after="0" w:line="240" w:lineRule="auto"/>
        <w:jc w:val="both"/>
        <w:rPr>
          <w:rFonts w:ascii="Arial" w:eastAsia="Arial" w:hAnsi="Arial" w:cs="Arial"/>
        </w:rPr>
      </w:pPr>
    </w:p>
    <w:p w14:paraId="391C4D39" w14:textId="77777777" w:rsidR="00754172" w:rsidRDefault="00000000">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En línea con lo mencionado anteriormente, desde el Núcleo RIES radicado en la FLACSO también se impulsó la realización de dos estados del arte, con financiamiento de UNICEF, considerando su peso en la Base y su centralidad en muchas de las reformas y transformaciones impulsadas en la educación secundaria, y teniendo en cuenta que los </w:t>
      </w:r>
      <w:r>
        <w:rPr>
          <w:rFonts w:ascii="Times New Roman" w:eastAsia="Times New Roman" w:hAnsi="Times New Roman" w:cs="Times New Roman"/>
        </w:rPr>
        <w:lastRenderedPageBreak/>
        <w:t xml:space="preserve">aprendizajes en lengua y matemática, especialmente, constituyen un nudo crítico aún no eficientemente abordado (Steinberg </w:t>
      </w:r>
      <w:r>
        <w:rPr>
          <w:rFonts w:ascii="Times New Roman" w:eastAsia="Times New Roman" w:hAnsi="Times New Roman" w:cs="Times New Roman"/>
          <w:i/>
          <w:iCs/>
        </w:rPr>
        <w:t>et al.</w:t>
      </w:r>
      <w:r>
        <w:rPr>
          <w:rFonts w:ascii="Times New Roman" w:eastAsia="Times New Roman" w:hAnsi="Times New Roman" w:cs="Times New Roman"/>
        </w:rPr>
        <w:t xml:space="preserve">, 2018). Este tipo de producciones, mediante la convocatoria a especialistas en estos campos temáticos permitió, al mismo tiempo que la elaboración de sendos estados del arte, la actualización, ampliación, exogamia y caracterización de la producción de conocimiento. </w:t>
      </w:r>
    </w:p>
    <w:p w14:paraId="0DCB5E00" w14:textId="77777777" w:rsidR="00754172" w:rsidRDefault="00754172">
      <w:pPr>
        <w:spacing w:after="0" w:line="276" w:lineRule="auto"/>
        <w:jc w:val="both"/>
        <w:rPr>
          <w:rFonts w:ascii="Times New Roman" w:eastAsia="Times New Roman" w:hAnsi="Times New Roman" w:cs="Times New Roman"/>
          <w:i/>
          <w:iCs/>
        </w:rPr>
      </w:pPr>
    </w:p>
    <w:p w14:paraId="4DE1D4C1" w14:textId="77777777" w:rsidR="00754172" w:rsidRDefault="00000000">
      <w:pPr>
        <w:spacing w:after="0" w:line="276" w:lineRule="auto"/>
        <w:jc w:val="both"/>
        <w:rPr>
          <w:rFonts w:ascii="Times New Roman" w:eastAsia="Times New Roman" w:hAnsi="Times New Roman" w:cs="Times New Roman"/>
          <w:i/>
          <w:iCs/>
        </w:rPr>
      </w:pPr>
      <w:r>
        <w:rPr>
          <w:rFonts w:ascii="Times New Roman" w:eastAsia="Times New Roman" w:hAnsi="Times New Roman" w:cs="Times New Roman"/>
          <w:i/>
          <w:iCs/>
        </w:rPr>
        <w:t>Políticas Educativas</w:t>
      </w:r>
    </w:p>
    <w:p w14:paraId="6BABD723" w14:textId="77777777" w:rsidR="00754172" w:rsidRDefault="00754172">
      <w:pPr>
        <w:spacing w:after="0" w:line="276" w:lineRule="auto"/>
        <w:jc w:val="both"/>
        <w:rPr>
          <w:rFonts w:ascii="Times New Roman" w:eastAsia="Times New Roman" w:hAnsi="Times New Roman" w:cs="Times New Roman"/>
        </w:rPr>
      </w:pPr>
    </w:p>
    <w:p w14:paraId="3A69508D" w14:textId="77777777" w:rsidR="00754172" w:rsidRDefault="00000000">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El número de proyectos que integran el repositorio bajo el tema Políticas educativas como clasificación principal, alcanza a un total de 253 proyectos. La distribución entre tipos de organismos permite concluir que la mayor producción es, nuevamente, la generada por las universidades estatales. Le siguen en frecuencia de proyectos el conglomerado de Centros de Investigación y luego los Organismos Públicos.</w:t>
      </w:r>
    </w:p>
    <w:p w14:paraId="75440E5B" w14:textId="77777777" w:rsidR="00754172" w:rsidRDefault="00754172">
      <w:pPr>
        <w:spacing w:after="0" w:line="240" w:lineRule="auto"/>
        <w:jc w:val="both"/>
        <w:rPr>
          <w:rFonts w:ascii="Times New Roman" w:eastAsia="Times New Roman" w:hAnsi="Times New Roman" w:cs="Times New Roman"/>
          <w:highlight w:val="yellow"/>
        </w:rPr>
      </w:pPr>
    </w:p>
    <w:p w14:paraId="4EE7B0CB" w14:textId="77777777" w:rsidR="00754172" w:rsidRDefault="0000000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Cuadro 4. Proyectos sobre Políticas Educativas según tipo de organismo productor (en absolutos). Años 2003 a 2021.</w:t>
      </w:r>
    </w:p>
    <w:p w14:paraId="29763FC7" w14:textId="77777777" w:rsidR="00754172" w:rsidRDefault="00754172">
      <w:pPr>
        <w:spacing w:after="0" w:line="240" w:lineRule="auto"/>
        <w:jc w:val="both"/>
        <w:rPr>
          <w:rFonts w:ascii="Times New Roman" w:eastAsia="Times New Roman" w:hAnsi="Times New Roman" w:cs="Times New Roman"/>
          <w:sz w:val="22"/>
          <w:szCs w:val="22"/>
        </w:rPr>
      </w:pPr>
    </w:p>
    <w:tbl>
      <w:tblPr>
        <w:tblStyle w:val="a3"/>
        <w:tblW w:w="8217" w:type="dxa"/>
        <w:tblInd w:w="0" w:type="dxa"/>
        <w:tblLayout w:type="fixed"/>
        <w:tblLook w:val="0400" w:firstRow="0" w:lastRow="0" w:firstColumn="0" w:lastColumn="0" w:noHBand="0" w:noVBand="1"/>
      </w:tblPr>
      <w:tblGrid>
        <w:gridCol w:w="4815"/>
        <w:gridCol w:w="3402"/>
      </w:tblGrid>
      <w:tr w:rsidR="00754172" w14:paraId="7286131A" w14:textId="77777777">
        <w:trPr>
          <w:trHeight w:val="580"/>
        </w:trPr>
        <w:tc>
          <w:tcPr>
            <w:tcW w:w="4815" w:type="dxa"/>
            <w:tcBorders>
              <w:top w:val="single" w:sz="4" w:space="0" w:color="000000"/>
              <w:left w:val="single" w:sz="4" w:space="0" w:color="000000"/>
              <w:bottom w:val="single" w:sz="4" w:space="0" w:color="000000"/>
              <w:right w:val="single" w:sz="4" w:space="0" w:color="000000"/>
            </w:tcBorders>
            <w:vAlign w:val="center"/>
          </w:tcPr>
          <w:p w14:paraId="38797B94"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Tipo de organismo productor</w:t>
            </w:r>
          </w:p>
        </w:tc>
        <w:tc>
          <w:tcPr>
            <w:tcW w:w="3402" w:type="dxa"/>
            <w:tcBorders>
              <w:top w:val="single" w:sz="4" w:space="0" w:color="000000"/>
              <w:left w:val="nil"/>
              <w:bottom w:val="single" w:sz="4" w:space="0" w:color="000000"/>
              <w:right w:val="single" w:sz="4" w:space="0" w:color="000000"/>
            </w:tcBorders>
            <w:vAlign w:val="center"/>
          </w:tcPr>
          <w:p w14:paraId="27869EC7"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Proyectos</w:t>
            </w:r>
          </w:p>
        </w:tc>
      </w:tr>
      <w:tr w:rsidR="00754172" w14:paraId="05DF18C6" w14:textId="77777777">
        <w:trPr>
          <w:trHeight w:val="267"/>
        </w:trPr>
        <w:tc>
          <w:tcPr>
            <w:tcW w:w="4815" w:type="dxa"/>
            <w:tcBorders>
              <w:top w:val="nil"/>
              <w:left w:val="single" w:sz="4" w:space="0" w:color="000000"/>
              <w:bottom w:val="single" w:sz="4" w:space="0" w:color="000000"/>
              <w:right w:val="single" w:sz="4" w:space="0" w:color="000000"/>
            </w:tcBorders>
            <w:vAlign w:val="center"/>
          </w:tcPr>
          <w:p w14:paraId="1C97D258" w14:textId="77777777" w:rsidR="00754172" w:rsidRDefault="00000000" w:rsidP="003A3267">
            <w:pPr>
              <w:spacing w:after="0" w:line="240" w:lineRule="auto"/>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Universidad estatales</w:t>
            </w:r>
            <w:proofErr w:type="gramEnd"/>
          </w:p>
        </w:tc>
        <w:tc>
          <w:tcPr>
            <w:tcW w:w="3402" w:type="dxa"/>
            <w:tcBorders>
              <w:top w:val="nil"/>
              <w:left w:val="nil"/>
              <w:bottom w:val="single" w:sz="4" w:space="0" w:color="000000"/>
              <w:right w:val="single" w:sz="4" w:space="0" w:color="000000"/>
            </w:tcBorders>
            <w:vAlign w:val="center"/>
          </w:tcPr>
          <w:p w14:paraId="076D443A"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169</w:t>
            </w:r>
          </w:p>
        </w:tc>
      </w:tr>
      <w:tr w:rsidR="00754172" w14:paraId="13FF06F2" w14:textId="77777777">
        <w:trPr>
          <w:trHeight w:val="1120"/>
        </w:trPr>
        <w:tc>
          <w:tcPr>
            <w:tcW w:w="4815" w:type="dxa"/>
            <w:tcBorders>
              <w:top w:val="nil"/>
              <w:left w:val="single" w:sz="4" w:space="0" w:color="000000"/>
              <w:bottom w:val="single" w:sz="4" w:space="0" w:color="000000"/>
              <w:right w:val="single" w:sz="4" w:space="0" w:color="000000"/>
            </w:tcBorders>
            <w:vAlign w:val="center"/>
          </w:tcPr>
          <w:p w14:paraId="5AC62424"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Oficinas/Departamentos/Direcciones de Investigación y/o Estadística de los Ministerios de Educación o de otras áreas, nacionales y jurisdiccionales</w:t>
            </w:r>
          </w:p>
        </w:tc>
        <w:tc>
          <w:tcPr>
            <w:tcW w:w="3402" w:type="dxa"/>
            <w:tcBorders>
              <w:top w:val="nil"/>
              <w:left w:val="nil"/>
              <w:bottom w:val="single" w:sz="4" w:space="0" w:color="000000"/>
              <w:right w:val="single" w:sz="4" w:space="0" w:color="000000"/>
            </w:tcBorders>
            <w:vAlign w:val="center"/>
          </w:tcPr>
          <w:p w14:paraId="7E656C77"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r>
      <w:tr w:rsidR="00754172" w14:paraId="32CED846" w14:textId="77777777">
        <w:trPr>
          <w:trHeight w:val="1160"/>
        </w:trPr>
        <w:tc>
          <w:tcPr>
            <w:tcW w:w="4815" w:type="dxa"/>
            <w:tcBorders>
              <w:top w:val="nil"/>
              <w:left w:val="single" w:sz="4" w:space="0" w:color="000000"/>
              <w:bottom w:val="single" w:sz="4" w:space="0" w:color="000000"/>
              <w:right w:val="single" w:sz="4" w:space="0" w:color="000000"/>
            </w:tcBorders>
            <w:vAlign w:val="center"/>
          </w:tcPr>
          <w:p w14:paraId="39BA332D"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Centros de Investigación (Asociaciones Civiles y Fundaciones; Organismos Internacionales)</w:t>
            </w:r>
          </w:p>
        </w:tc>
        <w:tc>
          <w:tcPr>
            <w:tcW w:w="3402" w:type="dxa"/>
            <w:tcBorders>
              <w:top w:val="nil"/>
              <w:left w:val="nil"/>
              <w:bottom w:val="single" w:sz="4" w:space="0" w:color="000000"/>
              <w:right w:val="single" w:sz="4" w:space="0" w:color="000000"/>
            </w:tcBorders>
            <w:vAlign w:val="center"/>
          </w:tcPr>
          <w:p w14:paraId="374A2734"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42</w:t>
            </w:r>
          </w:p>
        </w:tc>
      </w:tr>
      <w:tr w:rsidR="00754172" w14:paraId="599E195E" w14:textId="77777777">
        <w:trPr>
          <w:trHeight w:val="290"/>
        </w:trPr>
        <w:tc>
          <w:tcPr>
            <w:tcW w:w="4815" w:type="dxa"/>
            <w:tcBorders>
              <w:top w:val="nil"/>
              <w:left w:val="single" w:sz="4" w:space="0" w:color="000000"/>
              <w:bottom w:val="single" w:sz="4" w:space="0" w:color="000000"/>
              <w:right w:val="single" w:sz="4" w:space="0" w:color="000000"/>
            </w:tcBorders>
            <w:vAlign w:val="center"/>
          </w:tcPr>
          <w:p w14:paraId="444BBBDD"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Universidad Privada</w:t>
            </w:r>
          </w:p>
        </w:tc>
        <w:tc>
          <w:tcPr>
            <w:tcW w:w="3402" w:type="dxa"/>
            <w:tcBorders>
              <w:top w:val="nil"/>
              <w:left w:val="nil"/>
              <w:bottom w:val="single" w:sz="4" w:space="0" w:color="000000"/>
              <w:right w:val="single" w:sz="4" w:space="0" w:color="000000"/>
            </w:tcBorders>
            <w:vAlign w:val="center"/>
          </w:tcPr>
          <w:p w14:paraId="2872DD3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r>
      <w:tr w:rsidR="00754172" w14:paraId="6A31D31D" w14:textId="77777777">
        <w:trPr>
          <w:trHeight w:val="290"/>
        </w:trPr>
        <w:tc>
          <w:tcPr>
            <w:tcW w:w="4815" w:type="dxa"/>
            <w:tcBorders>
              <w:top w:val="nil"/>
              <w:left w:val="single" w:sz="4" w:space="0" w:color="000000"/>
              <w:bottom w:val="single" w:sz="4" w:space="0" w:color="000000"/>
              <w:right w:val="single" w:sz="4" w:space="0" w:color="000000"/>
            </w:tcBorders>
            <w:vAlign w:val="center"/>
          </w:tcPr>
          <w:p w14:paraId="21400B6F"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Otros</w:t>
            </w:r>
          </w:p>
        </w:tc>
        <w:tc>
          <w:tcPr>
            <w:tcW w:w="3402" w:type="dxa"/>
            <w:tcBorders>
              <w:top w:val="nil"/>
              <w:left w:val="nil"/>
              <w:bottom w:val="single" w:sz="4" w:space="0" w:color="000000"/>
              <w:right w:val="single" w:sz="4" w:space="0" w:color="000000"/>
            </w:tcBorders>
            <w:vAlign w:val="center"/>
          </w:tcPr>
          <w:p w14:paraId="31036476"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r>
      <w:tr w:rsidR="00754172" w14:paraId="1C9AD92F" w14:textId="77777777">
        <w:trPr>
          <w:trHeight w:val="290"/>
        </w:trPr>
        <w:tc>
          <w:tcPr>
            <w:tcW w:w="4815" w:type="dxa"/>
            <w:tcBorders>
              <w:top w:val="nil"/>
              <w:left w:val="single" w:sz="4" w:space="0" w:color="000000"/>
              <w:bottom w:val="single" w:sz="4" w:space="0" w:color="000000"/>
              <w:right w:val="single" w:sz="4" w:space="0" w:color="000000"/>
            </w:tcBorders>
            <w:vAlign w:val="center"/>
          </w:tcPr>
          <w:p w14:paraId="147CEDFC"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b/>
                <w:bCs/>
                <w:sz w:val="18"/>
                <w:szCs w:val="18"/>
              </w:rPr>
              <w:t>Total</w:t>
            </w:r>
          </w:p>
        </w:tc>
        <w:tc>
          <w:tcPr>
            <w:tcW w:w="3402" w:type="dxa"/>
            <w:tcBorders>
              <w:top w:val="nil"/>
              <w:left w:val="nil"/>
              <w:bottom w:val="single" w:sz="4" w:space="0" w:color="000000"/>
              <w:right w:val="single" w:sz="4" w:space="0" w:color="000000"/>
            </w:tcBorders>
            <w:vAlign w:val="center"/>
          </w:tcPr>
          <w:p w14:paraId="17C285F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253</w:t>
            </w:r>
          </w:p>
        </w:tc>
      </w:tr>
    </w:tbl>
    <w:p w14:paraId="7B8AA23C" w14:textId="77777777" w:rsidR="00754172" w:rsidRDefault="0000000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Fuente: Elaboración propia a partir de la Base RIES.</w:t>
      </w:r>
    </w:p>
    <w:p w14:paraId="107EC08D" w14:textId="77777777" w:rsidR="00754172" w:rsidRDefault="00754172">
      <w:pPr>
        <w:spacing w:after="0" w:line="240" w:lineRule="auto"/>
        <w:jc w:val="both"/>
        <w:rPr>
          <w:rFonts w:ascii="Arial" w:eastAsia="Arial" w:hAnsi="Arial" w:cs="Arial"/>
        </w:rPr>
      </w:pPr>
    </w:p>
    <w:p w14:paraId="69AD924C" w14:textId="77777777" w:rsidR="00754172" w:rsidRDefault="00754172">
      <w:pPr>
        <w:spacing w:after="0" w:line="360" w:lineRule="auto"/>
        <w:jc w:val="both"/>
        <w:rPr>
          <w:rFonts w:ascii="Arial" w:eastAsia="Arial" w:hAnsi="Arial" w:cs="Arial"/>
          <w:i/>
          <w:iCs/>
        </w:rPr>
      </w:pPr>
    </w:p>
    <w:p w14:paraId="42D26CD6" w14:textId="77777777" w:rsidR="00754172"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i/>
          <w:iCs/>
        </w:rPr>
        <w:t>Políticas educativas: Universidades estatales</w:t>
      </w:r>
    </w:p>
    <w:p w14:paraId="1DA637EB" w14:textId="77777777" w:rsidR="00754172" w:rsidRDefault="00754172">
      <w:pPr>
        <w:spacing w:after="0" w:line="240" w:lineRule="auto"/>
        <w:jc w:val="both"/>
        <w:rPr>
          <w:rFonts w:ascii="Times New Roman" w:eastAsia="Times New Roman" w:hAnsi="Times New Roman" w:cs="Times New Roman"/>
        </w:rPr>
      </w:pPr>
    </w:p>
    <w:p w14:paraId="0CBBF49C" w14:textId="77777777" w:rsidR="00754172" w:rsidRDefault="00000000">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El mayor productor en todos los temas de Políticas Educativas es el conglomerado de universidades estatales, como ya se mencionó en relación con otros temas. Para el eje temático Políticas educativas, del total de 253 proyectos, 169 son aportados por doce universidades de un total de 31 que registran proyectos sobre este tema, según el detalle que se presenta en el cuadro siguiente (5). Las frecuencias más altas se concentran en las </w:t>
      </w:r>
      <w:r>
        <w:rPr>
          <w:rFonts w:ascii="Times New Roman" w:eastAsia="Times New Roman" w:hAnsi="Times New Roman" w:cs="Times New Roman"/>
        </w:rPr>
        <w:lastRenderedPageBreak/>
        <w:t xml:space="preserve">universidades nacionales más antiguas, de mayor tamaño e integradas por varias unidades académicas, aunque también se destacan universidades creadas en la ola de modernización de los años ’60 y una de la ampliación del sistema universitario de los años ’90 del siglo pasado y en el siglo XXI. En términos de distribución geográfica, la producción pareciera estar más concentrada que la relativa al tópico Enseñanza y Aprendizaje y Currículum. </w:t>
      </w:r>
    </w:p>
    <w:p w14:paraId="21A3CE07" w14:textId="77777777" w:rsidR="00754172" w:rsidRDefault="00754172">
      <w:pPr>
        <w:tabs>
          <w:tab w:val="left" w:pos="5940"/>
        </w:tabs>
        <w:spacing w:after="0" w:line="240" w:lineRule="auto"/>
        <w:jc w:val="both"/>
        <w:rPr>
          <w:rFonts w:ascii="Times New Roman" w:eastAsia="Times New Roman" w:hAnsi="Times New Roman" w:cs="Times New Roman"/>
          <w:highlight w:val="yellow"/>
        </w:rPr>
      </w:pPr>
    </w:p>
    <w:p w14:paraId="2423B5B7" w14:textId="77777777" w:rsidR="00754172" w:rsidRDefault="0000000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Cuadro 5. Proyectos sobre Políticas educativas en Universidades estatales (en absolutos). Años 2003 a 2021.</w:t>
      </w:r>
    </w:p>
    <w:p w14:paraId="08FEF8C9" w14:textId="77777777" w:rsidR="00754172" w:rsidRDefault="00754172">
      <w:pPr>
        <w:spacing w:after="0" w:line="360" w:lineRule="auto"/>
        <w:jc w:val="center"/>
        <w:rPr>
          <w:rFonts w:ascii="Arial" w:eastAsia="Arial" w:hAnsi="Arial" w:cs="Arial"/>
        </w:rPr>
      </w:pPr>
    </w:p>
    <w:tbl>
      <w:tblPr>
        <w:tblStyle w:val="a4"/>
        <w:tblpPr w:leftFromText="141" w:rightFromText="141" w:vertAnchor="text" w:tblpX="54"/>
        <w:tblW w:w="5670" w:type="dxa"/>
        <w:tblInd w:w="0" w:type="dxa"/>
        <w:tblLayout w:type="fixed"/>
        <w:tblLook w:val="0400" w:firstRow="0" w:lastRow="0" w:firstColumn="0" w:lastColumn="0" w:noHBand="0" w:noVBand="1"/>
      </w:tblPr>
      <w:tblGrid>
        <w:gridCol w:w="2400"/>
        <w:gridCol w:w="3270"/>
      </w:tblGrid>
      <w:tr w:rsidR="00754172" w14:paraId="21A1A8DE" w14:textId="77777777">
        <w:trPr>
          <w:trHeight w:val="720"/>
        </w:trPr>
        <w:tc>
          <w:tcPr>
            <w:tcW w:w="2400" w:type="dxa"/>
            <w:tcBorders>
              <w:top w:val="single" w:sz="4" w:space="0" w:color="000000"/>
              <w:left w:val="single" w:sz="4" w:space="0" w:color="000000"/>
              <w:bottom w:val="single" w:sz="4" w:space="0" w:color="000000"/>
              <w:right w:val="single" w:sz="4" w:space="0" w:color="000000"/>
            </w:tcBorders>
            <w:vAlign w:val="center"/>
          </w:tcPr>
          <w:p w14:paraId="389AFF8D" w14:textId="77777777" w:rsidR="00754172" w:rsidRDefault="00000000">
            <w:pPr>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Universidad estatal</w:t>
            </w:r>
          </w:p>
        </w:tc>
        <w:tc>
          <w:tcPr>
            <w:tcW w:w="3270" w:type="dxa"/>
            <w:tcBorders>
              <w:top w:val="single" w:sz="4" w:space="0" w:color="000000"/>
              <w:left w:val="single" w:sz="4" w:space="0" w:color="000000"/>
              <w:bottom w:val="single" w:sz="4" w:space="0" w:color="000000"/>
              <w:right w:val="single" w:sz="4" w:space="0" w:color="000000"/>
            </w:tcBorders>
            <w:vAlign w:val="center"/>
          </w:tcPr>
          <w:p w14:paraId="2D4A9778" w14:textId="77777777" w:rsidR="00754172" w:rsidRDefault="00000000">
            <w:pPr>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Proyectos</w:t>
            </w:r>
          </w:p>
        </w:tc>
      </w:tr>
      <w:tr w:rsidR="00754172" w14:paraId="228DC14A" w14:textId="77777777">
        <w:trPr>
          <w:trHeight w:val="290"/>
        </w:trPr>
        <w:tc>
          <w:tcPr>
            <w:tcW w:w="2400" w:type="dxa"/>
            <w:tcBorders>
              <w:top w:val="single" w:sz="4" w:space="0" w:color="000000"/>
              <w:left w:val="single" w:sz="4" w:space="0" w:color="000000"/>
              <w:bottom w:val="single" w:sz="4" w:space="0" w:color="000000"/>
              <w:right w:val="single" w:sz="4" w:space="0" w:color="000000"/>
            </w:tcBorders>
            <w:vAlign w:val="center"/>
          </w:tcPr>
          <w:p w14:paraId="51D8110F" w14:textId="77777777" w:rsidR="00754172" w:rsidRDefault="00000000" w:rsidP="003A3267">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UNC</w:t>
            </w:r>
          </w:p>
        </w:tc>
        <w:tc>
          <w:tcPr>
            <w:tcW w:w="3270" w:type="dxa"/>
            <w:tcBorders>
              <w:top w:val="single" w:sz="4" w:space="0" w:color="000000"/>
              <w:left w:val="single" w:sz="4" w:space="0" w:color="000000"/>
              <w:bottom w:val="single" w:sz="4" w:space="0" w:color="000000"/>
              <w:right w:val="single" w:sz="4" w:space="0" w:color="000000"/>
            </w:tcBorders>
            <w:vAlign w:val="center"/>
          </w:tcPr>
          <w:p w14:paraId="69134011" w14:textId="77777777" w:rsidR="00754172" w:rsidRDefault="00000000">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r>
      <w:tr w:rsidR="00754172" w14:paraId="6272A37C" w14:textId="77777777">
        <w:trPr>
          <w:trHeight w:val="290"/>
        </w:trPr>
        <w:tc>
          <w:tcPr>
            <w:tcW w:w="2400" w:type="dxa"/>
            <w:tcBorders>
              <w:top w:val="single" w:sz="4" w:space="0" w:color="000000"/>
              <w:left w:val="single" w:sz="4" w:space="0" w:color="000000"/>
              <w:bottom w:val="single" w:sz="4" w:space="0" w:color="000000"/>
              <w:right w:val="single" w:sz="4" w:space="0" w:color="000000"/>
            </w:tcBorders>
            <w:vAlign w:val="center"/>
          </w:tcPr>
          <w:p w14:paraId="333D0A0D" w14:textId="77777777" w:rsidR="00754172" w:rsidRDefault="00000000" w:rsidP="003A3267">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UBA</w:t>
            </w:r>
          </w:p>
        </w:tc>
        <w:tc>
          <w:tcPr>
            <w:tcW w:w="3270" w:type="dxa"/>
            <w:tcBorders>
              <w:top w:val="single" w:sz="4" w:space="0" w:color="000000"/>
              <w:left w:val="single" w:sz="4" w:space="0" w:color="000000"/>
              <w:bottom w:val="single" w:sz="4" w:space="0" w:color="000000"/>
              <w:right w:val="single" w:sz="4" w:space="0" w:color="000000"/>
            </w:tcBorders>
            <w:vAlign w:val="center"/>
          </w:tcPr>
          <w:p w14:paraId="47B76A37" w14:textId="77777777" w:rsidR="00754172" w:rsidRDefault="00000000">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tc>
      </w:tr>
      <w:tr w:rsidR="00754172" w14:paraId="1420B6DD" w14:textId="77777777">
        <w:trPr>
          <w:trHeight w:val="290"/>
        </w:trPr>
        <w:tc>
          <w:tcPr>
            <w:tcW w:w="2400" w:type="dxa"/>
            <w:tcBorders>
              <w:top w:val="single" w:sz="4" w:space="0" w:color="000000"/>
              <w:left w:val="single" w:sz="4" w:space="0" w:color="000000"/>
              <w:bottom w:val="single" w:sz="4" w:space="0" w:color="000000"/>
              <w:right w:val="single" w:sz="4" w:space="0" w:color="000000"/>
            </w:tcBorders>
            <w:vAlign w:val="center"/>
          </w:tcPr>
          <w:p w14:paraId="62F6AE47" w14:textId="77777777" w:rsidR="00754172" w:rsidRDefault="00000000" w:rsidP="003A3267">
            <w:pPr>
              <w:spacing w:after="0" w:line="360" w:lineRule="auto"/>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UNCo</w:t>
            </w:r>
            <w:proofErr w:type="spellEnd"/>
          </w:p>
        </w:tc>
        <w:tc>
          <w:tcPr>
            <w:tcW w:w="3270" w:type="dxa"/>
            <w:tcBorders>
              <w:top w:val="single" w:sz="4" w:space="0" w:color="000000"/>
              <w:left w:val="single" w:sz="4" w:space="0" w:color="000000"/>
              <w:bottom w:val="single" w:sz="4" w:space="0" w:color="000000"/>
              <w:right w:val="single" w:sz="4" w:space="0" w:color="000000"/>
            </w:tcBorders>
            <w:vAlign w:val="center"/>
          </w:tcPr>
          <w:p w14:paraId="2C88B8A7" w14:textId="77777777" w:rsidR="00754172" w:rsidRDefault="00000000">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r>
      <w:tr w:rsidR="00754172" w14:paraId="2D8D81AE" w14:textId="77777777">
        <w:trPr>
          <w:trHeight w:val="290"/>
        </w:trPr>
        <w:tc>
          <w:tcPr>
            <w:tcW w:w="2400" w:type="dxa"/>
            <w:tcBorders>
              <w:top w:val="single" w:sz="4" w:space="0" w:color="000000"/>
              <w:left w:val="single" w:sz="4" w:space="0" w:color="000000"/>
              <w:bottom w:val="single" w:sz="4" w:space="0" w:color="000000"/>
              <w:right w:val="single" w:sz="4" w:space="0" w:color="000000"/>
            </w:tcBorders>
            <w:vAlign w:val="center"/>
          </w:tcPr>
          <w:p w14:paraId="4613E7BE" w14:textId="77777777" w:rsidR="00754172" w:rsidRDefault="00000000" w:rsidP="003A3267">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UNIPE</w:t>
            </w:r>
          </w:p>
        </w:tc>
        <w:tc>
          <w:tcPr>
            <w:tcW w:w="3270" w:type="dxa"/>
            <w:tcBorders>
              <w:top w:val="single" w:sz="4" w:space="0" w:color="000000"/>
              <w:left w:val="single" w:sz="4" w:space="0" w:color="000000"/>
              <w:bottom w:val="single" w:sz="4" w:space="0" w:color="000000"/>
              <w:right w:val="single" w:sz="4" w:space="0" w:color="000000"/>
            </w:tcBorders>
            <w:vAlign w:val="center"/>
          </w:tcPr>
          <w:p w14:paraId="04AE4B5A" w14:textId="77777777" w:rsidR="00754172" w:rsidRDefault="00000000">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r>
      <w:tr w:rsidR="00754172" w14:paraId="18B0298C" w14:textId="77777777">
        <w:trPr>
          <w:trHeight w:val="290"/>
        </w:trPr>
        <w:tc>
          <w:tcPr>
            <w:tcW w:w="2400" w:type="dxa"/>
            <w:tcBorders>
              <w:top w:val="single" w:sz="4" w:space="0" w:color="000000"/>
              <w:left w:val="single" w:sz="4" w:space="0" w:color="000000"/>
              <w:bottom w:val="single" w:sz="4" w:space="0" w:color="000000"/>
              <w:right w:val="single" w:sz="4" w:space="0" w:color="000000"/>
            </w:tcBorders>
            <w:vAlign w:val="center"/>
          </w:tcPr>
          <w:p w14:paraId="28B4BCB7" w14:textId="77777777" w:rsidR="00754172" w:rsidRDefault="00000000" w:rsidP="003A3267">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UNAM</w:t>
            </w:r>
          </w:p>
        </w:tc>
        <w:tc>
          <w:tcPr>
            <w:tcW w:w="3270" w:type="dxa"/>
            <w:tcBorders>
              <w:top w:val="single" w:sz="4" w:space="0" w:color="000000"/>
              <w:left w:val="single" w:sz="4" w:space="0" w:color="000000"/>
              <w:bottom w:val="single" w:sz="4" w:space="0" w:color="000000"/>
              <w:right w:val="single" w:sz="4" w:space="0" w:color="000000"/>
            </w:tcBorders>
            <w:vAlign w:val="center"/>
          </w:tcPr>
          <w:p w14:paraId="38B87D6A" w14:textId="77777777" w:rsidR="00754172" w:rsidRDefault="00000000">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r>
      <w:tr w:rsidR="00754172" w14:paraId="1BD809B2" w14:textId="77777777">
        <w:trPr>
          <w:trHeight w:val="290"/>
        </w:trPr>
        <w:tc>
          <w:tcPr>
            <w:tcW w:w="2400" w:type="dxa"/>
            <w:tcBorders>
              <w:top w:val="single" w:sz="4" w:space="0" w:color="000000"/>
              <w:left w:val="single" w:sz="4" w:space="0" w:color="000000"/>
              <w:bottom w:val="single" w:sz="4" w:space="0" w:color="000000"/>
              <w:right w:val="single" w:sz="4" w:space="0" w:color="000000"/>
            </w:tcBorders>
            <w:vAlign w:val="center"/>
          </w:tcPr>
          <w:p w14:paraId="393691C3" w14:textId="77777777" w:rsidR="00754172" w:rsidRDefault="00000000" w:rsidP="003A3267">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UNGS</w:t>
            </w:r>
          </w:p>
        </w:tc>
        <w:tc>
          <w:tcPr>
            <w:tcW w:w="3270" w:type="dxa"/>
            <w:tcBorders>
              <w:top w:val="single" w:sz="4" w:space="0" w:color="000000"/>
              <w:left w:val="single" w:sz="4" w:space="0" w:color="000000"/>
              <w:bottom w:val="single" w:sz="4" w:space="0" w:color="000000"/>
              <w:right w:val="single" w:sz="4" w:space="0" w:color="000000"/>
            </w:tcBorders>
            <w:vAlign w:val="center"/>
          </w:tcPr>
          <w:p w14:paraId="7D82BEA0" w14:textId="77777777" w:rsidR="00754172" w:rsidRDefault="00000000">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r>
      <w:tr w:rsidR="00754172" w14:paraId="73260695" w14:textId="77777777">
        <w:trPr>
          <w:trHeight w:val="290"/>
        </w:trPr>
        <w:tc>
          <w:tcPr>
            <w:tcW w:w="2400" w:type="dxa"/>
            <w:tcBorders>
              <w:top w:val="single" w:sz="4" w:space="0" w:color="000000"/>
              <w:left w:val="single" w:sz="4" w:space="0" w:color="000000"/>
              <w:bottom w:val="single" w:sz="4" w:space="0" w:color="000000"/>
              <w:right w:val="single" w:sz="4" w:space="0" w:color="000000"/>
            </w:tcBorders>
            <w:vAlign w:val="center"/>
          </w:tcPr>
          <w:p w14:paraId="49F8B805" w14:textId="77777777" w:rsidR="00754172" w:rsidRDefault="00000000" w:rsidP="003A3267">
            <w:pPr>
              <w:spacing w:after="0" w:line="360" w:lineRule="auto"/>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UNLPam</w:t>
            </w:r>
            <w:proofErr w:type="spellEnd"/>
          </w:p>
        </w:tc>
        <w:tc>
          <w:tcPr>
            <w:tcW w:w="3270" w:type="dxa"/>
            <w:tcBorders>
              <w:top w:val="single" w:sz="4" w:space="0" w:color="000000"/>
              <w:left w:val="single" w:sz="4" w:space="0" w:color="000000"/>
              <w:bottom w:val="single" w:sz="4" w:space="0" w:color="000000"/>
              <w:right w:val="single" w:sz="4" w:space="0" w:color="000000"/>
            </w:tcBorders>
            <w:vAlign w:val="center"/>
          </w:tcPr>
          <w:p w14:paraId="65B88728" w14:textId="77777777" w:rsidR="00754172" w:rsidRDefault="00000000">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r>
      <w:tr w:rsidR="00754172" w14:paraId="18F523C2" w14:textId="77777777">
        <w:trPr>
          <w:trHeight w:val="290"/>
        </w:trPr>
        <w:tc>
          <w:tcPr>
            <w:tcW w:w="2400" w:type="dxa"/>
            <w:tcBorders>
              <w:top w:val="single" w:sz="4" w:space="0" w:color="000000"/>
              <w:left w:val="single" w:sz="4" w:space="0" w:color="000000"/>
              <w:bottom w:val="single" w:sz="4" w:space="0" w:color="000000"/>
              <w:right w:val="single" w:sz="4" w:space="0" w:color="000000"/>
            </w:tcBorders>
            <w:vAlign w:val="center"/>
          </w:tcPr>
          <w:p w14:paraId="14D78867" w14:textId="77777777" w:rsidR="00754172" w:rsidRDefault="00000000" w:rsidP="003A3267">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UNSAM</w:t>
            </w:r>
          </w:p>
        </w:tc>
        <w:tc>
          <w:tcPr>
            <w:tcW w:w="3270" w:type="dxa"/>
            <w:tcBorders>
              <w:top w:val="single" w:sz="4" w:space="0" w:color="000000"/>
              <w:left w:val="single" w:sz="4" w:space="0" w:color="000000"/>
              <w:bottom w:val="single" w:sz="4" w:space="0" w:color="000000"/>
              <w:right w:val="single" w:sz="4" w:space="0" w:color="000000"/>
            </w:tcBorders>
            <w:vAlign w:val="center"/>
          </w:tcPr>
          <w:p w14:paraId="2B989E14" w14:textId="77777777" w:rsidR="00754172" w:rsidRDefault="00000000">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r>
      <w:tr w:rsidR="00754172" w14:paraId="7FB7351D" w14:textId="77777777">
        <w:trPr>
          <w:trHeight w:val="290"/>
        </w:trPr>
        <w:tc>
          <w:tcPr>
            <w:tcW w:w="2400" w:type="dxa"/>
            <w:tcBorders>
              <w:top w:val="single" w:sz="4" w:space="0" w:color="000000"/>
              <w:left w:val="single" w:sz="4" w:space="0" w:color="000000"/>
              <w:bottom w:val="single" w:sz="4" w:space="0" w:color="000000"/>
              <w:right w:val="single" w:sz="4" w:space="0" w:color="000000"/>
            </w:tcBorders>
            <w:vAlign w:val="center"/>
          </w:tcPr>
          <w:p w14:paraId="0F698FB0" w14:textId="77777777" w:rsidR="00754172" w:rsidRDefault="00000000" w:rsidP="003A3267">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UNTREF</w:t>
            </w:r>
          </w:p>
        </w:tc>
        <w:tc>
          <w:tcPr>
            <w:tcW w:w="3270" w:type="dxa"/>
            <w:tcBorders>
              <w:top w:val="single" w:sz="4" w:space="0" w:color="000000"/>
              <w:left w:val="single" w:sz="4" w:space="0" w:color="000000"/>
              <w:bottom w:val="single" w:sz="4" w:space="0" w:color="000000"/>
              <w:right w:val="single" w:sz="4" w:space="0" w:color="000000"/>
            </w:tcBorders>
            <w:vAlign w:val="center"/>
          </w:tcPr>
          <w:p w14:paraId="5FBA0DFB" w14:textId="77777777" w:rsidR="00754172" w:rsidRDefault="00000000">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r>
      <w:tr w:rsidR="00754172" w14:paraId="2F82E940" w14:textId="77777777">
        <w:trPr>
          <w:trHeight w:val="290"/>
        </w:trPr>
        <w:tc>
          <w:tcPr>
            <w:tcW w:w="2400" w:type="dxa"/>
            <w:tcBorders>
              <w:top w:val="single" w:sz="4" w:space="0" w:color="000000"/>
              <w:left w:val="single" w:sz="4" w:space="0" w:color="000000"/>
              <w:bottom w:val="single" w:sz="4" w:space="0" w:color="000000"/>
              <w:right w:val="single" w:sz="4" w:space="0" w:color="000000"/>
            </w:tcBorders>
            <w:vAlign w:val="center"/>
          </w:tcPr>
          <w:p w14:paraId="327D9F0F" w14:textId="77777777" w:rsidR="00754172" w:rsidRDefault="00000000" w:rsidP="003A3267">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UNLu</w:t>
            </w:r>
          </w:p>
        </w:tc>
        <w:tc>
          <w:tcPr>
            <w:tcW w:w="3270" w:type="dxa"/>
            <w:tcBorders>
              <w:top w:val="single" w:sz="4" w:space="0" w:color="000000"/>
              <w:left w:val="single" w:sz="4" w:space="0" w:color="000000"/>
              <w:bottom w:val="single" w:sz="4" w:space="0" w:color="000000"/>
              <w:right w:val="single" w:sz="4" w:space="0" w:color="000000"/>
            </w:tcBorders>
            <w:vAlign w:val="center"/>
          </w:tcPr>
          <w:p w14:paraId="184BD04D" w14:textId="77777777" w:rsidR="00754172" w:rsidRDefault="00000000">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r>
      <w:tr w:rsidR="00754172" w14:paraId="759E5212" w14:textId="77777777">
        <w:trPr>
          <w:trHeight w:val="290"/>
        </w:trPr>
        <w:tc>
          <w:tcPr>
            <w:tcW w:w="2400" w:type="dxa"/>
            <w:tcBorders>
              <w:top w:val="single" w:sz="4" w:space="0" w:color="000000"/>
              <w:left w:val="single" w:sz="4" w:space="0" w:color="000000"/>
              <w:bottom w:val="single" w:sz="4" w:space="0" w:color="000000"/>
              <w:right w:val="single" w:sz="4" w:space="0" w:color="000000"/>
            </w:tcBorders>
            <w:vAlign w:val="center"/>
          </w:tcPr>
          <w:p w14:paraId="4C3AF678" w14:textId="77777777" w:rsidR="00754172" w:rsidRDefault="00000000" w:rsidP="003A3267">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UNICEN</w:t>
            </w:r>
          </w:p>
        </w:tc>
        <w:tc>
          <w:tcPr>
            <w:tcW w:w="3270" w:type="dxa"/>
            <w:tcBorders>
              <w:top w:val="single" w:sz="4" w:space="0" w:color="000000"/>
              <w:left w:val="single" w:sz="4" w:space="0" w:color="000000"/>
              <w:bottom w:val="single" w:sz="4" w:space="0" w:color="000000"/>
              <w:right w:val="single" w:sz="4" w:space="0" w:color="000000"/>
            </w:tcBorders>
            <w:vAlign w:val="center"/>
          </w:tcPr>
          <w:p w14:paraId="0D0E389B" w14:textId="77777777" w:rsidR="00754172" w:rsidRDefault="00000000">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r>
      <w:tr w:rsidR="00754172" w14:paraId="565DC185" w14:textId="77777777">
        <w:trPr>
          <w:trHeight w:val="290"/>
        </w:trPr>
        <w:tc>
          <w:tcPr>
            <w:tcW w:w="2400" w:type="dxa"/>
            <w:tcBorders>
              <w:top w:val="single" w:sz="4" w:space="0" w:color="000000"/>
              <w:left w:val="single" w:sz="4" w:space="0" w:color="000000"/>
              <w:bottom w:val="single" w:sz="4" w:space="0" w:color="000000"/>
              <w:right w:val="single" w:sz="4" w:space="0" w:color="000000"/>
            </w:tcBorders>
            <w:vAlign w:val="center"/>
          </w:tcPr>
          <w:p w14:paraId="55BF6C7B" w14:textId="77777777" w:rsidR="00754172" w:rsidRDefault="00000000" w:rsidP="003A3267">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UNLP</w:t>
            </w:r>
          </w:p>
        </w:tc>
        <w:tc>
          <w:tcPr>
            <w:tcW w:w="3270" w:type="dxa"/>
            <w:tcBorders>
              <w:top w:val="single" w:sz="4" w:space="0" w:color="000000"/>
              <w:left w:val="single" w:sz="4" w:space="0" w:color="000000"/>
              <w:bottom w:val="single" w:sz="4" w:space="0" w:color="000000"/>
              <w:right w:val="single" w:sz="4" w:space="0" w:color="000000"/>
            </w:tcBorders>
            <w:vAlign w:val="center"/>
          </w:tcPr>
          <w:p w14:paraId="2BB192E9" w14:textId="77777777" w:rsidR="00754172" w:rsidRDefault="00000000">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r>
      <w:tr w:rsidR="00754172" w14:paraId="14F4F0F2" w14:textId="77777777">
        <w:trPr>
          <w:trHeight w:val="290"/>
        </w:trPr>
        <w:tc>
          <w:tcPr>
            <w:tcW w:w="2400" w:type="dxa"/>
            <w:tcBorders>
              <w:top w:val="single" w:sz="4" w:space="0" w:color="000000"/>
              <w:left w:val="single" w:sz="4" w:space="0" w:color="000000"/>
              <w:bottom w:val="single" w:sz="4" w:space="0" w:color="000000"/>
              <w:right w:val="single" w:sz="4" w:space="0" w:color="000000"/>
            </w:tcBorders>
            <w:vAlign w:val="center"/>
          </w:tcPr>
          <w:p w14:paraId="65D5F317" w14:textId="77777777" w:rsidR="00754172" w:rsidRDefault="00000000" w:rsidP="003A3267">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Resto de Universidades estatales (19)</w:t>
            </w:r>
          </w:p>
        </w:tc>
        <w:tc>
          <w:tcPr>
            <w:tcW w:w="3270" w:type="dxa"/>
            <w:tcBorders>
              <w:top w:val="single" w:sz="4" w:space="0" w:color="000000"/>
              <w:left w:val="single" w:sz="4" w:space="0" w:color="000000"/>
              <w:bottom w:val="single" w:sz="4" w:space="0" w:color="000000"/>
              <w:right w:val="single" w:sz="4" w:space="0" w:color="000000"/>
            </w:tcBorders>
            <w:vAlign w:val="center"/>
          </w:tcPr>
          <w:p w14:paraId="5BDBA926" w14:textId="77777777" w:rsidR="00754172" w:rsidRDefault="00000000">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w:t>
            </w:r>
          </w:p>
        </w:tc>
      </w:tr>
      <w:tr w:rsidR="00754172" w14:paraId="3C2717A2" w14:textId="77777777">
        <w:trPr>
          <w:trHeight w:val="290"/>
        </w:trPr>
        <w:tc>
          <w:tcPr>
            <w:tcW w:w="2400" w:type="dxa"/>
            <w:tcBorders>
              <w:top w:val="single" w:sz="4" w:space="0" w:color="000000"/>
              <w:left w:val="single" w:sz="4" w:space="0" w:color="000000"/>
              <w:bottom w:val="single" w:sz="4" w:space="0" w:color="000000"/>
              <w:right w:val="single" w:sz="4" w:space="0" w:color="000000"/>
            </w:tcBorders>
            <w:vAlign w:val="center"/>
          </w:tcPr>
          <w:p w14:paraId="13CC3B19" w14:textId="77777777" w:rsidR="00754172" w:rsidRDefault="00000000" w:rsidP="003A3267">
            <w:pPr>
              <w:spacing w:after="0" w:line="36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Total (39)</w:t>
            </w:r>
          </w:p>
        </w:tc>
        <w:tc>
          <w:tcPr>
            <w:tcW w:w="3270" w:type="dxa"/>
            <w:tcBorders>
              <w:top w:val="single" w:sz="4" w:space="0" w:color="000000"/>
              <w:left w:val="single" w:sz="4" w:space="0" w:color="000000"/>
              <w:bottom w:val="single" w:sz="4" w:space="0" w:color="000000"/>
              <w:right w:val="single" w:sz="4" w:space="0" w:color="000000"/>
            </w:tcBorders>
            <w:vAlign w:val="center"/>
          </w:tcPr>
          <w:p w14:paraId="1D03F6FD" w14:textId="77777777" w:rsidR="00754172" w:rsidRDefault="00000000">
            <w:pPr>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169</w:t>
            </w:r>
          </w:p>
        </w:tc>
      </w:tr>
    </w:tbl>
    <w:p w14:paraId="42C285E2" w14:textId="77777777" w:rsidR="00754172" w:rsidRDefault="00000000">
      <w:pPr>
        <w:spacing w:after="0" w:line="360" w:lineRule="auto"/>
        <w:jc w:val="both"/>
        <w:rPr>
          <w:rFonts w:ascii="Arial" w:eastAsia="Arial" w:hAnsi="Arial" w:cs="Arial"/>
        </w:rPr>
      </w:pPr>
      <w:r>
        <w:rPr>
          <w:rFonts w:ascii="Arial" w:eastAsia="Arial" w:hAnsi="Arial" w:cs="Arial"/>
        </w:rPr>
        <w:br/>
      </w:r>
    </w:p>
    <w:p w14:paraId="3B96F563" w14:textId="77777777" w:rsidR="00754172" w:rsidRDefault="00754172">
      <w:pPr>
        <w:spacing w:after="0" w:line="360" w:lineRule="auto"/>
        <w:jc w:val="both"/>
        <w:rPr>
          <w:rFonts w:ascii="Arial" w:eastAsia="Arial" w:hAnsi="Arial" w:cs="Arial"/>
        </w:rPr>
      </w:pPr>
    </w:p>
    <w:p w14:paraId="295098FA" w14:textId="77777777" w:rsidR="00754172" w:rsidRDefault="00754172">
      <w:pPr>
        <w:spacing w:after="0" w:line="360" w:lineRule="auto"/>
        <w:jc w:val="both"/>
        <w:rPr>
          <w:rFonts w:ascii="Arial" w:eastAsia="Arial" w:hAnsi="Arial" w:cs="Arial"/>
          <w:i/>
          <w:iCs/>
        </w:rPr>
      </w:pPr>
    </w:p>
    <w:p w14:paraId="140989A3" w14:textId="77777777" w:rsidR="00754172" w:rsidRDefault="00754172">
      <w:pPr>
        <w:spacing w:after="0" w:line="360" w:lineRule="auto"/>
        <w:jc w:val="both"/>
        <w:rPr>
          <w:rFonts w:ascii="Arial" w:eastAsia="Arial" w:hAnsi="Arial" w:cs="Arial"/>
          <w:i/>
          <w:iCs/>
        </w:rPr>
      </w:pPr>
    </w:p>
    <w:p w14:paraId="4CF1EB62" w14:textId="77777777" w:rsidR="00754172" w:rsidRDefault="00754172">
      <w:pPr>
        <w:spacing w:after="0" w:line="360" w:lineRule="auto"/>
        <w:jc w:val="both"/>
        <w:rPr>
          <w:rFonts w:ascii="Arial" w:eastAsia="Arial" w:hAnsi="Arial" w:cs="Arial"/>
          <w:i/>
          <w:iCs/>
        </w:rPr>
      </w:pPr>
    </w:p>
    <w:p w14:paraId="77DFFF24" w14:textId="77777777" w:rsidR="00754172" w:rsidRDefault="00754172">
      <w:pPr>
        <w:spacing w:after="0" w:line="360" w:lineRule="auto"/>
        <w:jc w:val="both"/>
        <w:rPr>
          <w:rFonts w:ascii="Arial" w:eastAsia="Arial" w:hAnsi="Arial" w:cs="Arial"/>
          <w:i/>
          <w:iCs/>
        </w:rPr>
      </w:pPr>
    </w:p>
    <w:p w14:paraId="674C0189" w14:textId="77777777" w:rsidR="00754172" w:rsidRDefault="00754172">
      <w:pPr>
        <w:spacing w:after="0" w:line="360" w:lineRule="auto"/>
        <w:jc w:val="both"/>
        <w:rPr>
          <w:rFonts w:ascii="Arial" w:eastAsia="Arial" w:hAnsi="Arial" w:cs="Arial"/>
          <w:i/>
          <w:iCs/>
        </w:rPr>
      </w:pPr>
    </w:p>
    <w:p w14:paraId="69E3CF8A" w14:textId="77777777" w:rsidR="00754172" w:rsidRDefault="00754172">
      <w:pPr>
        <w:spacing w:after="0" w:line="360" w:lineRule="auto"/>
        <w:jc w:val="both"/>
        <w:rPr>
          <w:rFonts w:ascii="Arial" w:eastAsia="Arial" w:hAnsi="Arial" w:cs="Arial"/>
          <w:i/>
          <w:iCs/>
        </w:rPr>
      </w:pPr>
    </w:p>
    <w:p w14:paraId="639DDB1D" w14:textId="77777777" w:rsidR="00754172" w:rsidRDefault="00754172">
      <w:pPr>
        <w:spacing w:after="0" w:line="360" w:lineRule="auto"/>
        <w:jc w:val="both"/>
        <w:rPr>
          <w:rFonts w:ascii="Arial" w:eastAsia="Arial" w:hAnsi="Arial" w:cs="Arial"/>
          <w:i/>
          <w:iCs/>
        </w:rPr>
      </w:pPr>
    </w:p>
    <w:p w14:paraId="39EBDCA6" w14:textId="77777777" w:rsidR="00754172" w:rsidRDefault="00754172">
      <w:pPr>
        <w:spacing w:after="0" w:line="360" w:lineRule="auto"/>
        <w:jc w:val="both"/>
        <w:rPr>
          <w:rFonts w:ascii="Arial" w:eastAsia="Arial" w:hAnsi="Arial" w:cs="Arial"/>
          <w:i/>
          <w:iCs/>
        </w:rPr>
      </w:pPr>
    </w:p>
    <w:p w14:paraId="287CA279" w14:textId="77777777" w:rsidR="00754172" w:rsidRDefault="00754172">
      <w:pPr>
        <w:spacing w:after="0" w:line="360" w:lineRule="auto"/>
        <w:jc w:val="both"/>
        <w:rPr>
          <w:rFonts w:ascii="Arial" w:eastAsia="Arial" w:hAnsi="Arial" w:cs="Arial"/>
          <w:i/>
          <w:iCs/>
        </w:rPr>
      </w:pPr>
    </w:p>
    <w:p w14:paraId="5071D173" w14:textId="77777777" w:rsidR="00754172" w:rsidRDefault="00754172">
      <w:pPr>
        <w:spacing w:after="0" w:line="360" w:lineRule="auto"/>
        <w:jc w:val="both"/>
        <w:rPr>
          <w:rFonts w:ascii="Arial" w:eastAsia="Arial" w:hAnsi="Arial" w:cs="Arial"/>
          <w:i/>
          <w:iCs/>
        </w:rPr>
      </w:pPr>
    </w:p>
    <w:p w14:paraId="397D0C48" w14:textId="77777777" w:rsidR="00754172" w:rsidRDefault="00754172">
      <w:pPr>
        <w:spacing w:after="0" w:line="360" w:lineRule="auto"/>
        <w:jc w:val="both"/>
        <w:rPr>
          <w:rFonts w:ascii="Arial" w:eastAsia="Arial" w:hAnsi="Arial" w:cs="Arial"/>
          <w:i/>
          <w:iCs/>
        </w:rPr>
      </w:pPr>
    </w:p>
    <w:p w14:paraId="0D4D0864" w14:textId="77777777" w:rsidR="00754172" w:rsidRDefault="0000000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Fuente: Elaboración propia a partir de la Base RIES.</w:t>
      </w:r>
    </w:p>
    <w:p w14:paraId="5F479CD3" w14:textId="77777777" w:rsidR="00754172" w:rsidRDefault="00754172">
      <w:pPr>
        <w:spacing w:after="0" w:line="360" w:lineRule="auto"/>
        <w:jc w:val="both"/>
        <w:rPr>
          <w:rFonts w:ascii="Arial" w:eastAsia="Arial" w:hAnsi="Arial" w:cs="Arial"/>
          <w:i/>
          <w:iCs/>
        </w:rPr>
      </w:pPr>
    </w:p>
    <w:p w14:paraId="595822D7" w14:textId="77777777" w:rsidR="00754172" w:rsidRDefault="00000000">
      <w:pPr>
        <w:spacing w:after="0" w:line="240" w:lineRule="auto"/>
        <w:jc w:val="both"/>
        <w:rPr>
          <w:rFonts w:ascii="Times New Roman" w:eastAsia="Times New Roman" w:hAnsi="Times New Roman" w:cs="Times New Roman"/>
          <w:i/>
          <w:iCs/>
        </w:rPr>
      </w:pPr>
      <w:r>
        <w:rPr>
          <w:rFonts w:ascii="Times New Roman" w:eastAsia="Times New Roman" w:hAnsi="Times New Roman" w:cs="Times New Roman"/>
          <w:i/>
          <w:iCs/>
        </w:rPr>
        <w:t>Políticas educativas: Centros de investigación</w:t>
      </w:r>
    </w:p>
    <w:p w14:paraId="253D8A4B" w14:textId="77777777" w:rsidR="00754172" w:rsidRDefault="00754172">
      <w:pPr>
        <w:spacing w:after="0" w:line="240" w:lineRule="auto"/>
        <w:jc w:val="both"/>
        <w:rPr>
          <w:rFonts w:ascii="Times New Roman" w:eastAsia="Times New Roman" w:hAnsi="Times New Roman" w:cs="Times New Roman"/>
        </w:rPr>
      </w:pPr>
    </w:p>
    <w:p w14:paraId="44EF2035" w14:textId="77777777" w:rsidR="00754172" w:rsidRDefault="00000000">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El segundo tipo de productor en el tema de Políticas Educativas de acuerdo con el repositorio RIES son los centros de investigación. Como se señaló, este conjunto reúne un conglomerado de organizaciones de diversas características. La distribución de proyectos por organización se presenta en la siguiente tabla.</w:t>
      </w:r>
    </w:p>
    <w:p w14:paraId="24B37D9A" w14:textId="77777777" w:rsidR="00754172" w:rsidRDefault="00754172">
      <w:pPr>
        <w:spacing w:after="0" w:line="240" w:lineRule="auto"/>
        <w:jc w:val="both"/>
        <w:rPr>
          <w:rFonts w:ascii="Times New Roman" w:eastAsia="Times New Roman" w:hAnsi="Times New Roman" w:cs="Times New Roman"/>
        </w:rPr>
      </w:pPr>
    </w:p>
    <w:p w14:paraId="14E64973" w14:textId="77777777" w:rsidR="00754172" w:rsidRDefault="0000000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Cuadro 6. Proyectos sobre políticas educativas en Centros de Investigación (en absolutos). Años 2003 a 2021.</w:t>
      </w:r>
    </w:p>
    <w:p w14:paraId="619C85B6" w14:textId="77777777" w:rsidR="00754172" w:rsidRDefault="00754172">
      <w:pPr>
        <w:spacing w:after="0" w:line="240" w:lineRule="auto"/>
        <w:jc w:val="both"/>
        <w:rPr>
          <w:rFonts w:ascii="Arial" w:eastAsia="Arial" w:hAnsi="Arial" w:cs="Arial"/>
        </w:rPr>
      </w:pPr>
    </w:p>
    <w:tbl>
      <w:tblPr>
        <w:tblStyle w:val="a5"/>
        <w:tblW w:w="5240" w:type="dxa"/>
        <w:tblInd w:w="0" w:type="dxa"/>
        <w:tblLayout w:type="fixed"/>
        <w:tblLook w:val="0400" w:firstRow="0" w:lastRow="0" w:firstColumn="0" w:lastColumn="0" w:noHBand="0" w:noVBand="1"/>
      </w:tblPr>
      <w:tblGrid>
        <w:gridCol w:w="3114"/>
        <w:gridCol w:w="2126"/>
      </w:tblGrid>
      <w:tr w:rsidR="00754172" w14:paraId="5716481D" w14:textId="77777777">
        <w:trPr>
          <w:trHeight w:val="290"/>
        </w:trPr>
        <w:tc>
          <w:tcPr>
            <w:tcW w:w="3114" w:type="dxa"/>
            <w:tcBorders>
              <w:top w:val="single" w:sz="4" w:space="0" w:color="000000"/>
              <w:left w:val="single" w:sz="4" w:space="0" w:color="000000"/>
              <w:bottom w:val="single" w:sz="4" w:space="0" w:color="000000"/>
              <w:right w:val="single" w:sz="4" w:space="0" w:color="000000"/>
            </w:tcBorders>
            <w:vAlign w:val="center"/>
          </w:tcPr>
          <w:p w14:paraId="4CC27527"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lastRenderedPageBreak/>
              <w:t>Organismos productos</w:t>
            </w:r>
          </w:p>
        </w:tc>
        <w:tc>
          <w:tcPr>
            <w:tcW w:w="2126" w:type="dxa"/>
            <w:tcBorders>
              <w:top w:val="single" w:sz="4" w:space="0" w:color="000000"/>
              <w:left w:val="nil"/>
              <w:bottom w:val="single" w:sz="4" w:space="0" w:color="000000"/>
              <w:right w:val="single" w:sz="4" w:space="0" w:color="000000"/>
            </w:tcBorders>
            <w:vAlign w:val="center"/>
          </w:tcPr>
          <w:p w14:paraId="5B15316F"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Proyectos</w:t>
            </w:r>
          </w:p>
        </w:tc>
      </w:tr>
      <w:tr w:rsidR="00754172" w14:paraId="0A371696" w14:textId="77777777">
        <w:trPr>
          <w:trHeight w:val="290"/>
        </w:trPr>
        <w:tc>
          <w:tcPr>
            <w:tcW w:w="3114" w:type="dxa"/>
            <w:tcBorders>
              <w:top w:val="nil"/>
              <w:left w:val="single" w:sz="4" w:space="0" w:color="000000"/>
              <w:bottom w:val="single" w:sz="4" w:space="0" w:color="000000"/>
              <w:right w:val="single" w:sz="4" w:space="0" w:color="000000"/>
            </w:tcBorders>
            <w:vAlign w:val="center"/>
          </w:tcPr>
          <w:p w14:paraId="0CD963BE"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FLACSO</w:t>
            </w:r>
          </w:p>
        </w:tc>
        <w:tc>
          <w:tcPr>
            <w:tcW w:w="2126" w:type="dxa"/>
            <w:tcBorders>
              <w:top w:val="nil"/>
              <w:left w:val="nil"/>
              <w:bottom w:val="single" w:sz="4" w:space="0" w:color="000000"/>
              <w:right w:val="single" w:sz="4" w:space="0" w:color="000000"/>
            </w:tcBorders>
            <w:vAlign w:val="center"/>
          </w:tcPr>
          <w:p w14:paraId="0AD4366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tc>
      </w:tr>
      <w:tr w:rsidR="00754172" w14:paraId="0821CB30" w14:textId="77777777">
        <w:trPr>
          <w:trHeight w:val="290"/>
        </w:trPr>
        <w:tc>
          <w:tcPr>
            <w:tcW w:w="3114" w:type="dxa"/>
            <w:tcBorders>
              <w:top w:val="nil"/>
              <w:left w:val="single" w:sz="4" w:space="0" w:color="000000"/>
              <w:bottom w:val="single" w:sz="4" w:space="0" w:color="000000"/>
              <w:right w:val="single" w:sz="4" w:space="0" w:color="000000"/>
            </w:tcBorders>
            <w:vAlign w:val="center"/>
          </w:tcPr>
          <w:p w14:paraId="7E6A28D1"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CIPPEC</w:t>
            </w:r>
          </w:p>
        </w:tc>
        <w:tc>
          <w:tcPr>
            <w:tcW w:w="2126" w:type="dxa"/>
            <w:tcBorders>
              <w:top w:val="nil"/>
              <w:left w:val="nil"/>
              <w:bottom w:val="single" w:sz="4" w:space="0" w:color="000000"/>
              <w:right w:val="single" w:sz="4" w:space="0" w:color="000000"/>
            </w:tcBorders>
            <w:vAlign w:val="center"/>
          </w:tcPr>
          <w:p w14:paraId="49ACE032"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r>
      <w:tr w:rsidR="00754172" w14:paraId="57B9CF87" w14:textId="77777777">
        <w:trPr>
          <w:trHeight w:val="290"/>
        </w:trPr>
        <w:tc>
          <w:tcPr>
            <w:tcW w:w="3114" w:type="dxa"/>
            <w:tcBorders>
              <w:top w:val="nil"/>
              <w:left w:val="single" w:sz="4" w:space="0" w:color="000000"/>
              <w:bottom w:val="single" w:sz="4" w:space="0" w:color="000000"/>
              <w:right w:val="single" w:sz="4" w:space="0" w:color="000000"/>
            </w:tcBorders>
            <w:vAlign w:val="center"/>
          </w:tcPr>
          <w:p w14:paraId="137CAEEE"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IIPE-UNESCO</w:t>
            </w:r>
          </w:p>
        </w:tc>
        <w:tc>
          <w:tcPr>
            <w:tcW w:w="2126" w:type="dxa"/>
            <w:tcBorders>
              <w:top w:val="nil"/>
              <w:left w:val="nil"/>
              <w:bottom w:val="single" w:sz="4" w:space="0" w:color="000000"/>
              <w:right w:val="single" w:sz="4" w:space="0" w:color="000000"/>
            </w:tcBorders>
            <w:vAlign w:val="center"/>
          </w:tcPr>
          <w:p w14:paraId="314FA6A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r>
      <w:tr w:rsidR="00754172" w14:paraId="55E3F7E2" w14:textId="77777777">
        <w:trPr>
          <w:trHeight w:val="290"/>
        </w:trPr>
        <w:tc>
          <w:tcPr>
            <w:tcW w:w="3114" w:type="dxa"/>
            <w:tcBorders>
              <w:top w:val="nil"/>
              <w:left w:val="single" w:sz="4" w:space="0" w:color="000000"/>
              <w:bottom w:val="single" w:sz="4" w:space="0" w:color="000000"/>
              <w:right w:val="single" w:sz="4" w:space="0" w:color="000000"/>
            </w:tcBorders>
            <w:vAlign w:val="center"/>
          </w:tcPr>
          <w:p w14:paraId="0E5B4CFB"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OEI</w:t>
            </w:r>
          </w:p>
        </w:tc>
        <w:tc>
          <w:tcPr>
            <w:tcW w:w="2126" w:type="dxa"/>
            <w:tcBorders>
              <w:top w:val="nil"/>
              <w:left w:val="nil"/>
              <w:bottom w:val="single" w:sz="4" w:space="0" w:color="000000"/>
              <w:right w:val="single" w:sz="4" w:space="0" w:color="000000"/>
            </w:tcBorders>
            <w:vAlign w:val="center"/>
          </w:tcPr>
          <w:p w14:paraId="5FA4F1FA"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r>
      <w:tr w:rsidR="00754172" w14:paraId="296D3EDF" w14:textId="77777777">
        <w:trPr>
          <w:trHeight w:val="290"/>
        </w:trPr>
        <w:tc>
          <w:tcPr>
            <w:tcW w:w="3114" w:type="dxa"/>
            <w:tcBorders>
              <w:top w:val="nil"/>
              <w:left w:val="single" w:sz="4" w:space="0" w:color="000000"/>
              <w:bottom w:val="single" w:sz="4" w:space="0" w:color="000000"/>
              <w:right w:val="single" w:sz="4" w:space="0" w:color="000000"/>
            </w:tcBorders>
            <w:vAlign w:val="center"/>
          </w:tcPr>
          <w:p w14:paraId="25A980CE"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CEPAL</w:t>
            </w:r>
          </w:p>
        </w:tc>
        <w:tc>
          <w:tcPr>
            <w:tcW w:w="2126" w:type="dxa"/>
            <w:tcBorders>
              <w:top w:val="nil"/>
              <w:left w:val="nil"/>
              <w:bottom w:val="single" w:sz="4" w:space="0" w:color="000000"/>
              <w:right w:val="single" w:sz="4" w:space="0" w:color="000000"/>
            </w:tcBorders>
            <w:vAlign w:val="center"/>
          </w:tcPr>
          <w:p w14:paraId="72BF214B"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r>
      <w:tr w:rsidR="00754172" w14:paraId="2AE58798" w14:textId="77777777">
        <w:trPr>
          <w:trHeight w:val="290"/>
        </w:trPr>
        <w:tc>
          <w:tcPr>
            <w:tcW w:w="3114" w:type="dxa"/>
            <w:tcBorders>
              <w:top w:val="nil"/>
              <w:left w:val="single" w:sz="4" w:space="0" w:color="000000"/>
              <w:bottom w:val="single" w:sz="4" w:space="0" w:color="000000"/>
              <w:right w:val="single" w:sz="4" w:space="0" w:color="000000"/>
            </w:tcBorders>
            <w:vAlign w:val="center"/>
          </w:tcPr>
          <w:p w14:paraId="5F11B7F8"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UNICEF</w:t>
            </w:r>
          </w:p>
        </w:tc>
        <w:tc>
          <w:tcPr>
            <w:tcW w:w="2126" w:type="dxa"/>
            <w:tcBorders>
              <w:top w:val="nil"/>
              <w:left w:val="nil"/>
              <w:bottom w:val="single" w:sz="4" w:space="0" w:color="000000"/>
              <w:right w:val="single" w:sz="4" w:space="0" w:color="000000"/>
            </w:tcBorders>
            <w:vAlign w:val="center"/>
          </w:tcPr>
          <w:p w14:paraId="45CB7F75"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r>
      <w:tr w:rsidR="00754172" w14:paraId="674EFC66" w14:textId="77777777">
        <w:trPr>
          <w:trHeight w:val="720"/>
        </w:trPr>
        <w:tc>
          <w:tcPr>
            <w:tcW w:w="3114" w:type="dxa"/>
            <w:tcBorders>
              <w:top w:val="nil"/>
              <w:left w:val="single" w:sz="4" w:space="0" w:color="000000"/>
              <w:bottom w:val="single" w:sz="4" w:space="0" w:color="000000"/>
              <w:right w:val="single" w:sz="4" w:space="0" w:color="000000"/>
            </w:tcBorders>
            <w:vAlign w:val="center"/>
          </w:tcPr>
          <w:p w14:paraId="428F8EC3"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ACADEMIA NACIONAL DE EDUCACIÓN</w:t>
            </w:r>
          </w:p>
        </w:tc>
        <w:tc>
          <w:tcPr>
            <w:tcW w:w="2126" w:type="dxa"/>
            <w:tcBorders>
              <w:top w:val="nil"/>
              <w:left w:val="nil"/>
              <w:bottom w:val="single" w:sz="4" w:space="0" w:color="000000"/>
              <w:right w:val="single" w:sz="4" w:space="0" w:color="000000"/>
            </w:tcBorders>
            <w:vAlign w:val="center"/>
          </w:tcPr>
          <w:p w14:paraId="18649FB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754172" w14:paraId="2BBB1279" w14:textId="77777777">
        <w:trPr>
          <w:trHeight w:val="290"/>
        </w:trPr>
        <w:tc>
          <w:tcPr>
            <w:tcW w:w="3114" w:type="dxa"/>
            <w:tcBorders>
              <w:top w:val="nil"/>
              <w:left w:val="single" w:sz="4" w:space="0" w:color="000000"/>
              <w:bottom w:val="single" w:sz="4" w:space="0" w:color="000000"/>
              <w:right w:val="single" w:sz="4" w:space="0" w:color="000000"/>
            </w:tcBorders>
            <w:vAlign w:val="center"/>
          </w:tcPr>
          <w:p w14:paraId="5C35D09C"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CEADEL</w:t>
            </w:r>
          </w:p>
        </w:tc>
        <w:tc>
          <w:tcPr>
            <w:tcW w:w="2126" w:type="dxa"/>
            <w:tcBorders>
              <w:top w:val="nil"/>
              <w:left w:val="nil"/>
              <w:bottom w:val="single" w:sz="4" w:space="0" w:color="000000"/>
              <w:right w:val="single" w:sz="4" w:space="0" w:color="000000"/>
            </w:tcBorders>
            <w:vAlign w:val="center"/>
          </w:tcPr>
          <w:p w14:paraId="1790DEAB"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754172" w14:paraId="6FE6A6E7" w14:textId="77777777">
        <w:trPr>
          <w:trHeight w:val="290"/>
        </w:trPr>
        <w:tc>
          <w:tcPr>
            <w:tcW w:w="3114" w:type="dxa"/>
            <w:tcBorders>
              <w:top w:val="nil"/>
              <w:left w:val="single" w:sz="4" w:space="0" w:color="000000"/>
              <w:bottom w:val="single" w:sz="4" w:space="0" w:color="000000"/>
              <w:right w:val="single" w:sz="4" w:space="0" w:color="000000"/>
            </w:tcBorders>
            <w:vAlign w:val="center"/>
          </w:tcPr>
          <w:p w14:paraId="42C08951"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Centro Redes</w:t>
            </w:r>
          </w:p>
        </w:tc>
        <w:tc>
          <w:tcPr>
            <w:tcW w:w="2126" w:type="dxa"/>
            <w:tcBorders>
              <w:top w:val="nil"/>
              <w:left w:val="nil"/>
              <w:bottom w:val="single" w:sz="4" w:space="0" w:color="000000"/>
              <w:right w:val="single" w:sz="4" w:space="0" w:color="000000"/>
            </w:tcBorders>
            <w:vAlign w:val="center"/>
          </w:tcPr>
          <w:p w14:paraId="6F60CEB3"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754172" w14:paraId="134ACB6A" w14:textId="77777777">
        <w:trPr>
          <w:trHeight w:val="290"/>
        </w:trPr>
        <w:tc>
          <w:tcPr>
            <w:tcW w:w="3114" w:type="dxa"/>
            <w:tcBorders>
              <w:top w:val="nil"/>
              <w:left w:val="single" w:sz="4" w:space="0" w:color="000000"/>
              <w:bottom w:val="single" w:sz="4" w:space="0" w:color="000000"/>
              <w:right w:val="single" w:sz="4" w:space="0" w:color="000000"/>
            </w:tcBorders>
            <w:vAlign w:val="center"/>
          </w:tcPr>
          <w:p w14:paraId="7E9DF21C"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EUROSOCIAL</w:t>
            </w:r>
          </w:p>
        </w:tc>
        <w:tc>
          <w:tcPr>
            <w:tcW w:w="2126" w:type="dxa"/>
            <w:tcBorders>
              <w:top w:val="nil"/>
              <w:left w:val="nil"/>
              <w:bottom w:val="single" w:sz="4" w:space="0" w:color="000000"/>
              <w:right w:val="single" w:sz="4" w:space="0" w:color="000000"/>
            </w:tcBorders>
            <w:vAlign w:val="center"/>
          </w:tcPr>
          <w:p w14:paraId="0C5E28AA"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754172" w14:paraId="14EA61CB" w14:textId="77777777">
        <w:trPr>
          <w:trHeight w:val="480"/>
        </w:trPr>
        <w:tc>
          <w:tcPr>
            <w:tcW w:w="3114" w:type="dxa"/>
            <w:tcBorders>
              <w:top w:val="nil"/>
              <w:left w:val="single" w:sz="4" w:space="0" w:color="000000"/>
              <w:bottom w:val="single" w:sz="4" w:space="0" w:color="000000"/>
              <w:right w:val="single" w:sz="4" w:space="0" w:color="000000"/>
            </w:tcBorders>
            <w:vAlign w:val="center"/>
          </w:tcPr>
          <w:p w14:paraId="376A6A30"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Fundación Dr. Plácido Marín</w:t>
            </w:r>
          </w:p>
        </w:tc>
        <w:tc>
          <w:tcPr>
            <w:tcW w:w="2126" w:type="dxa"/>
            <w:tcBorders>
              <w:top w:val="nil"/>
              <w:left w:val="nil"/>
              <w:bottom w:val="single" w:sz="4" w:space="0" w:color="000000"/>
              <w:right w:val="single" w:sz="4" w:space="0" w:color="000000"/>
            </w:tcBorders>
            <w:vAlign w:val="center"/>
          </w:tcPr>
          <w:p w14:paraId="087894A0"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754172" w14:paraId="0989A8FA" w14:textId="77777777">
        <w:trPr>
          <w:trHeight w:val="480"/>
        </w:trPr>
        <w:tc>
          <w:tcPr>
            <w:tcW w:w="3114" w:type="dxa"/>
            <w:tcBorders>
              <w:top w:val="nil"/>
              <w:left w:val="single" w:sz="4" w:space="0" w:color="000000"/>
              <w:bottom w:val="single" w:sz="4" w:space="0" w:color="000000"/>
              <w:right w:val="single" w:sz="4" w:space="0" w:color="000000"/>
            </w:tcBorders>
            <w:vAlign w:val="center"/>
          </w:tcPr>
          <w:p w14:paraId="7EB66DE7"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Fundación </w:t>
            </w:r>
            <w:proofErr w:type="spellStart"/>
            <w:r>
              <w:rPr>
                <w:rFonts w:ascii="Times New Roman" w:eastAsia="Times New Roman" w:hAnsi="Times New Roman" w:cs="Times New Roman"/>
                <w:sz w:val="18"/>
                <w:szCs w:val="18"/>
              </w:rPr>
              <w:t>Quántitas</w:t>
            </w:r>
            <w:proofErr w:type="spellEnd"/>
          </w:p>
        </w:tc>
        <w:tc>
          <w:tcPr>
            <w:tcW w:w="2126" w:type="dxa"/>
            <w:tcBorders>
              <w:top w:val="nil"/>
              <w:left w:val="nil"/>
              <w:bottom w:val="single" w:sz="4" w:space="0" w:color="000000"/>
              <w:right w:val="single" w:sz="4" w:space="0" w:color="000000"/>
            </w:tcBorders>
            <w:vAlign w:val="center"/>
          </w:tcPr>
          <w:p w14:paraId="37A329D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754172" w14:paraId="0485801B" w14:textId="77777777">
        <w:trPr>
          <w:trHeight w:val="290"/>
        </w:trPr>
        <w:tc>
          <w:tcPr>
            <w:tcW w:w="3114" w:type="dxa"/>
            <w:tcBorders>
              <w:top w:val="nil"/>
              <w:left w:val="single" w:sz="4" w:space="0" w:color="000000"/>
              <w:bottom w:val="single" w:sz="4" w:space="0" w:color="000000"/>
              <w:right w:val="single" w:sz="4" w:space="0" w:color="000000"/>
            </w:tcBorders>
            <w:vAlign w:val="center"/>
          </w:tcPr>
          <w:p w14:paraId="01244050"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Fundación SES</w:t>
            </w:r>
          </w:p>
        </w:tc>
        <w:tc>
          <w:tcPr>
            <w:tcW w:w="2126" w:type="dxa"/>
            <w:tcBorders>
              <w:top w:val="nil"/>
              <w:left w:val="nil"/>
              <w:bottom w:val="single" w:sz="4" w:space="0" w:color="000000"/>
              <w:right w:val="single" w:sz="4" w:space="0" w:color="000000"/>
            </w:tcBorders>
            <w:vAlign w:val="center"/>
          </w:tcPr>
          <w:p w14:paraId="66C3E718"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754172" w14:paraId="473E7E24" w14:textId="77777777">
        <w:trPr>
          <w:trHeight w:val="290"/>
        </w:trPr>
        <w:tc>
          <w:tcPr>
            <w:tcW w:w="3114" w:type="dxa"/>
            <w:tcBorders>
              <w:top w:val="nil"/>
              <w:left w:val="single" w:sz="4" w:space="0" w:color="000000"/>
              <w:bottom w:val="single" w:sz="4" w:space="0" w:color="000000"/>
              <w:right w:val="single" w:sz="4" w:space="0" w:color="000000"/>
            </w:tcBorders>
            <w:vAlign w:val="center"/>
          </w:tcPr>
          <w:p w14:paraId="10903878" w14:textId="77777777" w:rsidR="00754172" w:rsidRDefault="00000000" w:rsidP="003A3267">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Total</w:t>
            </w:r>
          </w:p>
        </w:tc>
        <w:tc>
          <w:tcPr>
            <w:tcW w:w="2126" w:type="dxa"/>
            <w:tcBorders>
              <w:top w:val="nil"/>
              <w:left w:val="nil"/>
              <w:bottom w:val="single" w:sz="4" w:space="0" w:color="000000"/>
              <w:right w:val="single" w:sz="4" w:space="0" w:color="000000"/>
            </w:tcBorders>
            <w:vAlign w:val="center"/>
          </w:tcPr>
          <w:p w14:paraId="07D310F7"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42</w:t>
            </w:r>
          </w:p>
        </w:tc>
      </w:tr>
    </w:tbl>
    <w:p w14:paraId="4379FD93" w14:textId="77777777" w:rsidR="00754172" w:rsidRDefault="00000000">
      <w:pPr>
        <w:spacing w:after="0" w:line="240" w:lineRule="auto"/>
        <w:jc w:val="both"/>
        <w:rPr>
          <w:rFonts w:ascii="Arial" w:eastAsia="Arial" w:hAnsi="Arial" w:cs="Arial"/>
        </w:rPr>
      </w:pPr>
      <w:r>
        <w:rPr>
          <w:rFonts w:ascii="Times New Roman" w:eastAsia="Times New Roman" w:hAnsi="Times New Roman" w:cs="Times New Roman"/>
          <w:sz w:val="22"/>
          <w:szCs w:val="22"/>
        </w:rPr>
        <w:t>Fuente: Elaboración propia a partir de la Base RIES.</w:t>
      </w:r>
    </w:p>
    <w:p w14:paraId="3A01C9B8" w14:textId="77777777" w:rsidR="00754172" w:rsidRDefault="00754172">
      <w:pPr>
        <w:spacing w:after="0" w:line="240" w:lineRule="auto"/>
        <w:jc w:val="both"/>
        <w:rPr>
          <w:rFonts w:ascii="Times New Roman" w:eastAsia="Times New Roman" w:hAnsi="Times New Roman" w:cs="Times New Roman"/>
        </w:rPr>
      </w:pPr>
    </w:p>
    <w:p w14:paraId="71A45F19" w14:textId="77777777" w:rsidR="00754172" w:rsidRDefault="00000000">
      <w:pPr>
        <w:spacing w:after="0" w:line="240" w:lineRule="auto"/>
        <w:jc w:val="both"/>
        <w:rPr>
          <w:rFonts w:ascii="Times New Roman" w:eastAsia="Times New Roman" w:hAnsi="Times New Roman" w:cs="Times New Roman"/>
          <w:i/>
          <w:iCs/>
        </w:rPr>
      </w:pPr>
      <w:r>
        <w:rPr>
          <w:rFonts w:ascii="Times New Roman" w:eastAsia="Times New Roman" w:hAnsi="Times New Roman" w:cs="Times New Roman"/>
        </w:rPr>
        <w:t>Los centros con mayor producción son FLACSO, seguido de CIPPEC y de organismos internacionales.</w:t>
      </w:r>
    </w:p>
    <w:p w14:paraId="49E13852" w14:textId="77777777" w:rsidR="00754172" w:rsidRDefault="00754172">
      <w:pPr>
        <w:spacing w:after="0" w:line="240" w:lineRule="auto"/>
        <w:jc w:val="both"/>
        <w:rPr>
          <w:rFonts w:ascii="Times New Roman" w:eastAsia="Times New Roman" w:hAnsi="Times New Roman" w:cs="Times New Roman"/>
          <w:i/>
          <w:iCs/>
        </w:rPr>
      </w:pPr>
    </w:p>
    <w:p w14:paraId="603A6D8A" w14:textId="77777777" w:rsidR="00754172" w:rsidRDefault="00754172">
      <w:pPr>
        <w:spacing w:after="0" w:line="240" w:lineRule="auto"/>
        <w:jc w:val="both"/>
        <w:rPr>
          <w:rFonts w:ascii="Times New Roman" w:eastAsia="Times New Roman" w:hAnsi="Times New Roman" w:cs="Times New Roman"/>
          <w:i/>
          <w:iCs/>
        </w:rPr>
      </w:pPr>
    </w:p>
    <w:p w14:paraId="3C893979" w14:textId="77777777" w:rsidR="00754172"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i/>
          <w:iCs/>
        </w:rPr>
        <w:t>Políticas educativas:</w:t>
      </w:r>
      <w:r>
        <w:rPr>
          <w:rFonts w:ascii="Times New Roman" w:eastAsia="Times New Roman" w:hAnsi="Times New Roman" w:cs="Times New Roman"/>
        </w:rPr>
        <w:t xml:space="preserve"> </w:t>
      </w:r>
      <w:r>
        <w:rPr>
          <w:rFonts w:ascii="Times New Roman" w:eastAsia="Times New Roman" w:hAnsi="Times New Roman" w:cs="Times New Roman"/>
          <w:i/>
          <w:iCs/>
        </w:rPr>
        <w:t>organismos oficiales</w:t>
      </w:r>
    </w:p>
    <w:p w14:paraId="776EB7D6" w14:textId="77777777" w:rsidR="00754172" w:rsidRDefault="00754172">
      <w:pPr>
        <w:spacing w:after="0" w:line="240" w:lineRule="auto"/>
        <w:jc w:val="both"/>
        <w:rPr>
          <w:rFonts w:ascii="Times New Roman" w:eastAsia="Times New Roman" w:hAnsi="Times New Roman" w:cs="Times New Roman"/>
        </w:rPr>
      </w:pPr>
    </w:p>
    <w:p w14:paraId="6D8F879F" w14:textId="77777777" w:rsidR="00754172" w:rsidRDefault="00000000">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Las áreas de investigación de los organismos oficiales aportan 49 proyectos. Es necesario aclarar que no están consignadas todas las unidades ministeriales con función de investigación del país, lo que probablemente, esté relacionado no solamente con la producción de estudios, sino también con las políticas de publicación y difusión que caracterizan al sector (Cardini, 2018). De este conjunto, 16 proyectos corresponden al Ministerio de Educación de la Ciudad de Buenos Aires y 25 al Ministerio de Educación de la Nación. La fuerte presencia de los proyectos de ambos organismos en el repositorio se verifica también en otros ejes temáticos abordados.</w:t>
      </w:r>
    </w:p>
    <w:p w14:paraId="3652DAC5" w14:textId="77777777" w:rsidR="00754172" w:rsidRDefault="00754172">
      <w:pPr>
        <w:spacing w:after="0" w:line="240" w:lineRule="auto"/>
        <w:jc w:val="both"/>
        <w:rPr>
          <w:rFonts w:ascii="Times New Roman" w:eastAsia="Times New Roman" w:hAnsi="Times New Roman" w:cs="Times New Roman"/>
        </w:rPr>
      </w:pPr>
    </w:p>
    <w:p w14:paraId="239F82B9" w14:textId="77777777" w:rsidR="00754172" w:rsidRDefault="00000000">
      <w:pPr>
        <w:spacing w:after="0" w:line="240" w:lineRule="auto"/>
        <w:jc w:val="both"/>
        <w:rPr>
          <w:rFonts w:ascii="Times New Roman" w:eastAsia="Times New Roman" w:hAnsi="Times New Roman" w:cs="Times New Roman"/>
          <w:i/>
          <w:iCs/>
        </w:rPr>
      </w:pPr>
      <w:r>
        <w:rPr>
          <w:rFonts w:ascii="Times New Roman" w:eastAsia="Times New Roman" w:hAnsi="Times New Roman" w:cs="Times New Roman"/>
          <w:i/>
          <w:iCs/>
        </w:rPr>
        <w:t>Desigualdad educativa</w:t>
      </w:r>
    </w:p>
    <w:p w14:paraId="3966ADCD" w14:textId="77777777" w:rsidR="00754172" w:rsidRDefault="00754172">
      <w:pPr>
        <w:spacing w:after="0" w:line="240" w:lineRule="auto"/>
        <w:jc w:val="both"/>
        <w:rPr>
          <w:rFonts w:ascii="Times New Roman" w:eastAsia="Times New Roman" w:hAnsi="Times New Roman" w:cs="Times New Roman"/>
          <w:i/>
          <w:iCs/>
        </w:rPr>
      </w:pPr>
    </w:p>
    <w:p w14:paraId="33266CF6" w14:textId="77777777" w:rsidR="00754172" w:rsidRDefault="00000000">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El tercer tema en la agenda de investigación en secundaria para el período estudiado según la frecuencia de proyectos en el repositorio RIES son los estudios sobre Educación y desigualdad. Los grupos de productores que mayor cantidad de proyectos producen son las Universidades estatales, los Centros de investigación y las Áreas de investigación de organismos públicos, seguidas de un grupo de universidades privadas.</w:t>
      </w:r>
    </w:p>
    <w:p w14:paraId="642EEAE3" w14:textId="77777777" w:rsidR="00754172" w:rsidRDefault="00754172">
      <w:pPr>
        <w:spacing w:after="0" w:line="240" w:lineRule="auto"/>
        <w:jc w:val="both"/>
        <w:rPr>
          <w:rFonts w:ascii="Times New Roman" w:eastAsia="Times New Roman" w:hAnsi="Times New Roman" w:cs="Times New Roman"/>
        </w:rPr>
      </w:pPr>
    </w:p>
    <w:p w14:paraId="76F5F847" w14:textId="77777777" w:rsidR="00754172" w:rsidRDefault="0000000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Cuadro 7. Proyectos sobre Educación y desigualdad según organismo productor (en absolutos). Años 2003 a 2021.</w:t>
      </w:r>
    </w:p>
    <w:p w14:paraId="5542B89F" w14:textId="77777777" w:rsidR="00754172" w:rsidRDefault="00754172">
      <w:pPr>
        <w:spacing w:after="0" w:line="240" w:lineRule="auto"/>
        <w:jc w:val="both"/>
        <w:rPr>
          <w:rFonts w:ascii="Arial" w:eastAsia="Arial" w:hAnsi="Arial" w:cs="Arial"/>
        </w:rPr>
      </w:pPr>
    </w:p>
    <w:tbl>
      <w:tblPr>
        <w:tblStyle w:val="a6"/>
        <w:tblW w:w="7933" w:type="dxa"/>
        <w:tblInd w:w="0" w:type="dxa"/>
        <w:tblLayout w:type="fixed"/>
        <w:tblLook w:val="0400" w:firstRow="0" w:lastRow="0" w:firstColumn="0" w:lastColumn="0" w:noHBand="0" w:noVBand="1"/>
      </w:tblPr>
      <w:tblGrid>
        <w:gridCol w:w="5382"/>
        <w:gridCol w:w="2551"/>
      </w:tblGrid>
      <w:tr w:rsidR="00754172" w14:paraId="52A9DA63" w14:textId="77777777">
        <w:trPr>
          <w:trHeight w:val="960"/>
        </w:trPr>
        <w:tc>
          <w:tcPr>
            <w:tcW w:w="5382" w:type="dxa"/>
            <w:tcBorders>
              <w:top w:val="single" w:sz="4" w:space="0" w:color="000000"/>
              <w:left w:val="single" w:sz="4" w:space="0" w:color="000000"/>
              <w:bottom w:val="single" w:sz="4" w:space="0" w:color="000000"/>
              <w:right w:val="single" w:sz="4" w:space="0" w:color="000000"/>
            </w:tcBorders>
            <w:vAlign w:val="center"/>
          </w:tcPr>
          <w:p w14:paraId="7BB19D46"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Organismos</w:t>
            </w:r>
          </w:p>
        </w:tc>
        <w:tc>
          <w:tcPr>
            <w:tcW w:w="2551" w:type="dxa"/>
            <w:tcBorders>
              <w:top w:val="single" w:sz="4" w:space="0" w:color="000000"/>
              <w:left w:val="nil"/>
              <w:bottom w:val="single" w:sz="4" w:space="0" w:color="000000"/>
              <w:right w:val="single" w:sz="4" w:space="0" w:color="000000"/>
            </w:tcBorders>
            <w:vAlign w:val="center"/>
          </w:tcPr>
          <w:p w14:paraId="67EB8DC0"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Proyectos</w:t>
            </w:r>
          </w:p>
        </w:tc>
      </w:tr>
      <w:tr w:rsidR="00754172" w14:paraId="0C50F36B" w14:textId="77777777">
        <w:trPr>
          <w:trHeight w:val="290"/>
        </w:trPr>
        <w:tc>
          <w:tcPr>
            <w:tcW w:w="5382" w:type="dxa"/>
            <w:tcBorders>
              <w:top w:val="nil"/>
              <w:left w:val="single" w:sz="4" w:space="0" w:color="000000"/>
              <w:bottom w:val="single" w:sz="4" w:space="0" w:color="000000"/>
              <w:right w:val="single" w:sz="4" w:space="0" w:color="000000"/>
            </w:tcBorders>
            <w:vAlign w:val="center"/>
          </w:tcPr>
          <w:p w14:paraId="592BE76C"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Universidad Nacional</w:t>
            </w:r>
          </w:p>
        </w:tc>
        <w:tc>
          <w:tcPr>
            <w:tcW w:w="2551" w:type="dxa"/>
            <w:tcBorders>
              <w:top w:val="nil"/>
              <w:left w:val="nil"/>
              <w:bottom w:val="single" w:sz="4" w:space="0" w:color="000000"/>
              <w:right w:val="single" w:sz="4" w:space="0" w:color="000000"/>
            </w:tcBorders>
            <w:vAlign w:val="center"/>
          </w:tcPr>
          <w:p w14:paraId="045A03D0"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108</w:t>
            </w:r>
          </w:p>
        </w:tc>
      </w:tr>
      <w:tr w:rsidR="00754172" w14:paraId="22C8E2B3" w14:textId="77777777">
        <w:trPr>
          <w:trHeight w:val="960"/>
        </w:trPr>
        <w:tc>
          <w:tcPr>
            <w:tcW w:w="5382" w:type="dxa"/>
            <w:tcBorders>
              <w:top w:val="nil"/>
              <w:left w:val="single" w:sz="4" w:space="0" w:color="000000"/>
              <w:bottom w:val="single" w:sz="4" w:space="0" w:color="000000"/>
              <w:right w:val="single" w:sz="4" w:space="0" w:color="000000"/>
            </w:tcBorders>
            <w:vAlign w:val="center"/>
          </w:tcPr>
          <w:p w14:paraId="189713D5"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Centros de Investigación (Asociaciones Civiles y Fundaciones; centros internacionales)</w:t>
            </w:r>
          </w:p>
        </w:tc>
        <w:tc>
          <w:tcPr>
            <w:tcW w:w="2551" w:type="dxa"/>
            <w:tcBorders>
              <w:top w:val="nil"/>
              <w:left w:val="nil"/>
              <w:bottom w:val="single" w:sz="4" w:space="0" w:color="000000"/>
              <w:right w:val="single" w:sz="4" w:space="0" w:color="000000"/>
            </w:tcBorders>
            <w:vAlign w:val="center"/>
          </w:tcPr>
          <w:p w14:paraId="76E0A28D"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w:t>
            </w:r>
          </w:p>
        </w:tc>
      </w:tr>
      <w:tr w:rsidR="00754172" w14:paraId="0D4553B6" w14:textId="77777777">
        <w:trPr>
          <w:trHeight w:val="960"/>
        </w:trPr>
        <w:tc>
          <w:tcPr>
            <w:tcW w:w="5382" w:type="dxa"/>
            <w:tcBorders>
              <w:top w:val="nil"/>
              <w:left w:val="single" w:sz="4" w:space="0" w:color="000000"/>
              <w:bottom w:val="single" w:sz="4" w:space="0" w:color="000000"/>
              <w:right w:val="single" w:sz="4" w:space="0" w:color="000000"/>
            </w:tcBorders>
            <w:vAlign w:val="center"/>
          </w:tcPr>
          <w:p w14:paraId="0FADC106"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Oficinas/Departamentos/Direcciones de Investigación y/o Estadística de los Ministerios de Educación Nacional y Jurisdiccionales</w:t>
            </w:r>
          </w:p>
        </w:tc>
        <w:tc>
          <w:tcPr>
            <w:tcW w:w="2551" w:type="dxa"/>
            <w:tcBorders>
              <w:top w:val="nil"/>
              <w:left w:val="nil"/>
              <w:bottom w:val="single" w:sz="4" w:space="0" w:color="000000"/>
              <w:right w:val="single" w:sz="4" w:space="0" w:color="000000"/>
            </w:tcBorders>
            <w:vAlign w:val="center"/>
          </w:tcPr>
          <w:p w14:paraId="17D2CE6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r>
      <w:tr w:rsidR="00754172" w14:paraId="7903B5D3" w14:textId="77777777">
        <w:trPr>
          <w:trHeight w:val="290"/>
        </w:trPr>
        <w:tc>
          <w:tcPr>
            <w:tcW w:w="5382" w:type="dxa"/>
            <w:tcBorders>
              <w:top w:val="nil"/>
              <w:left w:val="single" w:sz="4" w:space="0" w:color="000000"/>
              <w:bottom w:val="single" w:sz="4" w:space="0" w:color="000000"/>
              <w:right w:val="single" w:sz="4" w:space="0" w:color="000000"/>
            </w:tcBorders>
            <w:vAlign w:val="center"/>
          </w:tcPr>
          <w:p w14:paraId="37A91E1F" w14:textId="77777777" w:rsidR="00754172" w:rsidRDefault="00000000" w:rsidP="003A3267">
            <w:pPr>
              <w:spacing w:after="0" w:line="240" w:lineRule="auto"/>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Universidades Privadas</w:t>
            </w:r>
          </w:p>
        </w:tc>
        <w:tc>
          <w:tcPr>
            <w:tcW w:w="2551" w:type="dxa"/>
            <w:tcBorders>
              <w:top w:val="nil"/>
              <w:left w:val="nil"/>
              <w:bottom w:val="single" w:sz="4" w:space="0" w:color="000000"/>
              <w:right w:val="single" w:sz="4" w:space="0" w:color="000000"/>
            </w:tcBorders>
            <w:vAlign w:val="center"/>
          </w:tcPr>
          <w:p w14:paraId="6DF55D28" w14:textId="77777777" w:rsidR="00754172" w:rsidRDefault="00000000">
            <w:pPr>
              <w:spacing w:after="0" w:line="240" w:lineRule="auto"/>
              <w:jc w:val="center"/>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11</w:t>
            </w:r>
          </w:p>
        </w:tc>
      </w:tr>
      <w:tr w:rsidR="00754172" w14:paraId="030301B0" w14:textId="77777777">
        <w:trPr>
          <w:trHeight w:val="290"/>
        </w:trPr>
        <w:tc>
          <w:tcPr>
            <w:tcW w:w="5382" w:type="dxa"/>
            <w:tcBorders>
              <w:top w:val="nil"/>
              <w:left w:val="single" w:sz="4" w:space="0" w:color="000000"/>
              <w:bottom w:val="single" w:sz="4" w:space="0" w:color="000000"/>
              <w:right w:val="single" w:sz="4" w:space="0" w:color="000000"/>
            </w:tcBorders>
            <w:vAlign w:val="center"/>
          </w:tcPr>
          <w:p w14:paraId="1E6347E1"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Otros</w:t>
            </w:r>
          </w:p>
        </w:tc>
        <w:tc>
          <w:tcPr>
            <w:tcW w:w="2551" w:type="dxa"/>
            <w:tcBorders>
              <w:top w:val="nil"/>
              <w:left w:val="nil"/>
              <w:bottom w:val="single" w:sz="4" w:space="0" w:color="000000"/>
              <w:right w:val="single" w:sz="4" w:space="0" w:color="000000"/>
            </w:tcBorders>
            <w:vAlign w:val="center"/>
          </w:tcPr>
          <w:p w14:paraId="61C94FB0"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r>
      <w:tr w:rsidR="00754172" w14:paraId="4267D310" w14:textId="77777777">
        <w:trPr>
          <w:trHeight w:val="290"/>
        </w:trPr>
        <w:tc>
          <w:tcPr>
            <w:tcW w:w="5382" w:type="dxa"/>
            <w:tcBorders>
              <w:top w:val="nil"/>
              <w:left w:val="single" w:sz="4" w:space="0" w:color="000000"/>
              <w:bottom w:val="single" w:sz="4" w:space="0" w:color="000000"/>
              <w:right w:val="single" w:sz="4" w:space="0" w:color="000000"/>
            </w:tcBorders>
            <w:vAlign w:val="center"/>
          </w:tcPr>
          <w:p w14:paraId="25645BE3"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Sindicatos</w:t>
            </w:r>
          </w:p>
        </w:tc>
        <w:tc>
          <w:tcPr>
            <w:tcW w:w="2551" w:type="dxa"/>
            <w:tcBorders>
              <w:top w:val="nil"/>
              <w:left w:val="nil"/>
              <w:bottom w:val="single" w:sz="4" w:space="0" w:color="000000"/>
              <w:right w:val="single" w:sz="4" w:space="0" w:color="000000"/>
            </w:tcBorders>
            <w:vAlign w:val="center"/>
          </w:tcPr>
          <w:p w14:paraId="1625C79F"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754172" w14:paraId="07027107" w14:textId="77777777">
        <w:trPr>
          <w:trHeight w:val="290"/>
        </w:trPr>
        <w:tc>
          <w:tcPr>
            <w:tcW w:w="5382" w:type="dxa"/>
            <w:tcBorders>
              <w:top w:val="nil"/>
              <w:left w:val="single" w:sz="4" w:space="0" w:color="000000"/>
              <w:bottom w:val="single" w:sz="4" w:space="0" w:color="000000"/>
              <w:right w:val="single" w:sz="4" w:space="0" w:color="000000"/>
            </w:tcBorders>
            <w:vAlign w:val="center"/>
          </w:tcPr>
          <w:p w14:paraId="2418DE69"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Total </w:t>
            </w:r>
          </w:p>
        </w:tc>
        <w:tc>
          <w:tcPr>
            <w:tcW w:w="2551" w:type="dxa"/>
            <w:tcBorders>
              <w:top w:val="nil"/>
              <w:left w:val="nil"/>
              <w:bottom w:val="single" w:sz="4" w:space="0" w:color="000000"/>
              <w:right w:val="single" w:sz="4" w:space="0" w:color="000000"/>
            </w:tcBorders>
            <w:vAlign w:val="center"/>
          </w:tcPr>
          <w:p w14:paraId="69193490"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170</w:t>
            </w:r>
          </w:p>
        </w:tc>
      </w:tr>
    </w:tbl>
    <w:p w14:paraId="03B6BE90" w14:textId="77777777" w:rsidR="00754172" w:rsidRDefault="0000000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Fuente: Elaboración propia a partir de la Base RIES.</w:t>
      </w:r>
    </w:p>
    <w:p w14:paraId="14B94373" w14:textId="77777777" w:rsidR="00754172" w:rsidRDefault="00754172">
      <w:pPr>
        <w:spacing w:after="0" w:line="240" w:lineRule="auto"/>
        <w:jc w:val="both"/>
        <w:rPr>
          <w:rFonts w:ascii="Arial" w:eastAsia="Arial" w:hAnsi="Arial" w:cs="Arial"/>
        </w:rPr>
      </w:pPr>
    </w:p>
    <w:p w14:paraId="225D61E7" w14:textId="77777777" w:rsidR="00754172" w:rsidRDefault="00754172">
      <w:pPr>
        <w:spacing w:after="0" w:line="240" w:lineRule="auto"/>
        <w:jc w:val="both"/>
        <w:rPr>
          <w:rFonts w:ascii="Arial" w:eastAsia="Arial" w:hAnsi="Arial" w:cs="Arial"/>
        </w:rPr>
      </w:pPr>
    </w:p>
    <w:p w14:paraId="7381AD90" w14:textId="77777777" w:rsidR="00754172" w:rsidRDefault="00000000">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Entre las universidades estatales que estudian las desigualdades educativas, la Universidad de Buenos Aires, la Universidad de La Plata y la Universidad de Córdoba, nuevamente, como en el tópico de Política Educativa, son las universidades que más proyectos han trabajado en el período, tal como lo muestra el cuadro siguiente.</w:t>
      </w:r>
    </w:p>
    <w:p w14:paraId="50EC5490" w14:textId="77777777" w:rsidR="00754172" w:rsidRDefault="00754172">
      <w:pPr>
        <w:spacing w:after="0" w:line="240" w:lineRule="auto"/>
        <w:jc w:val="both"/>
        <w:rPr>
          <w:rFonts w:ascii="Times New Roman" w:eastAsia="Times New Roman" w:hAnsi="Times New Roman" w:cs="Times New Roman"/>
        </w:rPr>
      </w:pPr>
    </w:p>
    <w:p w14:paraId="1574FDD8" w14:textId="77777777" w:rsidR="00754172" w:rsidRDefault="0000000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Cuadro 8. Proyectos sobre Educación y desigualdad en Universidades estatales (2003-2021) (en absolutos)</w:t>
      </w:r>
    </w:p>
    <w:p w14:paraId="443AFFAA" w14:textId="77777777" w:rsidR="00754172" w:rsidRDefault="00754172">
      <w:pPr>
        <w:spacing w:after="0" w:line="360" w:lineRule="auto"/>
        <w:jc w:val="both"/>
        <w:rPr>
          <w:rFonts w:ascii="Arial" w:eastAsia="Arial" w:hAnsi="Arial" w:cs="Arial"/>
        </w:rPr>
      </w:pPr>
    </w:p>
    <w:tbl>
      <w:tblPr>
        <w:tblStyle w:val="a7"/>
        <w:tblW w:w="7508" w:type="dxa"/>
        <w:tblInd w:w="0" w:type="dxa"/>
        <w:tblLayout w:type="fixed"/>
        <w:tblLook w:val="0400" w:firstRow="0" w:lastRow="0" w:firstColumn="0" w:lastColumn="0" w:noHBand="0" w:noVBand="1"/>
      </w:tblPr>
      <w:tblGrid>
        <w:gridCol w:w="2235"/>
        <w:gridCol w:w="165"/>
        <w:gridCol w:w="5108"/>
      </w:tblGrid>
      <w:tr w:rsidR="00754172" w14:paraId="38478C84" w14:textId="77777777">
        <w:trPr>
          <w:trHeight w:val="960"/>
        </w:trPr>
        <w:tc>
          <w:tcPr>
            <w:tcW w:w="2235" w:type="dxa"/>
            <w:tcBorders>
              <w:top w:val="single" w:sz="4" w:space="0" w:color="000000"/>
              <w:left w:val="single" w:sz="4" w:space="0" w:color="000000"/>
              <w:bottom w:val="single" w:sz="4" w:space="0" w:color="000000"/>
              <w:right w:val="single" w:sz="4" w:space="0" w:color="000000"/>
            </w:tcBorders>
            <w:vAlign w:val="center"/>
          </w:tcPr>
          <w:p w14:paraId="266EFF71"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Universidad estatal</w:t>
            </w:r>
          </w:p>
        </w:tc>
        <w:tc>
          <w:tcPr>
            <w:tcW w:w="165" w:type="dxa"/>
            <w:tcBorders>
              <w:top w:val="single" w:sz="4" w:space="0" w:color="000000"/>
              <w:left w:val="nil"/>
              <w:bottom w:val="single" w:sz="4" w:space="0" w:color="000000"/>
              <w:right w:val="nil"/>
            </w:tcBorders>
          </w:tcPr>
          <w:p w14:paraId="0B4A4DFF" w14:textId="77777777" w:rsidR="00754172" w:rsidRDefault="00754172">
            <w:pPr>
              <w:spacing w:after="0" w:line="240" w:lineRule="auto"/>
              <w:jc w:val="center"/>
              <w:rPr>
                <w:rFonts w:ascii="Times New Roman" w:eastAsia="Times New Roman" w:hAnsi="Times New Roman" w:cs="Times New Roman"/>
                <w:b/>
                <w:bCs/>
                <w:sz w:val="18"/>
                <w:szCs w:val="18"/>
              </w:rPr>
            </w:pPr>
          </w:p>
        </w:tc>
        <w:tc>
          <w:tcPr>
            <w:tcW w:w="5108" w:type="dxa"/>
            <w:tcBorders>
              <w:top w:val="single" w:sz="4" w:space="0" w:color="000000"/>
              <w:left w:val="nil"/>
              <w:bottom w:val="single" w:sz="4" w:space="0" w:color="000000"/>
              <w:right w:val="single" w:sz="4" w:space="0" w:color="000000"/>
            </w:tcBorders>
            <w:vAlign w:val="center"/>
          </w:tcPr>
          <w:p w14:paraId="3C9EEF1A"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Proyectos</w:t>
            </w:r>
          </w:p>
        </w:tc>
      </w:tr>
      <w:tr w:rsidR="00754172" w14:paraId="25DD53E2" w14:textId="77777777">
        <w:trPr>
          <w:trHeight w:val="290"/>
        </w:trPr>
        <w:tc>
          <w:tcPr>
            <w:tcW w:w="2235" w:type="dxa"/>
            <w:tcBorders>
              <w:top w:val="nil"/>
              <w:left w:val="single" w:sz="4" w:space="0" w:color="000000"/>
              <w:bottom w:val="single" w:sz="4" w:space="0" w:color="000000"/>
              <w:right w:val="single" w:sz="4" w:space="0" w:color="000000"/>
            </w:tcBorders>
            <w:vAlign w:val="center"/>
          </w:tcPr>
          <w:p w14:paraId="2BE67627"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UBA</w:t>
            </w:r>
          </w:p>
        </w:tc>
        <w:tc>
          <w:tcPr>
            <w:tcW w:w="165" w:type="dxa"/>
            <w:tcBorders>
              <w:top w:val="nil"/>
              <w:left w:val="nil"/>
              <w:bottom w:val="single" w:sz="4" w:space="0" w:color="000000"/>
              <w:right w:val="nil"/>
            </w:tcBorders>
          </w:tcPr>
          <w:p w14:paraId="434F739C" w14:textId="77777777" w:rsidR="00754172" w:rsidRDefault="00754172">
            <w:pPr>
              <w:spacing w:after="0" w:line="240" w:lineRule="auto"/>
              <w:jc w:val="center"/>
              <w:rPr>
                <w:rFonts w:ascii="Times New Roman" w:eastAsia="Times New Roman" w:hAnsi="Times New Roman" w:cs="Times New Roman"/>
                <w:sz w:val="18"/>
                <w:szCs w:val="18"/>
              </w:rPr>
            </w:pPr>
          </w:p>
        </w:tc>
        <w:tc>
          <w:tcPr>
            <w:tcW w:w="5108" w:type="dxa"/>
            <w:tcBorders>
              <w:top w:val="nil"/>
              <w:left w:val="nil"/>
              <w:bottom w:val="single" w:sz="4" w:space="0" w:color="000000"/>
              <w:right w:val="single" w:sz="4" w:space="0" w:color="000000"/>
            </w:tcBorders>
            <w:vAlign w:val="center"/>
          </w:tcPr>
          <w:p w14:paraId="5A12FF6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r>
      <w:tr w:rsidR="00754172" w14:paraId="14EB3DFB" w14:textId="77777777">
        <w:trPr>
          <w:trHeight w:val="290"/>
        </w:trPr>
        <w:tc>
          <w:tcPr>
            <w:tcW w:w="2235" w:type="dxa"/>
            <w:tcBorders>
              <w:top w:val="nil"/>
              <w:left w:val="single" w:sz="4" w:space="0" w:color="000000"/>
              <w:bottom w:val="single" w:sz="4" w:space="0" w:color="000000"/>
              <w:right w:val="single" w:sz="4" w:space="0" w:color="000000"/>
            </w:tcBorders>
            <w:vAlign w:val="center"/>
          </w:tcPr>
          <w:p w14:paraId="36E7DECB"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UNLP</w:t>
            </w:r>
          </w:p>
        </w:tc>
        <w:tc>
          <w:tcPr>
            <w:tcW w:w="165" w:type="dxa"/>
            <w:tcBorders>
              <w:top w:val="nil"/>
              <w:left w:val="nil"/>
              <w:bottom w:val="single" w:sz="4" w:space="0" w:color="000000"/>
              <w:right w:val="nil"/>
            </w:tcBorders>
          </w:tcPr>
          <w:p w14:paraId="785AD57A" w14:textId="77777777" w:rsidR="00754172" w:rsidRDefault="00754172">
            <w:pPr>
              <w:spacing w:after="0" w:line="240" w:lineRule="auto"/>
              <w:jc w:val="center"/>
              <w:rPr>
                <w:rFonts w:ascii="Times New Roman" w:eastAsia="Times New Roman" w:hAnsi="Times New Roman" w:cs="Times New Roman"/>
                <w:sz w:val="18"/>
                <w:szCs w:val="18"/>
              </w:rPr>
            </w:pPr>
          </w:p>
        </w:tc>
        <w:tc>
          <w:tcPr>
            <w:tcW w:w="5108" w:type="dxa"/>
            <w:tcBorders>
              <w:top w:val="nil"/>
              <w:left w:val="nil"/>
              <w:bottom w:val="single" w:sz="4" w:space="0" w:color="000000"/>
              <w:right w:val="single" w:sz="4" w:space="0" w:color="000000"/>
            </w:tcBorders>
            <w:vAlign w:val="center"/>
          </w:tcPr>
          <w:p w14:paraId="4FBCB151"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r>
      <w:tr w:rsidR="00754172" w14:paraId="6AC353B2" w14:textId="77777777">
        <w:trPr>
          <w:trHeight w:val="290"/>
        </w:trPr>
        <w:tc>
          <w:tcPr>
            <w:tcW w:w="2235" w:type="dxa"/>
            <w:tcBorders>
              <w:top w:val="nil"/>
              <w:left w:val="single" w:sz="4" w:space="0" w:color="000000"/>
              <w:bottom w:val="single" w:sz="4" w:space="0" w:color="000000"/>
              <w:right w:val="single" w:sz="4" w:space="0" w:color="000000"/>
            </w:tcBorders>
            <w:vAlign w:val="center"/>
          </w:tcPr>
          <w:p w14:paraId="1FB57996"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UNC</w:t>
            </w:r>
          </w:p>
        </w:tc>
        <w:tc>
          <w:tcPr>
            <w:tcW w:w="165" w:type="dxa"/>
            <w:tcBorders>
              <w:top w:val="nil"/>
              <w:left w:val="nil"/>
              <w:bottom w:val="single" w:sz="4" w:space="0" w:color="000000"/>
              <w:right w:val="nil"/>
            </w:tcBorders>
          </w:tcPr>
          <w:p w14:paraId="10063A33" w14:textId="77777777" w:rsidR="00754172" w:rsidRDefault="00754172">
            <w:pPr>
              <w:spacing w:after="0" w:line="240" w:lineRule="auto"/>
              <w:jc w:val="center"/>
              <w:rPr>
                <w:rFonts w:ascii="Times New Roman" w:eastAsia="Times New Roman" w:hAnsi="Times New Roman" w:cs="Times New Roman"/>
                <w:sz w:val="18"/>
                <w:szCs w:val="18"/>
              </w:rPr>
            </w:pPr>
          </w:p>
        </w:tc>
        <w:tc>
          <w:tcPr>
            <w:tcW w:w="5108" w:type="dxa"/>
            <w:tcBorders>
              <w:top w:val="nil"/>
              <w:left w:val="nil"/>
              <w:bottom w:val="single" w:sz="4" w:space="0" w:color="000000"/>
              <w:right w:val="single" w:sz="4" w:space="0" w:color="000000"/>
            </w:tcBorders>
            <w:vAlign w:val="center"/>
          </w:tcPr>
          <w:p w14:paraId="59F36DAC"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r>
      <w:tr w:rsidR="00754172" w14:paraId="0ECEA259" w14:textId="77777777">
        <w:trPr>
          <w:trHeight w:val="290"/>
        </w:trPr>
        <w:tc>
          <w:tcPr>
            <w:tcW w:w="2235" w:type="dxa"/>
            <w:tcBorders>
              <w:top w:val="nil"/>
              <w:left w:val="single" w:sz="4" w:space="0" w:color="000000"/>
              <w:bottom w:val="single" w:sz="4" w:space="0" w:color="000000"/>
              <w:right w:val="single" w:sz="4" w:space="0" w:color="000000"/>
            </w:tcBorders>
            <w:vAlign w:val="center"/>
          </w:tcPr>
          <w:p w14:paraId="626EC94D" w14:textId="77777777" w:rsidR="00754172" w:rsidRDefault="00000000" w:rsidP="003A326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Resto de universidades (44) </w:t>
            </w:r>
          </w:p>
        </w:tc>
        <w:tc>
          <w:tcPr>
            <w:tcW w:w="165" w:type="dxa"/>
            <w:tcBorders>
              <w:top w:val="nil"/>
              <w:left w:val="nil"/>
              <w:bottom w:val="single" w:sz="4" w:space="0" w:color="000000"/>
              <w:right w:val="nil"/>
            </w:tcBorders>
          </w:tcPr>
          <w:p w14:paraId="4F2D6F8E" w14:textId="77777777" w:rsidR="00754172" w:rsidRDefault="00754172">
            <w:pPr>
              <w:spacing w:after="0" w:line="240" w:lineRule="auto"/>
              <w:jc w:val="center"/>
              <w:rPr>
                <w:rFonts w:ascii="Times New Roman" w:eastAsia="Times New Roman" w:hAnsi="Times New Roman" w:cs="Times New Roman"/>
                <w:sz w:val="18"/>
                <w:szCs w:val="18"/>
              </w:rPr>
            </w:pPr>
          </w:p>
        </w:tc>
        <w:tc>
          <w:tcPr>
            <w:tcW w:w="5108" w:type="dxa"/>
            <w:tcBorders>
              <w:top w:val="nil"/>
              <w:left w:val="nil"/>
              <w:bottom w:val="single" w:sz="4" w:space="0" w:color="000000"/>
              <w:right w:val="single" w:sz="4" w:space="0" w:color="000000"/>
            </w:tcBorders>
            <w:vAlign w:val="center"/>
          </w:tcPr>
          <w:p w14:paraId="1D1D7999" w14:textId="77777777" w:rsidR="0075417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r>
      <w:tr w:rsidR="00754172" w14:paraId="45C6D276" w14:textId="77777777">
        <w:trPr>
          <w:trHeight w:val="290"/>
        </w:trPr>
        <w:tc>
          <w:tcPr>
            <w:tcW w:w="2235" w:type="dxa"/>
            <w:tcBorders>
              <w:top w:val="nil"/>
              <w:left w:val="single" w:sz="4" w:space="0" w:color="000000"/>
              <w:bottom w:val="single" w:sz="4" w:space="0" w:color="000000"/>
              <w:right w:val="single" w:sz="4" w:space="0" w:color="000000"/>
            </w:tcBorders>
            <w:vAlign w:val="center"/>
          </w:tcPr>
          <w:p w14:paraId="2836F9EA" w14:textId="77777777" w:rsidR="00754172" w:rsidRDefault="00000000" w:rsidP="003A3267">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Total (47)</w:t>
            </w:r>
          </w:p>
        </w:tc>
        <w:tc>
          <w:tcPr>
            <w:tcW w:w="165" w:type="dxa"/>
            <w:tcBorders>
              <w:top w:val="nil"/>
              <w:left w:val="nil"/>
              <w:bottom w:val="single" w:sz="4" w:space="0" w:color="000000"/>
              <w:right w:val="nil"/>
            </w:tcBorders>
          </w:tcPr>
          <w:p w14:paraId="601E47B8" w14:textId="77777777" w:rsidR="00754172" w:rsidRDefault="00754172">
            <w:pPr>
              <w:spacing w:after="0" w:line="240" w:lineRule="auto"/>
              <w:jc w:val="center"/>
              <w:rPr>
                <w:rFonts w:ascii="Times New Roman" w:eastAsia="Times New Roman" w:hAnsi="Times New Roman" w:cs="Times New Roman"/>
                <w:b/>
                <w:bCs/>
                <w:sz w:val="18"/>
                <w:szCs w:val="18"/>
              </w:rPr>
            </w:pPr>
          </w:p>
        </w:tc>
        <w:tc>
          <w:tcPr>
            <w:tcW w:w="5108" w:type="dxa"/>
            <w:tcBorders>
              <w:top w:val="nil"/>
              <w:left w:val="nil"/>
              <w:bottom w:val="single" w:sz="4" w:space="0" w:color="000000"/>
              <w:right w:val="single" w:sz="4" w:space="0" w:color="000000"/>
            </w:tcBorders>
            <w:vAlign w:val="center"/>
          </w:tcPr>
          <w:p w14:paraId="04B24327" w14:textId="77777777" w:rsidR="00754172" w:rsidRDefault="00000000">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108</w:t>
            </w:r>
          </w:p>
        </w:tc>
      </w:tr>
    </w:tbl>
    <w:p w14:paraId="7784C18B" w14:textId="77777777" w:rsidR="00754172" w:rsidRDefault="0000000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Fuente: Elaboración propia a partir de la Base RIES.</w:t>
      </w:r>
    </w:p>
    <w:p w14:paraId="3B01F90B" w14:textId="77777777" w:rsidR="00754172" w:rsidRDefault="00754172">
      <w:pPr>
        <w:spacing w:after="0" w:line="240" w:lineRule="auto"/>
        <w:jc w:val="both"/>
        <w:rPr>
          <w:rFonts w:ascii="Arial" w:eastAsia="Arial" w:hAnsi="Arial" w:cs="Arial"/>
        </w:rPr>
      </w:pPr>
    </w:p>
    <w:p w14:paraId="55BBE519" w14:textId="77777777" w:rsidR="00754172" w:rsidRDefault="00754172">
      <w:pPr>
        <w:spacing w:line="276" w:lineRule="auto"/>
        <w:jc w:val="both"/>
        <w:rPr>
          <w:rFonts w:ascii="Times New Roman" w:eastAsia="Times New Roman" w:hAnsi="Times New Roman" w:cs="Times New Roman"/>
          <w:b/>
          <w:bCs/>
        </w:rPr>
      </w:pPr>
    </w:p>
    <w:p w14:paraId="2450E293" w14:textId="77777777" w:rsidR="00754172" w:rsidRDefault="00000000">
      <w:pPr>
        <w:spacing w:line="276" w:lineRule="auto"/>
        <w:jc w:val="both"/>
        <w:rPr>
          <w:rFonts w:ascii="Times New Roman" w:eastAsia="Times New Roman" w:hAnsi="Times New Roman" w:cs="Times New Roman"/>
          <w:b/>
          <w:bCs/>
        </w:rPr>
      </w:pPr>
      <w:r>
        <w:rPr>
          <w:rFonts w:ascii="Times New Roman" w:eastAsia="Times New Roman" w:hAnsi="Times New Roman" w:cs="Times New Roman"/>
          <w:b/>
          <w:bCs/>
        </w:rPr>
        <w:t>La Base RIES como lente para mapear y analizar el campo de producción científica</w:t>
      </w:r>
    </w:p>
    <w:p w14:paraId="4E10E9DC" w14:textId="77777777" w:rsidR="00754172"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Como se presentó, la Base es tanto un resultado de un proceso de acumulación científica como un dispositivo interno del campo científico que interviene en ese campo de modo productivo, reflexivo y performativo (Fuentes, 2021). Convergen así una serie de procesos que caracterizan a la educación secundaria, al campo universitario y científico y de la producción de conocimiento de la Argentina en los últimos 20 años. Puntualmente:</w:t>
      </w:r>
    </w:p>
    <w:p w14:paraId="79E86932" w14:textId="77777777" w:rsidR="00754172" w:rsidRDefault="00000000">
      <w:pPr>
        <w:numPr>
          <w:ilvl w:val="0"/>
          <w:numId w:val="2"/>
        </w:numPr>
        <w:spacing w:after="0" w:line="276" w:lineRule="auto"/>
        <w:jc w:val="both"/>
        <w:rPr>
          <w:rFonts w:ascii="Times New Roman" w:eastAsia="Times New Roman" w:hAnsi="Times New Roman" w:cs="Times New Roman"/>
        </w:rPr>
      </w:pPr>
      <w:r>
        <w:rPr>
          <w:rFonts w:ascii="Times New Roman" w:eastAsia="Times New Roman" w:hAnsi="Times New Roman" w:cs="Times New Roman"/>
          <w:i/>
          <w:iCs/>
        </w:rPr>
        <w:t>La educación secundaria como problema público de relevancia:</w:t>
      </w:r>
      <w:r>
        <w:rPr>
          <w:rFonts w:ascii="Times New Roman" w:eastAsia="Times New Roman" w:hAnsi="Times New Roman" w:cs="Times New Roman"/>
        </w:rPr>
        <w:t xml:space="preserve"> converge aquí 1) la preocupación por la escolarización de las juventudes -desde el contexto de salida de la crisis social, política y educativa de 2001 en adelante- hasta la cuestión de la socialización de los/as jóvenes y las limitaciones del nivel para “incluir” a todos/as. Ya en los inicios del nuevo milenio la “contención” de adolescentes y jóvenes conformaba un problema público presente en la agenda mediática y política; 2) la ampliación de la obligatoriedad de la educación en Argentina que se realiza en la Ley de Educación Nacional de 2006 mediante la conformación del nivel secundario completo como mandatorio, con las consiguientes regulaciones tendientes a ampliar y diversificar la oferta, modificar la organización del nivel, etc.; 3) el aporte específico de numerosos actores, incluyendo allí al campo académico y el de los y las investigadores/as que contribuyen a la agenda pública identificando los problemas y desafíos del nivel. </w:t>
      </w:r>
    </w:p>
    <w:p w14:paraId="64189FEB" w14:textId="77777777" w:rsidR="00754172" w:rsidRDefault="00000000">
      <w:pPr>
        <w:numPr>
          <w:ilvl w:val="0"/>
          <w:numId w:val="2"/>
        </w:numPr>
        <w:spacing w:after="0" w:line="276" w:lineRule="auto"/>
        <w:jc w:val="both"/>
        <w:rPr>
          <w:rFonts w:ascii="Times New Roman" w:eastAsia="Times New Roman" w:hAnsi="Times New Roman" w:cs="Times New Roman"/>
        </w:rPr>
      </w:pPr>
      <w:r>
        <w:rPr>
          <w:rFonts w:ascii="Times New Roman" w:eastAsia="Times New Roman" w:hAnsi="Times New Roman" w:cs="Times New Roman"/>
          <w:i/>
          <w:iCs/>
        </w:rPr>
        <w:t>El campo universitario</w:t>
      </w:r>
      <w:r>
        <w:rPr>
          <w:rFonts w:ascii="Times New Roman" w:eastAsia="Times New Roman" w:hAnsi="Times New Roman" w:cs="Times New Roman"/>
        </w:rPr>
        <w:t xml:space="preserve">, desde la salida de aquella crisis, se consolidó y expandió de manera sostenida, al menos hasta 2015. Nos referimos aquí a una expansión institucional -entre la creación de nuevas universidades públicas, nacionales y provinciales-, en la matrícula, en la cantidad de docentes y de equipos/proyectos de investigación. Esa expansión se despliega con puntos de conexión sobre la agenda del nivel secundario: para las universidades públicas, específicamente, el nivel secundario es tanto un objeto de investigación como de articulación, extensión y transferencia. Articulación en cuanto las universidades estatales desarrollan múltiples iniciativas para favorecer la continuidad de los estudios de graduados/as del nivel secundario, extensión en cuanto el crecimiento de los proyectos de este tipo (Mato, 2015) desde 2008 en adelante recibió impulso mediante programas específicos (como el de Voluntariado Universitario, luego Compromiso Social Universitario, por parte de la SPU). Muchos de estos programas se desarrollaron en articulación con escuelas de nivel secundario ubicadas en los “territorios” de las universidades. Transferencia en cuanto lo producido en proyectos de investigación y/o de extensión tiene a las escuelas secundaria como actor, contraparte o destinatario (producción de materiales pedagógicos, campañas de sensibilización, de promoción de la salud, etc.). El crecimiento/expansión del nivel universitario tiene a la concurrente expansión del nivel secundario como protagonista. </w:t>
      </w:r>
    </w:p>
    <w:p w14:paraId="1FBBE4D9" w14:textId="77777777" w:rsidR="00754172" w:rsidRDefault="00000000">
      <w:pPr>
        <w:numPr>
          <w:ilvl w:val="0"/>
          <w:numId w:val="2"/>
        </w:numPr>
        <w:spacing w:after="0" w:line="276" w:lineRule="auto"/>
        <w:jc w:val="both"/>
        <w:rPr>
          <w:rFonts w:ascii="Times New Roman" w:eastAsia="Times New Roman" w:hAnsi="Times New Roman" w:cs="Times New Roman"/>
        </w:rPr>
      </w:pPr>
      <w:r>
        <w:rPr>
          <w:rFonts w:ascii="Times New Roman" w:eastAsia="Times New Roman" w:hAnsi="Times New Roman" w:cs="Times New Roman"/>
          <w:i/>
          <w:iCs/>
        </w:rPr>
        <w:lastRenderedPageBreak/>
        <w:t>El campo propiamente científico</w:t>
      </w:r>
      <w:r>
        <w:rPr>
          <w:rFonts w:ascii="Times New Roman" w:eastAsia="Times New Roman" w:hAnsi="Times New Roman" w:cs="Times New Roman"/>
        </w:rPr>
        <w:t xml:space="preserve">. Aunque está intrínsecamente vinculado al sistema universitario, las lógicas del campo científico poseen su especificidad y contribuyen a la comprensión de lo que muestra la Base RIES y sobre la que ella interviene. La expansión universitaria también fue una expansión del sistema científico entre 2004 y 2015, sobre todo, dada por un mayor financiamiento a la investigación científica -del CONICET, de la Agencia Nacional, de las universidades y otros organismos-, la consolidación de equipos de investigación y en ocasiones de programas de investigación sostenidos mayormente hasta 2023, a través del financiamiento para proyectos y personal, la mayor “profesionalización” del campo y a su vez la estandarización de los modos de comunicación y conformación de una comunidades científicas; la introducción de lógicas y políticas científicas como las de acceso abierto a la producción científica sostenida con recursos públicos, la creación de repositorios institucionales, entre otras. Todo ello incidió en el crecimiento y consolidación de equipos de investigación sobre educación secundaria en el período indicado. </w:t>
      </w:r>
    </w:p>
    <w:p w14:paraId="06471095" w14:textId="77777777" w:rsidR="00754172" w:rsidRDefault="00000000">
      <w:pPr>
        <w:numPr>
          <w:ilvl w:val="0"/>
          <w:numId w:val="2"/>
        </w:numPr>
        <w:spacing w:line="276" w:lineRule="auto"/>
        <w:jc w:val="both"/>
        <w:rPr>
          <w:rFonts w:ascii="Times New Roman" w:eastAsia="Times New Roman" w:hAnsi="Times New Roman" w:cs="Times New Roman"/>
        </w:rPr>
      </w:pPr>
      <w:r>
        <w:rPr>
          <w:rFonts w:ascii="Times New Roman" w:eastAsia="Times New Roman" w:hAnsi="Times New Roman" w:cs="Times New Roman"/>
          <w:i/>
          <w:iCs/>
        </w:rPr>
        <w:t>Los agentes productores de conocimiento</w:t>
      </w:r>
      <w:r>
        <w:rPr>
          <w:rFonts w:ascii="Times New Roman" w:eastAsia="Times New Roman" w:hAnsi="Times New Roman" w:cs="Times New Roman"/>
        </w:rPr>
        <w:t xml:space="preserve">. Además del sistema universitario-científico, desde la década de los 90 emerge y luego se consolida un perfil de actores que inciden en la discusión pública mediante la producción de estudios y análisis más específicos, de menor duración y con mayor impacto en la agenda pública (Suasnábar </w:t>
      </w:r>
      <w:r>
        <w:rPr>
          <w:rFonts w:ascii="Times New Roman" w:eastAsia="Times New Roman" w:hAnsi="Times New Roman" w:cs="Times New Roman"/>
          <w:i/>
          <w:iCs/>
        </w:rPr>
        <w:t>et al.</w:t>
      </w:r>
      <w:r>
        <w:rPr>
          <w:rFonts w:ascii="Times New Roman" w:eastAsia="Times New Roman" w:hAnsi="Times New Roman" w:cs="Times New Roman"/>
        </w:rPr>
        <w:t xml:space="preserve">, 2007). Se trata por lo general de fundaciones que siguen el modelo de </w:t>
      </w:r>
      <w:proofErr w:type="spellStart"/>
      <w:r>
        <w:rPr>
          <w:rFonts w:ascii="Times New Roman" w:eastAsia="Times New Roman" w:hAnsi="Times New Roman" w:cs="Times New Roman"/>
          <w:i/>
          <w:iCs/>
        </w:rPr>
        <w:t>think</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tanks</w:t>
      </w:r>
      <w:proofErr w:type="spellEnd"/>
      <w:r>
        <w:rPr>
          <w:rFonts w:ascii="Times New Roman" w:eastAsia="Times New Roman" w:hAnsi="Times New Roman" w:cs="Times New Roman"/>
        </w:rPr>
        <w:t>, además de organismos de crédito y/o cooperación. Estos agentes también intervienen en la agenda pública sobre educación secundaria.</w:t>
      </w:r>
    </w:p>
    <w:p w14:paraId="6F53DCFF" w14:textId="77777777" w:rsidR="00754172"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Esta conjunción de actores, campos y agendas se expresa en la Base RIES, ya que en su conformación fueron tenidos en cuenta. El crecimiento de la Base también se explica por la especificidad del campo universitario, cuyo crecimiento o expansión es una de las palancas que explican el volumen de la información reunida en el repositorio. También se identifican lógicas específicas de las universidades públicas en la Base, que hablan tanto de las universidades como del nivel secundario y sus diferencias regionales o temáticas. El lugar preeminente de las universidades estatales en la producción de conocimiento se sostiene en todos los temas indagados en la Base, con composiciones regionales e institucionales diferenciales.</w:t>
      </w:r>
    </w:p>
    <w:p w14:paraId="7F521DAA" w14:textId="77777777" w:rsidR="00754172" w:rsidRDefault="00754172">
      <w:pPr>
        <w:spacing w:line="240" w:lineRule="auto"/>
        <w:rPr>
          <w:rFonts w:ascii="Times New Roman" w:eastAsia="Times New Roman" w:hAnsi="Times New Roman" w:cs="Times New Roman"/>
        </w:rPr>
      </w:pPr>
    </w:p>
    <w:p w14:paraId="0C490CDB" w14:textId="77777777" w:rsidR="00754172"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Conclusiones</w:t>
      </w:r>
    </w:p>
    <w:p w14:paraId="697ED80A" w14:textId="77777777" w:rsidR="00754172"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La ponencia propuesta presenta la producción de conocimiento sobre la educación secundaria en Argentina entre los años 2003 y 2021 intrínsecamente ligada a las dinámicas de la agenda pública y a los procesos de expansión de los sistemas universitario y científico. Las universidades estatales se erigen como las principales agencias productoras del campo, manifestando un pico de productividad entre 2007 y 2014 </w:t>
      </w:r>
      <w:r>
        <w:rPr>
          <w:rFonts w:ascii="Times New Roman" w:eastAsia="Times New Roman" w:hAnsi="Times New Roman" w:cs="Times New Roman"/>
        </w:rPr>
        <w:lastRenderedPageBreak/>
        <w:t>(Pinkasz, 2026) que coincide de manera directa con las transformaciones normativas y las políticas de obligatoriedad del nivel medio. No obstante, esta concentración del conocimiento reproduce los desequilibrios regionales históricos del país, evidenciando una marcada centralización de los proyectos y las publicaciones en las instituciones de la región centro y en las llamadas universidades históricas.</w:t>
      </w:r>
    </w:p>
    <w:p w14:paraId="4232F776" w14:textId="77777777" w:rsidR="00754172"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Asimismo, el examen de los ejes temáticos revela una particular articulación entre la lógica disciplinar y el campo de organización del poder más amplio. Por un lado, el tópico orientado a la "Enseñanza, aprendizaje y </w:t>
      </w:r>
      <w:proofErr w:type="spellStart"/>
      <w:r>
        <w:rPr>
          <w:rFonts w:ascii="Times New Roman" w:eastAsia="Times New Roman" w:hAnsi="Times New Roman" w:cs="Times New Roman"/>
        </w:rPr>
        <w:t>curriculum</w:t>
      </w:r>
      <w:proofErr w:type="spellEnd"/>
      <w:r>
        <w:rPr>
          <w:rFonts w:ascii="Times New Roman" w:eastAsia="Times New Roman" w:hAnsi="Times New Roman" w:cs="Times New Roman"/>
        </w:rPr>
        <w:t xml:space="preserve">" exhibe una mayor dispersión y federalización en el territorio nacional debido a la amplia distribución de cátedras y equipos locales especializados en áreas curriculares básicas y didácticas específicas, o la conformación de equipos más estables, con programas de investigación y formación en áreas pedagógicas o disciplinas didácticas específicas. Por el otro, las investigaciones referidas a las "Políticas educativas" y la "Desigualdad educativa" muestran una concentración geográfica más densa, fuertemente vinculada al Área Metropolitana de Buenos Aires (AMBA), donde la discusión e interpretación de la agenda pública —marcadamente </w:t>
      </w:r>
      <w:proofErr w:type="spellStart"/>
      <w:r>
        <w:rPr>
          <w:rFonts w:ascii="Times New Roman" w:eastAsia="Times New Roman" w:hAnsi="Times New Roman" w:cs="Times New Roman"/>
        </w:rPr>
        <w:t>porteñocéntrica</w:t>
      </w:r>
      <w:proofErr w:type="spellEnd"/>
      <w:r>
        <w:rPr>
          <w:rFonts w:ascii="Times New Roman" w:eastAsia="Times New Roman" w:hAnsi="Times New Roman" w:cs="Times New Roman"/>
        </w:rPr>
        <w:t xml:space="preserve">— convive y disputa sentidos con otros actores emergentes como los </w:t>
      </w:r>
      <w:proofErr w:type="spellStart"/>
      <w:r>
        <w:rPr>
          <w:rFonts w:ascii="Times New Roman" w:eastAsia="Times New Roman" w:hAnsi="Times New Roman" w:cs="Times New Roman"/>
          <w:i/>
          <w:iCs/>
        </w:rPr>
        <w:t>think</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tanks</w:t>
      </w:r>
      <w:proofErr w:type="spellEnd"/>
      <w:r>
        <w:rPr>
          <w:rFonts w:ascii="Times New Roman" w:eastAsia="Times New Roman" w:hAnsi="Times New Roman" w:cs="Times New Roman"/>
        </w:rPr>
        <w:t>, fundaciones y organismos de cooperación.</w:t>
      </w:r>
    </w:p>
    <w:p w14:paraId="384C3F10" w14:textId="77777777" w:rsidR="00754172"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Finalmente, el estudio posiciona a la Base RIES no solo como un repositorio de acumulación científica, sino como un dispositivo performativo y reflexivo capaz de mapear integralmente un campo fragmentado. Al integrar diversos formatos con base empírica e incorporar actores que producen conocimiento por fuera del ámbito académico, el dispositivo funciona como un lente que promueve nuevas evidencias y estados del arte para el nivel secundario. El trabajo se propuesto generar un análisis de para aportar insumos para identificar cómo las universidades estatales argentinas producen, territorializan y transfieren saberes frente a las problemáticas y desafíos de las juventudes y la escolarización contemporánea.</w:t>
      </w:r>
    </w:p>
    <w:p w14:paraId="601C1071" w14:textId="77777777" w:rsidR="00754172" w:rsidRDefault="00754172">
      <w:pPr>
        <w:spacing w:line="240" w:lineRule="auto"/>
        <w:rPr>
          <w:rFonts w:ascii="Times New Roman" w:eastAsia="Times New Roman" w:hAnsi="Times New Roman" w:cs="Times New Roman"/>
          <w:b/>
          <w:bCs/>
        </w:rPr>
      </w:pPr>
    </w:p>
    <w:p w14:paraId="2FAFB1C4" w14:textId="77777777" w:rsidR="00754172" w:rsidRPr="003A3267" w:rsidRDefault="00000000">
      <w:pPr>
        <w:spacing w:line="240" w:lineRule="auto"/>
        <w:rPr>
          <w:rFonts w:ascii="Times New Roman" w:eastAsia="Times New Roman" w:hAnsi="Times New Roman" w:cs="Times New Roman"/>
          <w:b/>
          <w:bCs/>
          <w:lang w:val="pt-BR"/>
        </w:rPr>
      </w:pPr>
      <w:proofErr w:type="spellStart"/>
      <w:r w:rsidRPr="003A3267">
        <w:rPr>
          <w:rFonts w:ascii="Times New Roman" w:eastAsia="Times New Roman" w:hAnsi="Times New Roman" w:cs="Times New Roman"/>
          <w:b/>
          <w:bCs/>
          <w:lang w:val="pt-BR"/>
        </w:rPr>
        <w:t>Referencias</w:t>
      </w:r>
      <w:proofErr w:type="spellEnd"/>
      <w:r w:rsidRPr="003A3267">
        <w:rPr>
          <w:rFonts w:ascii="Times New Roman" w:eastAsia="Times New Roman" w:hAnsi="Times New Roman" w:cs="Times New Roman"/>
          <w:b/>
          <w:bCs/>
          <w:lang w:val="pt-BR"/>
        </w:rPr>
        <w:t xml:space="preserve"> bibliográficas</w:t>
      </w:r>
    </w:p>
    <w:p w14:paraId="02438991" w14:textId="77777777" w:rsidR="00754172" w:rsidRDefault="00000000">
      <w:pPr>
        <w:pBdr>
          <w:top w:val="nil"/>
          <w:left w:val="nil"/>
          <w:bottom w:val="nil"/>
          <w:right w:val="nil"/>
          <w:between w:val="nil"/>
        </w:pBdr>
        <w:spacing w:line="240" w:lineRule="auto"/>
        <w:jc w:val="both"/>
        <w:rPr>
          <w:rFonts w:ascii="Times New Roman" w:eastAsia="Times New Roman" w:hAnsi="Times New Roman" w:cs="Times New Roman"/>
        </w:rPr>
      </w:pPr>
      <w:r w:rsidRPr="003A3267">
        <w:rPr>
          <w:rFonts w:ascii="Times New Roman" w:eastAsia="Times New Roman" w:hAnsi="Times New Roman" w:cs="Times New Roman"/>
          <w:lang w:val="pt-BR"/>
        </w:rPr>
        <w:t xml:space="preserve">Acosta F., Fernández, S &amp; Álvarez, M. (2020). </w:t>
      </w:r>
      <w:r>
        <w:rPr>
          <w:rFonts w:ascii="Times New Roman" w:eastAsia="Times New Roman" w:hAnsi="Times New Roman" w:cs="Times New Roman"/>
          <w:i/>
          <w:iCs/>
        </w:rPr>
        <w:t>“Entre la expansión y el modelo institucional de la escuela secundaria: estado de la investigación y formas de construir un objeto de estudio”</w:t>
      </w:r>
      <w:r>
        <w:rPr>
          <w:rFonts w:ascii="Times New Roman" w:eastAsia="Times New Roman" w:hAnsi="Times New Roman" w:cs="Times New Roman"/>
        </w:rPr>
        <w:t xml:space="preserve">, en </w:t>
      </w:r>
      <w:proofErr w:type="spellStart"/>
      <w:r>
        <w:rPr>
          <w:rFonts w:ascii="Times New Roman" w:eastAsia="Times New Roman" w:hAnsi="Times New Roman" w:cs="Times New Roman"/>
        </w:rPr>
        <w:t>Pinkasz</w:t>
      </w:r>
      <w:proofErr w:type="spellEnd"/>
      <w:r>
        <w:rPr>
          <w:rFonts w:ascii="Times New Roman" w:eastAsia="Times New Roman" w:hAnsi="Times New Roman" w:cs="Times New Roman"/>
        </w:rPr>
        <w:t>, D &amp; Montes, N. (</w:t>
      </w:r>
      <w:proofErr w:type="spellStart"/>
      <w:r>
        <w:rPr>
          <w:rFonts w:ascii="Times New Roman" w:eastAsia="Times New Roman" w:hAnsi="Times New Roman" w:cs="Times New Roman"/>
        </w:rPr>
        <w:t>Comps</w:t>
      </w:r>
      <w:proofErr w:type="spellEnd"/>
      <w:r>
        <w:rPr>
          <w:rFonts w:ascii="Times New Roman" w:eastAsia="Times New Roman" w:hAnsi="Times New Roman" w:cs="Times New Roman"/>
        </w:rPr>
        <w:t>.). Estados del arte sobre educación secundaria. La producción académica de los últimos 15 años en torno a tópicos relevantes. Universidad Nacional de General Sarmiento - FLACSO.</w:t>
      </w:r>
    </w:p>
    <w:p w14:paraId="74013F96" w14:textId="77777777" w:rsidR="00754172" w:rsidRDefault="0000000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Cardini, A. (2018). </w:t>
      </w:r>
      <w:r>
        <w:rPr>
          <w:rFonts w:ascii="Times New Roman" w:eastAsia="Times New Roman" w:hAnsi="Times New Roman" w:cs="Times New Roman"/>
          <w:i/>
          <w:iCs/>
        </w:rPr>
        <w:t>Política e investigación en Argentina: la demanda del Estado y la producción de conocimiento en educación</w:t>
      </w:r>
      <w:r>
        <w:rPr>
          <w:rFonts w:ascii="Times New Roman" w:eastAsia="Times New Roman" w:hAnsi="Times New Roman" w:cs="Times New Roman"/>
        </w:rPr>
        <w:t>. Teseo - Universidad Abierta Interamericana.</w:t>
      </w:r>
    </w:p>
    <w:p w14:paraId="6EF15B5F" w14:textId="77777777" w:rsidR="00754172" w:rsidRDefault="0000000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Fuentes, S. (2021). </w:t>
      </w:r>
      <w:r>
        <w:rPr>
          <w:rFonts w:ascii="Times New Roman" w:eastAsia="Times New Roman" w:hAnsi="Times New Roman" w:cs="Times New Roman"/>
          <w:i/>
          <w:iCs/>
        </w:rPr>
        <w:t>El conocimiento sobre la educación secundaria en la Argentina: la Base RIES como lente e intervención en el campo</w:t>
      </w:r>
      <w:r>
        <w:rPr>
          <w:rFonts w:ascii="Times New Roman" w:eastAsia="Times New Roman" w:hAnsi="Times New Roman" w:cs="Times New Roman"/>
        </w:rPr>
        <w:t xml:space="preserve">, en Revista del IICE </w:t>
      </w:r>
      <w:proofErr w:type="spellStart"/>
      <w:r>
        <w:rPr>
          <w:rFonts w:ascii="Times New Roman" w:eastAsia="Times New Roman" w:hAnsi="Times New Roman" w:cs="Times New Roman"/>
        </w:rPr>
        <w:t>Nº</w:t>
      </w:r>
      <w:proofErr w:type="spellEnd"/>
      <w:r>
        <w:rPr>
          <w:rFonts w:ascii="Times New Roman" w:eastAsia="Times New Roman" w:hAnsi="Times New Roman" w:cs="Times New Roman"/>
        </w:rPr>
        <w:t xml:space="preserve"> 50, pp. 25-40. </w:t>
      </w:r>
      <w:r>
        <w:rPr>
          <w:rFonts w:ascii="Times New Roman" w:eastAsia="Times New Roman" w:hAnsi="Times New Roman" w:cs="Times New Roman"/>
        </w:rPr>
        <w:lastRenderedPageBreak/>
        <w:t xml:space="preserve">Instituto de Investigaciones en Ciencias de la Educación, Facultad de Filosofía y Letras, Universidad de Buenos Aires. </w:t>
      </w:r>
    </w:p>
    <w:p w14:paraId="3C4B426C" w14:textId="77777777" w:rsidR="00754172" w:rsidRDefault="0000000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Mato, D. (2015). Vinculación social universitaria en Argentina. Diversidad de orientaciones de trabajo, logros y dificultades de las experiencias apoyadas por el Programa Nacional de Voluntariado Universitario. </w:t>
      </w:r>
      <w:r>
        <w:rPr>
          <w:rFonts w:ascii="Times New Roman" w:eastAsia="Times New Roman" w:hAnsi="Times New Roman" w:cs="Times New Roman"/>
          <w:i/>
          <w:iCs/>
        </w:rPr>
        <w:t>CPU-e, Revista de Investigación Educativa</w:t>
      </w:r>
      <w:r>
        <w:rPr>
          <w:rFonts w:ascii="Times New Roman" w:eastAsia="Times New Roman" w:hAnsi="Times New Roman" w:cs="Times New Roman"/>
        </w:rPr>
        <w:t xml:space="preserve">, </w:t>
      </w:r>
      <w:r>
        <w:rPr>
          <w:rFonts w:ascii="Times New Roman" w:eastAsia="Times New Roman" w:hAnsi="Times New Roman" w:cs="Times New Roman"/>
          <w:i/>
          <w:iCs/>
        </w:rPr>
        <w:t>1</w:t>
      </w:r>
      <w:r>
        <w:rPr>
          <w:rFonts w:ascii="Times New Roman" w:eastAsia="Times New Roman" w:hAnsi="Times New Roman" w:cs="Times New Roman"/>
        </w:rPr>
        <w:t>(20), 131-149.</w:t>
      </w:r>
    </w:p>
    <w:p w14:paraId="2E400D44" w14:textId="77777777" w:rsidR="00754172" w:rsidRDefault="0000000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Montes, N. (2013). </w:t>
      </w:r>
      <w:r>
        <w:rPr>
          <w:rFonts w:ascii="Times New Roman" w:eastAsia="Times New Roman" w:hAnsi="Times New Roman" w:cs="Times New Roman"/>
          <w:i/>
          <w:iCs/>
        </w:rPr>
        <w:t>I Reunión Científica “La investigación sobre educación secundaria en la Argentina en la última década”</w:t>
      </w:r>
      <w:r>
        <w:rPr>
          <w:rFonts w:ascii="Times New Roman" w:eastAsia="Times New Roman" w:hAnsi="Times New Roman" w:cs="Times New Roman"/>
        </w:rPr>
        <w:t xml:space="preserve">, en revista Propuesta Educativa, núm. 39, pp. 98-99. Facultad Latinoamericana de Ciencias Sociales. </w:t>
      </w:r>
    </w:p>
    <w:p w14:paraId="6A49AFFC" w14:textId="77777777" w:rsidR="00754172" w:rsidRDefault="00000000">
      <w:pPr>
        <w:pBdr>
          <w:top w:val="nil"/>
          <w:left w:val="nil"/>
          <w:bottom w:val="nil"/>
          <w:right w:val="nil"/>
          <w:between w:val="nil"/>
        </w:pBd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Palamidessi</w:t>
      </w:r>
      <w:proofErr w:type="spellEnd"/>
      <w:r>
        <w:rPr>
          <w:rFonts w:ascii="Times New Roman" w:eastAsia="Times New Roman" w:hAnsi="Times New Roman" w:cs="Times New Roman"/>
        </w:rPr>
        <w:t>, M., Suasnábar, C. y Galarza, D. (</w:t>
      </w:r>
      <w:proofErr w:type="spellStart"/>
      <w:r>
        <w:rPr>
          <w:rFonts w:ascii="Times New Roman" w:eastAsia="Times New Roman" w:hAnsi="Times New Roman" w:cs="Times New Roman"/>
        </w:rPr>
        <w:t>Comps</w:t>
      </w:r>
      <w:proofErr w:type="spellEnd"/>
      <w:r>
        <w:rPr>
          <w:rFonts w:ascii="Times New Roman" w:eastAsia="Times New Roman" w:hAnsi="Times New Roman" w:cs="Times New Roman"/>
        </w:rPr>
        <w:t xml:space="preserve">.) (2007). </w:t>
      </w:r>
      <w:r>
        <w:rPr>
          <w:rFonts w:ascii="Times New Roman" w:eastAsia="Times New Roman" w:hAnsi="Times New Roman" w:cs="Times New Roman"/>
          <w:i/>
          <w:iCs/>
        </w:rPr>
        <w:t>Educación, conocimiento y política</w:t>
      </w:r>
      <w:r>
        <w:rPr>
          <w:rFonts w:ascii="Times New Roman" w:eastAsia="Times New Roman" w:hAnsi="Times New Roman" w:cs="Times New Roman"/>
        </w:rPr>
        <w:t>. Argentina 1983-2003. FLACSO Manantial.</w:t>
      </w:r>
    </w:p>
    <w:p w14:paraId="27F13EEC" w14:textId="77777777" w:rsidR="00754172" w:rsidRDefault="0000000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Pinkasz, D. &amp; Montes, N. (</w:t>
      </w:r>
      <w:proofErr w:type="spellStart"/>
      <w:r>
        <w:rPr>
          <w:rFonts w:ascii="Times New Roman" w:eastAsia="Times New Roman" w:hAnsi="Times New Roman" w:cs="Times New Roman"/>
        </w:rPr>
        <w:t>comps</w:t>
      </w:r>
      <w:proofErr w:type="spellEnd"/>
      <w:r>
        <w:rPr>
          <w:rFonts w:ascii="Times New Roman" w:eastAsia="Times New Roman" w:hAnsi="Times New Roman" w:cs="Times New Roman"/>
        </w:rPr>
        <w:t xml:space="preserve">.) (2020). </w:t>
      </w:r>
      <w:r>
        <w:rPr>
          <w:rFonts w:ascii="Times New Roman" w:eastAsia="Times New Roman" w:hAnsi="Times New Roman" w:cs="Times New Roman"/>
          <w:i/>
          <w:iCs/>
        </w:rPr>
        <w:t>Estados del arte sobre educación secundaria: La producción académica de los últimos 15 años en torno a tópicos relevantes</w:t>
      </w:r>
      <w:r>
        <w:rPr>
          <w:rFonts w:ascii="Times New Roman" w:eastAsia="Times New Roman" w:hAnsi="Times New Roman" w:cs="Times New Roman"/>
        </w:rPr>
        <w:t>. Universidad Nacional de General Sarmiento/FLACSO.</w:t>
      </w:r>
    </w:p>
    <w:p w14:paraId="6D07BE8C" w14:textId="77777777" w:rsidR="00754172" w:rsidRDefault="0000000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Pinkasz, D. (2026). </w:t>
      </w:r>
      <w:r>
        <w:rPr>
          <w:rFonts w:ascii="Times New Roman" w:eastAsia="Times New Roman" w:hAnsi="Times New Roman" w:cs="Times New Roman"/>
          <w:i/>
          <w:iCs/>
        </w:rPr>
        <w:t>Un panorama cuantitativo de la producción de conocimiento sobre educación secundaria en la Argentina (2003 - 2021) a partir del repositorio RIES</w:t>
      </w:r>
      <w:r>
        <w:rPr>
          <w:rFonts w:ascii="Times New Roman" w:eastAsia="Times New Roman" w:hAnsi="Times New Roman" w:cs="Times New Roman"/>
        </w:rPr>
        <w:t>, en Suasnábar, C. (</w:t>
      </w:r>
      <w:proofErr w:type="spellStart"/>
      <w:r>
        <w:rPr>
          <w:rFonts w:ascii="Times New Roman" w:eastAsia="Times New Roman" w:hAnsi="Times New Roman" w:cs="Times New Roman"/>
        </w:rPr>
        <w:t>comp.</w:t>
      </w:r>
      <w:proofErr w:type="spellEnd"/>
      <w:r>
        <w:rPr>
          <w:rFonts w:ascii="Times New Roman" w:eastAsia="Times New Roman" w:hAnsi="Times New Roman" w:cs="Times New Roman"/>
        </w:rPr>
        <w:t>). La investigación educativa en Argentina: qué y cómo se investiga en cinco áreas de conocimiento. Imago Mundi.</w:t>
      </w:r>
    </w:p>
    <w:p w14:paraId="5D25E064" w14:textId="77777777" w:rsidR="00754172" w:rsidRDefault="0000000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Steinberg, C., Pinkasz, D. &amp; Montes, N. (2018). </w:t>
      </w:r>
      <w:r>
        <w:rPr>
          <w:rFonts w:ascii="Times New Roman" w:eastAsia="Times New Roman" w:hAnsi="Times New Roman" w:cs="Times New Roman"/>
          <w:i/>
          <w:iCs/>
        </w:rPr>
        <w:t xml:space="preserve">La Investigación de la enseñanza </w:t>
      </w:r>
      <w:proofErr w:type="spellStart"/>
      <w:r>
        <w:rPr>
          <w:rFonts w:ascii="Times New Roman" w:eastAsia="Times New Roman" w:hAnsi="Times New Roman" w:cs="Times New Roman"/>
          <w:i/>
          <w:iCs/>
        </w:rPr>
        <w:t>enseñanza</w:t>
      </w:r>
      <w:proofErr w:type="spellEnd"/>
      <w:r>
        <w:rPr>
          <w:rFonts w:ascii="Times New Roman" w:eastAsia="Times New Roman" w:hAnsi="Times New Roman" w:cs="Times New Roman"/>
          <w:i/>
          <w:iCs/>
        </w:rPr>
        <w:t xml:space="preserve"> de Lengua </w:t>
      </w:r>
      <w:proofErr w:type="spellStart"/>
      <w:r>
        <w:rPr>
          <w:rFonts w:ascii="Times New Roman" w:eastAsia="Times New Roman" w:hAnsi="Times New Roman" w:cs="Times New Roman"/>
          <w:i/>
          <w:iCs/>
        </w:rPr>
        <w:t>Lengua</w:t>
      </w:r>
      <w:proofErr w:type="spellEnd"/>
      <w:r>
        <w:rPr>
          <w:rFonts w:ascii="Times New Roman" w:eastAsia="Times New Roman" w:hAnsi="Times New Roman" w:cs="Times New Roman"/>
          <w:i/>
          <w:iCs/>
        </w:rPr>
        <w:t xml:space="preserve"> y Matemática en la escuela secundaria en Argentina. </w:t>
      </w:r>
      <w:r>
        <w:rPr>
          <w:rFonts w:ascii="Times New Roman" w:eastAsia="Times New Roman" w:hAnsi="Times New Roman" w:cs="Times New Roman"/>
        </w:rPr>
        <w:t xml:space="preserve">UNICEF-FLACSO.  </w:t>
      </w:r>
    </w:p>
    <w:p w14:paraId="111E4CF3" w14:textId="77777777" w:rsidR="00754172" w:rsidRDefault="00000000">
      <w:pPr>
        <w:pBdr>
          <w:top w:val="nil"/>
          <w:left w:val="nil"/>
          <w:bottom w:val="nil"/>
          <w:right w:val="nil"/>
          <w:between w:val="nil"/>
        </w:pBd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Tiramonti</w:t>
      </w:r>
      <w:proofErr w:type="spellEnd"/>
      <w:r>
        <w:rPr>
          <w:rFonts w:ascii="Times New Roman" w:eastAsia="Times New Roman" w:hAnsi="Times New Roman" w:cs="Times New Roman"/>
        </w:rPr>
        <w:t>, G. &amp; Fuentes, S. (2012). </w:t>
      </w:r>
      <w:r>
        <w:rPr>
          <w:rFonts w:ascii="Times New Roman" w:eastAsia="Times New Roman" w:hAnsi="Times New Roman" w:cs="Times New Roman"/>
          <w:i/>
          <w:iCs/>
        </w:rPr>
        <w:t>La educación media en la agencia de investigación nacional.</w:t>
      </w:r>
      <w:r>
        <w:rPr>
          <w:rFonts w:ascii="Times New Roman" w:eastAsia="Times New Roman" w:hAnsi="Times New Roman" w:cs="Times New Roman"/>
        </w:rPr>
        <w:t xml:space="preserve"> En Southwell, M. (</w:t>
      </w:r>
      <w:proofErr w:type="spellStart"/>
      <w:r>
        <w:rPr>
          <w:rFonts w:ascii="Times New Roman" w:eastAsia="Times New Roman" w:hAnsi="Times New Roman" w:cs="Times New Roman"/>
        </w:rPr>
        <w:t>comp.</w:t>
      </w:r>
      <w:proofErr w:type="spellEnd"/>
      <w:r>
        <w:rPr>
          <w:rFonts w:ascii="Times New Roman" w:eastAsia="Times New Roman" w:hAnsi="Times New Roman" w:cs="Times New Roman"/>
        </w:rPr>
        <w:t>), Entre generaciones. Exploraciones sobre educación, cultura e instituciones, pp. 231-286.  Homo Sapiens/ FLACSO.</w:t>
      </w:r>
    </w:p>
    <w:p w14:paraId="527AB9FA" w14:textId="77777777" w:rsidR="00754172" w:rsidRDefault="00754172">
      <w:pPr>
        <w:spacing w:line="240" w:lineRule="auto"/>
        <w:rPr>
          <w:rFonts w:ascii="Times New Roman" w:eastAsia="Times New Roman" w:hAnsi="Times New Roman" w:cs="Times New Roman"/>
        </w:rPr>
      </w:pPr>
    </w:p>
    <w:sectPr w:rsidR="00754172">
      <w:headerReference w:type="default" r:id="rId9"/>
      <w:footerReference w:type="default" r:id="rId10"/>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C16C2" w14:textId="77777777" w:rsidR="00F14AEA" w:rsidRDefault="00F14AEA">
      <w:pPr>
        <w:spacing w:after="0" w:line="240" w:lineRule="auto"/>
      </w:pPr>
      <w:r>
        <w:separator/>
      </w:r>
    </w:p>
  </w:endnote>
  <w:endnote w:type="continuationSeparator" w:id="0">
    <w:p w14:paraId="50226607" w14:textId="77777777" w:rsidR="00F14AEA" w:rsidRDefault="00F14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2C79037-368D-47B5-8889-2C8FEC9E8539}"/>
    <w:embedItalic r:id="rId2" w:fontKey="{525764B3-302F-4439-A248-5DAB7F97CA3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84E4FAEE-B05E-4E14-907F-63D49D22C2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4B6B7" w14:textId="77777777" w:rsidR="00754172"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30E766C5" wp14:editId="385E6A8F">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6A32667E" w14:textId="77777777" w:rsidR="00754172" w:rsidRDefault="00754172">
    <w:pPr>
      <w:pBdr>
        <w:top w:val="nil"/>
        <w:left w:val="nil"/>
        <w:bottom w:val="nil"/>
        <w:right w:val="nil"/>
        <w:between w:val="nil"/>
      </w:pBdr>
      <w:tabs>
        <w:tab w:val="center" w:pos="4252"/>
        <w:tab w:val="right" w:pos="8504"/>
      </w:tabs>
      <w:spacing w:after="0" w:line="240" w:lineRule="auto"/>
    </w:pPr>
  </w:p>
  <w:p w14:paraId="2A92DA19" w14:textId="77777777" w:rsidR="00754172" w:rsidRDefault="00000000">
    <w:pPr>
      <w:pBdr>
        <w:top w:val="nil"/>
        <w:left w:val="nil"/>
        <w:bottom w:val="nil"/>
        <w:right w:val="nil"/>
        <w:between w:val="nil"/>
      </w:pBdr>
      <w:tabs>
        <w:tab w:val="center" w:pos="4252"/>
        <w:tab w:val="right" w:pos="8504"/>
      </w:tabs>
      <w:spacing w:after="0" w:line="240" w:lineRule="auto"/>
      <w:jc w:val="right"/>
    </w:pPr>
    <w:r>
      <w:fldChar w:fldCharType="begin"/>
    </w:r>
    <w:r>
      <w:instrText>PAGE</w:instrText>
    </w:r>
    <w:r>
      <w:fldChar w:fldCharType="separate"/>
    </w:r>
    <w:r w:rsidR="003A326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715FB" w14:textId="77777777" w:rsidR="00F14AEA" w:rsidRDefault="00F14AEA">
      <w:pPr>
        <w:spacing w:after="0" w:line="240" w:lineRule="auto"/>
      </w:pPr>
      <w:r>
        <w:separator/>
      </w:r>
    </w:p>
  </w:footnote>
  <w:footnote w:type="continuationSeparator" w:id="0">
    <w:p w14:paraId="3D188DEA" w14:textId="77777777" w:rsidR="00F14AEA" w:rsidRDefault="00F14A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B903" w14:textId="77777777" w:rsidR="00754172"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3689C047" wp14:editId="5DA2280D">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80ADE"/>
    <w:multiLevelType w:val="multilevel"/>
    <w:tmpl w:val="198ECD06"/>
    <w:lvl w:ilvl="0">
      <w:start w:val="1"/>
      <w:numFmt w:val="lowerLetter"/>
      <w:lvlText w:val="%1)"/>
      <w:lvlJc w:val="left"/>
      <w:pPr>
        <w:ind w:left="430" w:hanging="360"/>
      </w:pPr>
      <w:rPr>
        <w:u w:val="none"/>
      </w:rPr>
    </w:lvl>
    <w:lvl w:ilvl="1">
      <w:start w:val="1"/>
      <w:numFmt w:val="lowerLetter"/>
      <w:lvlText w:val="%2."/>
      <w:lvlJc w:val="left"/>
      <w:pPr>
        <w:ind w:left="1150" w:hanging="360"/>
      </w:pPr>
      <w:rPr>
        <w:u w:val="none"/>
      </w:rPr>
    </w:lvl>
    <w:lvl w:ilvl="2">
      <w:start w:val="1"/>
      <w:numFmt w:val="lowerRoman"/>
      <w:lvlText w:val="%3."/>
      <w:lvlJc w:val="right"/>
      <w:pPr>
        <w:ind w:left="1870" w:hanging="180"/>
      </w:pPr>
      <w:rPr>
        <w:u w:val="none"/>
      </w:rPr>
    </w:lvl>
    <w:lvl w:ilvl="3">
      <w:start w:val="1"/>
      <w:numFmt w:val="decimal"/>
      <w:lvlText w:val="%4."/>
      <w:lvlJc w:val="left"/>
      <w:pPr>
        <w:ind w:left="2590" w:hanging="360"/>
      </w:pPr>
      <w:rPr>
        <w:u w:val="none"/>
      </w:rPr>
    </w:lvl>
    <w:lvl w:ilvl="4">
      <w:start w:val="1"/>
      <w:numFmt w:val="lowerLetter"/>
      <w:lvlText w:val="%5."/>
      <w:lvlJc w:val="left"/>
      <w:pPr>
        <w:ind w:left="3310" w:hanging="360"/>
      </w:pPr>
      <w:rPr>
        <w:u w:val="none"/>
      </w:rPr>
    </w:lvl>
    <w:lvl w:ilvl="5">
      <w:start w:val="1"/>
      <w:numFmt w:val="lowerRoman"/>
      <w:lvlText w:val="%6."/>
      <w:lvlJc w:val="right"/>
      <w:pPr>
        <w:ind w:left="4030" w:hanging="180"/>
      </w:pPr>
      <w:rPr>
        <w:u w:val="none"/>
      </w:rPr>
    </w:lvl>
    <w:lvl w:ilvl="6">
      <w:start w:val="1"/>
      <w:numFmt w:val="decimal"/>
      <w:lvlText w:val="%7."/>
      <w:lvlJc w:val="left"/>
      <w:pPr>
        <w:ind w:left="4750" w:hanging="360"/>
      </w:pPr>
      <w:rPr>
        <w:u w:val="none"/>
      </w:rPr>
    </w:lvl>
    <w:lvl w:ilvl="7">
      <w:start w:val="1"/>
      <w:numFmt w:val="lowerLetter"/>
      <w:lvlText w:val="%8."/>
      <w:lvlJc w:val="left"/>
      <w:pPr>
        <w:ind w:left="5470" w:hanging="360"/>
      </w:pPr>
      <w:rPr>
        <w:u w:val="none"/>
      </w:rPr>
    </w:lvl>
    <w:lvl w:ilvl="8">
      <w:start w:val="1"/>
      <w:numFmt w:val="lowerRoman"/>
      <w:lvlText w:val="%9."/>
      <w:lvlJc w:val="right"/>
      <w:pPr>
        <w:ind w:left="6190" w:hanging="180"/>
      </w:pPr>
      <w:rPr>
        <w:u w:val="none"/>
      </w:rPr>
    </w:lvl>
  </w:abstractNum>
  <w:abstractNum w:abstractNumId="1" w15:restartNumberingAfterBreak="0">
    <w:nsid w:val="20115D7F"/>
    <w:multiLevelType w:val="multilevel"/>
    <w:tmpl w:val="25B63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E006F2A"/>
    <w:multiLevelType w:val="multilevel"/>
    <w:tmpl w:val="97949D6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974219281">
    <w:abstractNumId w:val="2"/>
  </w:num>
  <w:num w:numId="2" w16cid:durableId="1960523988">
    <w:abstractNumId w:val="1"/>
  </w:num>
  <w:num w:numId="3" w16cid:durableId="527372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172"/>
    <w:rsid w:val="003A3267"/>
    <w:rsid w:val="00754172"/>
    <w:rsid w:val="00CE58B8"/>
    <w:rsid w:val="00F14AE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283B0"/>
  <w15:docId w15:val="{A2DACDA7-DBCF-4BF5-B247-E74B7F7E5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419" w:eastAsia="es-A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tblPr>
      <w:tblStyleRowBandSize w:val="1"/>
      <w:tblStyleColBandSize w:val="1"/>
      <w:tblCellMar>
        <w:top w:w="0" w:type="dxa"/>
        <w:left w:w="70" w:type="dxa"/>
        <w:bottom w:w="0" w:type="dxa"/>
        <w:right w:w="70"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aseries.flacso.org.ar/" TargetMode="External"/><Relationship Id="rId3" Type="http://schemas.openxmlformats.org/officeDocument/2006/relationships/settings" Target="settings.xml"/><Relationship Id="rId7" Type="http://schemas.openxmlformats.org/officeDocument/2006/relationships/hyperlink" Target="https://baseries.flacso.org.a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6919</Words>
  <Characters>38056</Characters>
  <Application>Microsoft Office Word</Application>
  <DocSecurity>0</DocSecurity>
  <Lines>317</Lines>
  <Paragraphs>89</Paragraphs>
  <ScaleCrop>false</ScaleCrop>
  <Company/>
  <LinksUpToDate>false</LinksUpToDate>
  <CharactersWithSpaces>44886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Nancy Montes</cp:lastModifiedBy>
  <cp:revision>2</cp:revision>
  <dcterms:created xsi:type="dcterms:W3CDTF">2026-07-12T16:28:00Z</dcterms:created>
  <dcterms:modified xsi:type="dcterms:W3CDTF">2026-07-12T16:31:00Z</dcterms:modified>
</cp:coreProperties>
</file>