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43C49479" w14:textId="43D45314" w:rsidR="005F3B2E" w:rsidRPr="002D5169" w:rsidRDefault="002D5169" w:rsidP="001923DC">
      <w:pPr>
        <w:jc w:val="center"/>
        <w:rPr>
          <w:rFonts w:ascii="Times New Roman" w:hAnsi="Times New Roman" w:cs="Times New Roman"/>
          <w:lang w:val="es-MX"/>
        </w:rPr>
      </w:pPr>
      <w:r w:rsidRPr="002D5169">
        <w:rPr>
          <w:rFonts w:ascii="Times New Roman" w:hAnsi="Times New Roman" w:cs="Times New Roman"/>
          <w:b/>
          <w:bCs/>
        </w:rPr>
        <w:t xml:space="preserve">Análisis de la revalidación de estudios en los tratados comerciales de TMEC </w:t>
      </w:r>
      <w:r>
        <w:rPr>
          <w:rFonts w:ascii="Times New Roman" w:hAnsi="Times New Roman" w:cs="Times New Roman"/>
          <w:b/>
          <w:bCs/>
        </w:rPr>
        <w:t>y</w:t>
      </w:r>
      <w:r w:rsidRPr="002D5169">
        <w:rPr>
          <w:rFonts w:ascii="Times New Roman" w:hAnsi="Times New Roman" w:cs="Times New Roman"/>
          <w:b/>
          <w:bCs/>
        </w:rPr>
        <w:t xml:space="preserve"> MERCOSUR</w:t>
      </w:r>
    </w:p>
    <w:p w14:paraId="4E738780" w14:textId="7D67192D" w:rsidR="005F3B2E" w:rsidRPr="00BA642E" w:rsidRDefault="002D5169" w:rsidP="005F3B2E">
      <w:pPr>
        <w:spacing w:after="0" w:line="240" w:lineRule="auto"/>
        <w:jc w:val="right"/>
        <w:rPr>
          <w:rFonts w:ascii="Times New Roman" w:hAnsi="Times New Roman" w:cs="Times New Roman"/>
        </w:rPr>
      </w:pPr>
      <w:r>
        <w:rPr>
          <w:rFonts w:ascii="Times New Roman" w:hAnsi="Times New Roman" w:cs="Times New Roman"/>
        </w:rPr>
        <w:t>Nigra Sabrina</w:t>
      </w:r>
    </w:p>
    <w:p w14:paraId="6C2AECCA" w14:textId="00F2ADA1" w:rsidR="005F3B2E" w:rsidRPr="00BA642E" w:rsidRDefault="002D5169" w:rsidP="005F3B2E">
      <w:pPr>
        <w:spacing w:after="0" w:line="240" w:lineRule="auto"/>
        <w:jc w:val="right"/>
        <w:rPr>
          <w:rFonts w:ascii="Times New Roman" w:hAnsi="Times New Roman" w:cs="Times New Roman"/>
        </w:rPr>
      </w:pPr>
      <w:r>
        <w:rPr>
          <w:rFonts w:ascii="Times New Roman" w:hAnsi="Times New Roman" w:cs="Times New Roman"/>
        </w:rPr>
        <w:t>Universidad de Guadalajara</w:t>
      </w:r>
    </w:p>
    <w:p w14:paraId="7D0026CD" w14:textId="22B85B89" w:rsidR="005F3B2E" w:rsidRPr="00BA642E" w:rsidRDefault="002D5169" w:rsidP="005F3B2E">
      <w:pPr>
        <w:spacing w:after="0" w:line="240" w:lineRule="auto"/>
        <w:jc w:val="right"/>
        <w:rPr>
          <w:rFonts w:ascii="Times New Roman" w:hAnsi="Times New Roman" w:cs="Times New Roman"/>
        </w:rPr>
      </w:pPr>
      <w:hyperlink r:id="rId7" w:history="1">
        <w:r w:rsidRPr="00275395">
          <w:rPr>
            <w:rStyle w:val="Hipervnculo"/>
            <w:rFonts w:ascii="Times New Roman" w:hAnsi="Times New Roman" w:cs="Times New Roman"/>
          </w:rPr>
          <w:t>sabrina.nigra@academicos.udg.mx</w:t>
        </w:r>
      </w:hyperlink>
      <w:r>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1275A9C7" w14:textId="531425D2" w:rsidR="005F3B2E" w:rsidRPr="00BA642E" w:rsidRDefault="002D5169" w:rsidP="005F3B2E">
      <w:pPr>
        <w:spacing w:after="0" w:line="240" w:lineRule="auto"/>
        <w:jc w:val="right"/>
        <w:rPr>
          <w:rFonts w:ascii="Times New Roman" w:hAnsi="Times New Roman" w:cs="Times New Roman"/>
        </w:rPr>
      </w:pPr>
      <w:r>
        <w:rPr>
          <w:rFonts w:ascii="Times New Roman" w:hAnsi="Times New Roman" w:cs="Times New Roman"/>
        </w:rPr>
        <w:t>González Ordaz Gilberto Israel</w:t>
      </w:r>
    </w:p>
    <w:p w14:paraId="46FEEBE4" w14:textId="330DC4E3" w:rsidR="005F3B2E" w:rsidRPr="00BA642E" w:rsidRDefault="002D5169" w:rsidP="005F3B2E">
      <w:pPr>
        <w:spacing w:after="0" w:line="240" w:lineRule="auto"/>
        <w:jc w:val="right"/>
        <w:rPr>
          <w:rFonts w:ascii="Times New Roman" w:hAnsi="Times New Roman" w:cs="Times New Roman"/>
        </w:rPr>
      </w:pPr>
      <w:r>
        <w:rPr>
          <w:rFonts w:ascii="Times New Roman" w:hAnsi="Times New Roman" w:cs="Times New Roman"/>
        </w:rPr>
        <w:t>Universidad de Guadalajara</w:t>
      </w:r>
    </w:p>
    <w:p w14:paraId="3CAC774D" w14:textId="1CE162D5" w:rsidR="005F3B2E" w:rsidRPr="00BA642E" w:rsidRDefault="002D5169" w:rsidP="005F3B2E">
      <w:pPr>
        <w:spacing w:after="0" w:line="240" w:lineRule="auto"/>
        <w:jc w:val="right"/>
        <w:rPr>
          <w:rFonts w:ascii="Times New Roman" w:hAnsi="Times New Roman" w:cs="Times New Roman"/>
        </w:rPr>
      </w:pPr>
      <w:hyperlink r:id="rId8" w:history="1">
        <w:r w:rsidRPr="00275395">
          <w:rPr>
            <w:rStyle w:val="Hipervnculo"/>
            <w:rFonts w:ascii="Times New Roman" w:hAnsi="Times New Roman" w:cs="Times New Roman"/>
          </w:rPr>
          <w:t>gilberto.gordaz@academicos.udg.mx</w:t>
        </w:r>
      </w:hyperlink>
      <w:r>
        <w:rPr>
          <w:rFonts w:ascii="Times New Roman" w:hAnsi="Times New Roman" w:cs="Times New Roman"/>
        </w:rPr>
        <w:t xml:space="preserve"> </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3C1775AC" w:rsidR="005F3B2E" w:rsidRPr="00BA642E" w:rsidRDefault="00C802F5" w:rsidP="00C802F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r w:rsidR="002D5169">
        <w:rPr>
          <w:rFonts w:ascii="Times New Roman" w:hAnsi="Times New Roman" w:cs="Times New Roman"/>
        </w:rPr>
        <w:t>Rivera Fernández Rogelio</w:t>
      </w:r>
    </w:p>
    <w:p w14:paraId="4E696C7D" w14:textId="048F6D52" w:rsidR="005F3B2E" w:rsidRPr="00BA642E" w:rsidRDefault="002D5169" w:rsidP="005F3B2E">
      <w:pPr>
        <w:spacing w:after="0" w:line="240" w:lineRule="auto"/>
        <w:jc w:val="right"/>
        <w:rPr>
          <w:rFonts w:ascii="Times New Roman" w:hAnsi="Times New Roman" w:cs="Times New Roman"/>
        </w:rPr>
      </w:pPr>
      <w:r>
        <w:rPr>
          <w:rFonts w:ascii="Times New Roman" w:hAnsi="Times New Roman" w:cs="Times New Roman"/>
        </w:rPr>
        <w:t>Universidad de Guadalajara</w:t>
      </w:r>
    </w:p>
    <w:p w14:paraId="3D73DB11" w14:textId="61747867" w:rsidR="005F3B2E" w:rsidRPr="00BA642E" w:rsidRDefault="002D5169" w:rsidP="005F3B2E">
      <w:pPr>
        <w:spacing w:after="0" w:line="240" w:lineRule="auto"/>
        <w:jc w:val="right"/>
        <w:rPr>
          <w:rFonts w:ascii="Times New Roman" w:hAnsi="Times New Roman" w:cs="Times New Roman"/>
        </w:rPr>
      </w:pPr>
      <w:hyperlink r:id="rId9" w:history="1">
        <w:r w:rsidRPr="00275395">
          <w:rPr>
            <w:rStyle w:val="Hipervnculo"/>
            <w:rFonts w:ascii="Times New Roman" w:hAnsi="Times New Roman" w:cs="Times New Roman"/>
          </w:rPr>
          <w:t>rogelio.r@cucea.udg.mx</w:t>
        </w:r>
      </w:hyperlink>
      <w:r>
        <w:rPr>
          <w:rFonts w:ascii="Times New Roman" w:hAnsi="Times New Roman" w:cs="Times New Roman"/>
        </w:rPr>
        <w:t xml:space="preserve"> </w:t>
      </w:r>
    </w:p>
    <w:p w14:paraId="7B9027E2" w14:textId="77777777" w:rsidR="00BA642E" w:rsidRPr="00BA642E" w:rsidRDefault="00BA642E" w:rsidP="005F3B2E">
      <w:pPr>
        <w:rPr>
          <w:rFonts w:ascii="Times New Roman" w:hAnsi="Times New Roman" w:cs="Times New Roman"/>
          <w:b/>
          <w:bCs/>
        </w:rPr>
      </w:pPr>
    </w:p>
    <w:p w14:paraId="35A6682C" w14:textId="6E52948D" w:rsidR="00BA642E" w:rsidRPr="002D5169" w:rsidRDefault="00BA642E" w:rsidP="007B5B5F">
      <w:pPr>
        <w:spacing w:line="240" w:lineRule="auto"/>
        <w:jc w:val="both"/>
        <w:rPr>
          <w:rFonts w:ascii="Times New Roman" w:hAnsi="Times New Roman" w:cs="Times New Roman"/>
          <w:b/>
          <w:bCs/>
          <w:lang w:val="es-MX"/>
        </w:rPr>
      </w:pPr>
      <w:proofErr w:type="spellStart"/>
      <w:r w:rsidRPr="007B5B5F">
        <w:rPr>
          <w:rFonts w:ascii="Times New Roman" w:hAnsi="Times New Roman" w:cs="Times New Roman"/>
          <w:b/>
          <w:bCs/>
          <w:lang w:val="en-US"/>
        </w:rPr>
        <w:t>Resumen</w:t>
      </w:r>
      <w:proofErr w:type="spellEnd"/>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2D5169" w:rsidRPr="00E44318">
        <w:rPr>
          <w:rFonts w:ascii="Times New Roman" w:hAnsi="Times New Roman"/>
        </w:rPr>
        <w:t xml:space="preserve">En </w:t>
      </w:r>
      <w:r w:rsidR="002D5169">
        <w:rPr>
          <w:rFonts w:ascii="Times New Roman" w:hAnsi="Times New Roman"/>
        </w:rPr>
        <w:t xml:space="preserve">el </w:t>
      </w:r>
      <w:r w:rsidR="002D5169" w:rsidRPr="00E44318">
        <w:rPr>
          <w:rFonts w:ascii="Times New Roman" w:hAnsi="Times New Roman"/>
        </w:rPr>
        <w:t>contexto</w:t>
      </w:r>
      <w:r w:rsidR="002D5169">
        <w:rPr>
          <w:rFonts w:ascii="Times New Roman" w:hAnsi="Times New Roman"/>
        </w:rPr>
        <w:t xml:space="preserve"> </w:t>
      </w:r>
      <w:r w:rsidR="002D5169" w:rsidRPr="00E44318">
        <w:rPr>
          <w:rFonts w:ascii="Times New Roman" w:hAnsi="Times New Roman"/>
        </w:rPr>
        <w:t xml:space="preserve">socio-económico </w:t>
      </w:r>
      <w:r w:rsidR="002D5169">
        <w:rPr>
          <w:rFonts w:ascii="Times New Roman" w:hAnsi="Times New Roman"/>
        </w:rPr>
        <w:t>actual</w:t>
      </w:r>
      <w:r w:rsidR="002D5169">
        <w:rPr>
          <w:rFonts w:ascii="Times New Roman" w:hAnsi="Times New Roman"/>
          <w:lang w:val="es-MX"/>
        </w:rPr>
        <w:t xml:space="preserve">, </w:t>
      </w:r>
      <w:r w:rsidR="002D5169">
        <w:rPr>
          <w:rFonts w:ascii="Times New Roman" w:hAnsi="Times New Roman"/>
        </w:rPr>
        <w:t xml:space="preserve">los bloques económicos </w:t>
      </w:r>
      <w:r w:rsidR="002A5B9D">
        <w:rPr>
          <w:rFonts w:ascii="Times New Roman" w:hAnsi="Times New Roman"/>
        </w:rPr>
        <w:t xml:space="preserve">regionales </w:t>
      </w:r>
      <w:r w:rsidR="002A5B9D" w:rsidRPr="00E44318">
        <w:rPr>
          <w:rFonts w:ascii="Times New Roman" w:hAnsi="Times New Roman"/>
        </w:rPr>
        <w:t>no</w:t>
      </w:r>
      <w:r w:rsidR="002D5169">
        <w:rPr>
          <w:rFonts w:ascii="Times New Roman" w:hAnsi="Times New Roman"/>
        </w:rPr>
        <w:t xml:space="preserve"> solamente buscan acuerdos comerciales sino</w:t>
      </w:r>
      <w:r w:rsidR="002D5169">
        <w:rPr>
          <w:rFonts w:ascii="Times New Roman" w:hAnsi="Times New Roman"/>
          <w:lang w:val="es-MX"/>
        </w:rPr>
        <w:t>,</w:t>
      </w:r>
      <w:r w:rsidR="002D5169">
        <w:rPr>
          <w:rFonts w:ascii="Times New Roman" w:hAnsi="Times New Roman"/>
        </w:rPr>
        <w:t xml:space="preserve"> facilitar la movilidad de conocimiento, tecnología, estudiantes e incluso profesionales</w:t>
      </w:r>
      <w:r w:rsidR="002D5169">
        <w:rPr>
          <w:rFonts w:ascii="Times New Roman" w:hAnsi="Times New Roman"/>
          <w:lang w:val="es-MX"/>
        </w:rPr>
        <w:t xml:space="preserve"> entre las naciones miembro</w:t>
      </w:r>
      <w:r w:rsidR="002D5169">
        <w:rPr>
          <w:rFonts w:ascii="Times New Roman" w:hAnsi="Times New Roman"/>
        </w:rPr>
        <w:t xml:space="preserve">. </w:t>
      </w:r>
      <w:r w:rsidR="002D5169">
        <w:rPr>
          <w:rFonts w:ascii="Times New Roman" w:hAnsi="Times New Roman"/>
          <w:lang w:val="es-MX"/>
        </w:rPr>
        <w:t>En este escenario,</w:t>
      </w:r>
      <w:r w:rsidR="002D5169">
        <w:rPr>
          <w:rFonts w:ascii="Times New Roman" w:hAnsi="Times New Roman"/>
        </w:rPr>
        <w:t xml:space="preserve"> la cooperación educativa se convierte en una pieza clave</w:t>
      </w:r>
      <w:r w:rsidR="002D5169">
        <w:rPr>
          <w:rFonts w:ascii="Times New Roman" w:hAnsi="Times New Roman"/>
          <w:lang w:val="es-MX"/>
        </w:rPr>
        <w:t xml:space="preserve">, </w:t>
      </w:r>
      <w:r w:rsidR="002D5169">
        <w:rPr>
          <w:rFonts w:ascii="Times New Roman" w:hAnsi="Times New Roman"/>
        </w:rPr>
        <w:t xml:space="preserve">de manera que las instituciones educativas </w:t>
      </w:r>
      <w:r w:rsidR="002D5169" w:rsidRPr="00E44318">
        <w:rPr>
          <w:rFonts w:ascii="Times New Roman" w:hAnsi="Times New Roman"/>
        </w:rPr>
        <w:t>están</w:t>
      </w:r>
      <w:r w:rsidR="002D5169">
        <w:rPr>
          <w:rFonts w:ascii="Times New Roman" w:hAnsi="Times New Roman"/>
        </w:rPr>
        <w:t xml:space="preserve"> </w:t>
      </w:r>
      <w:r w:rsidR="002D5169" w:rsidRPr="00E44318">
        <w:rPr>
          <w:rFonts w:ascii="Times New Roman" w:hAnsi="Times New Roman"/>
        </w:rPr>
        <w:t>realizando esfuerzos para producir conocimiento con enfoques transdiciplinarios a través de redes y alianzas siempre más estrechas. De la misma manera</w:t>
      </w:r>
      <w:r w:rsidR="002D5169">
        <w:rPr>
          <w:rFonts w:ascii="Times New Roman" w:hAnsi="Times New Roman"/>
          <w:lang w:val="es-MX"/>
        </w:rPr>
        <w:t>,</w:t>
      </w:r>
      <w:r w:rsidR="002D5169" w:rsidRPr="00E44318">
        <w:rPr>
          <w:rFonts w:ascii="Times New Roman" w:hAnsi="Times New Roman"/>
        </w:rPr>
        <w:t xml:space="preserve"> los acuerdos comerciales deberían llevar a una colaboración más estrecha entre los</w:t>
      </w:r>
      <w:r w:rsidR="002D5169">
        <w:rPr>
          <w:rFonts w:ascii="Times New Roman" w:hAnsi="Times New Roman"/>
        </w:rPr>
        <w:t xml:space="preserve"> </w:t>
      </w:r>
      <w:r w:rsidR="002D5169" w:rsidRPr="00E44318">
        <w:rPr>
          <w:rFonts w:ascii="Times New Roman" w:hAnsi="Times New Roman"/>
        </w:rPr>
        <w:t xml:space="preserve">países y las regiones del mundo </w:t>
      </w:r>
      <w:r w:rsidR="002D5169">
        <w:rPr>
          <w:rFonts w:ascii="Times New Roman" w:hAnsi="Times New Roman"/>
        </w:rPr>
        <w:t xml:space="preserve">en materia educativa </w:t>
      </w:r>
      <w:r w:rsidR="002D5169" w:rsidRPr="00E44318">
        <w:rPr>
          <w:rFonts w:ascii="Times New Roman" w:hAnsi="Times New Roman"/>
        </w:rPr>
        <w:t>para disminuir las disparidades a través de la cooperación internacional.</w:t>
      </w:r>
      <w:r w:rsidR="002D5169">
        <w:rPr>
          <w:rFonts w:ascii="Times New Roman" w:hAnsi="Times New Roman"/>
          <w:lang w:val="es-MX"/>
        </w:rPr>
        <w:t xml:space="preserve"> </w:t>
      </w:r>
      <w:r w:rsidR="002D5169">
        <w:rPr>
          <w:rFonts w:ascii="Times New Roman" w:hAnsi="Times New Roman"/>
        </w:rPr>
        <w:t>Dentro de estos procesos de integración</w:t>
      </w:r>
      <w:r w:rsidR="002D5169">
        <w:rPr>
          <w:rFonts w:ascii="Times New Roman" w:hAnsi="Times New Roman"/>
          <w:lang w:val="es-MX"/>
        </w:rPr>
        <w:t>,</w:t>
      </w:r>
      <w:r w:rsidR="002D5169">
        <w:rPr>
          <w:rFonts w:ascii="Times New Roman" w:hAnsi="Times New Roman"/>
        </w:rPr>
        <w:t xml:space="preserve"> se vuelve fundamental el reconocimiento de estudios, títulos y diplomas entre los países para evaluar modelos de cooperación educativa, evaluar la movilidad laboral internacional, identificar oportunidades de mejora en </w:t>
      </w:r>
      <w:r w:rsidR="002734A9">
        <w:rPr>
          <w:rFonts w:ascii="Times New Roman" w:hAnsi="Times New Roman"/>
        </w:rPr>
        <w:t>políticas</w:t>
      </w:r>
      <w:r w:rsidR="002D5169">
        <w:rPr>
          <w:rFonts w:ascii="Times New Roman" w:hAnsi="Times New Roman"/>
        </w:rPr>
        <w:t xml:space="preserve"> educativas y contribuir a la internacionalización de la educación superior. </w:t>
      </w:r>
      <w:r w:rsidR="002D5169">
        <w:rPr>
          <w:rFonts w:ascii="Times New Roman" w:hAnsi="Times New Roman"/>
          <w:lang w:val="es-MX"/>
        </w:rPr>
        <w:t xml:space="preserve">Por lo anterior, </w:t>
      </w:r>
      <w:r w:rsidR="002734A9" w:rsidRPr="00E44318">
        <w:rPr>
          <w:rFonts w:ascii="Times New Roman" w:hAnsi="Times New Roman"/>
        </w:rPr>
        <w:t>esta</w:t>
      </w:r>
      <w:r w:rsidR="002D5169" w:rsidRPr="00E44318">
        <w:rPr>
          <w:rFonts w:ascii="Times New Roman" w:hAnsi="Times New Roman"/>
        </w:rPr>
        <w:t xml:space="preserve"> investigación tiene como objetivo analizar las implicaciones educativas del Tratado entre México, Estados Unidos y Canadá (</w:t>
      </w:r>
      <w:r w:rsidR="002D5169">
        <w:rPr>
          <w:rFonts w:ascii="Times New Roman" w:hAnsi="Times New Roman"/>
        </w:rPr>
        <w:t>T-MEC</w:t>
      </w:r>
      <w:r w:rsidR="002D5169" w:rsidRPr="00E44318">
        <w:rPr>
          <w:rFonts w:ascii="Times New Roman" w:hAnsi="Times New Roman"/>
        </w:rPr>
        <w:t>) mediante una comparación crítica con los marcos educativos</w:t>
      </w:r>
      <w:r w:rsidR="002D5169">
        <w:rPr>
          <w:rFonts w:ascii="Times New Roman" w:hAnsi="Times New Roman"/>
          <w:lang w:val="es-MX"/>
        </w:rPr>
        <w:t xml:space="preserve"> de</w:t>
      </w:r>
      <w:r w:rsidR="002D5169" w:rsidRPr="00E44318">
        <w:rPr>
          <w:rFonts w:ascii="Times New Roman" w:hAnsi="Times New Roman"/>
        </w:rPr>
        <w:t xml:space="preserve"> otra alianza estratégica</w:t>
      </w:r>
      <w:r w:rsidR="002D5169">
        <w:rPr>
          <w:rFonts w:ascii="Times New Roman" w:hAnsi="Times New Roman"/>
          <w:lang w:val="es-MX"/>
        </w:rPr>
        <w:t xml:space="preserve"> multilateral como es </w:t>
      </w:r>
      <w:r w:rsidR="002D5169" w:rsidRPr="00E44318">
        <w:rPr>
          <w:rFonts w:ascii="Times New Roman" w:hAnsi="Times New Roman"/>
        </w:rPr>
        <w:t>el Mercado Común del Sur (</w:t>
      </w:r>
      <w:r w:rsidR="002D5169">
        <w:rPr>
          <w:rFonts w:ascii="Times New Roman" w:hAnsi="Times New Roman"/>
        </w:rPr>
        <w:t>MERCOSUR</w:t>
      </w:r>
      <w:r w:rsidR="002D5169" w:rsidRPr="00E44318">
        <w:rPr>
          <w:rFonts w:ascii="Times New Roman" w:hAnsi="Times New Roman"/>
        </w:rPr>
        <w:t>) siempre</w:t>
      </w:r>
      <w:r w:rsidR="002D5169">
        <w:rPr>
          <w:rFonts w:ascii="Times New Roman" w:hAnsi="Times New Roman"/>
        </w:rPr>
        <w:t xml:space="preserve"> </w:t>
      </w:r>
      <w:r w:rsidR="002D5169" w:rsidRPr="00E44318">
        <w:rPr>
          <w:rFonts w:ascii="Times New Roman" w:hAnsi="Times New Roman"/>
        </w:rPr>
        <w:t>con el fin de formular recomendaciones para fortalecer la dimensión educativa de estos acuerdos.</w:t>
      </w:r>
      <w:r w:rsidR="002D5169" w:rsidRPr="00866EC0">
        <w:rPr>
          <w:rFonts w:ascii="Times New Roman" w:hAnsi="Times New Roman"/>
        </w:rPr>
        <w:t xml:space="preserve"> </w:t>
      </w:r>
      <w:r w:rsidR="002D5169">
        <w:rPr>
          <w:rFonts w:ascii="Times New Roman" w:hAnsi="Times New Roman"/>
        </w:rPr>
        <w:t xml:space="preserve">Realizar este estudio comparativo es importante porque permite comprender cómo diferentes modelos de integración regional </w:t>
      </w:r>
      <w:r w:rsidR="002734A9">
        <w:rPr>
          <w:rFonts w:ascii="Times New Roman" w:hAnsi="Times New Roman"/>
        </w:rPr>
        <w:t>afectan</w:t>
      </w:r>
      <w:r w:rsidR="002D5169">
        <w:rPr>
          <w:rFonts w:ascii="Times New Roman" w:hAnsi="Times New Roman"/>
        </w:rPr>
        <w:t xml:space="preserve"> la movilidad </w:t>
      </w:r>
      <w:r w:rsidR="002734A9">
        <w:rPr>
          <w:rFonts w:ascii="Times New Roman" w:hAnsi="Times New Roman"/>
        </w:rPr>
        <w:t>académica</w:t>
      </w:r>
      <w:r w:rsidR="002D5169">
        <w:rPr>
          <w:rFonts w:ascii="Times New Roman" w:hAnsi="Times New Roman"/>
        </w:rPr>
        <w:t xml:space="preserve"> y profesional y mejorar las </w:t>
      </w:r>
      <w:r w:rsidR="002734A9">
        <w:rPr>
          <w:rFonts w:ascii="Times New Roman" w:hAnsi="Times New Roman"/>
        </w:rPr>
        <w:t>políticas</w:t>
      </w:r>
      <w:r w:rsidR="002D5169">
        <w:rPr>
          <w:rFonts w:ascii="Times New Roman" w:hAnsi="Times New Roman"/>
        </w:rPr>
        <w:t xml:space="preserve"> educativas de los bloques regionales.</w:t>
      </w:r>
      <w:r w:rsidR="002D5169">
        <w:rPr>
          <w:rFonts w:ascii="Times New Roman" w:hAnsi="Times New Roman"/>
          <w:lang w:val="es-MX"/>
        </w:rPr>
        <w:t xml:space="preserve"> </w:t>
      </w:r>
      <w:r w:rsidR="002D5169" w:rsidRPr="00E44318">
        <w:rPr>
          <w:rFonts w:ascii="Times New Roman" w:hAnsi="Times New Roman"/>
        </w:rPr>
        <w:t>La comparación fue realizada a través de una exhaustiva búsqueda bibliográfica y un análisis de los tratados con un enfoque en la internacionalización de la educación superior y las siguientes categorías de análisis: el reconocimiento de títulos, la movilidad académica</w:t>
      </w:r>
      <w:r w:rsidR="002D5169">
        <w:rPr>
          <w:rFonts w:ascii="Times New Roman" w:hAnsi="Times New Roman"/>
        </w:rPr>
        <w:t xml:space="preserve"> y </w:t>
      </w:r>
      <w:r w:rsidR="002D5169" w:rsidRPr="00E44318">
        <w:rPr>
          <w:rFonts w:ascii="Times New Roman" w:hAnsi="Times New Roman"/>
        </w:rPr>
        <w:t xml:space="preserve">los sistemas educativos. Se concluyó que el </w:t>
      </w:r>
      <w:r w:rsidR="002D5169">
        <w:rPr>
          <w:rFonts w:ascii="Times New Roman" w:hAnsi="Times New Roman"/>
        </w:rPr>
        <w:t>MERCOSUR</w:t>
      </w:r>
      <w:r w:rsidR="002D5169" w:rsidRPr="00E44318">
        <w:rPr>
          <w:rFonts w:ascii="Times New Roman" w:hAnsi="Times New Roman"/>
        </w:rPr>
        <w:t xml:space="preserve"> tiene acuerdos específicos para el reconocimiento de títulos de educación superior, lo cual facilita la movilidad académica y profesional </w:t>
      </w:r>
      <w:r w:rsidR="002D5169">
        <w:rPr>
          <w:rFonts w:ascii="Times New Roman" w:hAnsi="Times New Roman"/>
        </w:rPr>
        <w:t>en la región</w:t>
      </w:r>
      <w:r w:rsidR="002D5169" w:rsidRPr="00E44318">
        <w:rPr>
          <w:rFonts w:ascii="Times New Roman" w:hAnsi="Times New Roman"/>
        </w:rPr>
        <w:t xml:space="preserve">. Por otro lado, aunque con el </w:t>
      </w:r>
      <w:r w:rsidR="002D5169">
        <w:rPr>
          <w:rFonts w:ascii="Times New Roman" w:hAnsi="Times New Roman"/>
        </w:rPr>
        <w:t>T-MEC</w:t>
      </w:r>
      <w:r w:rsidR="002D5169" w:rsidRPr="00E44318">
        <w:rPr>
          <w:rFonts w:ascii="Times New Roman" w:hAnsi="Times New Roman"/>
        </w:rPr>
        <w:t xml:space="preserve"> se han incrementado la movilidad académica, las redes y las colaboraciones </w:t>
      </w:r>
      <w:r w:rsidR="002D5169" w:rsidRPr="00E44318">
        <w:rPr>
          <w:rFonts w:ascii="Times New Roman" w:hAnsi="Times New Roman"/>
        </w:rPr>
        <w:lastRenderedPageBreak/>
        <w:t>académicas entre los tres países, el tratado no incluye directamente la movilidad profesional.</w:t>
      </w:r>
    </w:p>
    <w:p w14:paraId="2994BAB3" w14:textId="3512E1C9"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2D5169">
        <w:rPr>
          <w:rFonts w:ascii="Times New Roman" w:hAnsi="Times New Roman"/>
        </w:rPr>
        <w:t xml:space="preserve">Internacionalización </w:t>
      </w:r>
      <w:r w:rsidR="002D5169">
        <w:rPr>
          <w:rFonts w:ascii="Times New Roman" w:hAnsi="Times New Roman"/>
          <w:lang w:val="es-MX"/>
        </w:rPr>
        <w:t>d</w:t>
      </w:r>
      <w:r w:rsidR="002D5169">
        <w:rPr>
          <w:rFonts w:ascii="Times New Roman" w:hAnsi="Times New Roman"/>
        </w:rPr>
        <w:t xml:space="preserve">e </w:t>
      </w:r>
      <w:r w:rsidR="002D5169">
        <w:rPr>
          <w:rFonts w:ascii="Times New Roman" w:hAnsi="Times New Roman"/>
          <w:lang w:val="es-MX"/>
        </w:rPr>
        <w:t>l</w:t>
      </w:r>
      <w:r w:rsidR="002D5169">
        <w:rPr>
          <w:rFonts w:ascii="Times New Roman" w:hAnsi="Times New Roman"/>
        </w:rPr>
        <w:t>a Educación Superior, Cooperación Educativa, Movilidad Profesional, Movilidad Académica</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7E5BF6E" w14:textId="1BA1D4D1"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En el marco de la internacionalización de la educación superior, la cooperación entre países resulta fundamental, ya que favorece la articulación de redes académicas y la generación de conocimiento interdisciplinario en las instituciones. En este sentido, el documento de trabajo de la Tercera Conferencia Mundial de Educación Superior señala que</w:t>
      </w:r>
      <w:r w:rsidR="00EE01AB">
        <w:rPr>
          <w:rFonts w:ascii="Times New Roman" w:hAnsi="Times New Roman" w:cs="Times New Roman"/>
        </w:rPr>
        <w:t xml:space="preserve"> </w:t>
      </w:r>
      <w:r w:rsidRPr="002D5169">
        <w:rPr>
          <w:rFonts w:ascii="Times New Roman" w:hAnsi="Times New Roman" w:cs="Times New Roman"/>
        </w:rPr>
        <w:t xml:space="preserve">la cooperación </w:t>
      </w:r>
      <w:r w:rsidR="00EE01AB">
        <w:rPr>
          <w:rFonts w:ascii="Times New Roman" w:hAnsi="Times New Roman" w:cs="Times New Roman"/>
        </w:rPr>
        <w:t xml:space="preserve">funge </w:t>
      </w:r>
      <w:r w:rsidRPr="002D5169">
        <w:rPr>
          <w:rFonts w:ascii="Times New Roman" w:hAnsi="Times New Roman" w:cs="Times New Roman"/>
        </w:rPr>
        <w:t xml:space="preserve">como un elemento clave para lograr los objetivos de desarrollo sostenible contenidos en la Agenda 2030 (UNESCO, 2022); así, la integración de los mercados laborales, la globalización del conocimiento, la formación de capital humano son piezas claves para el futuro. </w:t>
      </w:r>
    </w:p>
    <w:p w14:paraId="53EDC9CF" w14:textId="60242E1A"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Por lo tanto, en el ámbito de la internacionalización superior resulta importante porque, a través de los tratados comerciales, es posible crear los marcos de referencia que lleven a mayor colaboración de convergencia internacional (Van Damme, 2019); es decir, colaboración comercial trasciende el mercado y permea a la educación superior, la cual, se adapta a estos cambios a través del reconocimiento de títulos, grados o estudios que son piezas clave para la internacionalización de la educación superior y la formación de capital humano en un contexto de creciente interdependencia global. </w:t>
      </w:r>
    </w:p>
    <w:p w14:paraId="674CE402" w14:textId="60571F9B"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La presente investigación tiene como objetivo analizar las implicaciones educativas del Tratado entre México, Estados Unidos y Canadá (T-MEC) mediante una comparación crítica con los marcos educativos de otra alianza estratégica multilateral como es el Mercado Común del Sur (MERCOSUR) siempre con el fin de formular recomendaciones para fortalecer la dimensión educativa de estos acuerdos</w:t>
      </w:r>
      <w:r w:rsidR="00EE01AB">
        <w:rPr>
          <w:rFonts w:ascii="Times New Roman" w:hAnsi="Times New Roman" w:cs="Times New Roman"/>
        </w:rPr>
        <w:t xml:space="preserve"> con el propósito de</w:t>
      </w:r>
      <w:r w:rsidRPr="002D5169">
        <w:rPr>
          <w:rFonts w:ascii="Times New Roman" w:hAnsi="Times New Roman" w:cs="Times New Roman"/>
        </w:rPr>
        <w:t xml:space="preserve"> realizar una comparación crítica entre dos acuerdos de integración económica </w:t>
      </w:r>
    </w:p>
    <w:p w14:paraId="0BD41DA3"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La pertinencia de este trabajo se funda en cubrir un vacío en la literatura relacionado a la relación entre los tratados comerciales y la educación superior del conocimiento, ya que, existen escasas investigaciones sobre la vinculación entre las disposiciones comerciales y su conexión con la política educativa. </w:t>
      </w:r>
    </w:p>
    <w:p w14:paraId="6381A1D2"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El diseño metodológico partió de los métodos analítico y comparativo aplicados bajo la técnica de análisis de contenido (Krippendorff, 2019) teniendo como unidades de análisis en la literatura la acreditación de programas universitarios, el reconocimiento de títulos universitarios y mecanismos de movilidad académica en el MERCOSUR y el T-MEC teniendo como año de análisis el 2025, previo a los trabajos de revisión del T-MEC de 2026. Dentro del marco de revisión, también fue oportuno revisar los términos relacionados al regionalismo, la cooperación internacional y los tratados internacionales a fin de ofrecer un panorama teórico y contextual de la situación que presentan los acuerdos analizados.  </w:t>
      </w:r>
    </w:p>
    <w:p w14:paraId="62DDEEC4" w14:textId="4A30BD8E" w:rsid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lastRenderedPageBreak/>
        <w:t xml:space="preserve">De esta manera, la información de la literatura y fuentes oficiales se organizó y evaluó para identificar similitudes y diferencias respecto a la incidencia de la política educativa en el T-MEC y en el MERCOSUR, en esta actividad se analizaron los marcos normativos derivados del Tratado de Libre Comercio (1994), informes del Gobierno de México (2020) y el MERCOSUR (2024) a la par de la literatura académica de autores relevantes sobre el tema (Aboites, 2007; Altbach, 1995; Barrow et al., 2003; González, 2015; Marúm, 1997; McKenzie, 2016; </w:t>
      </w:r>
      <w:r w:rsidR="002A5B9D" w:rsidRPr="002D5169">
        <w:rPr>
          <w:rFonts w:ascii="Times New Roman" w:hAnsi="Times New Roman" w:cs="Times New Roman"/>
        </w:rPr>
        <w:t>Nuske, 2023</w:t>
      </w:r>
      <w:r w:rsidR="002A5B9D">
        <w:rPr>
          <w:rFonts w:ascii="Times New Roman" w:hAnsi="Times New Roman" w:cs="Times New Roman"/>
        </w:rPr>
        <w:t>;</w:t>
      </w:r>
      <w:r w:rsidR="002A5B9D" w:rsidRPr="002D5169">
        <w:rPr>
          <w:rFonts w:ascii="Times New Roman" w:hAnsi="Times New Roman" w:cs="Times New Roman"/>
        </w:rPr>
        <w:t xml:space="preserve"> </w:t>
      </w:r>
      <w:r w:rsidRPr="002D5169">
        <w:rPr>
          <w:rFonts w:ascii="Times New Roman" w:hAnsi="Times New Roman" w:cs="Times New Roman"/>
        </w:rPr>
        <w:t xml:space="preserve">Sehgal, 2010; </w:t>
      </w:r>
      <w:r w:rsidR="002A5B9D" w:rsidRPr="002D5169">
        <w:rPr>
          <w:rFonts w:ascii="Times New Roman" w:hAnsi="Times New Roman" w:cs="Times New Roman"/>
        </w:rPr>
        <w:t>Passarini, 2023</w:t>
      </w:r>
      <w:r w:rsidR="002A5B9D">
        <w:rPr>
          <w:rFonts w:ascii="Times New Roman" w:hAnsi="Times New Roman" w:cs="Times New Roman"/>
        </w:rPr>
        <w:t xml:space="preserve">; </w:t>
      </w:r>
      <w:r w:rsidRPr="002D5169">
        <w:rPr>
          <w:rFonts w:ascii="Times New Roman" w:hAnsi="Times New Roman" w:cs="Times New Roman"/>
        </w:rPr>
        <w:t xml:space="preserve">Ruiz &amp; Gómez, 2021). Como siguiente paso se sistematizó la información y se contrastaron las categorías de análisis antes mencionadas. </w:t>
      </w:r>
    </w:p>
    <w:p w14:paraId="2FD138AD" w14:textId="06180755" w:rsidR="005F3B2E" w:rsidRPr="002D5169" w:rsidRDefault="005F3B2E" w:rsidP="002D5169">
      <w:pPr>
        <w:spacing w:line="240" w:lineRule="auto"/>
        <w:rPr>
          <w:rFonts w:ascii="Times New Roman" w:hAnsi="Times New Roman" w:cs="Times New Roman"/>
          <w:b/>
          <w:bCs/>
        </w:rPr>
      </w:pPr>
      <w:r w:rsidRPr="002D5169">
        <w:rPr>
          <w:rFonts w:ascii="Times New Roman" w:hAnsi="Times New Roman" w:cs="Times New Roman"/>
          <w:b/>
          <w:bCs/>
        </w:rPr>
        <w:t>Desarrollo</w:t>
      </w:r>
    </w:p>
    <w:p w14:paraId="7980FAEC" w14:textId="734AC74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En</w:t>
      </w:r>
      <w:r w:rsidRPr="002D5169">
        <w:rPr>
          <w:rFonts w:ascii="Times New Roman" w:hAnsi="Times New Roman" w:cs="Times New Roman"/>
          <w:b/>
          <w:bCs/>
          <w:lang w:val="es-ES_tradnl"/>
        </w:rPr>
        <w:t xml:space="preserve"> </w:t>
      </w:r>
      <w:r w:rsidRPr="002D5169">
        <w:rPr>
          <w:rFonts w:ascii="Times New Roman" w:hAnsi="Times New Roman" w:cs="Times New Roman"/>
          <w:lang w:val="es-ES_tradnl"/>
        </w:rPr>
        <w:t>el presente</w:t>
      </w:r>
      <w:r w:rsidRPr="002D5169">
        <w:rPr>
          <w:rFonts w:ascii="Times New Roman" w:hAnsi="Times New Roman" w:cs="Times New Roman"/>
          <w:b/>
          <w:bCs/>
          <w:lang w:val="es-ES_tradnl"/>
        </w:rPr>
        <w:t xml:space="preserve"> </w:t>
      </w:r>
      <w:r w:rsidRPr="002D5169">
        <w:rPr>
          <w:rFonts w:ascii="Times New Roman" w:hAnsi="Times New Roman" w:cs="Times New Roman"/>
          <w:lang w:val="es-ES_tradnl"/>
        </w:rPr>
        <w:t>apartado se analizarán los conceptos claves que fueron: regionalismo y cooperación internacional</w:t>
      </w:r>
      <w:r w:rsidR="003F0472">
        <w:rPr>
          <w:rFonts w:ascii="Times New Roman" w:hAnsi="Times New Roman" w:cs="Times New Roman"/>
          <w:lang w:val="es-ES_tradnl"/>
        </w:rPr>
        <w:t>, después</w:t>
      </w:r>
      <w:r w:rsidRPr="002D5169">
        <w:rPr>
          <w:rFonts w:ascii="Times New Roman" w:hAnsi="Times New Roman" w:cs="Times New Roman"/>
          <w:lang w:val="es-ES_tradnl"/>
        </w:rPr>
        <w:t xml:space="preserve"> se realiza</w:t>
      </w:r>
      <w:r w:rsidR="003F0472">
        <w:rPr>
          <w:rFonts w:ascii="Times New Roman" w:hAnsi="Times New Roman" w:cs="Times New Roman"/>
          <w:lang w:val="es-ES_tradnl"/>
        </w:rPr>
        <w:t>rá</w:t>
      </w:r>
      <w:r w:rsidRPr="002D5169">
        <w:rPr>
          <w:rFonts w:ascii="Times New Roman" w:hAnsi="Times New Roman" w:cs="Times New Roman"/>
          <w:lang w:val="es-ES_tradnl"/>
        </w:rPr>
        <w:t xml:space="preserve"> una descripción contextual de los tratados comerciales más importantes con sus principales características para posteriormente pasar a analizar el MERCO-SUR y el T-MEC.</w:t>
      </w:r>
    </w:p>
    <w:p w14:paraId="64272E96" w14:textId="7777777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Para analizar los tratados de libre comercio, es pertinente definir el libro comercio, lo cual Jaramillo &amp; </w:t>
      </w:r>
      <w:proofErr w:type="spellStart"/>
      <w:r w:rsidRPr="002D5169">
        <w:rPr>
          <w:rFonts w:ascii="Times New Roman" w:hAnsi="Times New Roman" w:cs="Times New Roman"/>
          <w:lang w:val="es-ES_tradnl"/>
        </w:rPr>
        <w:t>Tonon</w:t>
      </w:r>
      <w:proofErr w:type="spellEnd"/>
      <w:r w:rsidRPr="002D5169">
        <w:rPr>
          <w:rFonts w:ascii="Times New Roman" w:hAnsi="Times New Roman" w:cs="Times New Roman"/>
          <w:lang w:val="es-ES_tradnl"/>
        </w:rPr>
        <w:t xml:space="preserve"> (2023) interpretan como los espacios de un mercado de libre circulación de bienes, servicios y trabajo, resaltando que, la mayoría del comercio mundial tiene lugar dentro de bloques de libre comercio cuya influencia en la economía es alta y conlleva cambios tanto económicos, culturales como sociales en el cual, se puede encontrar la educación superior. </w:t>
      </w:r>
    </w:p>
    <w:p w14:paraId="4E331E43" w14:textId="255DDA9D"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Por otra parte, el regionalismo conforme señala </w:t>
      </w:r>
      <w:proofErr w:type="spellStart"/>
      <w:r w:rsidRPr="002D5169">
        <w:rPr>
          <w:rFonts w:ascii="Times New Roman" w:hAnsi="Times New Roman" w:cs="Times New Roman"/>
          <w:lang w:val="es-ES_tradnl"/>
        </w:rPr>
        <w:t>Sehgal</w:t>
      </w:r>
      <w:proofErr w:type="spellEnd"/>
      <w:r w:rsidRPr="002D5169">
        <w:rPr>
          <w:rFonts w:ascii="Times New Roman" w:hAnsi="Times New Roman" w:cs="Times New Roman"/>
          <w:lang w:val="es-ES_tradnl"/>
        </w:rPr>
        <w:t xml:space="preserve"> (2010), es un concepto que comenzó a desarrollarse a partir de la Segunda Guerra </w:t>
      </w:r>
      <w:r w:rsidR="003F0472">
        <w:rPr>
          <w:rFonts w:ascii="Times New Roman" w:hAnsi="Times New Roman" w:cs="Times New Roman"/>
          <w:lang w:val="es-ES_tradnl"/>
        </w:rPr>
        <w:t>M</w:t>
      </w:r>
      <w:r w:rsidRPr="002D5169">
        <w:rPr>
          <w:rFonts w:ascii="Times New Roman" w:hAnsi="Times New Roman" w:cs="Times New Roman"/>
          <w:lang w:val="es-ES_tradnl"/>
        </w:rPr>
        <w:t xml:space="preserve">undial tanto en el ámbito político como económico a partir de la creación de alianzas relevantes regionales como la Organización del Tratado del Atlántico Norte (OTAN), el Commonwealth y la Unión Europea que buscaron la protección mutua a nivel regional. </w:t>
      </w:r>
    </w:p>
    <w:p w14:paraId="1A1CCE27" w14:textId="4157BA3C" w:rsidR="002D5169" w:rsidRPr="002D5169" w:rsidRDefault="002D5169" w:rsidP="002D5169">
      <w:pPr>
        <w:spacing w:line="240" w:lineRule="auto"/>
        <w:jc w:val="both"/>
        <w:rPr>
          <w:rFonts w:ascii="Times New Roman" w:hAnsi="Times New Roman" w:cs="Times New Roman"/>
          <w:highlight w:val="yellow"/>
          <w:lang w:val="es-ES_tradnl"/>
        </w:rPr>
      </w:pPr>
      <w:r w:rsidRPr="002D5169">
        <w:rPr>
          <w:rFonts w:ascii="Times New Roman" w:hAnsi="Times New Roman" w:cs="Times New Roman"/>
        </w:rPr>
        <w:t>La idea principal del regionalismo es que los países que comercian y cooperan económicamente tienen menos probabilidades de entrar en conflicto. Para los países europeos funcionó como motor para la reconstrucción económica y reducir barreras comerciales.</w:t>
      </w:r>
    </w:p>
    <w:p w14:paraId="5E1D7187" w14:textId="1C98841E"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A continuación, se presentan las referencias históricas más destacadas del regionalismo. El antecedente más antiguo es la Unión Europea que empieza en 1957 con la Comunidad Económica Europea para culminar en 1993 con el mercado único, representa el nivel más avanzado de integración económica en el mundo</w:t>
      </w:r>
      <w:r w:rsidR="003F0472">
        <w:rPr>
          <w:rFonts w:ascii="Times New Roman" w:hAnsi="Times New Roman" w:cs="Times New Roman"/>
          <w:lang w:val="es-ES_tradnl"/>
        </w:rPr>
        <w:t>,</w:t>
      </w:r>
      <w:r w:rsidRPr="002D5169">
        <w:rPr>
          <w:rFonts w:ascii="Times New Roman" w:hAnsi="Times New Roman" w:cs="Times New Roman"/>
          <w:lang w:val="es-ES_tradnl"/>
        </w:rPr>
        <w:t xml:space="preserve"> ya que permite la libre circulación de bienes, servicios, capital y personas e incluso entre algunos países existe unión monetaria, es un ejemplo de integración profunda, donde los países ceden parte de su soberanía, lo cual es peculiar (</w:t>
      </w:r>
      <w:proofErr w:type="spellStart"/>
      <w:r w:rsidRPr="002D5169">
        <w:rPr>
          <w:rFonts w:ascii="Times New Roman" w:hAnsi="Times New Roman" w:cs="Times New Roman"/>
          <w:lang w:val="es-ES_tradnl"/>
        </w:rPr>
        <w:t>Nuske</w:t>
      </w:r>
      <w:proofErr w:type="spellEnd"/>
      <w:r w:rsidRPr="002D5169">
        <w:rPr>
          <w:rFonts w:ascii="Times New Roman" w:hAnsi="Times New Roman" w:cs="Times New Roman"/>
          <w:lang w:val="es-ES_tradnl"/>
        </w:rPr>
        <w:t>, 2023).</w:t>
      </w:r>
    </w:p>
    <w:p w14:paraId="2A992D33" w14:textId="77777777" w:rsidR="002D5169" w:rsidRPr="002D5169" w:rsidRDefault="002D5169" w:rsidP="002D5169">
      <w:pPr>
        <w:pStyle w:val="NormalWeb"/>
        <w:spacing w:after="160"/>
        <w:jc w:val="both"/>
      </w:pPr>
      <w:r w:rsidRPr="002D5169">
        <w:rPr>
          <w:lang w:val="es-ES_tradnl"/>
        </w:rPr>
        <w:t xml:space="preserve">La </w:t>
      </w:r>
      <w:proofErr w:type="spellStart"/>
      <w:r w:rsidRPr="002D5169">
        <w:rPr>
          <w:i/>
          <w:iCs/>
          <w:lang w:val="es-ES_tradnl"/>
        </w:rPr>
        <w:t>World</w:t>
      </w:r>
      <w:proofErr w:type="spellEnd"/>
      <w:r w:rsidRPr="002D5169">
        <w:rPr>
          <w:i/>
          <w:iCs/>
          <w:lang w:val="es-ES_tradnl"/>
        </w:rPr>
        <w:t xml:space="preserve"> </w:t>
      </w:r>
      <w:proofErr w:type="spellStart"/>
      <w:r w:rsidRPr="002D5169">
        <w:rPr>
          <w:i/>
          <w:iCs/>
          <w:lang w:val="es-ES_tradnl"/>
        </w:rPr>
        <w:t>Trade</w:t>
      </w:r>
      <w:proofErr w:type="spellEnd"/>
      <w:r w:rsidRPr="002D5169">
        <w:rPr>
          <w:i/>
          <w:iCs/>
          <w:lang w:val="es-ES_tradnl"/>
        </w:rPr>
        <w:t xml:space="preserve"> </w:t>
      </w:r>
      <w:proofErr w:type="spellStart"/>
      <w:r w:rsidRPr="002D5169">
        <w:rPr>
          <w:i/>
          <w:iCs/>
          <w:lang w:val="es-ES_tradnl"/>
        </w:rPr>
        <w:t>Organization</w:t>
      </w:r>
      <w:proofErr w:type="spellEnd"/>
      <w:r w:rsidRPr="002D5169">
        <w:rPr>
          <w:lang w:val="es-ES_tradnl"/>
        </w:rPr>
        <w:t xml:space="preserve"> (WTO) que es el pilar del sistema comercial internacional y es un conjunto de acuerdos que establece reglas comunes para más de 160 países y fue creado en 1995. (</w:t>
      </w:r>
      <w:r w:rsidRPr="002D5169">
        <w:t xml:space="preserve">World Trade Organization, 1995). Su función principal es establecer reglas comerciales internacionales, resolver disputas comerciales y promover que el </w:t>
      </w:r>
      <w:r w:rsidRPr="002D5169">
        <w:lastRenderedPageBreak/>
        <w:t>intercambio de bienes y servicios sea más libre, justo y predecible entre las naciones miembros.</w:t>
      </w:r>
    </w:p>
    <w:p w14:paraId="5167B93F"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lang w:val="es-ES_tradnl"/>
        </w:rPr>
        <w:t xml:space="preserve">Otro acuerdo comercial muy reconocido es el </w:t>
      </w:r>
      <w:r w:rsidRPr="002D5169">
        <w:rPr>
          <w:rFonts w:ascii="Times New Roman" w:hAnsi="Times New Roman" w:cs="Times New Roman"/>
          <w:i/>
          <w:iCs/>
          <w:lang w:val="es-ES_tradnl"/>
        </w:rPr>
        <w:t xml:space="preserve">Regional Comprehensive </w:t>
      </w:r>
      <w:proofErr w:type="spellStart"/>
      <w:r w:rsidRPr="002D5169">
        <w:rPr>
          <w:rFonts w:ascii="Times New Roman" w:hAnsi="Times New Roman" w:cs="Times New Roman"/>
          <w:i/>
          <w:iCs/>
          <w:lang w:val="es-ES_tradnl"/>
        </w:rPr>
        <w:t>Economic</w:t>
      </w:r>
      <w:proofErr w:type="spellEnd"/>
      <w:r w:rsidRPr="002D5169">
        <w:rPr>
          <w:rFonts w:ascii="Times New Roman" w:hAnsi="Times New Roman" w:cs="Times New Roman"/>
          <w:i/>
          <w:iCs/>
          <w:lang w:val="es-ES_tradnl"/>
        </w:rPr>
        <w:t xml:space="preserve"> </w:t>
      </w:r>
      <w:proofErr w:type="spellStart"/>
      <w:r w:rsidRPr="002D5169">
        <w:rPr>
          <w:rFonts w:ascii="Times New Roman" w:hAnsi="Times New Roman" w:cs="Times New Roman"/>
          <w:i/>
          <w:iCs/>
          <w:lang w:val="es-ES_tradnl"/>
        </w:rPr>
        <w:t>Partnership</w:t>
      </w:r>
      <w:proofErr w:type="spellEnd"/>
      <w:r w:rsidRPr="002D5169">
        <w:rPr>
          <w:rFonts w:ascii="Times New Roman" w:hAnsi="Times New Roman" w:cs="Times New Roman"/>
          <w:lang w:val="es-ES_tradnl"/>
        </w:rPr>
        <w:t xml:space="preserve"> (RCEP) creado en 2020, es el más grande del mundo en términos de población e integra a 15 países de Asía y consolida el liderazgo económico de Asia fortaleciendo la integración regional (</w:t>
      </w:r>
      <w:r w:rsidRPr="002D5169">
        <w:rPr>
          <w:rFonts w:ascii="Times New Roman" w:hAnsi="Times New Roman" w:cs="Times New Roman"/>
        </w:rPr>
        <w:t>Association of Southeast Asian Nations (ASEAN), 2020).</w:t>
      </w:r>
    </w:p>
    <w:p w14:paraId="133A76D0" w14:textId="05D89EEB"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rPr>
        <w:t xml:space="preserve">Por lo que ve al tema de la cooperación internacional educativa en específico la </w:t>
      </w:r>
      <w:r w:rsidRPr="002D5169">
        <w:rPr>
          <w:rFonts w:ascii="Times New Roman" w:hAnsi="Times New Roman" w:cs="Times New Roman"/>
          <w:lang w:val="es-ES_tradnl"/>
        </w:rPr>
        <w:t xml:space="preserve">UNESCO (2023) entre los </w:t>
      </w:r>
      <w:r w:rsidRPr="002D5169">
        <w:rPr>
          <w:rFonts w:ascii="Times New Roman" w:hAnsi="Times New Roman" w:cs="Times New Roman"/>
          <w:i/>
          <w:iCs/>
          <w:lang w:val="es-ES_tradnl"/>
        </w:rPr>
        <w:t>Diez ejes para repensar la educación del mañana en América Latina y el Caribe</w:t>
      </w:r>
      <w:r w:rsidRPr="002D5169">
        <w:rPr>
          <w:rFonts w:ascii="Times New Roman" w:hAnsi="Times New Roman" w:cs="Times New Roman"/>
          <w:lang w:val="es-ES_tradnl"/>
        </w:rPr>
        <w:t xml:space="preserve"> considera la cooperación internacional educativa como una de las piezas clave para la mejora de la calidad educativa y los acuerdos de cooperación económica son parte de ella. </w:t>
      </w:r>
    </w:p>
    <w:p w14:paraId="44ECC3A2" w14:textId="77777777" w:rsidR="002D5169" w:rsidRPr="002D5169" w:rsidRDefault="002D5169" w:rsidP="002D5169">
      <w:pPr>
        <w:spacing w:line="240" w:lineRule="auto"/>
        <w:jc w:val="both"/>
        <w:rPr>
          <w:rFonts w:ascii="Times New Roman" w:hAnsi="Times New Roman" w:cs="Times New Roman"/>
          <w:lang w:val="es-ES_tradnl"/>
        </w:rPr>
      </w:pPr>
      <w:proofErr w:type="gramStart"/>
      <w:r w:rsidRPr="002D5169">
        <w:rPr>
          <w:rFonts w:ascii="Times New Roman" w:hAnsi="Times New Roman" w:cs="Times New Roman"/>
          <w:lang w:val="es-ES_tradnl"/>
        </w:rPr>
        <w:t>De acuerdo a</w:t>
      </w:r>
      <w:proofErr w:type="gramEnd"/>
      <w:r w:rsidRPr="002D5169">
        <w:rPr>
          <w:rFonts w:ascii="Times New Roman" w:hAnsi="Times New Roman" w:cs="Times New Roman"/>
          <w:lang w:val="es-ES_tradnl"/>
        </w:rPr>
        <w:t xml:space="preserve"> la Institución de Educación Superior de América Latina y el Caribe (IESALC, 2019), la colaboración interinstitucional debe ser la base de la regionalización, destacando la solidaridad, la igualdad y la integración y también la cooperación Sur-Sur. </w:t>
      </w:r>
    </w:p>
    <w:p w14:paraId="4A19EEEC" w14:textId="77777777" w:rsidR="002D5169" w:rsidRPr="002D5169" w:rsidRDefault="002D5169" w:rsidP="002D5169">
      <w:pPr>
        <w:spacing w:line="240" w:lineRule="auto"/>
        <w:jc w:val="both"/>
        <w:rPr>
          <w:rFonts w:ascii="Times New Roman" w:hAnsi="Times New Roman" w:cs="Times New Roman"/>
          <w:lang w:val="es-ES_tradnl"/>
        </w:rPr>
      </w:pPr>
      <w:proofErr w:type="spellStart"/>
      <w:r w:rsidRPr="002D5169">
        <w:rPr>
          <w:rFonts w:ascii="Times New Roman" w:hAnsi="Times New Roman" w:cs="Times New Roman"/>
          <w:lang w:val="es-ES_tradnl"/>
        </w:rPr>
        <w:t>Didou-Aupetit</w:t>
      </w:r>
      <w:proofErr w:type="spellEnd"/>
      <w:r w:rsidRPr="002D5169">
        <w:rPr>
          <w:rFonts w:ascii="Times New Roman" w:hAnsi="Times New Roman" w:cs="Times New Roman"/>
          <w:lang w:val="es-ES_tradnl"/>
        </w:rPr>
        <w:t xml:space="preserve"> (2017) resalta que en este proceso es fundamental el dialogo intercultural con respeto de todas las culturas e identidades; es decir, se debe promocionar el regionalismo con base en el respeto a la diversidad cultural e histórica de cada actor, promoviendo la cooperación mediante redes de universidades y aprovechando el conocimiento para beneficio social de forma que pueda impulsar el desarrollo sostenible nacional y regional. </w:t>
      </w:r>
    </w:p>
    <w:p w14:paraId="5FEFC21A"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De esta forma, la educación se ha convertido en un componente esencial dentro de los Estudios Internacionales, que analizan las relaciones entre estados, las redes transnacionales y los procesos de globalización. La formación de capital humano con perspectiva global se ha convertido en una prioridad estratégica (Baylis et al., 2020).</w:t>
      </w:r>
    </w:p>
    <w:p w14:paraId="3DDDABD1" w14:textId="6006F1CF" w:rsidR="002D5169" w:rsidRPr="003F0472"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Bajo este contexto, los tratados comerciales de años recientes, además de incluir el intercambio de bienes y servicios, incluyen aspectos directamente relacionados con la educación como la cooperación, la movilidad y la equivalencia de títulos de estudios (De Lombaerde &amp; Van Langenhove, 2007). </w:t>
      </w:r>
    </w:p>
    <w:p w14:paraId="7C154D75" w14:textId="77777777" w:rsidR="002D5169" w:rsidRPr="00B246D7" w:rsidRDefault="002D5169" w:rsidP="00B246D7">
      <w:pPr>
        <w:spacing w:line="240" w:lineRule="auto"/>
        <w:jc w:val="both"/>
        <w:rPr>
          <w:rFonts w:ascii="Times New Roman" w:hAnsi="Times New Roman" w:cs="Times New Roman"/>
          <w:b/>
          <w:bCs/>
          <w:lang w:val="es-ES_tradnl"/>
        </w:rPr>
      </w:pPr>
      <w:r w:rsidRPr="00B246D7">
        <w:rPr>
          <w:rFonts w:ascii="Times New Roman" w:hAnsi="Times New Roman" w:cs="Times New Roman"/>
          <w:b/>
          <w:bCs/>
          <w:lang w:val="es-ES_tradnl"/>
        </w:rPr>
        <w:t>El MERCOSUR</w:t>
      </w:r>
    </w:p>
    <w:p w14:paraId="54B747EE" w14:textId="7BA2C45B" w:rsidR="003F0472" w:rsidRDefault="003F0472" w:rsidP="002D5169">
      <w:pPr>
        <w:spacing w:line="240" w:lineRule="auto"/>
        <w:jc w:val="both"/>
        <w:rPr>
          <w:rFonts w:ascii="Times New Roman" w:hAnsi="Times New Roman" w:cs="Times New Roman"/>
          <w:lang w:val="es-ES_tradnl"/>
        </w:rPr>
      </w:pPr>
      <w:r>
        <w:rPr>
          <w:rFonts w:ascii="Times New Roman" w:hAnsi="Times New Roman" w:cs="Times New Roman"/>
          <w:lang w:val="es-ES_tradnl"/>
        </w:rPr>
        <w:t xml:space="preserve">El bloque </w:t>
      </w:r>
      <w:r w:rsidR="00A4100B">
        <w:rPr>
          <w:rFonts w:ascii="Times New Roman" w:hAnsi="Times New Roman" w:cs="Times New Roman"/>
          <w:lang w:val="es-ES_tradnl"/>
        </w:rPr>
        <w:t>socioeconómico</w:t>
      </w:r>
      <w:r>
        <w:rPr>
          <w:rFonts w:ascii="Times New Roman" w:hAnsi="Times New Roman" w:cs="Times New Roman"/>
          <w:lang w:val="es-ES_tradnl"/>
        </w:rPr>
        <w:t xml:space="preserve"> denominado </w:t>
      </w:r>
      <w:r w:rsidR="00232403">
        <w:rPr>
          <w:rFonts w:ascii="Times New Roman" w:hAnsi="Times New Roman" w:cs="Times New Roman"/>
          <w:lang w:val="es-ES_tradnl"/>
        </w:rPr>
        <w:t>M</w:t>
      </w:r>
      <w:r>
        <w:rPr>
          <w:rFonts w:ascii="Times New Roman" w:hAnsi="Times New Roman" w:cs="Times New Roman"/>
          <w:lang w:val="es-ES_tradnl"/>
        </w:rPr>
        <w:t xml:space="preserve">ercado </w:t>
      </w:r>
      <w:r w:rsidR="00232403">
        <w:rPr>
          <w:rFonts w:ascii="Times New Roman" w:hAnsi="Times New Roman" w:cs="Times New Roman"/>
          <w:lang w:val="es-ES_tradnl"/>
        </w:rPr>
        <w:t>C</w:t>
      </w:r>
      <w:r>
        <w:rPr>
          <w:rFonts w:ascii="Times New Roman" w:hAnsi="Times New Roman" w:cs="Times New Roman"/>
          <w:lang w:val="es-ES_tradnl"/>
        </w:rPr>
        <w:t xml:space="preserve">omún del </w:t>
      </w:r>
      <w:r w:rsidR="00232403">
        <w:rPr>
          <w:rFonts w:ascii="Times New Roman" w:hAnsi="Times New Roman" w:cs="Times New Roman"/>
          <w:lang w:val="es-ES_tradnl"/>
        </w:rPr>
        <w:t>S</w:t>
      </w:r>
      <w:r>
        <w:rPr>
          <w:rFonts w:ascii="Times New Roman" w:hAnsi="Times New Roman" w:cs="Times New Roman"/>
          <w:lang w:val="es-ES_tradnl"/>
        </w:rPr>
        <w:t>ur (MERCOSUR)</w:t>
      </w:r>
      <w:r w:rsidR="00232403">
        <w:rPr>
          <w:rFonts w:ascii="Times New Roman" w:hAnsi="Times New Roman" w:cs="Times New Roman"/>
          <w:lang w:val="es-ES_tradnl"/>
        </w:rPr>
        <w:t xml:space="preserve">, fue creado por cuatro países: Argentina, Brasil, Paraguay y Uruguay, el 26 de marzo de 1991, añadiendo posteriormente a Chile (1996) y Bolivia (1997), con la finalidad de generar una Zona de Libre Comercio. Si bien, esta alianza busca mejorar las condiciones comerciales, con la finalidad de generar un mercado común como el europeo, </w:t>
      </w:r>
      <w:r w:rsidR="00A4100B">
        <w:rPr>
          <w:rFonts w:ascii="Times New Roman" w:hAnsi="Times New Roman" w:cs="Times New Roman"/>
          <w:lang w:val="es-ES_tradnl"/>
        </w:rPr>
        <w:t xml:space="preserve">aún sigue habiendo algunos obstáculos que han impedido alcanzar este objetivo, ya que por el momento sólo se ha podido generar una unión aduanera para eliminar el pago de aranceles, debido a las grandes diferencias socioeconómicas de sus miembros. </w:t>
      </w:r>
    </w:p>
    <w:p w14:paraId="1F647E95" w14:textId="13BAD6B1" w:rsidR="0008455E" w:rsidRPr="003F0472" w:rsidRDefault="0008455E" w:rsidP="002D5169">
      <w:pPr>
        <w:spacing w:line="240" w:lineRule="auto"/>
        <w:jc w:val="both"/>
        <w:rPr>
          <w:rFonts w:ascii="Times New Roman" w:hAnsi="Times New Roman" w:cs="Times New Roman"/>
          <w:lang w:val="es-ES_tradnl"/>
        </w:rPr>
      </w:pPr>
      <w:r>
        <w:rPr>
          <w:rFonts w:ascii="Times New Roman" w:hAnsi="Times New Roman" w:cs="Times New Roman"/>
          <w:lang w:val="es-ES_tradnl"/>
        </w:rPr>
        <w:t>Desde su fundación, el MERCOSUR incluyó a la educación como un elemento clave</w:t>
      </w:r>
      <w:r w:rsidR="001961FE">
        <w:rPr>
          <w:rFonts w:ascii="Times New Roman" w:hAnsi="Times New Roman" w:cs="Times New Roman"/>
          <w:lang w:val="es-ES_tradnl"/>
        </w:rPr>
        <w:t xml:space="preserve"> dentro de sus actividades</w:t>
      </w:r>
      <w:r>
        <w:rPr>
          <w:rFonts w:ascii="Times New Roman" w:hAnsi="Times New Roman" w:cs="Times New Roman"/>
          <w:lang w:val="es-ES_tradnl"/>
        </w:rPr>
        <w:t xml:space="preserve">, por lo que desarrolló </w:t>
      </w:r>
      <w:r w:rsidR="001961FE">
        <w:rPr>
          <w:rFonts w:ascii="Times New Roman" w:hAnsi="Times New Roman" w:cs="Times New Roman"/>
          <w:lang w:val="es-ES_tradnl"/>
        </w:rPr>
        <w:t>procesos de</w:t>
      </w:r>
      <w:r>
        <w:rPr>
          <w:rFonts w:ascii="Times New Roman" w:hAnsi="Times New Roman" w:cs="Times New Roman"/>
          <w:lang w:val="es-ES_tradnl"/>
        </w:rPr>
        <w:t xml:space="preserve"> acreditación de carreras de </w:t>
      </w:r>
      <w:r>
        <w:rPr>
          <w:rFonts w:ascii="Times New Roman" w:hAnsi="Times New Roman" w:cs="Times New Roman"/>
          <w:lang w:val="es-ES_tradnl"/>
        </w:rPr>
        <w:lastRenderedPageBreak/>
        <w:t xml:space="preserve">grado buscando armonizar los diplomas y títulos universitarios de acuerdo al Mecanismo Experimental de Acreditación (MEXA) y a través de la creación e implementación de Agencias nacionales de evaluación y acreditación de carreras, lo que permitió tener un mayor tránsito de profesionales, así como el reconocimiento de los títulos universitarios expedidos </w:t>
      </w:r>
      <w:r w:rsidR="001961FE">
        <w:rPr>
          <w:rFonts w:ascii="Times New Roman" w:hAnsi="Times New Roman" w:cs="Times New Roman"/>
          <w:lang w:val="es-ES_tradnl"/>
        </w:rPr>
        <w:t xml:space="preserve">dentro de la región. Por este motivo, desde su comienzo se convocó al sector educativo para establecer criterios de calidad a fin de crear un lenguaje común entre países dónde se pudiera llevar a cabo la acreditación de algunas profesiones, como fue el caso de la agronomía, la medicina y la ingeniería (González, 2015). </w:t>
      </w:r>
    </w:p>
    <w:p w14:paraId="2B4DD879" w14:textId="3EF8105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De hecho, desde sus inicios fue creado el Sector Educativo del </w:t>
      </w:r>
      <w:r>
        <w:rPr>
          <w:rFonts w:ascii="Times New Roman" w:hAnsi="Times New Roman" w:cs="Times New Roman"/>
        </w:rPr>
        <w:t>MERCOSUR</w:t>
      </w:r>
      <w:r w:rsidRPr="002D5169">
        <w:rPr>
          <w:rFonts w:ascii="Times New Roman" w:hAnsi="Times New Roman" w:cs="Times New Roman"/>
        </w:rPr>
        <w:t xml:space="preserve"> (SEM), este organismo coordina políticas educativas, movilidad académica y reconocimiento de estudios. El SEM es el órgano de coordinación de políticas educativas dentro del MERCOSUR, creado en 1991 tras el Tratado de Asunción y constituye un espacio intergubernamental destinado a promover la integración regional a través de la educación, mediante la armonización de políticas, la cooperación académica y el reconocimiento de estudios. Articula políticas públicas entre países miembros. Define planes estratégicos regionales. Todos los países que pertenecen al MERCOSUR son parte del SEM (MERCOSUR, 2020). </w:t>
      </w:r>
    </w:p>
    <w:p w14:paraId="647651C7" w14:textId="642B6C78"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Adicionalmente, el SEM promueve la movilidad académica, desarrolla acuerdos de reconocimiento académico, aseguramiento de calidad educativa con el sistema ARCU-SUR, que es un sistema regional de acreditación de carreras, no todas las carreras están presentes todavía, pero se evalúa la calidad de los programas de ingeniería, medicina y arquitectura. Este sistema de reconocimiento sirve para continuación de estudios, acceder a posgrados y</w:t>
      </w:r>
      <w:r w:rsidR="001961FE">
        <w:rPr>
          <w:rFonts w:ascii="Times New Roman" w:hAnsi="Times New Roman" w:cs="Times New Roman"/>
        </w:rPr>
        <w:t>,</w:t>
      </w:r>
      <w:r w:rsidRPr="002D5169">
        <w:rPr>
          <w:rFonts w:ascii="Times New Roman" w:hAnsi="Times New Roman" w:cs="Times New Roman"/>
        </w:rPr>
        <w:t xml:space="preserve"> sobre todo</w:t>
      </w:r>
      <w:r w:rsidR="001961FE">
        <w:rPr>
          <w:rFonts w:ascii="Times New Roman" w:hAnsi="Times New Roman" w:cs="Times New Roman"/>
        </w:rPr>
        <w:t>,</w:t>
      </w:r>
      <w:r w:rsidRPr="002D5169">
        <w:rPr>
          <w:rFonts w:ascii="Times New Roman" w:hAnsi="Times New Roman" w:cs="Times New Roman"/>
        </w:rPr>
        <w:t xml:space="preserve"> favorecer la movilidad estudiantil a nivel regional.  Obviamente no es un sistema automático con respecto al ejercicio profesional porque en este caso aún se necesitan la revalidación nacional y las certificaciones profesionales (Perrotta &amp; Alonso, 2021). </w:t>
      </w:r>
    </w:p>
    <w:p w14:paraId="2A2C257F" w14:textId="77777777" w:rsidR="002D5169" w:rsidRPr="002D5169" w:rsidRDefault="002D5169" w:rsidP="002D5169">
      <w:pPr>
        <w:spacing w:line="240" w:lineRule="auto"/>
        <w:jc w:val="both"/>
        <w:rPr>
          <w:rFonts w:ascii="Times New Roman" w:hAnsi="Times New Roman" w:cs="Times New Roman"/>
          <w:lang w:val="es-ES_tradnl"/>
        </w:rPr>
      </w:pPr>
    </w:p>
    <w:p w14:paraId="7AA749AE" w14:textId="77777777" w:rsidR="002D5169" w:rsidRPr="002D5169" w:rsidRDefault="002D5169" w:rsidP="002D5169">
      <w:pPr>
        <w:spacing w:line="240" w:lineRule="auto"/>
        <w:jc w:val="both"/>
        <w:rPr>
          <w:rFonts w:ascii="Times New Roman" w:hAnsi="Times New Roman" w:cs="Times New Roman"/>
          <w:b/>
          <w:bCs/>
          <w:lang w:val="es-ES_tradnl"/>
        </w:rPr>
      </w:pPr>
      <w:r w:rsidRPr="002D5169">
        <w:rPr>
          <w:rFonts w:ascii="Times New Roman" w:hAnsi="Times New Roman" w:cs="Times New Roman"/>
          <w:b/>
          <w:bCs/>
          <w:lang w:val="es-ES_tradnl"/>
        </w:rPr>
        <w:t xml:space="preserve">El Tratado de Libre Comercio (TLC) y Tratado México, Estados Unidos y Canadá (T-MEC) </w:t>
      </w:r>
    </w:p>
    <w:p w14:paraId="7EC2A286" w14:textId="340BD84A"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El 1 de enero de 1994 entró en vigor el Tratado de Libre Comercio para América del Norte o por sus siglas TLC, el cual, después de su revisión por los tres países cambiaría de nombre en 2018 a Tratado México, Estados Unidos y </w:t>
      </w:r>
      <w:r w:rsidR="001961FE" w:rsidRPr="002D5169">
        <w:rPr>
          <w:rFonts w:ascii="Times New Roman" w:hAnsi="Times New Roman" w:cs="Times New Roman"/>
          <w:lang w:val="es-ES_tradnl"/>
        </w:rPr>
        <w:t>Canadá</w:t>
      </w:r>
      <w:r w:rsidRPr="002D5169">
        <w:rPr>
          <w:rFonts w:ascii="Times New Roman" w:hAnsi="Times New Roman" w:cs="Times New Roman"/>
          <w:lang w:val="es-ES_tradnl"/>
        </w:rPr>
        <w:t xml:space="preserve"> o T-MEC. Este acuerdo comercial fue el resultado de una varios años de negociación entre los tres países debido a que, si bien comparten fronteras, sus economías son heterogéneas. A pesar de este fenómeno, se considera el bloque del TLC como un ejemplo de liberalización del comercio entre </w:t>
      </w:r>
      <w:r w:rsidR="001961FE">
        <w:rPr>
          <w:rFonts w:ascii="Times New Roman" w:hAnsi="Times New Roman" w:cs="Times New Roman"/>
          <w:lang w:val="es-ES_tradnl"/>
        </w:rPr>
        <w:t>E</w:t>
      </w:r>
      <w:r w:rsidRPr="002D5169">
        <w:rPr>
          <w:rFonts w:ascii="Times New Roman" w:hAnsi="Times New Roman" w:cs="Times New Roman"/>
          <w:lang w:val="es-ES_tradnl"/>
        </w:rPr>
        <w:t xml:space="preserve">stados fronterizos con reducción de barreras arancelarias y de inversión, teniendo como resultado el haber casi triplicado el comercio entre los países producto de la integración de las cadenas de producción. Actualmente, dentro del bloque TLC, Estados Unidos representa el líder innegable de la región sobresaliendo por su liderazgo en tecnología e innovación, por su parte, Canadá aporta a la alianza comercial una economía sólida, recursos naturales y minería, mientras que México se ha adoptado como el </w:t>
      </w:r>
      <w:r w:rsidRPr="002D5169">
        <w:rPr>
          <w:rFonts w:ascii="Times New Roman" w:hAnsi="Times New Roman" w:cs="Times New Roman"/>
          <w:lang w:val="es-ES_tradnl"/>
        </w:rPr>
        <w:lastRenderedPageBreak/>
        <w:t>componente manufacturero y productivo con costo competitivo y beneficioso para sus socios comerciales (Ruiz y Gómez, 2021).</w:t>
      </w:r>
    </w:p>
    <w:p w14:paraId="0BE1FAE0" w14:textId="7B74A4CD"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kern w:val="36"/>
        </w:rPr>
        <w:t>En 2025 se dio inicio formalmente al proceso de revisión del T-MEC con las consultas públicas para la revisión formal de 2026. Hay unos ejes que son centrales en las negociaciones como el sector automotriz y los aranceles que Estados Unidos ha propuesto del 25% en acero y autos. Adicionalmente otro tema central es la competencia con China (</w:t>
      </w:r>
      <w:r w:rsidRPr="002D5169">
        <w:rPr>
          <w:rStyle w:val="whitespace-normal"/>
          <w:rFonts w:ascii="Times New Roman" w:hAnsi="Times New Roman" w:cs="Times New Roman"/>
        </w:rPr>
        <w:t>Center for Strategic and International Studies</w:t>
      </w:r>
      <w:r w:rsidRPr="002D5169">
        <w:rPr>
          <w:rFonts w:ascii="Times New Roman" w:hAnsi="Times New Roman" w:cs="Times New Roman"/>
        </w:rPr>
        <w:t xml:space="preserve"> Center for Strategic and International Studies (CSIS). (2025).</w:t>
      </w:r>
    </w:p>
    <w:p w14:paraId="77621127" w14:textId="7777777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rPr>
        <w:t xml:space="preserve">Desde las etapas iniciales de implementación del TCL, diversos investigadores como Altabach (1995) o Marúm (1997) mostraron su preocupación por su efecto en la educación, subrayando la necesidad de incorporar la educación como un mecanismo para disminuir las asimetrías entre los países del bloque. </w:t>
      </w:r>
    </w:p>
    <w:p w14:paraId="083904B3" w14:textId="7777777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En ese período inicial de la vida del TLC, México tuvo que implementar cambios significativos en su sistema educativo porque no contaba con mecanismos de homologación de acreditación de carreras que sí estaban consolidados en Canadá y Estados Unidos. Como consecuencia, México creó agencias acreditadoras orientadas a elevar y armonizar la calidad de la educación. Igualmente, el TLC impulsó el sistema de créditos para facilitar la revalidación de estudios realizados en el extranjero o bien, homologar programas de intercambio tanto a nivel nacional como internacional. A la par, se promovió la creación enfocados en el desarrollo y excelencia académica como la Asociación Mexicana para la Educación Internacional en 1992 y el Centro de Investigaciones de Norte América de la Universidad Nacional Autónoma de México (Barrow et al., 2003).</w:t>
      </w:r>
    </w:p>
    <w:p w14:paraId="0E760080" w14:textId="7777777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A partir del plano económico, tanto el TLC ha tenido diferentes resultados para cada país integrante. En este sentido, Estados Unidos se ha beneficiado en términos de tamaño de mercado y reducción de los precios finales para el consumidor, también ha significado pérdidas económicas en sectores productivos específicos. </w:t>
      </w:r>
      <w:proofErr w:type="spellStart"/>
      <w:r w:rsidRPr="002D5169">
        <w:rPr>
          <w:rFonts w:ascii="Times New Roman" w:hAnsi="Times New Roman" w:cs="Times New Roman"/>
          <w:lang w:val="es-ES_tradnl"/>
        </w:rPr>
        <w:t>Canada</w:t>
      </w:r>
      <w:proofErr w:type="spellEnd"/>
      <w:r w:rsidRPr="002D5169">
        <w:rPr>
          <w:rFonts w:ascii="Times New Roman" w:hAnsi="Times New Roman" w:cs="Times New Roman"/>
          <w:lang w:val="es-ES_tradnl"/>
        </w:rPr>
        <w:t xml:space="preserve"> por su parte, obtuvo ventajas de acceso al mercado estadounidense y atrajo inversiones, mientras que, en el caso de México se observó un crecimiento económico producto del aumento en sus exportaciones hacia sus socios comerciales, (Pastor, 2011), esta asimetría en la balanza comercial entre Estados Unidos y </w:t>
      </w:r>
      <w:proofErr w:type="gramStart"/>
      <w:r w:rsidRPr="002D5169">
        <w:rPr>
          <w:rFonts w:ascii="Times New Roman" w:hAnsi="Times New Roman" w:cs="Times New Roman"/>
          <w:lang w:val="es-ES_tradnl"/>
        </w:rPr>
        <w:t>México,</w:t>
      </w:r>
      <w:proofErr w:type="gramEnd"/>
      <w:r w:rsidRPr="002D5169">
        <w:rPr>
          <w:rFonts w:ascii="Times New Roman" w:hAnsi="Times New Roman" w:cs="Times New Roman"/>
          <w:lang w:val="es-ES_tradnl"/>
        </w:rPr>
        <w:t xml:space="preserve"> ha sido vista en años recientes por el gobierno norteamericano como un posible abuso hacia Estados Unidos (Rivera, 2025).   </w:t>
      </w:r>
    </w:p>
    <w:p w14:paraId="5FFDEE30" w14:textId="5D12F0D6"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Conforme a la metodología, se llevó a cabo el análisis de contenido respecto a la acreditación de carreras universitarias, reconocimiento de títulos y mecanismos de movilidad, cuyos resultados se presentan en la Tabla </w:t>
      </w:r>
      <w:r>
        <w:rPr>
          <w:rFonts w:ascii="Times New Roman" w:hAnsi="Times New Roman" w:cs="Times New Roman"/>
          <w:lang w:val="es-ES_tradnl"/>
        </w:rPr>
        <w:t>1</w:t>
      </w:r>
      <w:r w:rsidRPr="002D5169">
        <w:rPr>
          <w:rFonts w:ascii="Times New Roman" w:hAnsi="Times New Roman" w:cs="Times New Roman"/>
          <w:lang w:val="es-ES_tradnl"/>
        </w:rPr>
        <w:t xml:space="preserve">. </w:t>
      </w:r>
    </w:p>
    <w:p w14:paraId="565BF857" w14:textId="77777777" w:rsidR="002D5169" w:rsidRPr="002D5169" w:rsidRDefault="002D5169" w:rsidP="002D5169">
      <w:pPr>
        <w:spacing w:line="240" w:lineRule="auto"/>
        <w:jc w:val="both"/>
        <w:rPr>
          <w:rFonts w:ascii="Times New Roman" w:hAnsi="Times New Roman" w:cs="Times New Roman"/>
          <w:b/>
          <w:bCs/>
          <w:lang w:val="es-ES_tradnl"/>
        </w:rPr>
      </w:pPr>
      <w:r w:rsidRPr="002D5169">
        <w:rPr>
          <w:rFonts w:ascii="Times New Roman" w:hAnsi="Times New Roman" w:cs="Times New Roman"/>
          <w:b/>
          <w:bCs/>
          <w:lang w:val="es-ES_tradnl"/>
        </w:rPr>
        <w:t>Tabla 1</w:t>
      </w:r>
    </w:p>
    <w:p w14:paraId="21530689" w14:textId="77777777" w:rsidR="002D5169" w:rsidRPr="002D5169" w:rsidRDefault="002D5169" w:rsidP="002D5169">
      <w:pPr>
        <w:spacing w:line="240" w:lineRule="auto"/>
        <w:jc w:val="both"/>
        <w:rPr>
          <w:rFonts w:ascii="Times New Roman" w:hAnsi="Times New Roman" w:cs="Times New Roman"/>
          <w:i/>
          <w:iCs/>
          <w:lang w:val="es-ES_tradnl"/>
        </w:rPr>
      </w:pPr>
      <w:r w:rsidRPr="002D5169">
        <w:rPr>
          <w:rFonts w:ascii="Times New Roman" w:hAnsi="Times New Roman" w:cs="Times New Roman"/>
          <w:i/>
          <w:iCs/>
          <w:lang w:val="es-ES_tradnl"/>
        </w:rPr>
        <w:t xml:space="preserve">Comparación entre las categorías de análisis </w:t>
      </w:r>
    </w:p>
    <w:tbl>
      <w:tblPr>
        <w:tblStyle w:val="Tablaconcuadrcula"/>
        <w:tblW w:w="0" w:type="auto"/>
        <w:tblLook w:val="04A0" w:firstRow="1" w:lastRow="0" w:firstColumn="1" w:lastColumn="0" w:noHBand="0" w:noVBand="1"/>
      </w:tblPr>
      <w:tblGrid>
        <w:gridCol w:w="1856"/>
        <w:gridCol w:w="3037"/>
        <w:gridCol w:w="3601"/>
      </w:tblGrid>
      <w:tr w:rsidR="002D5169" w:rsidRPr="002D5169" w14:paraId="647AF761" w14:textId="77777777" w:rsidTr="00307EA5">
        <w:tc>
          <w:tcPr>
            <w:tcW w:w="1838" w:type="dxa"/>
          </w:tcPr>
          <w:p w14:paraId="092E82F3" w14:textId="77777777" w:rsidR="002D5169" w:rsidRPr="002D5169" w:rsidRDefault="002D5169" w:rsidP="002D5169">
            <w:pPr>
              <w:spacing w:after="160"/>
              <w:jc w:val="center"/>
              <w:rPr>
                <w:rFonts w:ascii="Times New Roman" w:hAnsi="Times New Roman" w:cs="Times New Roman"/>
                <w:b/>
                <w:bCs/>
                <w:lang w:val="es-ES_tradnl"/>
              </w:rPr>
            </w:pPr>
            <w:r w:rsidRPr="002D5169">
              <w:rPr>
                <w:rFonts w:ascii="Times New Roman" w:hAnsi="Times New Roman" w:cs="Times New Roman"/>
                <w:b/>
                <w:bCs/>
                <w:lang w:val="es-ES_tradnl"/>
              </w:rPr>
              <w:t>Categoría de análisis</w:t>
            </w:r>
          </w:p>
        </w:tc>
        <w:tc>
          <w:tcPr>
            <w:tcW w:w="3260" w:type="dxa"/>
          </w:tcPr>
          <w:p w14:paraId="58625B33" w14:textId="77777777" w:rsidR="002D5169" w:rsidRPr="002D5169" w:rsidRDefault="002D5169" w:rsidP="002D5169">
            <w:pPr>
              <w:spacing w:after="160"/>
              <w:jc w:val="center"/>
              <w:rPr>
                <w:rFonts w:ascii="Times New Roman" w:hAnsi="Times New Roman" w:cs="Times New Roman"/>
                <w:b/>
                <w:bCs/>
                <w:lang w:val="es-ES_tradnl"/>
              </w:rPr>
            </w:pPr>
            <w:r w:rsidRPr="002D5169">
              <w:rPr>
                <w:rFonts w:ascii="Times New Roman" w:hAnsi="Times New Roman" w:cs="Times New Roman"/>
                <w:b/>
                <w:bCs/>
                <w:lang w:val="es-ES_tradnl"/>
              </w:rPr>
              <w:t>TLC/T-MEC</w:t>
            </w:r>
          </w:p>
        </w:tc>
        <w:tc>
          <w:tcPr>
            <w:tcW w:w="3918" w:type="dxa"/>
          </w:tcPr>
          <w:p w14:paraId="505192D6" w14:textId="77777777" w:rsidR="002D5169" w:rsidRPr="002D5169" w:rsidRDefault="002D5169" w:rsidP="002D5169">
            <w:pPr>
              <w:spacing w:after="160"/>
              <w:jc w:val="center"/>
              <w:rPr>
                <w:rFonts w:ascii="Times New Roman" w:hAnsi="Times New Roman" w:cs="Times New Roman"/>
                <w:b/>
                <w:bCs/>
                <w:lang w:val="es-ES_tradnl"/>
              </w:rPr>
            </w:pPr>
            <w:r w:rsidRPr="002D5169">
              <w:rPr>
                <w:rFonts w:ascii="Times New Roman" w:hAnsi="Times New Roman" w:cs="Times New Roman"/>
                <w:b/>
                <w:bCs/>
                <w:lang w:val="es-ES_tradnl"/>
              </w:rPr>
              <w:t>MERCOSUR</w:t>
            </w:r>
          </w:p>
        </w:tc>
      </w:tr>
      <w:tr w:rsidR="002D5169" w:rsidRPr="002D5169" w14:paraId="35B9F133" w14:textId="77777777" w:rsidTr="00307EA5">
        <w:tc>
          <w:tcPr>
            <w:tcW w:w="1838" w:type="dxa"/>
          </w:tcPr>
          <w:p w14:paraId="5C7123B2" w14:textId="77777777" w:rsidR="002D5169" w:rsidRPr="002D5169" w:rsidRDefault="002D5169" w:rsidP="002D5169">
            <w:pPr>
              <w:spacing w:after="160"/>
              <w:jc w:val="both"/>
              <w:rPr>
                <w:rFonts w:ascii="Times New Roman" w:hAnsi="Times New Roman" w:cs="Times New Roman"/>
                <w:b/>
                <w:bCs/>
                <w:lang w:val="es-ES_tradnl"/>
              </w:rPr>
            </w:pPr>
            <w:r w:rsidRPr="002D5169">
              <w:rPr>
                <w:rFonts w:ascii="Times New Roman" w:hAnsi="Times New Roman" w:cs="Times New Roman"/>
                <w:b/>
                <w:bCs/>
                <w:lang w:val="es-ES_tradnl"/>
              </w:rPr>
              <w:lastRenderedPageBreak/>
              <w:t xml:space="preserve">Acreditación de programas universitarios </w:t>
            </w:r>
          </w:p>
        </w:tc>
        <w:tc>
          <w:tcPr>
            <w:tcW w:w="3260" w:type="dxa"/>
          </w:tcPr>
          <w:p w14:paraId="7B734D3C"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Se establece el reconocimiento mutuo entre los tres países de las calificaciones profesionales; sin embargo, el reconocimiento no es para todas las áreas (Tratado de Libre Comercio, 1994; Gobierno de México, 2020).</w:t>
            </w:r>
          </w:p>
        </w:tc>
        <w:tc>
          <w:tcPr>
            <w:tcW w:w="3918" w:type="dxa"/>
          </w:tcPr>
          <w:p w14:paraId="1166F461"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rPr>
              <w:t xml:space="preserve">Se establece el </w:t>
            </w:r>
            <w:r w:rsidRPr="002D5169">
              <w:rPr>
                <w:rStyle w:val="nfasis"/>
                <w:rFonts w:ascii="Times New Roman" w:hAnsi="Times New Roman" w:cs="Times New Roman"/>
                <w:i w:val="0"/>
                <w:iCs w:val="0"/>
              </w:rPr>
              <w:t>Sistema de Acreditación Regional de Carreras Universitarias del MERCOSUR</w:t>
            </w:r>
            <w:r w:rsidRPr="002D5169">
              <w:rPr>
                <w:rFonts w:ascii="Times New Roman" w:hAnsi="Times New Roman" w:cs="Times New Roman"/>
              </w:rPr>
              <w:t xml:space="preserve"> (ARCU-SUR) con el objetivo de evaluar y acreditar la calidad académica de programas universitarios en países miembros y asociados del MERCOSUR. Passarini (2015).</w:t>
            </w:r>
          </w:p>
        </w:tc>
      </w:tr>
      <w:tr w:rsidR="002D5169" w:rsidRPr="002D5169" w14:paraId="4A76CC19" w14:textId="77777777" w:rsidTr="00307EA5">
        <w:tc>
          <w:tcPr>
            <w:tcW w:w="1838" w:type="dxa"/>
          </w:tcPr>
          <w:p w14:paraId="396701B4" w14:textId="77777777" w:rsidR="002D5169" w:rsidRPr="002D5169" w:rsidRDefault="002D5169" w:rsidP="002D5169">
            <w:pPr>
              <w:spacing w:after="160"/>
              <w:jc w:val="both"/>
              <w:rPr>
                <w:rFonts w:ascii="Times New Roman" w:hAnsi="Times New Roman" w:cs="Times New Roman"/>
                <w:b/>
                <w:bCs/>
                <w:lang w:val="es-ES_tradnl"/>
              </w:rPr>
            </w:pPr>
            <w:r w:rsidRPr="002D5169">
              <w:rPr>
                <w:rFonts w:ascii="Times New Roman" w:hAnsi="Times New Roman" w:cs="Times New Roman"/>
                <w:b/>
                <w:bCs/>
                <w:lang w:val="es-ES_tradnl"/>
              </w:rPr>
              <w:t xml:space="preserve">Reconocimiento de títulos </w:t>
            </w:r>
          </w:p>
        </w:tc>
        <w:tc>
          <w:tcPr>
            <w:tcW w:w="3260" w:type="dxa"/>
          </w:tcPr>
          <w:p w14:paraId="3FB91781"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No se prevé. </w:t>
            </w:r>
          </w:p>
          <w:p w14:paraId="3AC783C9"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Es baja y depende de acuerdos bilaterales entre los países integrantes. </w:t>
            </w:r>
          </w:p>
        </w:tc>
        <w:tc>
          <w:tcPr>
            <w:tcW w:w="3918" w:type="dxa"/>
          </w:tcPr>
          <w:p w14:paraId="13177A48"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Si bien el reconocimiento de títulos no es automático para todas las profesiones, si se prevén instrumentos entre los países para su reconocimiento (</w:t>
            </w:r>
            <w:proofErr w:type="spellStart"/>
            <w:r w:rsidRPr="002D5169">
              <w:rPr>
                <w:rFonts w:ascii="Times New Roman" w:hAnsi="Times New Roman" w:cs="Times New Roman"/>
                <w:lang w:val="es-ES_tradnl"/>
              </w:rPr>
              <w:t>Passarini</w:t>
            </w:r>
            <w:proofErr w:type="spellEnd"/>
            <w:r w:rsidRPr="002D5169">
              <w:rPr>
                <w:rFonts w:ascii="Times New Roman" w:hAnsi="Times New Roman" w:cs="Times New Roman"/>
                <w:lang w:val="es-ES_tradnl"/>
              </w:rPr>
              <w:t>, 2023).</w:t>
            </w:r>
          </w:p>
          <w:p w14:paraId="06BAE1D8"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El procedimiento presenta una dificultad moderada derivada de los procesos burocráticos. </w:t>
            </w:r>
          </w:p>
        </w:tc>
      </w:tr>
      <w:tr w:rsidR="002D5169" w:rsidRPr="002D5169" w14:paraId="68A15499" w14:textId="77777777" w:rsidTr="00307EA5">
        <w:tc>
          <w:tcPr>
            <w:tcW w:w="1838" w:type="dxa"/>
          </w:tcPr>
          <w:p w14:paraId="4A80B080" w14:textId="77777777" w:rsidR="002D5169" w:rsidRPr="002D5169" w:rsidRDefault="002D5169" w:rsidP="002D5169">
            <w:pPr>
              <w:spacing w:after="160"/>
              <w:jc w:val="both"/>
              <w:rPr>
                <w:rFonts w:ascii="Times New Roman" w:hAnsi="Times New Roman" w:cs="Times New Roman"/>
                <w:b/>
                <w:bCs/>
                <w:lang w:val="es-ES_tradnl"/>
              </w:rPr>
            </w:pPr>
            <w:r w:rsidRPr="002D5169">
              <w:rPr>
                <w:rFonts w:ascii="Times New Roman" w:hAnsi="Times New Roman" w:cs="Times New Roman"/>
                <w:b/>
                <w:bCs/>
                <w:lang w:val="es-ES_tradnl"/>
              </w:rPr>
              <w:t xml:space="preserve">Mecanismos de movilidad académica y profesional </w:t>
            </w:r>
          </w:p>
        </w:tc>
        <w:tc>
          <w:tcPr>
            <w:tcW w:w="3260" w:type="dxa"/>
          </w:tcPr>
          <w:p w14:paraId="45FFFB09"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No se prevé. Está limitada porque no hay un marco homologado. </w:t>
            </w:r>
          </w:p>
        </w:tc>
        <w:tc>
          <w:tcPr>
            <w:tcW w:w="3918" w:type="dxa"/>
          </w:tcPr>
          <w:p w14:paraId="084E6EA0"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Programa de movilidad MARCA. </w:t>
            </w:r>
          </w:p>
          <w:p w14:paraId="43F6A83F" w14:textId="77777777" w:rsidR="002D5169" w:rsidRPr="002D5169" w:rsidRDefault="002D5169" w:rsidP="002D5169">
            <w:pPr>
              <w:spacing w:after="160"/>
              <w:jc w:val="both"/>
              <w:rPr>
                <w:rFonts w:ascii="Times New Roman" w:hAnsi="Times New Roman" w:cs="Times New Roman"/>
                <w:lang w:val="es-ES_tradnl"/>
              </w:rPr>
            </w:pPr>
            <w:r w:rsidRPr="002D5169">
              <w:rPr>
                <w:rFonts w:ascii="Times New Roman" w:hAnsi="Times New Roman" w:cs="Times New Roman"/>
                <w:lang w:val="es-ES_tradnl"/>
              </w:rPr>
              <w:t xml:space="preserve">Posible, pero, puede haber obstáculos burocráticos. </w:t>
            </w:r>
          </w:p>
        </w:tc>
      </w:tr>
    </w:tbl>
    <w:p w14:paraId="10375803" w14:textId="77777777"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lang w:val="es-ES_tradnl"/>
        </w:rPr>
        <w:t xml:space="preserve">Fuente: Elaboración propia con base en: Tratado de Libre Comercio (1994); </w:t>
      </w:r>
      <w:r w:rsidRPr="002D5169">
        <w:rPr>
          <w:rFonts w:ascii="Times New Roman" w:hAnsi="Times New Roman" w:cs="Times New Roman"/>
        </w:rPr>
        <w:t>Gobierno de México (2020); MERCOSUR</w:t>
      </w:r>
      <w:r w:rsidRPr="002D5169">
        <w:rPr>
          <w:rFonts w:ascii="Times New Roman" w:hAnsi="Times New Roman" w:cs="Times New Roman"/>
          <w:lang w:val="es-ES_tradnl"/>
        </w:rPr>
        <w:t xml:space="preserve"> (2024); McKenzie</w:t>
      </w:r>
      <w:r w:rsidRPr="002D5169">
        <w:rPr>
          <w:rFonts w:ascii="Times New Roman" w:hAnsi="Times New Roman" w:cs="Times New Roman"/>
          <w:color w:val="000000" w:themeColor="text1"/>
          <w:lang w:val="es-ES_tradnl"/>
        </w:rPr>
        <w:t xml:space="preserve"> (2016), </w:t>
      </w:r>
      <w:proofErr w:type="spellStart"/>
      <w:r w:rsidRPr="002D5169">
        <w:rPr>
          <w:rFonts w:ascii="Times New Roman" w:hAnsi="Times New Roman" w:cs="Times New Roman"/>
          <w:color w:val="000000" w:themeColor="text1"/>
          <w:lang w:val="es-ES_tradnl"/>
        </w:rPr>
        <w:t>Nuske</w:t>
      </w:r>
      <w:proofErr w:type="spellEnd"/>
      <w:r w:rsidRPr="002D5169">
        <w:rPr>
          <w:rFonts w:ascii="Times New Roman" w:hAnsi="Times New Roman" w:cs="Times New Roman"/>
          <w:color w:val="000000" w:themeColor="text1"/>
          <w:lang w:val="es-ES_tradnl"/>
        </w:rPr>
        <w:t xml:space="preserve"> (2023) y </w:t>
      </w:r>
      <w:proofErr w:type="spellStart"/>
      <w:r w:rsidRPr="002D5169">
        <w:rPr>
          <w:rFonts w:ascii="Times New Roman" w:hAnsi="Times New Roman" w:cs="Times New Roman"/>
          <w:color w:val="000000" w:themeColor="text1"/>
          <w:lang w:val="es-ES_tradnl"/>
        </w:rPr>
        <w:t>Passarini</w:t>
      </w:r>
      <w:proofErr w:type="spellEnd"/>
      <w:r w:rsidRPr="002D5169">
        <w:rPr>
          <w:rFonts w:ascii="Times New Roman" w:hAnsi="Times New Roman" w:cs="Times New Roman"/>
          <w:color w:val="000000" w:themeColor="text1"/>
          <w:lang w:val="es-ES_tradnl"/>
        </w:rPr>
        <w:t xml:space="preserve"> (2023)</w:t>
      </w:r>
    </w:p>
    <w:p w14:paraId="36382A2E" w14:textId="77777777" w:rsidR="002D5169" w:rsidRPr="002D5169" w:rsidRDefault="002D5169" w:rsidP="002D5169">
      <w:pPr>
        <w:spacing w:line="240" w:lineRule="auto"/>
        <w:jc w:val="both"/>
        <w:rPr>
          <w:rFonts w:ascii="Times New Roman" w:hAnsi="Times New Roman" w:cs="Times New Roman"/>
          <w:lang w:val="es-ES_tradnl"/>
        </w:rPr>
      </w:pPr>
    </w:p>
    <w:p w14:paraId="23B6FE4E" w14:textId="45C034EF" w:rsidR="002D5169" w:rsidRPr="002D5169" w:rsidRDefault="002D5169" w:rsidP="002D5169">
      <w:pPr>
        <w:pStyle w:val="NormalWeb"/>
        <w:spacing w:after="160"/>
        <w:jc w:val="both"/>
      </w:pPr>
      <w:r w:rsidRPr="002D5169">
        <w:rPr>
          <w:lang w:val="es-ES_tradnl"/>
        </w:rPr>
        <w:t xml:space="preserve">Empezando por el tema de la acreditación de las carreras universitarias en el TLC existían disposiciones que permitían que colegios profesionales, organismos reguladores o autoridades negociaran acuerdos de reconocimiento mutuo con respecto a las siguientes áreas: experiencia laboral, exámenes o certificaciones y requisitos de licencia profesional. Sin embargo, solo algunas profesiones avanzaron en este proceso como: </w:t>
      </w:r>
      <w:r w:rsidRPr="002D5169">
        <w:t>contaduría, arquitectura</w:t>
      </w:r>
      <w:r w:rsidRPr="002D5169">
        <w:rPr>
          <w:lang w:val="es-ES_tradnl"/>
        </w:rPr>
        <w:t xml:space="preserve">, </w:t>
      </w:r>
      <w:r w:rsidRPr="002D5169">
        <w:t xml:space="preserve">ingeniería y enfermería entre otras, pero no todas las profesiones fueron cubiertas (TLC, 1994). Con el T-MEC (2020), se mantuvo un enfoque similar, sin establecer un reconocimiento generalizado porque cada país mantiene su soberanía para regular el ejercicio profesional. </w:t>
      </w:r>
    </w:p>
    <w:p w14:paraId="3E46B6C6" w14:textId="7297AE9D" w:rsidR="002D5169" w:rsidRPr="002D5169" w:rsidRDefault="002D5169" w:rsidP="002D5169">
      <w:pPr>
        <w:pStyle w:val="NormalWeb"/>
        <w:spacing w:after="160"/>
        <w:jc w:val="both"/>
      </w:pPr>
      <w:r w:rsidRPr="002D5169">
        <w:t xml:space="preserve">El MERCOSUR cuenta con el sistema ARCU-SUR que es un </w:t>
      </w:r>
      <w:r w:rsidRPr="002D5169">
        <w:rPr>
          <w:rStyle w:val="Fuerte"/>
          <w:b w:val="0"/>
          <w:bCs w:val="0"/>
        </w:rPr>
        <w:t>sistema regional de acreditación de la calidad</w:t>
      </w:r>
      <w:r w:rsidRPr="002D5169">
        <w:t xml:space="preserve"> para carreras universitarias (de grado/licenciatura). Su objetivo principal es evaluar y certificar que una carrera cumple con estándares de calidad acordados a nivel regional con el fin de facilitar la movilidad académica y profesional. Por lo tanto, cada país tiene una agencia nacional de acreditación donde se evalúan las carreras con criterios comunes que fueron acordados entre los países, si las carreras cumplen los estándares, reciben la acreditación ARCU-SUR</w:t>
      </w:r>
    </w:p>
    <w:p w14:paraId="39DEABDD"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lang w:val="es-ES_tradnl"/>
        </w:rPr>
        <w:lastRenderedPageBreak/>
        <w:t xml:space="preserve">En el T-MEC el reconocimiento de títulos no está contemplado en el tratado, en cambio en el </w:t>
      </w:r>
      <w:r w:rsidRPr="002D5169">
        <w:rPr>
          <w:rFonts w:ascii="Times New Roman" w:hAnsi="Times New Roman" w:cs="Times New Roman"/>
        </w:rPr>
        <w:t xml:space="preserve">en el MERCOSUR sí se contempla el reconocimiento educativo. </w:t>
      </w:r>
    </w:p>
    <w:p w14:paraId="2E740046" w14:textId="2809F4E5"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Por lo que concierne la movilidad internacional, en el T-MEC no hay un programa de movilidad regional por otro lado en el MERCO SUR sí, el programa se llama MARCA y es un programa de movilidad académica que permite que estudiantes y docentes universitarios participen en intercambios entre instituciones de educación superior de los países miembros y de las carreras previamente acreditadas por el mismo sistema, no incluye todas las carreras, solamente algunas como: ingeniería, medicina, arquitectura y agronomía. </w:t>
      </w:r>
    </w:p>
    <w:p w14:paraId="333B3FBE"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 xml:space="preserve">De acuerdo a Pasarini (2023) el MERCOSUR buscó también el fortalecimiento de la cooperación regional entre las IES de la región como mecanismo de movilidad académico-profesional; mientras que el T-MEC previó la acreditación de la calidad de la educación, no se previó un marco de acreditación estándar entre las tres naciones. </w:t>
      </w:r>
    </w:p>
    <w:p w14:paraId="11F72162" w14:textId="7E0B3B7E" w:rsidR="002D5169" w:rsidRPr="00BF1EE0" w:rsidRDefault="00BF1EE0" w:rsidP="002D5169">
      <w:pPr>
        <w:spacing w:line="240" w:lineRule="auto"/>
        <w:jc w:val="both"/>
        <w:rPr>
          <w:rFonts w:ascii="Times New Roman" w:hAnsi="Times New Roman" w:cs="Times New Roman"/>
        </w:rPr>
      </w:pPr>
      <w:r>
        <w:rPr>
          <w:rFonts w:ascii="Times New Roman" w:hAnsi="Times New Roman" w:cs="Times New Roman"/>
        </w:rPr>
        <w:t>El MERCOSUR contempla en su contenido el reconocimiento de títulos otorgados en los países miembros; aunque, como señala Passarini (2023) la instrumentación de los mecanismos de revalidación resulta burocrático y heterogéneo entre los países. Por lo que ve al T-MEC, si bien se promueve la cooperación, no existe un marco uniforme de armonización en el reconocimiento de títulos, por tanto, se debe remitir a acuerdos bilaterales que pudieran existir entre los países o a acuerdos o mecanismos específicos de cooperación entre las instituciones de educación superior para la revalidación de estudios. Por tanto, se puede estimar que h</w:t>
      </w:r>
      <w:r w:rsidR="002D5169" w:rsidRPr="002D5169">
        <w:rPr>
          <w:rFonts w:ascii="Times New Roman" w:hAnsi="Times New Roman" w:cs="Times New Roman"/>
          <w:kern w:val="36"/>
        </w:rPr>
        <w:t xml:space="preserve">ay acuerdos sobre reconocimientos de </w:t>
      </w:r>
      <w:r w:rsidRPr="002D5169">
        <w:rPr>
          <w:rFonts w:ascii="Times New Roman" w:hAnsi="Times New Roman" w:cs="Times New Roman"/>
          <w:kern w:val="36"/>
        </w:rPr>
        <w:t>títulos</w:t>
      </w:r>
      <w:r w:rsidR="002D5169" w:rsidRPr="002D5169">
        <w:rPr>
          <w:rFonts w:ascii="Times New Roman" w:hAnsi="Times New Roman" w:cs="Times New Roman"/>
          <w:kern w:val="36"/>
        </w:rPr>
        <w:t xml:space="preserve"> </w:t>
      </w:r>
      <w:r>
        <w:rPr>
          <w:rFonts w:ascii="Times New Roman" w:hAnsi="Times New Roman" w:cs="Times New Roman"/>
          <w:kern w:val="36"/>
        </w:rPr>
        <w:t xml:space="preserve">a través </w:t>
      </w:r>
      <w:r w:rsidR="00C868CB">
        <w:rPr>
          <w:rFonts w:ascii="Times New Roman" w:hAnsi="Times New Roman" w:cs="Times New Roman"/>
          <w:kern w:val="36"/>
        </w:rPr>
        <w:t>d</w:t>
      </w:r>
      <w:r>
        <w:rPr>
          <w:rFonts w:ascii="Times New Roman" w:hAnsi="Times New Roman" w:cs="Times New Roman"/>
          <w:kern w:val="36"/>
        </w:rPr>
        <w:t xml:space="preserve">e </w:t>
      </w:r>
      <w:r w:rsidR="002D5169" w:rsidRPr="002D5169">
        <w:rPr>
          <w:rFonts w:ascii="Times New Roman" w:hAnsi="Times New Roman" w:cs="Times New Roman"/>
          <w:kern w:val="36"/>
        </w:rPr>
        <w:t xml:space="preserve"> acuerdos bilaterales, convenios entre universidades de manera </w:t>
      </w:r>
      <w:r w:rsidRPr="002D5169">
        <w:rPr>
          <w:rFonts w:ascii="Times New Roman" w:hAnsi="Times New Roman" w:cs="Times New Roman"/>
          <w:kern w:val="36"/>
        </w:rPr>
        <w:t>específica</w:t>
      </w:r>
      <w:r w:rsidR="002D5169" w:rsidRPr="002D5169">
        <w:rPr>
          <w:rFonts w:ascii="Times New Roman" w:hAnsi="Times New Roman" w:cs="Times New Roman"/>
          <w:kern w:val="36"/>
        </w:rPr>
        <w:t xml:space="preserve"> y asociaciones profesionales, a nivel micro institucional, no a nivel macro, tratado. </w:t>
      </w:r>
    </w:p>
    <w:p w14:paraId="50C87848" w14:textId="65E7F11C" w:rsid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kern w:val="36"/>
        </w:rPr>
        <w:t>Adicionalmente</w:t>
      </w:r>
      <w:r w:rsidR="00EF3DA7">
        <w:rPr>
          <w:rFonts w:ascii="Times New Roman" w:hAnsi="Times New Roman" w:cs="Times New Roman"/>
          <w:kern w:val="36"/>
        </w:rPr>
        <w:t>,</w:t>
      </w:r>
      <w:r w:rsidRPr="002D5169">
        <w:rPr>
          <w:rFonts w:ascii="Times New Roman" w:hAnsi="Times New Roman" w:cs="Times New Roman"/>
          <w:kern w:val="36"/>
        </w:rPr>
        <w:t xml:space="preserve"> en México </w:t>
      </w:r>
      <w:r w:rsidRPr="002D5169">
        <w:rPr>
          <w:rFonts w:ascii="Times New Roman" w:hAnsi="Times New Roman" w:cs="Times New Roman"/>
        </w:rPr>
        <w:t>la regulación profesional es fragmentada, porque se interviene nivel local, estatal y federal a veces. El reconocimiento de títulos para un país implica ceder control y soberanía de alguna manera sobre estándares educativos, acreditaciones y calidad.</w:t>
      </w:r>
    </w:p>
    <w:p w14:paraId="11C9AE52" w14:textId="7A87E7BE" w:rsidR="002A5B9D" w:rsidRPr="002D5169" w:rsidRDefault="002A5B9D" w:rsidP="002D5169">
      <w:pPr>
        <w:spacing w:line="240" w:lineRule="auto"/>
        <w:jc w:val="both"/>
        <w:rPr>
          <w:rFonts w:ascii="Times New Roman" w:hAnsi="Times New Roman" w:cs="Times New Roman"/>
          <w:lang w:val="es-ES_tradnl"/>
        </w:rPr>
      </w:pPr>
      <w:r>
        <w:rPr>
          <w:rFonts w:ascii="Times New Roman" w:hAnsi="Times New Roman" w:cs="Times New Roman"/>
        </w:rPr>
        <w:t>Del análisis de contenido, es posible deducir que en el caso del MERCOSUR se han realizado esfuerzos de forma sistemática y estructural a nivel regional para que el reconocimiento y homologación de títulos pueda llevarse a cabo a través del sistema ARCU-SUR (González, 2015; Souto, 2018) puesto que, este instrumento internacional</w:t>
      </w:r>
      <w:r w:rsidR="007347BB">
        <w:rPr>
          <w:rFonts w:ascii="Times New Roman" w:hAnsi="Times New Roman" w:cs="Times New Roman"/>
        </w:rPr>
        <w:t xml:space="preserve"> considera que tanto la educación como la movilidad profesional puede ser un factor de beneficio para la economía regional. </w:t>
      </w:r>
    </w:p>
    <w:p w14:paraId="6B4CD38E" w14:textId="11FD3038"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E</w:t>
      </w:r>
      <w:r w:rsidRPr="002D5169">
        <w:rPr>
          <w:rStyle w:val="Fuerte"/>
          <w:rFonts w:ascii="Times New Roman" w:hAnsi="Times New Roman" w:cs="Times New Roman"/>
          <w:b w:val="0"/>
          <w:bCs w:val="0"/>
        </w:rPr>
        <w:t xml:space="preserve">l MERCOSUR facilita más el tránsito de profesionales que el </w:t>
      </w:r>
      <w:r w:rsidRPr="002D5169">
        <w:rPr>
          <w:rStyle w:val="whitespace-normal"/>
          <w:rFonts w:ascii="Times New Roman" w:hAnsi="Times New Roman" w:cs="Times New Roman"/>
        </w:rPr>
        <w:t>Tratado entre México, Estados Unidos y Canadá</w:t>
      </w:r>
      <w:r w:rsidRPr="002D5169">
        <w:rPr>
          <w:rStyle w:val="Fuerte"/>
          <w:rFonts w:ascii="Times New Roman" w:hAnsi="Times New Roman" w:cs="Times New Roman"/>
          <w:b w:val="0"/>
          <w:bCs w:val="0"/>
        </w:rPr>
        <w:t xml:space="preserve"> (T-MEC), sin </w:t>
      </w:r>
      <w:r w:rsidR="002A5B9D" w:rsidRPr="002D5169">
        <w:rPr>
          <w:rStyle w:val="Fuerte"/>
          <w:rFonts w:ascii="Times New Roman" w:hAnsi="Times New Roman" w:cs="Times New Roman"/>
          <w:b w:val="0"/>
          <w:bCs w:val="0"/>
        </w:rPr>
        <w:t>embargo,</w:t>
      </w:r>
      <w:r w:rsidRPr="002D5169">
        <w:rPr>
          <w:rStyle w:val="Fuerte"/>
          <w:rFonts w:ascii="Times New Roman" w:hAnsi="Times New Roman" w:cs="Times New Roman"/>
          <w:b w:val="0"/>
          <w:bCs w:val="0"/>
        </w:rPr>
        <w:t xml:space="preserve"> de manera parcial y en el plano académico, no en el ejercicio profesional, porque no hay un reconocimiento profesional automático. Cada </w:t>
      </w:r>
      <w:r w:rsidR="002A5B9D" w:rsidRPr="002D5169">
        <w:rPr>
          <w:rStyle w:val="Fuerte"/>
          <w:rFonts w:ascii="Times New Roman" w:hAnsi="Times New Roman" w:cs="Times New Roman"/>
          <w:b w:val="0"/>
          <w:bCs w:val="0"/>
        </w:rPr>
        <w:t>país</w:t>
      </w:r>
      <w:r w:rsidRPr="002D5169">
        <w:rPr>
          <w:rStyle w:val="Fuerte"/>
          <w:rFonts w:ascii="Times New Roman" w:hAnsi="Times New Roman" w:cs="Times New Roman"/>
          <w:b w:val="0"/>
          <w:bCs w:val="0"/>
        </w:rPr>
        <w:t xml:space="preserve"> aplica sus proprio</w:t>
      </w:r>
      <w:r w:rsidR="002A5B9D">
        <w:rPr>
          <w:rStyle w:val="Fuerte"/>
          <w:rFonts w:ascii="Times New Roman" w:hAnsi="Times New Roman" w:cs="Times New Roman"/>
          <w:b w:val="0"/>
          <w:bCs w:val="0"/>
        </w:rPr>
        <w:t>s</w:t>
      </w:r>
      <w:r w:rsidRPr="002D5169">
        <w:rPr>
          <w:rStyle w:val="Fuerte"/>
          <w:rFonts w:ascii="Times New Roman" w:hAnsi="Times New Roman" w:cs="Times New Roman"/>
          <w:b w:val="0"/>
          <w:bCs w:val="0"/>
        </w:rPr>
        <w:t xml:space="preserve"> criterios que en muchos casos pueden ser lentos y</w:t>
      </w:r>
      <w:r w:rsidRPr="002D5169">
        <w:rPr>
          <w:rStyle w:val="Fuerte"/>
          <w:rFonts w:ascii="Times New Roman" w:hAnsi="Times New Roman" w:cs="Times New Roman"/>
        </w:rPr>
        <w:t xml:space="preserve"> </w:t>
      </w:r>
      <w:r w:rsidRPr="002D5169">
        <w:rPr>
          <w:rFonts w:ascii="Times New Roman" w:hAnsi="Times New Roman" w:cs="Times New Roman"/>
        </w:rPr>
        <w:t>burocráticos (Machado &amp; Souza,</w:t>
      </w:r>
      <w:r w:rsidR="002A5B9D">
        <w:rPr>
          <w:rFonts w:ascii="Times New Roman" w:hAnsi="Times New Roman" w:cs="Times New Roman"/>
        </w:rPr>
        <w:t xml:space="preserve"> </w:t>
      </w:r>
      <w:r w:rsidRPr="002D5169">
        <w:rPr>
          <w:rFonts w:ascii="Times New Roman" w:hAnsi="Times New Roman" w:cs="Times New Roman"/>
        </w:rPr>
        <w:t>2025</w:t>
      </w:r>
      <w:r w:rsidR="002A5B9D">
        <w:rPr>
          <w:rFonts w:ascii="Times New Roman" w:hAnsi="Times New Roman" w:cs="Times New Roman"/>
        </w:rPr>
        <w:t xml:space="preserve">; </w:t>
      </w:r>
      <w:r w:rsidRPr="002D5169">
        <w:rPr>
          <w:rFonts w:ascii="Times New Roman" w:hAnsi="Times New Roman" w:cs="Times New Roman"/>
        </w:rPr>
        <w:t>Perrotta, 2013)</w:t>
      </w:r>
      <w:r w:rsidR="002A5B9D">
        <w:rPr>
          <w:rFonts w:ascii="Times New Roman" w:hAnsi="Times New Roman" w:cs="Times New Roman"/>
        </w:rPr>
        <w:t xml:space="preserve">. </w:t>
      </w:r>
    </w:p>
    <w:p w14:paraId="7D5CE9EA"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El sistema ARCU-SUR solo cubre algunas disciplinas y no todos los programas están acreditados.</w:t>
      </w:r>
      <w:r w:rsidRPr="002D5169">
        <w:rPr>
          <w:rFonts w:ascii="Times New Roman" w:hAnsi="Times New Roman" w:cs="Times New Roman"/>
          <w:b/>
          <w:bCs/>
        </w:rPr>
        <w:t xml:space="preserve"> </w:t>
      </w:r>
      <w:r w:rsidRPr="002D5169">
        <w:rPr>
          <w:rFonts w:ascii="Times New Roman" w:hAnsi="Times New Roman" w:cs="Times New Roman"/>
        </w:rPr>
        <w:t xml:space="preserve">El MERCOSUR sí facilita la movilidad académica, la continuidad de </w:t>
      </w:r>
      <w:r w:rsidRPr="002D5169">
        <w:rPr>
          <w:rFonts w:ascii="Times New Roman" w:hAnsi="Times New Roman" w:cs="Times New Roman"/>
        </w:rPr>
        <w:lastRenderedPageBreak/>
        <w:t xml:space="preserve">estudios y la cooperación universitaria, pero no garantiza el libre ejercicio profesional y la movilidad laboral plena. </w:t>
      </w:r>
    </w:p>
    <w:p w14:paraId="7086B59C" w14:textId="77777777"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El MERCOSUR facilita el tránsito de profesionales más que el T-MEC, pero solo en términos de reconocimiento académico y movilidad educativa. La movilidad profesional plena sigue estando limitada por regulaciones nacionales, por lo que la ventaja del MERCOSUR es relativa y no estructuralmente completa. (Botto, 2015)</w:t>
      </w:r>
    </w:p>
    <w:p w14:paraId="04DA5121" w14:textId="00A9D4D5" w:rsidR="007347BB" w:rsidRDefault="007347BB" w:rsidP="002D5169">
      <w:pPr>
        <w:spacing w:line="240" w:lineRule="auto"/>
        <w:jc w:val="both"/>
        <w:rPr>
          <w:rFonts w:ascii="Times New Roman" w:hAnsi="Times New Roman" w:cs="Times New Roman"/>
        </w:rPr>
      </w:pPr>
      <w:r>
        <w:rPr>
          <w:rFonts w:ascii="Times New Roman" w:hAnsi="Times New Roman" w:cs="Times New Roman"/>
        </w:rPr>
        <w:t xml:space="preserve">Si bien en el caso del MERCOSUR, la revalidación de títulos es fragmentada y dependiente de la normativa y burocracia interna de cada país, existen avances en la homologación regional a través del ARCU-SUR (Molina, 2013). Incluso, los instrumentos regionales ponderan en primer lugar el reconocimiento académico por sobre el ejercicio </w:t>
      </w:r>
      <w:r w:rsidRPr="007347BB">
        <w:rPr>
          <w:rFonts w:ascii="Times New Roman" w:hAnsi="Times New Roman" w:cs="Times New Roman"/>
        </w:rPr>
        <w:t>profesional (MERCOSUR, 2020; Machado et al., 2025).</w:t>
      </w:r>
    </w:p>
    <w:p w14:paraId="32390C18" w14:textId="5DBA1A03" w:rsidR="002D5169" w:rsidRPr="002D5169" w:rsidRDefault="007347BB" w:rsidP="002D5169">
      <w:pPr>
        <w:spacing w:line="240" w:lineRule="auto"/>
        <w:jc w:val="both"/>
        <w:rPr>
          <w:rFonts w:ascii="Times New Roman" w:hAnsi="Times New Roman" w:cs="Times New Roman"/>
          <w:lang w:val="es-ES_tradnl"/>
        </w:rPr>
      </w:pPr>
      <w:r>
        <w:rPr>
          <w:rFonts w:ascii="Times New Roman" w:hAnsi="Times New Roman" w:cs="Times New Roman"/>
        </w:rPr>
        <w:t>En el caso del T-MEC, la validación de estudios con miras al fortalecimiento educativo y a la movilidad profesional no se considera dentro del acuerdo debido a las asimetrías económicas, sociales y educativas entre los países del bloque regional. Por lo cual, la revalidación de estudios se enfoca en acuerdos de naturaleza bilateral limitados a algunas profesiones, sin prever un mecanismo formal para el reconocimiento de estudios a nivel superior, aunque, si se promueve la colaboración académica y el diálogo educacional entre los sistemas de los países que integran el T-</w:t>
      </w:r>
      <w:r w:rsidRPr="007347BB">
        <w:rPr>
          <w:rFonts w:ascii="Times New Roman" w:hAnsi="Times New Roman" w:cs="Times New Roman"/>
        </w:rPr>
        <w:t xml:space="preserve">MEC </w:t>
      </w:r>
      <w:r w:rsidR="002D5169" w:rsidRPr="007347BB">
        <w:rPr>
          <w:rFonts w:ascii="Times New Roman" w:hAnsi="Times New Roman" w:cs="Times New Roman"/>
          <w:lang w:val="es-ES_tradnl"/>
        </w:rPr>
        <w:t>(McKenzie, 2016; Ornelas, 2017; Smith, 2020).</w:t>
      </w:r>
    </w:p>
    <w:p w14:paraId="5191C2DE" w14:textId="73F191D4" w:rsidR="002D5169" w:rsidRPr="002D5169" w:rsidRDefault="002D5169" w:rsidP="002D5169">
      <w:pPr>
        <w:spacing w:line="240" w:lineRule="auto"/>
        <w:jc w:val="both"/>
        <w:rPr>
          <w:rFonts w:ascii="Times New Roman" w:hAnsi="Times New Roman" w:cs="Times New Roman"/>
        </w:rPr>
      </w:pPr>
      <w:r w:rsidRPr="002D5169">
        <w:rPr>
          <w:rFonts w:ascii="Times New Roman" w:hAnsi="Times New Roman" w:cs="Times New Roman"/>
        </w:rPr>
        <w:t>Por lo tanto, se puede deducir que el T-MEC representa una integración mínima porque no hay integración educativa</w:t>
      </w:r>
      <w:r w:rsidR="007347BB">
        <w:rPr>
          <w:rFonts w:ascii="Times New Roman" w:hAnsi="Times New Roman" w:cs="Times New Roman"/>
        </w:rPr>
        <w:t xml:space="preserve"> activa</w:t>
      </w:r>
      <w:r w:rsidRPr="002D5169">
        <w:rPr>
          <w:rFonts w:ascii="Times New Roman" w:hAnsi="Times New Roman" w:cs="Times New Roman"/>
        </w:rPr>
        <w:t xml:space="preserve">, </w:t>
      </w:r>
      <w:r w:rsidR="007347BB">
        <w:rPr>
          <w:rFonts w:ascii="Times New Roman" w:hAnsi="Times New Roman" w:cs="Times New Roman"/>
        </w:rPr>
        <w:t xml:space="preserve">mientras que, </w:t>
      </w:r>
      <w:r w:rsidRPr="002D5169">
        <w:rPr>
          <w:rFonts w:ascii="Times New Roman" w:hAnsi="Times New Roman" w:cs="Times New Roman"/>
        </w:rPr>
        <w:t>el MERCOSUR representa una integración intermedia porque hay un reconocimiento académico parcial</w:t>
      </w:r>
      <w:r w:rsidR="007347BB">
        <w:rPr>
          <w:rFonts w:ascii="Times New Roman" w:hAnsi="Times New Roman" w:cs="Times New Roman"/>
        </w:rPr>
        <w:t xml:space="preserve">, lo anterior, tomando a la </w:t>
      </w:r>
      <w:r w:rsidR="002A5B9D">
        <w:rPr>
          <w:rFonts w:ascii="Times New Roman" w:hAnsi="Times New Roman" w:cs="Times New Roman"/>
        </w:rPr>
        <w:t>U</w:t>
      </w:r>
      <w:r w:rsidR="002A5B9D" w:rsidRPr="002D5169">
        <w:rPr>
          <w:rFonts w:ascii="Times New Roman" w:hAnsi="Times New Roman" w:cs="Times New Roman"/>
        </w:rPr>
        <w:t>nión</w:t>
      </w:r>
      <w:r w:rsidRPr="002D5169">
        <w:rPr>
          <w:rFonts w:ascii="Times New Roman" w:hAnsi="Times New Roman" w:cs="Times New Roman"/>
        </w:rPr>
        <w:t xml:space="preserve"> </w:t>
      </w:r>
      <w:r w:rsidR="002A5B9D">
        <w:rPr>
          <w:rFonts w:ascii="Times New Roman" w:hAnsi="Times New Roman" w:cs="Times New Roman"/>
        </w:rPr>
        <w:t>E</w:t>
      </w:r>
      <w:r w:rsidRPr="002D5169">
        <w:rPr>
          <w:rFonts w:ascii="Times New Roman" w:hAnsi="Times New Roman" w:cs="Times New Roman"/>
        </w:rPr>
        <w:t xml:space="preserve">uropea </w:t>
      </w:r>
      <w:r w:rsidR="007347BB">
        <w:rPr>
          <w:rFonts w:ascii="Times New Roman" w:hAnsi="Times New Roman" w:cs="Times New Roman"/>
        </w:rPr>
        <w:t xml:space="preserve">como </w:t>
      </w:r>
      <w:r w:rsidRPr="002D5169">
        <w:rPr>
          <w:rFonts w:ascii="Times New Roman" w:hAnsi="Times New Roman" w:cs="Times New Roman"/>
        </w:rPr>
        <w:t>una integración avanzada porque hay reconocimiento profesional y movilidad laboral real</w:t>
      </w:r>
      <w:r w:rsidR="007347BB">
        <w:rPr>
          <w:rFonts w:ascii="Times New Roman" w:hAnsi="Times New Roman" w:cs="Times New Roman"/>
        </w:rPr>
        <w:t xml:space="preserve"> y homologado. </w:t>
      </w:r>
      <w:r w:rsidRPr="002D5169">
        <w:rPr>
          <w:rFonts w:ascii="Times New Roman" w:hAnsi="Times New Roman" w:cs="Times New Roman"/>
          <w:highlight w:val="yellow"/>
        </w:rPr>
        <w:t xml:space="preserve"> </w:t>
      </w:r>
    </w:p>
    <w:p w14:paraId="5FEDA9CB" w14:textId="14556038" w:rsidR="002D5169" w:rsidRPr="002D5169" w:rsidRDefault="002D5169" w:rsidP="002D5169">
      <w:pPr>
        <w:spacing w:line="240" w:lineRule="auto"/>
        <w:jc w:val="both"/>
        <w:rPr>
          <w:rFonts w:ascii="Times New Roman" w:hAnsi="Times New Roman" w:cs="Times New Roman"/>
          <w:lang w:val="es-ES_tradnl"/>
        </w:rPr>
      </w:pPr>
      <w:r w:rsidRPr="002D5169">
        <w:rPr>
          <w:rFonts w:ascii="Times New Roman" w:hAnsi="Times New Roman" w:cs="Times New Roman"/>
        </w:rPr>
        <w:t xml:space="preserve">Si bien el MERCOSUR impulsa de forma parcial los procesos de convergencia educativa, aún existen complejidades propias de los reconocimientos de los </w:t>
      </w:r>
      <w:r w:rsidR="002A5B9D" w:rsidRPr="002D5169">
        <w:rPr>
          <w:rFonts w:ascii="Times New Roman" w:hAnsi="Times New Roman" w:cs="Times New Roman"/>
        </w:rPr>
        <w:t>títulos</w:t>
      </w:r>
      <w:r w:rsidRPr="002D5169">
        <w:rPr>
          <w:rFonts w:ascii="Times New Roman" w:hAnsi="Times New Roman" w:cs="Times New Roman"/>
        </w:rPr>
        <w:t xml:space="preserve"> que son las equivalencias curriculares, el tener estándares comunes y sistemas de acreditaciones compatibles.</w:t>
      </w:r>
    </w:p>
    <w:p w14:paraId="12CE0BCB" w14:textId="6A82741F" w:rsidR="005F3B2E" w:rsidRPr="002A5B9D" w:rsidRDefault="005F3B2E" w:rsidP="007B5B5F">
      <w:pPr>
        <w:spacing w:line="240" w:lineRule="auto"/>
        <w:rPr>
          <w:rFonts w:ascii="Times New Roman" w:hAnsi="Times New Roman" w:cs="Times New Roman"/>
          <w:b/>
          <w:bCs/>
          <w:lang w:val="es-MX"/>
        </w:rPr>
      </w:pPr>
      <w:r w:rsidRPr="002A5B9D">
        <w:rPr>
          <w:rFonts w:ascii="Times New Roman" w:hAnsi="Times New Roman" w:cs="Times New Roman"/>
          <w:b/>
          <w:bCs/>
          <w:lang w:val="es-MX"/>
        </w:rPr>
        <w:t>Conclusiones</w:t>
      </w:r>
    </w:p>
    <w:p w14:paraId="40C1DC6C" w14:textId="6831F9DE" w:rsidR="004B4F7B" w:rsidRDefault="002A5B9D" w:rsidP="002A5B9D">
      <w:pPr>
        <w:spacing w:line="240" w:lineRule="auto"/>
        <w:jc w:val="both"/>
        <w:rPr>
          <w:rFonts w:ascii="Times New Roman" w:hAnsi="Times New Roman" w:cs="Times New Roman"/>
        </w:rPr>
      </w:pPr>
      <w:r w:rsidRPr="002A5B9D">
        <w:rPr>
          <w:rFonts w:ascii="Times New Roman" w:hAnsi="Times New Roman" w:cs="Times New Roman"/>
        </w:rPr>
        <w:t xml:space="preserve">En el MERCOSUR sí se contempla el reconocimiento educativo porque su lógica es más “integracionista”, aun </w:t>
      </w:r>
      <w:r w:rsidR="00D327AC" w:rsidRPr="002A5B9D">
        <w:rPr>
          <w:rFonts w:ascii="Times New Roman" w:hAnsi="Times New Roman" w:cs="Times New Roman"/>
        </w:rPr>
        <w:t>sí</w:t>
      </w:r>
      <w:r w:rsidR="00D327AC">
        <w:rPr>
          <w:rFonts w:ascii="Times New Roman" w:hAnsi="Times New Roman" w:cs="Times New Roman"/>
        </w:rPr>
        <w:t>,</w:t>
      </w:r>
      <w:r w:rsidRPr="002A5B9D">
        <w:rPr>
          <w:rFonts w:ascii="Times New Roman" w:hAnsi="Times New Roman" w:cs="Times New Roman"/>
        </w:rPr>
        <w:t xml:space="preserve"> </w:t>
      </w:r>
      <w:r w:rsidR="00D327AC">
        <w:rPr>
          <w:rFonts w:ascii="Times New Roman" w:hAnsi="Times New Roman" w:cs="Times New Roman"/>
        </w:rPr>
        <w:t>e</w:t>
      </w:r>
      <w:r w:rsidRPr="002A5B9D">
        <w:rPr>
          <w:rFonts w:ascii="Times New Roman" w:hAnsi="Times New Roman" w:cs="Times New Roman"/>
        </w:rPr>
        <w:t>l MERCOSUR nació con una aspiración distinta al Tratado entre México, Estados Unidos y Canadá. El MERCOSUR busca una integración regional más amplia entre los países que s</w:t>
      </w:r>
      <w:r w:rsidR="004B4F7B">
        <w:rPr>
          <w:rFonts w:ascii="Times New Roman" w:hAnsi="Times New Roman" w:cs="Times New Roman"/>
        </w:rPr>
        <w:t>í</w:t>
      </w:r>
      <w:r w:rsidRPr="002A5B9D">
        <w:rPr>
          <w:rFonts w:ascii="Times New Roman" w:hAnsi="Times New Roman" w:cs="Times New Roman"/>
        </w:rPr>
        <w:t xml:space="preserve"> llega a tocar otras dimensiones como la educativa, cultural y social. </w:t>
      </w:r>
    </w:p>
    <w:p w14:paraId="2BCD3805" w14:textId="0E19A933"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t>Adicionalmente</w:t>
      </w:r>
      <w:r w:rsidR="00EF3DA7">
        <w:rPr>
          <w:rFonts w:ascii="Times New Roman" w:hAnsi="Times New Roman" w:cs="Times New Roman"/>
        </w:rPr>
        <w:t>,</w:t>
      </w:r>
      <w:r w:rsidRPr="002A5B9D">
        <w:rPr>
          <w:rFonts w:ascii="Times New Roman" w:hAnsi="Times New Roman" w:cs="Times New Roman"/>
        </w:rPr>
        <w:t xml:space="preserve"> se puede inferir que los sistemas educativos llegar a una integración mayor en el MERCOSUR porque los sistemas educativos son más compatibles, tienen tradiciones universitarias similares, </w:t>
      </w:r>
      <w:r>
        <w:rPr>
          <w:rFonts w:ascii="Times New Roman" w:hAnsi="Times New Roman" w:cs="Times New Roman"/>
        </w:rPr>
        <w:t>teniendo presente</w:t>
      </w:r>
      <w:r w:rsidRPr="002A5B9D">
        <w:rPr>
          <w:rFonts w:ascii="Times New Roman" w:hAnsi="Times New Roman" w:cs="Times New Roman"/>
        </w:rPr>
        <w:t xml:space="preserve"> que el modelo de referencia en el caso del </w:t>
      </w:r>
      <w:r>
        <w:rPr>
          <w:rFonts w:ascii="Times New Roman" w:hAnsi="Times New Roman" w:cs="Times New Roman"/>
        </w:rPr>
        <w:t>MERCOSUR</w:t>
      </w:r>
      <w:r w:rsidRPr="002A5B9D">
        <w:rPr>
          <w:rFonts w:ascii="Times New Roman" w:hAnsi="Times New Roman" w:cs="Times New Roman"/>
        </w:rPr>
        <w:t xml:space="preserve"> es en todos los casos la Universidad Virreinal, por lo tanto, hay menos asimetría estructural.</w:t>
      </w:r>
    </w:p>
    <w:p w14:paraId="7AEAEC8F" w14:textId="10BF4494"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lastRenderedPageBreak/>
        <w:t>El T-MEC por otro lado es un acuerdo de libre comercio avanzado y no busca una integración social profunda</w:t>
      </w:r>
      <w:r w:rsidR="00EF3DA7">
        <w:rPr>
          <w:rFonts w:ascii="Times New Roman" w:hAnsi="Times New Roman" w:cs="Times New Roman"/>
        </w:rPr>
        <w:t xml:space="preserve">. </w:t>
      </w:r>
      <w:r w:rsidRPr="002A5B9D">
        <w:rPr>
          <w:rFonts w:ascii="Times New Roman" w:hAnsi="Times New Roman" w:cs="Times New Roman"/>
        </w:rPr>
        <w:t xml:space="preserve">En el T-MEC no existe un organismo parecido al ARCU-SUR. </w:t>
      </w:r>
      <w:r w:rsidRPr="002A5B9D">
        <w:rPr>
          <w:rFonts w:ascii="Times New Roman" w:hAnsi="Times New Roman" w:cs="Times New Roman"/>
          <w:kern w:val="36"/>
        </w:rPr>
        <w:t>La educación aparece como servicio únicamente y las revalidaciones están afuera de las obligaciones centrales del tratado.</w:t>
      </w:r>
      <w:r w:rsidRPr="002A5B9D">
        <w:rPr>
          <w:rFonts w:ascii="Times New Roman" w:hAnsi="Times New Roman" w:cs="Times New Roman"/>
        </w:rPr>
        <w:t xml:space="preserve"> </w:t>
      </w:r>
      <w:r w:rsidRPr="002A5B9D">
        <w:rPr>
          <w:rFonts w:ascii="Times New Roman" w:hAnsi="Times New Roman" w:cs="Times New Roman"/>
          <w:kern w:val="36"/>
        </w:rPr>
        <w:t xml:space="preserve">El </w:t>
      </w:r>
      <w:r>
        <w:rPr>
          <w:rFonts w:ascii="Times New Roman" w:hAnsi="Times New Roman" w:cs="Times New Roman"/>
          <w:kern w:val="36"/>
        </w:rPr>
        <w:t>reconocimiento</w:t>
      </w:r>
      <w:r w:rsidRPr="002A5B9D">
        <w:rPr>
          <w:rFonts w:ascii="Times New Roman" w:hAnsi="Times New Roman" w:cs="Times New Roman"/>
          <w:kern w:val="36"/>
        </w:rPr>
        <w:t xml:space="preserve"> de títulos y la educación superior nunca han sido un eje central y hay razones estructurales, políticas y regulatoria para que sea así. La educación no se percibe adentro del tratado como un sector económico estratégico directo.</w:t>
      </w:r>
      <w:r w:rsidRPr="002A5B9D">
        <w:rPr>
          <w:rFonts w:ascii="Times New Roman" w:hAnsi="Times New Roman" w:cs="Times New Roman"/>
        </w:rPr>
        <w:t xml:space="preserve"> Obviamente</w:t>
      </w:r>
      <w:r w:rsidR="00EF3DA7">
        <w:rPr>
          <w:rFonts w:ascii="Times New Roman" w:hAnsi="Times New Roman" w:cs="Times New Roman"/>
        </w:rPr>
        <w:t>,</w:t>
      </w:r>
      <w:r w:rsidRPr="002A5B9D">
        <w:rPr>
          <w:rFonts w:ascii="Times New Roman" w:hAnsi="Times New Roman" w:cs="Times New Roman"/>
        </w:rPr>
        <w:t xml:space="preserve"> aún si hablamos de un acuerdo más avanzado con respecto al T-MEC</w:t>
      </w:r>
      <w:r w:rsidR="00EF3DA7">
        <w:rPr>
          <w:rFonts w:ascii="Times New Roman" w:hAnsi="Times New Roman" w:cs="Times New Roman"/>
        </w:rPr>
        <w:t>,</w:t>
      </w:r>
      <w:r w:rsidRPr="002A5B9D">
        <w:rPr>
          <w:rFonts w:ascii="Times New Roman" w:hAnsi="Times New Roman" w:cs="Times New Roman"/>
        </w:rPr>
        <w:t xml:space="preserve"> también el MERCOSUR tiene sus limitaciones. Es decir, no es vinculante, es decir los países pueden al final aplicar sus propios criterios, en la literatura se evidencias problemas con tramites burocráticos largos y como ya se mencionó con anterioridad solamente ciertas carreras están acreditadas en</w:t>
      </w:r>
      <w:r w:rsidRPr="002A5B9D">
        <w:rPr>
          <w:rFonts w:ascii="Times New Roman" w:hAnsi="Times New Roman" w:cs="Times New Roman"/>
          <w:b/>
          <w:bCs/>
          <w:kern w:val="36"/>
          <w:sz w:val="48"/>
          <w:szCs w:val="48"/>
        </w:rPr>
        <w:t xml:space="preserve"> </w:t>
      </w:r>
      <w:r w:rsidRPr="002A5B9D">
        <w:rPr>
          <w:rFonts w:ascii="Times New Roman" w:hAnsi="Times New Roman" w:cs="Times New Roman"/>
        </w:rPr>
        <w:t>ARCU-SUR. En el T-MEC</w:t>
      </w:r>
      <w:r w:rsidRPr="002A5B9D">
        <w:rPr>
          <w:rFonts w:ascii="Times New Roman" w:hAnsi="Times New Roman" w:cs="Times New Roman"/>
          <w:lang w:val="es-ES_tradnl"/>
        </w:rPr>
        <w:t xml:space="preserve"> </w:t>
      </w:r>
      <w:r w:rsidRPr="002A5B9D">
        <w:rPr>
          <w:rFonts w:ascii="Times New Roman" w:hAnsi="Times New Roman" w:cs="Times New Roman"/>
        </w:rPr>
        <w:t>falta la presión política suficiente para que el tema educativo se vuelva central en el T-MEC y que se armonicen, hasta el momento no ha sido prioridad en la agenda del T-MEC.</w:t>
      </w:r>
    </w:p>
    <w:p w14:paraId="21821480" w14:textId="77777777"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t>Los inicios de la puesta en práctica del TLC sirvieron para evidenciar la falta de acreditación en la calidad de la educación en México, aspecto que estaba consolidado en Estados Unidos y Canadá y que fue necesario adoptar en territorio nacional. A pesar del aumento entre la cooperación del bloque del norte conformado por México, Estados Unidos y Canadá, el tratado de libre comercio ya sea como TLC o T-MEC no ha profundizado una integración más allá de la segmentación de las cadenas de producción, dejando de lado la educación trilateral.</w:t>
      </w:r>
    </w:p>
    <w:p w14:paraId="1659315E" w14:textId="77777777"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t xml:space="preserve">A diferencia del bloque norte, el MERCOSUR sí prevé mecanismos de política migratoria que refuerzan la política educativa internacional y abre la puerta al establecimiento de acuerdos bilaterales para mejorar la movilidad y la homologación de títulos.  </w:t>
      </w:r>
    </w:p>
    <w:p w14:paraId="76C7A5D5" w14:textId="77777777" w:rsidR="002A5B9D" w:rsidRPr="002A5B9D" w:rsidRDefault="002A5B9D" w:rsidP="002A5B9D">
      <w:pPr>
        <w:spacing w:line="240" w:lineRule="auto"/>
        <w:jc w:val="both"/>
        <w:rPr>
          <w:rFonts w:ascii="Times New Roman" w:hAnsi="Times New Roman" w:cs="Times New Roman"/>
          <w:lang w:val="es-MX"/>
        </w:rPr>
      </w:pPr>
      <w:r w:rsidRPr="002A5B9D">
        <w:rPr>
          <w:rFonts w:ascii="Times New Roman" w:hAnsi="Times New Roman" w:cs="Times New Roman"/>
        </w:rPr>
        <w:t xml:space="preserve">En consecuencia, en el marco de las reuniones de actualización del T-MEC sería deseable que se incluyera a la educación como un eje prioritario en primer lugar para agilizar el reconocimiento y la homologación de los estudios y en segundo lugar como detonante de la movilidad para el fortalecimiento de la internacionalización de la educación superior. Estas acciones fortalecerían la economía de los tres países, el intercambio de talento humano e impulsarían la innovación, la competitividad y la inclusión para lograr la educación de calidad como parte del cumplimiento de los objetivos de desarrollo sostenible. </w:t>
      </w:r>
    </w:p>
    <w:p w14:paraId="6431CF8B" w14:textId="6A8EA98B" w:rsidR="002A5B9D" w:rsidRPr="002A5B9D" w:rsidRDefault="002A5B9D" w:rsidP="002A5B9D">
      <w:pPr>
        <w:spacing w:line="240" w:lineRule="auto"/>
        <w:jc w:val="both"/>
        <w:rPr>
          <w:rFonts w:ascii="Times New Roman" w:hAnsi="Times New Roman" w:cs="Times New Roman"/>
          <w:color w:val="000000" w:themeColor="text1"/>
          <w:lang w:val="es-ES_tradnl"/>
        </w:rPr>
      </w:pPr>
      <w:r w:rsidRPr="002A5B9D">
        <w:rPr>
          <w:rFonts w:ascii="Times New Roman" w:hAnsi="Times New Roman" w:cs="Times New Roman"/>
          <w:color w:val="000000" w:themeColor="text1"/>
          <w:lang w:val="es-ES_tradnl"/>
        </w:rPr>
        <w:t xml:space="preserve">Por lo que concierne </w:t>
      </w:r>
      <w:r w:rsidR="00C868CB">
        <w:rPr>
          <w:rFonts w:ascii="Times New Roman" w:hAnsi="Times New Roman" w:cs="Times New Roman"/>
          <w:color w:val="000000" w:themeColor="text1"/>
          <w:lang w:val="es-ES_tradnl"/>
        </w:rPr>
        <w:t>al</w:t>
      </w:r>
      <w:r w:rsidRPr="002A5B9D">
        <w:rPr>
          <w:rFonts w:ascii="Times New Roman" w:hAnsi="Times New Roman" w:cs="Times New Roman"/>
          <w:color w:val="000000" w:themeColor="text1"/>
          <w:lang w:val="es-ES_tradnl"/>
        </w:rPr>
        <w:t xml:space="preserve"> MERCOSUR</w:t>
      </w:r>
      <w:r w:rsidR="00C868CB">
        <w:rPr>
          <w:rFonts w:ascii="Times New Roman" w:hAnsi="Times New Roman" w:cs="Times New Roman"/>
          <w:color w:val="000000" w:themeColor="text1"/>
          <w:lang w:val="es-ES_tradnl"/>
        </w:rPr>
        <w:t>,</w:t>
      </w:r>
      <w:r w:rsidRPr="002A5B9D">
        <w:rPr>
          <w:rFonts w:ascii="Times New Roman" w:hAnsi="Times New Roman" w:cs="Times New Roman"/>
          <w:color w:val="000000" w:themeColor="text1"/>
          <w:lang w:val="es-ES_tradnl"/>
        </w:rPr>
        <w:t xml:space="preserve"> se pueden formular las siguientes recomendaciones: facilitar el reconocimiento automático de créditos títulos entre los países a través de hacer más ágil en los países el proceso, también crear trayectorias académicas regionales compartidas (doble titulación y programas conjuntos), extender a más áreas la acreditación ARCU-SUR y promover mayor difusión del valor que tiene la acreditación y finalmente generar mecanismos más agiles de toma de decisiones a nivel regional. </w:t>
      </w:r>
    </w:p>
    <w:p w14:paraId="544B704F" w14:textId="77777777" w:rsidR="00BC236F" w:rsidRDefault="00BC236F" w:rsidP="007B5B5F">
      <w:pPr>
        <w:spacing w:line="240" w:lineRule="auto"/>
        <w:jc w:val="both"/>
        <w:rPr>
          <w:rFonts w:ascii="Times New Roman" w:hAnsi="Times New Roman" w:cs="Times New Roman"/>
          <w:lang w:val="es-ES_tradnl"/>
        </w:rPr>
      </w:pPr>
    </w:p>
    <w:p w14:paraId="39FB8F0B" w14:textId="77777777" w:rsidR="00EF3DA7" w:rsidRDefault="00EF3DA7" w:rsidP="007B5B5F">
      <w:pPr>
        <w:spacing w:line="240" w:lineRule="auto"/>
        <w:jc w:val="both"/>
        <w:rPr>
          <w:rFonts w:ascii="Times New Roman" w:hAnsi="Times New Roman" w:cs="Times New Roman"/>
          <w:lang w:val="es-ES_tradnl"/>
        </w:rPr>
      </w:pPr>
    </w:p>
    <w:p w14:paraId="054D59D5" w14:textId="77777777" w:rsidR="00EF3DA7" w:rsidRPr="002D5169" w:rsidRDefault="00EF3DA7" w:rsidP="007B5B5F">
      <w:pPr>
        <w:spacing w:line="240" w:lineRule="auto"/>
        <w:jc w:val="both"/>
        <w:rPr>
          <w:rFonts w:ascii="Times New Roman" w:hAnsi="Times New Roman" w:cs="Times New Roman"/>
          <w:lang w:val="es-ES_tradnl"/>
        </w:rPr>
      </w:pPr>
    </w:p>
    <w:p w14:paraId="39B57161" w14:textId="0B2C2474"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lastRenderedPageBreak/>
        <w:t xml:space="preserve">Referencias Bibliográficas </w:t>
      </w:r>
    </w:p>
    <w:p w14:paraId="3AE3E1F6" w14:textId="77777777" w:rsidR="002A5B9D" w:rsidRPr="002A5B9D" w:rsidRDefault="002A5B9D" w:rsidP="002A5B9D">
      <w:pPr>
        <w:spacing w:line="240" w:lineRule="auto"/>
        <w:jc w:val="both"/>
        <w:rPr>
          <w:rFonts w:ascii="Times New Roman" w:hAnsi="Times New Roman" w:cs="Times New Roman"/>
          <w:color w:val="000000" w:themeColor="text1"/>
          <w:lang w:val="es-ES_tradnl"/>
        </w:rPr>
      </w:pPr>
      <w:proofErr w:type="spellStart"/>
      <w:r w:rsidRPr="002A5B9D">
        <w:rPr>
          <w:rFonts w:ascii="Times New Roman" w:hAnsi="Times New Roman" w:cs="Times New Roman"/>
          <w:color w:val="000000" w:themeColor="text1"/>
          <w:lang w:val="es-ES_tradnl"/>
        </w:rPr>
        <w:t>Aboites</w:t>
      </w:r>
      <w:proofErr w:type="spellEnd"/>
      <w:r w:rsidRPr="002A5B9D">
        <w:rPr>
          <w:rFonts w:ascii="Times New Roman" w:hAnsi="Times New Roman" w:cs="Times New Roman"/>
          <w:color w:val="000000" w:themeColor="text1"/>
          <w:lang w:val="es-ES_tradnl"/>
        </w:rPr>
        <w:t xml:space="preserve"> Aguilar H. (2007). Tratado de Libre Comercio y educación superior. El caso México, un antecedente para América Latina. </w:t>
      </w:r>
      <w:r w:rsidRPr="002A5B9D">
        <w:rPr>
          <w:rFonts w:ascii="Times New Roman" w:hAnsi="Times New Roman" w:cs="Times New Roman"/>
          <w:i/>
          <w:iCs/>
          <w:color w:val="000000" w:themeColor="text1"/>
          <w:lang w:val="es-ES_tradnl"/>
        </w:rPr>
        <w:t>Perfiles educativos</w:t>
      </w:r>
      <w:r w:rsidRPr="002A5B9D">
        <w:rPr>
          <w:rFonts w:ascii="Times New Roman" w:hAnsi="Times New Roman" w:cs="Times New Roman"/>
          <w:color w:val="000000" w:themeColor="text1"/>
          <w:lang w:val="es-ES_tradnl"/>
        </w:rPr>
        <w:t xml:space="preserve">, 29, (118), </w:t>
      </w:r>
      <w:r w:rsidRPr="002A5B9D">
        <w:rPr>
          <w:rFonts w:ascii="Times New Roman" w:hAnsi="Times New Roman" w:cs="Times New Roman"/>
          <w:color w:val="000000" w:themeColor="text1"/>
          <w:shd w:val="clear" w:color="auto" w:fill="FFFFFF"/>
          <w:lang w:val="es-ES_tradnl"/>
        </w:rPr>
        <w:t>25–53.</w:t>
      </w:r>
      <w:r w:rsidRPr="002A5B9D">
        <w:rPr>
          <w:rFonts w:ascii="Times New Roman" w:hAnsi="Times New Roman" w:cs="Times New Roman"/>
        </w:rPr>
        <w:t xml:space="preserve"> </w:t>
      </w:r>
      <w:r w:rsidRPr="002A5B9D">
        <w:rPr>
          <w:rFonts w:ascii="Times New Roman" w:hAnsi="Times New Roman" w:cs="Times New Roman"/>
          <w:color w:val="000000" w:themeColor="text1"/>
          <w:shd w:val="clear" w:color="auto" w:fill="FFFFFF"/>
          <w:lang w:val="es-ES_tradnl"/>
        </w:rPr>
        <w:t>https://perfileseducativos.unam.mx/iisue_pe/index.php/perfiles/article/view/61068/52960</w:t>
      </w:r>
    </w:p>
    <w:p w14:paraId="53607DA5" w14:textId="77777777" w:rsidR="002A5B9D" w:rsidRPr="002A5B9D" w:rsidRDefault="002A5B9D" w:rsidP="002A5B9D">
      <w:pPr>
        <w:spacing w:line="240" w:lineRule="auto"/>
        <w:jc w:val="both"/>
        <w:rPr>
          <w:rFonts w:ascii="Times New Roman" w:hAnsi="Times New Roman" w:cs="Times New Roman"/>
        </w:rPr>
      </w:pPr>
      <w:proofErr w:type="spellStart"/>
      <w:r w:rsidRPr="002A5B9D">
        <w:rPr>
          <w:rFonts w:ascii="Times New Roman" w:hAnsi="Times New Roman" w:cs="Times New Roman"/>
          <w:lang w:val="es-ES_tradnl"/>
        </w:rPr>
        <w:t>Altbach</w:t>
      </w:r>
      <w:proofErr w:type="spellEnd"/>
      <w:r w:rsidRPr="002A5B9D">
        <w:rPr>
          <w:rFonts w:ascii="Times New Roman" w:hAnsi="Times New Roman" w:cs="Times New Roman"/>
          <w:lang w:val="es-ES_tradnl"/>
        </w:rPr>
        <w:t xml:space="preserve"> P. G. (1995). El TLC y la educación superior: Las dimensiones cultural y educativa del tratado. </w:t>
      </w:r>
      <w:proofErr w:type="spellStart"/>
      <w:r w:rsidRPr="002A5B9D">
        <w:rPr>
          <w:rFonts w:ascii="Times New Roman" w:hAnsi="Times New Roman" w:cs="Times New Roman"/>
          <w:i/>
          <w:iCs/>
          <w:lang w:val="en-US"/>
        </w:rPr>
        <w:t>Perfiles</w:t>
      </w:r>
      <w:proofErr w:type="spellEnd"/>
      <w:r w:rsidRPr="002A5B9D">
        <w:rPr>
          <w:rFonts w:ascii="Times New Roman" w:hAnsi="Times New Roman" w:cs="Times New Roman"/>
          <w:i/>
          <w:iCs/>
          <w:lang w:val="en-US"/>
        </w:rPr>
        <w:t xml:space="preserve"> </w:t>
      </w:r>
      <w:proofErr w:type="spellStart"/>
      <w:r w:rsidRPr="002A5B9D">
        <w:rPr>
          <w:rFonts w:ascii="Times New Roman" w:hAnsi="Times New Roman" w:cs="Times New Roman"/>
          <w:i/>
          <w:iCs/>
          <w:lang w:val="en-US"/>
        </w:rPr>
        <w:t>Educativos</w:t>
      </w:r>
      <w:proofErr w:type="spellEnd"/>
      <w:r w:rsidRPr="002A5B9D">
        <w:rPr>
          <w:rFonts w:ascii="Times New Roman" w:hAnsi="Times New Roman" w:cs="Times New Roman"/>
          <w:lang w:val="en-US"/>
        </w:rPr>
        <w:t xml:space="preserve">, 70, 1-5. </w:t>
      </w:r>
      <w:hyperlink r:id="rId10" w:history="1">
        <w:r w:rsidRPr="002A5B9D">
          <w:rPr>
            <w:rStyle w:val="Hipervnculo"/>
            <w:rFonts w:ascii="Times New Roman" w:hAnsi="Times New Roman" w:cs="Times New Roman"/>
            <w:lang w:val="en-US"/>
          </w:rPr>
          <w:t>https://www.redalyc.org/pdf/132/13207005.pdf</w:t>
        </w:r>
      </w:hyperlink>
    </w:p>
    <w:p w14:paraId="37C116A2" w14:textId="77777777" w:rsidR="002A5B9D" w:rsidRPr="002A5B9D" w:rsidRDefault="002A5B9D" w:rsidP="002A5B9D">
      <w:pPr>
        <w:spacing w:line="240" w:lineRule="auto"/>
        <w:jc w:val="both"/>
        <w:rPr>
          <w:rFonts w:ascii="Times New Roman" w:hAnsi="Times New Roman" w:cs="Times New Roman"/>
          <w:lang w:val="it-IT"/>
        </w:rPr>
      </w:pPr>
      <w:r w:rsidRPr="002A5B9D">
        <w:rPr>
          <w:rFonts w:ascii="Times New Roman" w:hAnsi="Times New Roman" w:cs="Times New Roman"/>
        </w:rPr>
        <w:t xml:space="preserve">Association of Southeast Asian Nations (ASEAN). </w:t>
      </w:r>
      <w:r w:rsidRPr="002A5B9D">
        <w:rPr>
          <w:rFonts w:ascii="Times New Roman" w:hAnsi="Times New Roman" w:cs="Times New Roman"/>
          <w:lang w:val="it-IT"/>
        </w:rPr>
        <w:t xml:space="preserve">(2020). </w:t>
      </w:r>
      <w:proofErr w:type="spellStart"/>
      <w:r w:rsidRPr="002A5B9D">
        <w:rPr>
          <w:rStyle w:val="nfasis"/>
          <w:rFonts w:ascii="Times New Roman" w:hAnsi="Times New Roman" w:cs="Times New Roman"/>
          <w:lang w:val="it-IT"/>
        </w:rPr>
        <w:t>Regional</w:t>
      </w:r>
      <w:proofErr w:type="spellEnd"/>
      <w:r w:rsidRPr="002A5B9D">
        <w:rPr>
          <w:rStyle w:val="nfasis"/>
          <w:rFonts w:ascii="Times New Roman" w:hAnsi="Times New Roman" w:cs="Times New Roman"/>
          <w:lang w:val="it-IT"/>
        </w:rPr>
        <w:t xml:space="preserve"> Comprehensive </w:t>
      </w:r>
      <w:proofErr w:type="spellStart"/>
      <w:r w:rsidRPr="002A5B9D">
        <w:rPr>
          <w:rStyle w:val="nfasis"/>
          <w:rFonts w:ascii="Times New Roman" w:hAnsi="Times New Roman" w:cs="Times New Roman"/>
          <w:lang w:val="it-IT"/>
        </w:rPr>
        <w:t>Economic</w:t>
      </w:r>
      <w:proofErr w:type="spellEnd"/>
      <w:r w:rsidRPr="002A5B9D">
        <w:rPr>
          <w:rStyle w:val="nfasis"/>
          <w:rFonts w:ascii="Times New Roman" w:hAnsi="Times New Roman" w:cs="Times New Roman"/>
          <w:lang w:val="it-IT"/>
        </w:rPr>
        <w:t xml:space="preserve"> Partnership Agreement</w:t>
      </w:r>
      <w:r w:rsidRPr="002A5B9D">
        <w:rPr>
          <w:rFonts w:ascii="Times New Roman" w:hAnsi="Times New Roman" w:cs="Times New Roman"/>
          <w:lang w:val="it-IT"/>
        </w:rPr>
        <w:t xml:space="preserve">. </w:t>
      </w:r>
      <w:hyperlink r:id="rId11" w:history="1">
        <w:r w:rsidRPr="002A5B9D">
          <w:rPr>
            <w:rStyle w:val="Hipervnculo"/>
            <w:rFonts w:ascii="Times New Roman" w:hAnsi="Times New Roman" w:cs="Times New Roman"/>
            <w:lang w:val="it-IT"/>
          </w:rPr>
          <w:t>https://rcepsec.org/legal-text/</w:t>
        </w:r>
      </w:hyperlink>
    </w:p>
    <w:p w14:paraId="3517622F" w14:textId="7738A160" w:rsidR="002A5B9D" w:rsidRPr="002A5B9D" w:rsidRDefault="002A5B9D" w:rsidP="002A5B9D">
      <w:pPr>
        <w:spacing w:line="240" w:lineRule="auto"/>
        <w:jc w:val="both"/>
        <w:rPr>
          <w:rFonts w:ascii="Times New Roman" w:hAnsi="Times New Roman" w:cs="Times New Roman"/>
          <w:lang w:val="en-US"/>
        </w:rPr>
      </w:pPr>
      <w:proofErr w:type="spellStart"/>
      <w:r w:rsidRPr="002A5B9D">
        <w:rPr>
          <w:rFonts w:ascii="Times New Roman" w:hAnsi="Times New Roman" w:cs="Times New Roman"/>
          <w:lang w:val="it-IT"/>
        </w:rPr>
        <w:t>Baylis</w:t>
      </w:r>
      <w:proofErr w:type="spellEnd"/>
      <w:r w:rsidRPr="002A5B9D">
        <w:rPr>
          <w:rFonts w:ascii="Times New Roman" w:hAnsi="Times New Roman" w:cs="Times New Roman"/>
          <w:lang w:val="it-IT"/>
        </w:rPr>
        <w:t xml:space="preserve">, J., Smith, S., &amp; Owens, P. (2020). </w:t>
      </w:r>
      <w:r w:rsidRPr="002A5B9D">
        <w:rPr>
          <w:rStyle w:val="nfasis"/>
          <w:rFonts w:ascii="Times New Roman" w:hAnsi="Times New Roman" w:cs="Times New Roman"/>
          <w:lang w:val="it-IT"/>
        </w:rPr>
        <w:t xml:space="preserve">The </w:t>
      </w:r>
      <w:proofErr w:type="spellStart"/>
      <w:r w:rsidRPr="002A5B9D">
        <w:rPr>
          <w:rStyle w:val="nfasis"/>
          <w:rFonts w:ascii="Times New Roman" w:hAnsi="Times New Roman" w:cs="Times New Roman"/>
          <w:lang w:val="it-IT"/>
        </w:rPr>
        <w:t>Globalization</w:t>
      </w:r>
      <w:proofErr w:type="spellEnd"/>
      <w:r w:rsidRPr="002A5B9D">
        <w:rPr>
          <w:rStyle w:val="nfasis"/>
          <w:rFonts w:ascii="Times New Roman" w:hAnsi="Times New Roman" w:cs="Times New Roman"/>
          <w:lang w:val="it-IT"/>
        </w:rPr>
        <w:t xml:space="preserve"> of World </w:t>
      </w:r>
      <w:proofErr w:type="spellStart"/>
      <w:r w:rsidRPr="002A5B9D">
        <w:rPr>
          <w:rStyle w:val="nfasis"/>
          <w:rFonts w:ascii="Times New Roman" w:hAnsi="Times New Roman" w:cs="Times New Roman"/>
          <w:lang w:val="it-IT"/>
        </w:rPr>
        <w:t>Politics</w:t>
      </w:r>
      <w:proofErr w:type="spellEnd"/>
      <w:r w:rsidRPr="002A5B9D">
        <w:rPr>
          <w:rStyle w:val="nfasis"/>
          <w:rFonts w:ascii="Times New Roman" w:hAnsi="Times New Roman" w:cs="Times New Roman"/>
          <w:lang w:val="it-IT"/>
        </w:rPr>
        <w:t xml:space="preserve">: An </w:t>
      </w:r>
      <w:proofErr w:type="spellStart"/>
      <w:r w:rsidRPr="002A5B9D">
        <w:rPr>
          <w:rStyle w:val="nfasis"/>
          <w:rFonts w:ascii="Times New Roman" w:hAnsi="Times New Roman" w:cs="Times New Roman"/>
          <w:lang w:val="it-IT"/>
        </w:rPr>
        <w:t>Introduction</w:t>
      </w:r>
      <w:proofErr w:type="spellEnd"/>
      <w:r>
        <w:rPr>
          <w:rStyle w:val="nfasis"/>
          <w:rFonts w:ascii="Times New Roman" w:hAnsi="Times New Roman" w:cs="Times New Roman"/>
          <w:lang w:val="it-IT"/>
        </w:rPr>
        <w:t xml:space="preserve"> </w:t>
      </w:r>
      <w:r w:rsidRPr="002A5B9D">
        <w:rPr>
          <w:rStyle w:val="nfasis"/>
          <w:rFonts w:ascii="Times New Roman" w:hAnsi="Times New Roman" w:cs="Times New Roman"/>
          <w:lang w:val="it-IT"/>
        </w:rPr>
        <w:t>to International Relations</w:t>
      </w:r>
      <w:r w:rsidRPr="002A5B9D">
        <w:rPr>
          <w:rFonts w:ascii="Times New Roman" w:hAnsi="Times New Roman" w:cs="Times New Roman"/>
          <w:lang w:val="it-IT"/>
        </w:rPr>
        <w:t xml:space="preserve"> (8th ed.). Oxford University Press</w:t>
      </w:r>
    </w:p>
    <w:p w14:paraId="5D1E8176" w14:textId="77777777" w:rsidR="002A5B9D" w:rsidRPr="002A5B9D" w:rsidRDefault="002A5B9D" w:rsidP="002A5B9D">
      <w:pPr>
        <w:spacing w:line="240" w:lineRule="auto"/>
        <w:jc w:val="both"/>
        <w:rPr>
          <w:rFonts w:ascii="Times New Roman" w:hAnsi="Times New Roman" w:cs="Times New Roman"/>
          <w:color w:val="000000" w:themeColor="text1"/>
          <w:lang w:val="en-US"/>
        </w:rPr>
      </w:pPr>
      <w:r w:rsidRPr="002A5B9D">
        <w:rPr>
          <w:rFonts w:ascii="Times New Roman" w:hAnsi="Times New Roman" w:cs="Times New Roman"/>
          <w:color w:val="000000" w:themeColor="text1"/>
          <w:lang w:val="en-US"/>
        </w:rPr>
        <w:t xml:space="preserve">Barrow C.W., </w:t>
      </w:r>
      <w:proofErr w:type="spellStart"/>
      <w:r w:rsidRPr="002A5B9D">
        <w:rPr>
          <w:rFonts w:ascii="Times New Roman" w:hAnsi="Times New Roman" w:cs="Times New Roman"/>
          <w:color w:val="000000" w:themeColor="text1"/>
          <w:lang w:val="en-US"/>
        </w:rPr>
        <w:t>Didou-Aupetit</w:t>
      </w:r>
      <w:proofErr w:type="spellEnd"/>
      <w:r w:rsidRPr="002A5B9D">
        <w:rPr>
          <w:rFonts w:ascii="Times New Roman" w:hAnsi="Times New Roman" w:cs="Times New Roman"/>
          <w:color w:val="000000" w:themeColor="text1"/>
          <w:lang w:val="en-US"/>
        </w:rPr>
        <w:t xml:space="preserve"> J., Mallea J. B. (2003). </w:t>
      </w:r>
      <w:proofErr w:type="spellStart"/>
      <w:r w:rsidRPr="002A5B9D">
        <w:rPr>
          <w:rFonts w:ascii="Times New Roman" w:hAnsi="Times New Roman" w:cs="Times New Roman"/>
          <w:i/>
          <w:iCs/>
          <w:color w:val="000000" w:themeColor="text1"/>
          <w:lang w:val="en-US"/>
        </w:rPr>
        <w:t>Globalisation</w:t>
      </w:r>
      <w:proofErr w:type="spellEnd"/>
      <w:r w:rsidRPr="002A5B9D">
        <w:rPr>
          <w:rFonts w:ascii="Times New Roman" w:hAnsi="Times New Roman" w:cs="Times New Roman"/>
          <w:i/>
          <w:iCs/>
          <w:color w:val="000000" w:themeColor="text1"/>
          <w:lang w:val="en-US"/>
        </w:rPr>
        <w:t xml:space="preserve">, Trade </w:t>
      </w:r>
      <w:proofErr w:type="spellStart"/>
      <w:r w:rsidRPr="002A5B9D">
        <w:rPr>
          <w:rFonts w:ascii="Times New Roman" w:hAnsi="Times New Roman" w:cs="Times New Roman"/>
          <w:i/>
          <w:iCs/>
          <w:color w:val="000000" w:themeColor="text1"/>
          <w:lang w:val="en-US"/>
        </w:rPr>
        <w:t>Liberalisation</w:t>
      </w:r>
      <w:proofErr w:type="spellEnd"/>
      <w:r w:rsidRPr="002A5B9D">
        <w:rPr>
          <w:rFonts w:ascii="Times New Roman" w:hAnsi="Times New Roman" w:cs="Times New Roman"/>
          <w:i/>
          <w:iCs/>
          <w:color w:val="000000" w:themeColor="text1"/>
          <w:lang w:val="en-US"/>
        </w:rPr>
        <w:t xml:space="preserve"> and Higher Education in North America: The Emerge of a New Market under NAFTA</w:t>
      </w:r>
      <w:r w:rsidRPr="002A5B9D">
        <w:rPr>
          <w:rFonts w:ascii="Times New Roman" w:hAnsi="Times New Roman" w:cs="Times New Roman"/>
          <w:color w:val="000000" w:themeColor="text1"/>
          <w:lang w:val="en-US"/>
        </w:rPr>
        <w:t>? Kluwer Academic Publishers.</w:t>
      </w:r>
    </w:p>
    <w:p w14:paraId="76596448" w14:textId="783F6DB2" w:rsidR="002A5B9D" w:rsidRPr="002A5B9D" w:rsidRDefault="002A5B9D" w:rsidP="002A5B9D">
      <w:pPr>
        <w:spacing w:line="240" w:lineRule="auto"/>
        <w:jc w:val="both"/>
        <w:rPr>
          <w:rFonts w:ascii="Times New Roman" w:hAnsi="Times New Roman" w:cs="Times New Roman"/>
          <w:color w:val="000000" w:themeColor="text1"/>
          <w:lang w:val="en-US"/>
        </w:rPr>
      </w:pPr>
      <w:r w:rsidRPr="002A5B9D">
        <w:rPr>
          <w:rFonts w:ascii="Times New Roman" w:hAnsi="Times New Roman" w:cs="Times New Roman"/>
          <w:lang w:val="en-US"/>
        </w:rPr>
        <w:t>Botto, M. (2015).</w:t>
      </w:r>
      <w:r w:rsidRPr="002A5B9D">
        <w:rPr>
          <w:rFonts w:ascii="Times New Roman" w:hAnsi="Times New Roman" w:cs="Times New Roman"/>
          <w:b/>
          <w:bCs/>
          <w:color w:val="000000"/>
          <w:shd w:val="clear" w:color="auto" w:fill="FFFFFF"/>
          <w:lang w:val="en-US"/>
        </w:rPr>
        <w:t xml:space="preserve"> </w:t>
      </w:r>
      <w:r w:rsidRPr="002A5B9D">
        <w:rPr>
          <w:rFonts w:ascii="Times New Roman" w:hAnsi="Times New Roman" w:cs="Times New Roman"/>
          <w:color w:val="000000"/>
          <w:shd w:val="clear" w:color="auto" w:fill="FFFFFF"/>
          <w:lang w:val="en-US"/>
        </w:rPr>
        <w:t xml:space="preserve">The </w:t>
      </w:r>
      <w:proofErr w:type="spellStart"/>
      <w:r w:rsidRPr="002A5B9D">
        <w:rPr>
          <w:rFonts w:ascii="Times New Roman" w:hAnsi="Times New Roman" w:cs="Times New Roman"/>
          <w:color w:val="000000"/>
          <w:shd w:val="clear" w:color="auto" w:fill="FFFFFF"/>
          <w:lang w:val="en-US"/>
        </w:rPr>
        <w:t>transnationalization</w:t>
      </w:r>
      <w:proofErr w:type="spellEnd"/>
      <w:r w:rsidRPr="002A5B9D">
        <w:rPr>
          <w:rFonts w:ascii="Times New Roman" w:hAnsi="Times New Roman" w:cs="Times New Roman"/>
          <w:color w:val="000000"/>
          <w:shd w:val="clear" w:color="auto" w:fill="FFFFFF"/>
          <w:lang w:val="en-US"/>
        </w:rPr>
        <w:t xml:space="preserve"> of higher education: which role do new regionalisms play in the </w:t>
      </w:r>
      <w:proofErr w:type="spellStart"/>
      <w:r w:rsidRPr="002A5B9D">
        <w:rPr>
          <w:rFonts w:ascii="Times New Roman" w:hAnsi="Times New Roman" w:cs="Times New Roman"/>
          <w:color w:val="000000"/>
          <w:shd w:val="clear" w:color="auto" w:fill="FFFFFF"/>
          <w:lang w:val="en-US"/>
        </w:rPr>
        <w:t>disemination</w:t>
      </w:r>
      <w:proofErr w:type="spellEnd"/>
      <w:r w:rsidRPr="002A5B9D">
        <w:rPr>
          <w:rFonts w:ascii="Times New Roman" w:hAnsi="Times New Roman" w:cs="Times New Roman"/>
          <w:color w:val="000000"/>
          <w:shd w:val="clear" w:color="auto" w:fill="FFFFFF"/>
          <w:lang w:val="en-US"/>
        </w:rPr>
        <w:t xml:space="preserve"> of these ideas? the case of MERCOSUR (1992-2012) in a compared perspective, </w:t>
      </w:r>
      <w:r w:rsidRPr="002A5B9D">
        <w:rPr>
          <w:rFonts w:ascii="Times New Roman" w:hAnsi="Times New Roman" w:cs="Times New Roman"/>
          <w:i/>
          <w:iCs/>
          <w:color w:val="000000"/>
          <w:shd w:val="clear" w:color="auto" w:fill="FFFFFF"/>
          <w:lang w:val="en-US"/>
        </w:rPr>
        <w:t xml:space="preserve">Rev. </w:t>
      </w:r>
      <w:proofErr w:type="spellStart"/>
      <w:r w:rsidRPr="002A5B9D">
        <w:rPr>
          <w:rFonts w:ascii="Times New Roman" w:hAnsi="Times New Roman" w:cs="Times New Roman"/>
          <w:i/>
          <w:iCs/>
          <w:color w:val="000000"/>
          <w:shd w:val="clear" w:color="auto" w:fill="FFFFFF"/>
          <w:lang w:val="en-US"/>
        </w:rPr>
        <w:t>iberoam</w:t>
      </w:r>
      <w:proofErr w:type="spellEnd"/>
      <w:r w:rsidRPr="002A5B9D">
        <w:rPr>
          <w:rFonts w:ascii="Times New Roman" w:hAnsi="Times New Roman" w:cs="Times New Roman"/>
          <w:i/>
          <w:iCs/>
          <w:color w:val="000000"/>
          <w:shd w:val="clear" w:color="auto" w:fill="FFFFFF"/>
          <w:lang w:val="en-US"/>
        </w:rPr>
        <w:t xml:space="preserve">. educ. </w:t>
      </w:r>
      <w:proofErr w:type="gramStart"/>
      <w:r w:rsidRPr="002A5B9D">
        <w:rPr>
          <w:rFonts w:ascii="Times New Roman" w:hAnsi="Times New Roman" w:cs="Times New Roman"/>
          <w:i/>
          <w:iCs/>
          <w:color w:val="000000"/>
          <w:shd w:val="clear" w:color="auto" w:fill="FFFFFF"/>
          <w:lang w:val="en-US"/>
        </w:rPr>
        <w:t>super</w:t>
      </w:r>
      <w:r w:rsidRPr="002A5B9D">
        <w:rPr>
          <w:rFonts w:ascii="Times New Roman" w:hAnsi="Times New Roman" w:cs="Times New Roman"/>
          <w:color w:val="000000"/>
          <w:shd w:val="clear" w:color="auto" w:fill="FFFFFF"/>
          <w:lang w:val="en-US"/>
        </w:rPr>
        <w:t> .</w:t>
      </w:r>
      <w:proofErr w:type="gramEnd"/>
      <w:r w:rsidRPr="002A5B9D">
        <w:rPr>
          <w:rFonts w:ascii="Times New Roman" w:hAnsi="Times New Roman" w:cs="Times New Roman"/>
          <w:color w:val="000000"/>
          <w:shd w:val="clear" w:color="auto" w:fill="FFFFFF"/>
          <w:lang w:val="en-US"/>
        </w:rPr>
        <w:t xml:space="preserve"> </w:t>
      </w:r>
      <w:r w:rsidRPr="002A5B9D">
        <w:rPr>
          <w:rFonts w:ascii="Times New Roman" w:hAnsi="Times New Roman" w:cs="Times New Roman"/>
          <w:i/>
          <w:iCs/>
          <w:color w:val="000000"/>
          <w:shd w:val="clear" w:color="auto" w:fill="FFFFFF"/>
          <w:lang w:val="en-US"/>
        </w:rPr>
        <w:t>6</w:t>
      </w:r>
      <w:r w:rsidRPr="002A5B9D">
        <w:rPr>
          <w:rFonts w:ascii="Times New Roman" w:hAnsi="Times New Roman" w:cs="Times New Roman"/>
          <w:color w:val="000000"/>
          <w:shd w:val="clear" w:color="auto" w:fill="FFFFFF"/>
          <w:lang w:val="en-US"/>
        </w:rPr>
        <w:t>(16), 90-109 https://www.scielo.org.mx/pdf/ries/v6n16/v6n16a5.pdf</w:t>
      </w:r>
    </w:p>
    <w:p w14:paraId="5E6904E2" w14:textId="77777777" w:rsidR="002A5B9D" w:rsidRPr="002A5B9D" w:rsidRDefault="002A5B9D" w:rsidP="002A5B9D">
      <w:pPr>
        <w:spacing w:line="240" w:lineRule="auto"/>
        <w:jc w:val="both"/>
        <w:rPr>
          <w:rFonts w:ascii="Times New Roman" w:hAnsi="Times New Roman" w:cs="Times New Roman"/>
          <w:color w:val="000000" w:themeColor="text1"/>
          <w:lang w:val="en-US"/>
        </w:rPr>
      </w:pPr>
      <w:r w:rsidRPr="002A5B9D">
        <w:rPr>
          <w:rStyle w:val="whitespace-normal"/>
          <w:rFonts w:ascii="Times New Roman" w:hAnsi="Times New Roman" w:cs="Times New Roman"/>
          <w:lang w:val="en-US"/>
        </w:rPr>
        <w:t>Center for Strategic and International Studies</w:t>
      </w:r>
      <w:r w:rsidRPr="002A5B9D">
        <w:rPr>
          <w:rFonts w:ascii="Times New Roman" w:hAnsi="Times New Roman" w:cs="Times New Roman"/>
          <w:lang w:val="en-US"/>
        </w:rPr>
        <w:t xml:space="preserve"> Center for Strategic and International Studies (CSIS). (2025). </w:t>
      </w:r>
      <w:r w:rsidRPr="002A5B9D">
        <w:rPr>
          <w:rStyle w:val="nfasis"/>
          <w:rFonts w:ascii="Times New Roman" w:hAnsi="Times New Roman" w:cs="Times New Roman"/>
          <w:lang w:val="en-US"/>
        </w:rPr>
        <w:t>USMCA review 2026: Key challenges and opportunities</w:t>
      </w:r>
      <w:r w:rsidRPr="002A5B9D">
        <w:rPr>
          <w:rFonts w:ascii="Times New Roman" w:hAnsi="Times New Roman" w:cs="Times New Roman"/>
          <w:lang w:val="en-US"/>
        </w:rPr>
        <w:t xml:space="preserve">. </w:t>
      </w:r>
      <w:hyperlink r:id="rId12" w:tgtFrame="_new" w:history="1">
        <w:r w:rsidRPr="002A5B9D">
          <w:rPr>
            <w:rStyle w:val="Hipervnculo"/>
            <w:rFonts w:ascii="Times New Roman" w:hAnsi="Times New Roman" w:cs="Times New Roman"/>
            <w:lang w:val="en-US"/>
          </w:rPr>
          <w:t>https://www.csis.org/analysis/usmca-review-2026</w:t>
        </w:r>
      </w:hyperlink>
    </w:p>
    <w:p w14:paraId="7DED2D23" w14:textId="77777777" w:rsidR="002A5B9D" w:rsidRPr="002A5B9D" w:rsidRDefault="002A5B9D" w:rsidP="002A5B9D">
      <w:pPr>
        <w:spacing w:line="240" w:lineRule="auto"/>
        <w:jc w:val="both"/>
        <w:rPr>
          <w:rFonts w:ascii="Times New Roman" w:hAnsi="Times New Roman" w:cs="Times New Roman"/>
          <w:lang w:val="es-ES_tradnl"/>
        </w:rPr>
      </w:pPr>
      <w:r w:rsidRPr="002A5B9D">
        <w:rPr>
          <w:rFonts w:ascii="Times New Roman" w:hAnsi="Times New Roman" w:cs="Times New Roman"/>
          <w:lang w:val="en-US"/>
        </w:rPr>
        <w:t xml:space="preserve">Council of Ministers of Education, Canada (CMEC). </w:t>
      </w:r>
      <w:r w:rsidRPr="002A5B9D">
        <w:rPr>
          <w:rFonts w:ascii="Times New Roman" w:hAnsi="Times New Roman" w:cs="Times New Roman"/>
          <w:lang w:val="es-ES_tradnl"/>
        </w:rPr>
        <w:t xml:space="preserve">(24 de noviembre de 2024). </w:t>
      </w:r>
      <w:proofErr w:type="spellStart"/>
      <w:r w:rsidRPr="002A5B9D">
        <w:rPr>
          <w:rFonts w:ascii="Times New Roman" w:hAnsi="Times New Roman" w:cs="Times New Roman"/>
          <w:i/>
          <w:iCs/>
          <w:lang w:val="es-ES"/>
        </w:rPr>
        <w:t>Education</w:t>
      </w:r>
      <w:proofErr w:type="spellEnd"/>
      <w:r w:rsidRPr="002A5B9D">
        <w:rPr>
          <w:rFonts w:ascii="Times New Roman" w:hAnsi="Times New Roman" w:cs="Times New Roman"/>
          <w:i/>
          <w:iCs/>
          <w:lang w:val="es-ES"/>
        </w:rPr>
        <w:t xml:space="preserve"> data and </w:t>
      </w:r>
      <w:proofErr w:type="spellStart"/>
      <w:r w:rsidRPr="002A5B9D">
        <w:rPr>
          <w:rFonts w:ascii="Times New Roman" w:hAnsi="Times New Roman" w:cs="Times New Roman"/>
          <w:i/>
          <w:iCs/>
          <w:lang w:val="es-ES"/>
        </w:rPr>
        <w:t>Research</w:t>
      </w:r>
      <w:proofErr w:type="spellEnd"/>
      <w:r w:rsidRPr="002A5B9D">
        <w:rPr>
          <w:rFonts w:ascii="Times New Roman" w:hAnsi="Times New Roman" w:cs="Times New Roman"/>
          <w:lang w:val="es-ES_tradnl"/>
        </w:rPr>
        <w:t xml:space="preserve">. </w:t>
      </w:r>
      <w:hyperlink r:id="rId13" w:history="1">
        <w:r w:rsidRPr="002A5B9D">
          <w:rPr>
            <w:rStyle w:val="Hipervnculo"/>
            <w:rFonts w:ascii="Times New Roman" w:hAnsi="Times New Roman" w:cs="Times New Roman"/>
            <w:lang w:val="es-ES_tradnl"/>
          </w:rPr>
          <w:t>https://www.cmec.ca</w:t>
        </w:r>
      </w:hyperlink>
    </w:p>
    <w:p w14:paraId="0EE98C28" w14:textId="77777777" w:rsidR="002A5B9D" w:rsidRPr="002A5B9D" w:rsidRDefault="002A5B9D" w:rsidP="002A5B9D">
      <w:pPr>
        <w:spacing w:line="240" w:lineRule="auto"/>
        <w:jc w:val="both"/>
        <w:rPr>
          <w:rFonts w:ascii="Times New Roman" w:hAnsi="Times New Roman" w:cs="Times New Roman"/>
          <w:lang w:val="es-ES_tradnl"/>
        </w:rPr>
      </w:pPr>
      <w:r w:rsidRPr="002A5B9D">
        <w:rPr>
          <w:rFonts w:ascii="Times New Roman" w:hAnsi="Times New Roman" w:cs="Times New Roman"/>
          <w:lang w:val="es-ES_tradnl"/>
        </w:rPr>
        <w:t>Departamento de Seguridad Nacional. (</w:t>
      </w:r>
      <w:r w:rsidRPr="002A5B9D">
        <w:rPr>
          <w:rFonts w:ascii="Times New Roman" w:hAnsi="Times New Roman" w:cs="Times New Roman"/>
          <w:color w:val="000000" w:themeColor="text1"/>
          <w:lang w:val="es-ES_tradnl"/>
        </w:rPr>
        <w:t xml:space="preserve">24 de noviembre de </w:t>
      </w:r>
      <w:r w:rsidRPr="002A5B9D">
        <w:rPr>
          <w:rFonts w:ascii="Times New Roman" w:hAnsi="Times New Roman" w:cs="Times New Roman"/>
          <w:lang w:val="es-ES_tradnl"/>
        </w:rPr>
        <w:t xml:space="preserve">2024). </w:t>
      </w:r>
      <w:r w:rsidRPr="002A5B9D">
        <w:rPr>
          <w:rFonts w:ascii="Times New Roman" w:hAnsi="Times New Roman" w:cs="Times New Roman"/>
          <w:i/>
          <w:iCs/>
          <w:lang w:val="es-ES_tradnl"/>
        </w:rPr>
        <w:t>Inmigración y ciudadanía</w:t>
      </w:r>
      <w:r w:rsidRPr="002A5B9D">
        <w:rPr>
          <w:rFonts w:ascii="Times New Roman" w:hAnsi="Times New Roman" w:cs="Times New Roman"/>
          <w:lang w:val="es-ES_tradnl"/>
        </w:rPr>
        <w:t xml:space="preserve">. </w:t>
      </w:r>
      <w:hyperlink r:id="rId14" w:history="1">
        <w:r w:rsidRPr="002A5B9D">
          <w:rPr>
            <w:rStyle w:val="Hipervnculo"/>
            <w:rFonts w:ascii="Times New Roman" w:hAnsi="Times New Roman" w:cs="Times New Roman"/>
            <w:lang w:val="es-ES_tradnl"/>
          </w:rPr>
          <w:t>https://www.usa.gov/es/agencias/departamento-de-seguridad-nacional</w:t>
        </w:r>
      </w:hyperlink>
      <w:r w:rsidRPr="002A5B9D">
        <w:rPr>
          <w:rFonts w:ascii="Times New Roman" w:hAnsi="Times New Roman" w:cs="Times New Roman"/>
          <w:lang w:val="es-ES_tradnl"/>
        </w:rPr>
        <w:t xml:space="preserve"> </w:t>
      </w:r>
    </w:p>
    <w:p w14:paraId="30B29880" w14:textId="77777777" w:rsidR="002A5B9D" w:rsidRPr="002A5B9D" w:rsidRDefault="002A5B9D" w:rsidP="002A5B9D">
      <w:pPr>
        <w:spacing w:line="240" w:lineRule="auto"/>
        <w:jc w:val="both"/>
        <w:rPr>
          <w:rFonts w:ascii="Times New Roman" w:hAnsi="Times New Roman" w:cs="Times New Roman"/>
          <w:lang w:val="it-IT"/>
        </w:rPr>
      </w:pPr>
      <w:r w:rsidRPr="002A5B9D">
        <w:rPr>
          <w:rFonts w:ascii="Times New Roman" w:hAnsi="Times New Roman" w:cs="Times New Roman"/>
        </w:rPr>
        <w:t xml:space="preserve">De Lombaerde, P., &amp; Van Langenhove, L. (2007). </w:t>
      </w:r>
      <w:proofErr w:type="spellStart"/>
      <w:r w:rsidRPr="002A5B9D">
        <w:rPr>
          <w:rStyle w:val="nfasis"/>
          <w:rFonts w:ascii="Times New Roman" w:hAnsi="Times New Roman" w:cs="Times New Roman"/>
          <w:lang w:val="it-IT"/>
        </w:rPr>
        <w:t>Regional</w:t>
      </w:r>
      <w:proofErr w:type="spellEnd"/>
      <w:r w:rsidRPr="002A5B9D">
        <w:rPr>
          <w:rStyle w:val="nfasis"/>
          <w:rFonts w:ascii="Times New Roman" w:hAnsi="Times New Roman" w:cs="Times New Roman"/>
          <w:lang w:val="it-IT"/>
        </w:rPr>
        <w:t xml:space="preserve"> Integration, Knowledge and Global Governance</w:t>
      </w:r>
      <w:r w:rsidRPr="002A5B9D">
        <w:rPr>
          <w:rFonts w:ascii="Times New Roman" w:hAnsi="Times New Roman" w:cs="Times New Roman"/>
          <w:lang w:val="it-IT"/>
        </w:rPr>
        <w:t xml:space="preserve">. </w:t>
      </w:r>
      <w:proofErr w:type="spellStart"/>
      <w:r w:rsidRPr="002A5B9D">
        <w:rPr>
          <w:rFonts w:ascii="Times New Roman" w:hAnsi="Times New Roman" w:cs="Times New Roman"/>
          <w:lang w:val="it-IT"/>
        </w:rPr>
        <w:t>Routledge</w:t>
      </w:r>
      <w:proofErr w:type="spellEnd"/>
      <w:r w:rsidRPr="002A5B9D">
        <w:rPr>
          <w:rFonts w:ascii="Times New Roman" w:hAnsi="Times New Roman" w:cs="Times New Roman"/>
          <w:lang w:val="it-IT"/>
        </w:rPr>
        <w:t>. https://www.researchgate.net/profile/Luk-Van-Langenhove-2/publication/249723641_Regional_Integration_Poverty_and_Social_Policy/links/54abf7d30cf2ce2df6692be0/Regional-Integration-Poverty-and-Social-Policy.pdf</w:t>
      </w:r>
    </w:p>
    <w:p w14:paraId="4E91224B" w14:textId="77777777" w:rsidR="002A5B9D" w:rsidRPr="002A5B9D" w:rsidRDefault="002A5B9D" w:rsidP="002A5B9D">
      <w:pPr>
        <w:spacing w:line="240" w:lineRule="auto"/>
        <w:jc w:val="both"/>
        <w:rPr>
          <w:rFonts w:ascii="Times New Roman" w:hAnsi="Times New Roman" w:cs="Times New Roman"/>
          <w:color w:val="000000" w:themeColor="text1"/>
          <w:lang w:val="es-ES_tradnl"/>
        </w:rPr>
      </w:pPr>
      <w:proofErr w:type="spellStart"/>
      <w:r w:rsidRPr="002A5B9D">
        <w:rPr>
          <w:rFonts w:ascii="Times New Roman" w:hAnsi="Times New Roman" w:cs="Times New Roman"/>
          <w:color w:val="000000" w:themeColor="text1"/>
          <w:lang w:val="es-ES_tradnl"/>
        </w:rPr>
        <w:t>Didou</w:t>
      </w:r>
      <w:proofErr w:type="spellEnd"/>
      <w:r w:rsidRPr="002A5B9D">
        <w:rPr>
          <w:rFonts w:ascii="Times New Roman" w:hAnsi="Times New Roman" w:cs="Times New Roman"/>
          <w:color w:val="000000" w:themeColor="text1"/>
          <w:lang w:val="es-ES_tradnl"/>
        </w:rPr>
        <w:t xml:space="preserve"> </w:t>
      </w:r>
      <w:proofErr w:type="spellStart"/>
      <w:r w:rsidRPr="002A5B9D">
        <w:rPr>
          <w:rFonts w:ascii="Times New Roman" w:hAnsi="Times New Roman" w:cs="Times New Roman"/>
          <w:color w:val="000000" w:themeColor="text1"/>
          <w:lang w:val="es-ES_tradnl"/>
        </w:rPr>
        <w:t>Aupedit</w:t>
      </w:r>
      <w:proofErr w:type="spellEnd"/>
      <w:r w:rsidRPr="002A5B9D">
        <w:rPr>
          <w:rFonts w:ascii="Times New Roman" w:hAnsi="Times New Roman" w:cs="Times New Roman"/>
          <w:color w:val="000000" w:themeColor="text1"/>
          <w:lang w:val="es-ES_tradnl"/>
        </w:rPr>
        <w:t xml:space="preserve"> S. (2017). </w:t>
      </w:r>
      <w:r w:rsidRPr="002A5B9D">
        <w:rPr>
          <w:rFonts w:ascii="Times New Roman" w:hAnsi="Times New Roman" w:cs="Times New Roman"/>
          <w:i/>
          <w:iCs/>
          <w:color w:val="000000" w:themeColor="text1"/>
          <w:lang w:val="es-ES_tradnl"/>
        </w:rPr>
        <w:t>La internacionalización de la educación superior en América Latina: transitar de lo exógeno a lo endógeno</w:t>
      </w:r>
      <w:r w:rsidRPr="002A5B9D">
        <w:rPr>
          <w:rFonts w:ascii="Times New Roman" w:hAnsi="Times New Roman" w:cs="Times New Roman"/>
          <w:color w:val="000000" w:themeColor="text1"/>
          <w:lang w:val="es-ES_tradnl"/>
        </w:rPr>
        <w:t xml:space="preserve">. D.R. Unión de Universidades de América Latina y el Caribe, A.C. </w:t>
      </w:r>
      <w:hyperlink r:id="rId15" w:history="1">
        <w:r w:rsidRPr="002A5B9D">
          <w:rPr>
            <w:rStyle w:val="Hipervnculo"/>
            <w:rFonts w:ascii="Times New Roman" w:hAnsi="Times New Roman" w:cs="Times New Roman"/>
            <w:color w:val="4B7D92"/>
            <w:shd w:val="clear" w:color="auto" w:fill="FFFFFF"/>
          </w:rPr>
          <w:t>https://doi.org/10.61203/2347-0658.v8.n1.24674</w:t>
        </w:r>
      </w:hyperlink>
    </w:p>
    <w:p w14:paraId="30DD6F23" w14:textId="77777777" w:rsidR="002A5B9D" w:rsidRPr="002A5B9D" w:rsidRDefault="002A5B9D" w:rsidP="002A5B9D">
      <w:pPr>
        <w:rPr>
          <w:rFonts w:ascii="Times New Roman" w:hAnsi="Times New Roman" w:cs="Times New Roman"/>
        </w:rPr>
      </w:pPr>
      <w:r w:rsidRPr="002A5B9D">
        <w:rPr>
          <w:rFonts w:ascii="Times New Roman" w:hAnsi="Times New Roman" w:cs="Times New Roman"/>
          <w:color w:val="000000" w:themeColor="text1"/>
          <w:lang w:val="es-ES_tradnl"/>
        </w:rPr>
        <w:lastRenderedPageBreak/>
        <w:t xml:space="preserve">Gobierno de México. (24 de noviembre de 2024). </w:t>
      </w:r>
      <w:r w:rsidRPr="002A5B9D">
        <w:rPr>
          <w:rFonts w:ascii="Times New Roman" w:hAnsi="Times New Roman" w:cs="Times New Roman"/>
          <w:i/>
          <w:iCs/>
          <w:color w:val="000000" w:themeColor="text1"/>
          <w:lang w:val="es-ES_tradnl"/>
        </w:rPr>
        <w:t>Indicadores de la relación tripartita: Canadá, Estados Unidos, México</w:t>
      </w:r>
      <w:r w:rsidRPr="002A5B9D">
        <w:rPr>
          <w:rFonts w:ascii="Times New Roman" w:hAnsi="Times New Roman" w:cs="Times New Roman"/>
          <w:color w:val="000000" w:themeColor="text1"/>
          <w:lang w:val="es-ES_tradnl"/>
        </w:rPr>
        <w:t xml:space="preserve">. </w:t>
      </w:r>
      <w:hyperlink r:id="rId16" w:history="1">
        <w:r w:rsidRPr="002A5B9D">
          <w:rPr>
            <w:rStyle w:val="Hipervnculo"/>
            <w:rFonts w:ascii="Times New Roman" w:hAnsi="Times New Roman" w:cs="Times New Roman"/>
            <w:color w:val="000000" w:themeColor="text1"/>
            <w:u w:val="none"/>
          </w:rPr>
          <w:t>https://www.gob.mx/epn/articulos/indicadores-de-la-relacion-tripartita-canada-estados-unidos-mexico</w:t>
        </w:r>
      </w:hyperlink>
    </w:p>
    <w:p w14:paraId="39FD6E07" w14:textId="77777777" w:rsidR="002A5B9D" w:rsidRPr="002A5B9D" w:rsidRDefault="002A5B9D" w:rsidP="002A5B9D">
      <w:pPr>
        <w:jc w:val="both"/>
        <w:rPr>
          <w:rFonts w:ascii="Times New Roman" w:hAnsi="Times New Roman" w:cs="Times New Roman"/>
          <w:b/>
          <w:bCs/>
        </w:rPr>
      </w:pPr>
      <w:r w:rsidRPr="002A5B9D">
        <w:rPr>
          <w:rFonts w:ascii="Times New Roman" w:hAnsi="Times New Roman" w:cs="Times New Roman"/>
        </w:rPr>
        <w:t xml:space="preserve">Gobierno de México. (2020). </w:t>
      </w:r>
      <w:r w:rsidRPr="002A5B9D">
        <w:rPr>
          <w:rStyle w:val="nfasis"/>
          <w:rFonts w:ascii="Times New Roman" w:hAnsi="Times New Roman" w:cs="Times New Roman"/>
        </w:rPr>
        <w:t>Tratado entre México, Estados Unidos y Canadá (T-MEC)</w:t>
      </w:r>
      <w:r w:rsidRPr="002A5B9D">
        <w:rPr>
          <w:rFonts w:ascii="Times New Roman" w:hAnsi="Times New Roman" w:cs="Times New Roman"/>
        </w:rPr>
        <w:t xml:space="preserve">. Secretaría de Economía. Recuperado de </w:t>
      </w:r>
      <w:r>
        <w:fldChar w:fldCharType="begin"/>
      </w:r>
      <w:r>
        <w:instrText>HYPERLINK "https://www.gob.mx/t-mec/acciones-y-programas/textos-finales-del-tratado-entre-mexico-estados-unidos-y-canada-t-mec-202730" \t "_new"</w:instrText>
      </w:r>
      <w:r>
        <w:fldChar w:fldCharType="separate"/>
      </w:r>
      <w:r w:rsidRPr="002A5B9D">
        <w:rPr>
          <w:rStyle w:val="Hipervnculo"/>
          <w:rFonts w:ascii="Times New Roman" w:hAnsi="Times New Roman" w:cs="Times New Roman"/>
        </w:rPr>
        <w:t>https://www.gob.mx/t-mec/acciones-y-programas/textos-finales-del-tratado-entre-mexico-estados-unidos-y-canada-t-mec-202730</w:t>
      </w:r>
      <w:r>
        <w:fldChar w:fldCharType="end"/>
      </w:r>
    </w:p>
    <w:p w14:paraId="4A72D3FD" w14:textId="77777777" w:rsidR="002A5B9D" w:rsidRPr="002A5B9D" w:rsidRDefault="002A5B9D" w:rsidP="002A5B9D">
      <w:pPr>
        <w:spacing w:line="240" w:lineRule="auto"/>
        <w:jc w:val="both"/>
        <w:rPr>
          <w:rFonts w:ascii="Times New Roman" w:hAnsi="Times New Roman" w:cs="Times New Roman"/>
          <w:lang w:val="es-ES_tradnl"/>
        </w:rPr>
      </w:pPr>
      <w:r w:rsidRPr="002A5B9D">
        <w:rPr>
          <w:rFonts w:ascii="Times New Roman" w:hAnsi="Times New Roman" w:cs="Times New Roman"/>
          <w:lang w:val="es-ES_tradnl"/>
        </w:rPr>
        <w:t xml:space="preserve">González, L. (2015). El Sistema ARCU-SUR y su impacto en la movilidad académica en el MERCOSUR. </w:t>
      </w:r>
      <w:r w:rsidRPr="002A5B9D">
        <w:rPr>
          <w:rFonts w:ascii="Times New Roman" w:hAnsi="Times New Roman" w:cs="Times New Roman"/>
          <w:i/>
          <w:iCs/>
          <w:lang w:val="es-ES_tradnl"/>
        </w:rPr>
        <w:t>Revista Integración y Comercio</w:t>
      </w:r>
      <w:r w:rsidRPr="002A5B9D">
        <w:rPr>
          <w:rFonts w:ascii="Times New Roman" w:hAnsi="Times New Roman" w:cs="Times New Roman"/>
          <w:lang w:val="es-ES_tradnl"/>
        </w:rPr>
        <w:t xml:space="preserve">, </w:t>
      </w:r>
      <w:r w:rsidRPr="002A5B9D">
        <w:rPr>
          <w:rFonts w:ascii="Times New Roman" w:hAnsi="Times New Roman" w:cs="Times New Roman"/>
          <w:i/>
          <w:iCs/>
          <w:lang w:val="es-ES_tradnl"/>
        </w:rPr>
        <w:t>19</w:t>
      </w:r>
      <w:r w:rsidRPr="002A5B9D">
        <w:rPr>
          <w:rFonts w:ascii="Times New Roman" w:hAnsi="Times New Roman" w:cs="Times New Roman"/>
          <w:lang w:val="es-ES_tradnl"/>
        </w:rPr>
        <w:t>(39), 45-67.</w:t>
      </w:r>
    </w:p>
    <w:p w14:paraId="323B7BC2" w14:textId="57EBC688" w:rsidR="002A5B9D" w:rsidRPr="002A5B9D" w:rsidRDefault="002A5B9D" w:rsidP="002A5B9D">
      <w:pPr>
        <w:pStyle w:val="tagline"/>
        <w:shd w:val="clear" w:color="auto" w:fill="FFFFFF"/>
        <w:spacing w:before="0" w:beforeAutospacing="0" w:after="160" w:afterAutospacing="0"/>
        <w:jc w:val="both"/>
      </w:pPr>
      <w:r w:rsidRPr="002A5B9D">
        <w:rPr>
          <w:color w:val="000000" w:themeColor="text1"/>
          <w:lang w:val="es-ES_tradnl"/>
        </w:rPr>
        <w:t xml:space="preserve">Jaramillo S. y </w:t>
      </w:r>
      <w:proofErr w:type="spellStart"/>
      <w:r w:rsidRPr="002A5B9D">
        <w:rPr>
          <w:color w:val="000000" w:themeColor="text1"/>
          <w:lang w:val="es-ES_tradnl"/>
        </w:rPr>
        <w:t>Tonon</w:t>
      </w:r>
      <w:proofErr w:type="spellEnd"/>
      <w:r w:rsidRPr="002A5B9D">
        <w:rPr>
          <w:color w:val="000000" w:themeColor="text1"/>
          <w:lang w:val="es-ES_tradnl"/>
        </w:rPr>
        <w:t xml:space="preserve"> L. (2023). </w:t>
      </w:r>
      <w:r w:rsidRPr="002A5B9D">
        <w:rPr>
          <w:rFonts w:eastAsia="inherit"/>
          <w:color w:val="000000" w:themeColor="text1"/>
          <w:lang w:val="es-ES_tradnl"/>
        </w:rPr>
        <w:t xml:space="preserve">Ventajas y desventajas de la firma de tratados de libre comercio. </w:t>
      </w:r>
      <w:r w:rsidRPr="002A5B9D">
        <w:rPr>
          <w:i/>
          <w:iCs/>
          <w:color w:val="000000" w:themeColor="text1"/>
          <w:lang w:val="es-ES_tradnl"/>
        </w:rPr>
        <w:t>Estudios de la Gestión: revista internacional de administración</w:t>
      </w:r>
      <w:r w:rsidRPr="002A5B9D">
        <w:rPr>
          <w:color w:val="000000" w:themeColor="text1"/>
          <w:lang w:val="es-ES_tradnl"/>
        </w:rPr>
        <w:t xml:space="preserve">, </w:t>
      </w:r>
      <w:r w:rsidRPr="002A5B9D">
        <w:rPr>
          <w:i/>
          <w:iCs/>
          <w:color w:val="000000" w:themeColor="text1"/>
          <w:lang w:val="es-ES_tradnl"/>
        </w:rPr>
        <w:t>14</w:t>
      </w:r>
      <w:r w:rsidRPr="002A5B9D">
        <w:rPr>
          <w:color w:val="000000" w:themeColor="text1"/>
          <w:lang w:val="es-ES_tradnl"/>
        </w:rPr>
        <w:t xml:space="preserve">, 155-177. </w:t>
      </w:r>
      <w:hyperlink r:id="rId17" w:history="1">
        <w:r w:rsidRPr="002A5B9D">
          <w:rPr>
            <w:rStyle w:val="Hipervnculo"/>
          </w:rPr>
          <w:t>https://doi.org/10.32719/25506641.2023.14.7</w:t>
        </w:r>
      </w:hyperlink>
    </w:p>
    <w:p w14:paraId="2F079C11" w14:textId="77777777" w:rsidR="002A5B9D" w:rsidRPr="002A5B9D" w:rsidRDefault="002A5B9D" w:rsidP="002A5B9D">
      <w:pPr>
        <w:pStyle w:val="tagline"/>
        <w:shd w:val="clear" w:color="auto" w:fill="FFFFFF"/>
        <w:spacing w:before="0" w:beforeAutospacing="0" w:after="160" w:afterAutospacing="0"/>
        <w:jc w:val="both"/>
      </w:pPr>
      <w:r w:rsidRPr="002A5B9D">
        <w:t xml:space="preserve">Krippendorff, K. (2019). </w:t>
      </w:r>
      <w:r w:rsidRPr="002A5B9D">
        <w:rPr>
          <w:i/>
          <w:iCs/>
        </w:rPr>
        <w:t>Content Analysis: An Introduction to Its Methodology</w:t>
      </w:r>
      <w:r w:rsidRPr="002A5B9D">
        <w:t xml:space="preserve">. SAGE Publications, Inc. </w:t>
      </w:r>
      <w:r>
        <w:fldChar w:fldCharType="begin"/>
      </w:r>
      <w:r>
        <w:instrText>HYPERLINK "https://doi.org/10.4135/9781071878781"</w:instrText>
      </w:r>
      <w:r>
        <w:fldChar w:fldCharType="separate"/>
      </w:r>
      <w:r w:rsidRPr="002A5B9D">
        <w:rPr>
          <w:rStyle w:val="Hipervnculo"/>
        </w:rPr>
        <w:t>https://doi.org/10.4135/9781071878781</w:t>
      </w:r>
      <w:r>
        <w:fldChar w:fldCharType="end"/>
      </w:r>
    </w:p>
    <w:p w14:paraId="51FB02CE" w14:textId="77777777" w:rsidR="002A5B9D" w:rsidRPr="002A5B9D" w:rsidRDefault="002A5B9D" w:rsidP="002A5B9D">
      <w:pPr>
        <w:pStyle w:val="tagline"/>
        <w:shd w:val="clear" w:color="auto" w:fill="FFFFFF"/>
        <w:spacing w:before="0" w:beforeAutospacing="0" w:after="160" w:afterAutospacing="0"/>
        <w:jc w:val="both"/>
      </w:pPr>
      <w:r w:rsidRPr="002A5B9D">
        <w:t>Machado, R. F., Marran, A. L., &amp; Souza, M. P. (2025).</w:t>
      </w:r>
      <w:r w:rsidRPr="002A5B9D">
        <w:br/>
      </w:r>
      <w:r w:rsidRPr="002A5B9D">
        <w:rPr>
          <w:i/>
          <w:iCs/>
        </w:rPr>
        <w:t>Revalidación de diplomas oriundos de países del MERCOSUR: un enfoque en salud</w:t>
      </w:r>
      <w:r w:rsidRPr="002A5B9D">
        <w:t>.</w:t>
      </w:r>
      <w:r w:rsidRPr="002A5B9D">
        <w:br/>
        <w:t>Observatorio de la Economía Latinoamericana. https://dialnet.unirioja.es/servlet/articulo?codigo=10155952</w:t>
      </w:r>
    </w:p>
    <w:p w14:paraId="25A76F61" w14:textId="77777777" w:rsidR="002A5B9D" w:rsidRPr="002A5B9D" w:rsidRDefault="002A5B9D" w:rsidP="002A5B9D">
      <w:pPr>
        <w:spacing w:line="240" w:lineRule="auto"/>
        <w:jc w:val="both"/>
        <w:rPr>
          <w:rFonts w:ascii="Times New Roman" w:hAnsi="Times New Roman" w:cs="Times New Roman"/>
          <w:lang w:val="es-ES_tradnl"/>
        </w:rPr>
      </w:pPr>
      <w:proofErr w:type="spellStart"/>
      <w:r w:rsidRPr="002A5B9D">
        <w:rPr>
          <w:rFonts w:ascii="Times New Roman" w:hAnsi="Times New Roman" w:cs="Times New Roman"/>
          <w:lang w:val="en-US"/>
        </w:rPr>
        <w:t>Marúm</w:t>
      </w:r>
      <w:proofErr w:type="spellEnd"/>
      <w:r w:rsidRPr="002A5B9D">
        <w:rPr>
          <w:rFonts w:ascii="Times New Roman" w:hAnsi="Times New Roman" w:cs="Times New Roman"/>
          <w:lang w:val="en-US"/>
        </w:rPr>
        <w:t xml:space="preserve"> Espinosa E. (1997). </w:t>
      </w:r>
      <w:r w:rsidRPr="002A5B9D">
        <w:rPr>
          <w:rFonts w:ascii="Times New Roman" w:hAnsi="Times New Roman" w:cs="Times New Roman"/>
          <w:lang w:val="es-ES_tradnl"/>
        </w:rPr>
        <w:t xml:space="preserve">Las implicaciones de TLC en la educación superior mexicana, </w:t>
      </w:r>
      <w:r w:rsidRPr="002A5B9D">
        <w:rPr>
          <w:rFonts w:ascii="Times New Roman" w:hAnsi="Times New Roman" w:cs="Times New Roman"/>
          <w:i/>
          <w:iCs/>
          <w:lang w:val="es-ES_tradnl"/>
        </w:rPr>
        <w:t>Perfiles Educativos</w:t>
      </w:r>
      <w:r w:rsidRPr="002A5B9D">
        <w:rPr>
          <w:rFonts w:ascii="Times New Roman" w:hAnsi="Times New Roman" w:cs="Times New Roman"/>
          <w:lang w:val="es-ES_tradnl"/>
        </w:rPr>
        <w:t>, XIX,77, 1-12. https://www.redalyc.org/pdf/132/13207710.pdf</w:t>
      </w:r>
    </w:p>
    <w:p w14:paraId="2368AE36" w14:textId="77777777"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lang w:val="en-US"/>
        </w:rPr>
        <w:t xml:space="preserve">McKenzie, R. B. (2016). Professional Mobility in North America: The Role of Mutual Recognition Agreements under NAFTA. </w:t>
      </w:r>
      <w:r w:rsidRPr="002A5B9D">
        <w:rPr>
          <w:rFonts w:ascii="Times New Roman" w:hAnsi="Times New Roman" w:cs="Times New Roman"/>
          <w:i/>
          <w:iCs/>
          <w:lang w:val="en-US"/>
        </w:rPr>
        <w:t>Journal of International Trade Law and Policy</w:t>
      </w:r>
      <w:r w:rsidRPr="002A5B9D">
        <w:rPr>
          <w:rFonts w:ascii="Times New Roman" w:hAnsi="Times New Roman" w:cs="Times New Roman"/>
          <w:lang w:val="en-US"/>
        </w:rPr>
        <w:t>, 15(3), 210-228.</w:t>
      </w:r>
    </w:p>
    <w:p w14:paraId="01F01C85" w14:textId="77777777"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lang w:val="en-US"/>
        </w:rPr>
        <w:t xml:space="preserve">MERCOSUR. </w:t>
      </w:r>
      <w:r w:rsidRPr="002A5B9D">
        <w:rPr>
          <w:rFonts w:ascii="Times New Roman" w:hAnsi="Times New Roman" w:cs="Times New Roman"/>
          <w:color w:val="000000" w:themeColor="text1"/>
          <w:lang w:val="en-US"/>
        </w:rPr>
        <w:t xml:space="preserve">(24 de </w:t>
      </w:r>
      <w:proofErr w:type="spellStart"/>
      <w:r w:rsidRPr="002A5B9D">
        <w:rPr>
          <w:rFonts w:ascii="Times New Roman" w:hAnsi="Times New Roman" w:cs="Times New Roman"/>
          <w:color w:val="000000" w:themeColor="text1"/>
          <w:lang w:val="en-US"/>
        </w:rPr>
        <w:t>noviembre</w:t>
      </w:r>
      <w:proofErr w:type="spellEnd"/>
      <w:r w:rsidRPr="002A5B9D">
        <w:rPr>
          <w:rFonts w:ascii="Times New Roman" w:hAnsi="Times New Roman" w:cs="Times New Roman"/>
          <w:color w:val="000000" w:themeColor="text1"/>
          <w:lang w:val="en-US"/>
        </w:rPr>
        <w:t xml:space="preserve"> de 2024). </w:t>
      </w:r>
      <w:proofErr w:type="spellStart"/>
      <w:r w:rsidRPr="002A5B9D">
        <w:rPr>
          <w:rFonts w:ascii="Times New Roman" w:hAnsi="Times New Roman" w:cs="Times New Roman"/>
          <w:i/>
          <w:iCs/>
          <w:color w:val="000000" w:themeColor="text1"/>
          <w:lang w:val="es-ES"/>
        </w:rPr>
        <w:t>MercoSur</w:t>
      </w:r>
      <w:proofErr w:type="spellEnd"/>
      <w:r w:rsidRPr="002A5B9D">
        <w:rPr>
          <w:rFonts w:ascii="Times New Roman" w:hAnsi="Times New Roman" w:cs="Times New Roman"/>
          <w:i/>
          <w:iCs/>
          <w:color w:val="000000" w:themeColor="text1"/>
          <w:lang w:val="es-ES"/>
        </w:rPr>
        <w:t xml:space="preserve"> Educativo</w:t>
      </w:r>
      <w:r w:rsidRPr="002A5B9D">
        <w:rPr>
          <w:rFonts w:ascii="Times New Roman" w:hAnsi="Times New Roman" w:cs="Times New Roman"/>
          <w:color w:val="000000" w:themeColor="text1"/>
          <w:lang w:val="es-ES"/>
        </w:rPr>
        <w:t xml:space="preserve">. </w:t>
      </w:r>
      <w:hyperlink r:id="rId18" w:history="1">
        <w:r w:rsidRPr="002A5B9D">
          <w:rPr>
            <w:rStyle w:val="Hipervnculo"/>
            <w:rFonts w:ascii="Times New Roman" w:hAnsi="Times New Roman" w:cs="Times New Roman"/>
            <w:lang w:val="es-ES"/>
          </w:rPr>
          <w:t>https://www.mercosur.int/temas/educacion/</w:t>
        </w:r>
      </w:hyperlink>
    </w:p>
    <w:p w14:paraId="7382D80E" w14:textId="77777777"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t xml:space="preserve">MERCOSUR. (2020). </w:t>
      </w:r>
      <w:r w:rsidRPr="002A5B9D">
        <w:rPr>
          <w:rFonts w:ascii="Times New Roman" w:hAnsi="Times New Roman" w:cs="Times New Roman"/>
          <w:i/>
          <w:iCs/>
        </w:rPr>
        <w:t>Sector Educativo del MERCOSUR: Plan de Acción</w:t>
      </w:r>
      <w:r w:rsidRPr="002A5B9D">
        <w:rPr>
          <w:rFonts w:ascii="Times New Roman" w:hAnsi="Times New Roman" w:cs="Times New Roman"/>
        </w:rPr>
        <w:t xml:space="preserve">. </w:t>
      </w:r>
      <w:r>
        <w:fldChar w:fldCharType="begin"/>
      </w:r>
      <w:r>
        <w:instrText>HYPERLINK "https://sim.mercosur.int/public/normativas/3434"</w:instrText>
      </w:r>
      <w:r>
        <w:fldChar w:fldCharType="separate"/>
      </w:r>
      <w:r w:rsidRPr="002A5B9D">
        <w:rPr>
          <w:rStyle w:val="Hipervnculo"/>
          <w:rFonts w:ascii="Times New Roman" w:hAnsi="Times New Roman" w:cs="Times New Roman"/>
        </w:rPr>
        <w:t>https://sim.mercosur.int/public/normativas/3434</w:t>
      </w:r>
      <w:r>
        <w:fldChar w:fldCharType="end"/>
      </w:r>
    </w:p>
    <w:p w14:paraId="7DA784B3" w14:textId="4C9DAC67" w:rsidR="002A5B9D" w:rsidRPr="002A5B9D" w:rsidRDefault="002A5B9D" w:rsidP="002A5B9D">
      <w:pPr>
        <w:spacing w:line="240" w:lineRule="auto"/>
        <w:jc w:val="both"/>
        <w:rPr>
          <w:rFonts w:ascii="Times New Roman" w:hAnsi="Times New Roman" w:cs="Times New Roman"/>
        </w:rPr>
      </w:pPr>
      <w:r w:rsidRPr="002A5B9D">
        <w:rPr>
          <w:rFonts w:ascii="Times New Roman" w:hAnsi="Times New Roman" w:cs="Times New Roman"/>
        </w:rPr>
        <w:t xml:space="preserve">Molina, M. (2013). </w:t>
      </w:r>
      <w:r w:rsidRPr="002A5B9D">
        <w:rPr>
          <w:rFonts w:ascii="Times New Roman" w:hAnsi="Times New Roman" w:cs="Times New Roman"/>
          <w:i/>
          <w:iCs/>
        </w:rPr>
        <w:t>La revalidación de títulos universitarios en el MERCOSUR</w:t>
      </w:r>
      <w:r w:rsidRPr="002A5B9D">
        <w:rPr>
          <w:rFonts w:ascii="Times New Roman" w:hAnsi="Times New Roman" w:cs="Times New Roman"/>
        </w:rPr>
        <w:t>.</w:t>
      </w:r>
      <w:r w:rsidRPr="002A5B9D">
        <w:rPr>
          <w:rFonts w:ascii="Times New Roman" w:hAnsi="Times New Roman" w:cs="Times New Roman"/>
        </w:rPr>
        <w:br/>
        <w:t xml:space="preserve">Revista Integración y Conocimiento, 2. </w:t>
      </w:r>
      <w:r>
        <w:fldChar w:fldCharType="begin"/>
      </w:r>
      <w:r>
        <w:instrText>HYPERLINK "https://doi.org/10.61203/2347-0658.v2.n0.5702"</w:instrText>
      </w:r>
      <w:r>
        <w:fldChar w:fldCharType="separate"/>
      </w:r>
      <w:r w:rsidRPr="00275395">
        <w:rPr>
          <w:rStyle w:val="Hipervnculo"/>
          <w:rFonts w:ascii="Times New Roman" w:hAnsi="Times New Roman" w:cs="Times New Roman"/>
        </w:rPr>
        <w:t>https://doi.org/10.61203/2347-0658.v2.n0.5702</w:t>
      </w:r>
      <w:r>
        <w:fldChar w:fldCharType="end"/>
      </w:r>
      <w:r>
        <w:rPr>
          <w:rFonts w:ascii="Times New Roman" w:hAnsi="Times New Roman" w:cs="Times New Roman"/>
        </w:rPr>
        <w:t xml:space="preserve"> </w:t>
      </w:r>
    </w:p>
    <w:p w14:paraId="1E9AC249" w14:textId="77777777" w:rsidR="002A5B9D" w:rsidRPr="002A5B9D" w:rsidRDefault="002A5B9D" w:rsidP="002A5B9D">
      <w:pPr>
        <w:spacing w:line="240" w:lineRule="auto"/>
        <w:jc w:val="both"/>
        <w:rPr>
          <w:rFonts w:ascii="Times New Roman" w:hAnsi="Times New Roman" w:cs="Times New Roman"/>
          <w:lang w:val="es-ES"/>
        </w:rPr>
      </w:pPr>
      <w:proofErr w:type="spellStart"/>
      <w:r w:rsidRPr="002A5B9D">
        <w:rPr>
          <w:rFonts w:ascii="Times New Roman" w:hAnsi="Times New Roman" w:cs="Times New Roman"/>
          <w:lang w:val="es-ES_tradnl"/>
        </w:rPr>
        <w:t>Nuske</w:t>
      </w:r>
      <w:proofErr w:type="spellEnd"/>
      <w:r w:rsidRPr="002A5B9D">
        <w:rPr>
          <w:rFonts w:ascii="Times New Roman" w:hAnsi="Times New Roman" w:cs="Times New Roman"/>
          <w:lang w:val="es-ES_tradnl"/>
        </w:rPr>
        <w:t xml:space="preserve"> Avalos D. (2023). La Unión Europea y el Mercosur comparados: ¿Es posible una integración sudamericana? Comunicación presentada en las “XXVI Jornadas sobre la Unión Europea. Una visión actual de Europa”. Toledo, UCLM, 10 de mayo de 2023 </w:t>
      </w:r>
    </w:p>
    <w:p w14:paraId="321C3CB8" w14:textId="77777777" w:rsidR="002A5B9D" w:rsidRPr="002A5B9D" w:rsidRDefault="002A5B9D" w:rsidP="002A5B9D">
      <w:pPr>
        <w:rPr>
          <w:rFonts w:ascii="Times New Roman" w:hAnsi="Times New Roman" w:cs="Times New Roman"/>
          <w:b/>
          <w:bCs/>
          <w:lang w:val="en-US"/>
        </w:rPr>
      </w:pPr>
      <w:r w:rsidRPr="002A5B9D">
        <w:rPr>
          <w:rFonts w:ascii="Times New Roman" w:hAnsi="Times New Roman" w:cs="Times New Roman"/>
          <w:lang w:val="es-ES"/>
        </w:rPr>
        <w:lastRenderedPageBreak/>
        <w:t xml:space="preserve">Open </w:t>
      </w:r>
      <w:proofErr w:type="spellStart"/>
      <w:r w:rsidRPr="002A5B9D">
        <w:rPr>
          <w:rFonts w:ascii="Times New Roman" w:hAnsi="Times New Roman" w:cs="Times New Roman"/>
          <w:lang w:val="es-ES"/>
        </w:rPr>
        <w:t>Doors</w:t>
      </w:r>
      <w:proofErr w:type="spellEnd"/>
      <w:r w:rsidRPr="002A5B9D">
        <w:rPr>
          <w:rFonts w:ascii="Times New Roman" w:hAnsi="Times New Roman" w:cs="Times New Roman"/>
          <w:lang w:val="es-ES"/>
        </w:rPr>
        <w:t xml:space="preserve">. (24 de noviembre de 2024). </w:t>
      </w:r>
      <w:r w:rsidRPr="002A5B9D">
        <w:rPr>
          <w:rFonts w:ascii="Times New Roman" w:hAnsi="Times New Roman" w:cs="Times New Roman"/>
          <w:i/>
          <w:iCs/>
          <w:lang w:val="en-US"/>
        </w:rPr>
        <w:t>International Students</w:t>
      </w:r>
      <w:r w:rsidRPr="002A5B9D">
        <w:rPr>
          <w:rFonts w:ascii="Times New Roman" w:hAnsi="Times New Roman" w:cs="Times New Roman"/>
          <w:lang w:val="en-US"/>
        </w:rPr>
        <w:t xml:space="preserve">. </w:t>
      </w:r>
      <w:hyperlink r:id="rId19" w:history="1">
        <w:r w:rsidRPr="002A5B9D">
          <w:rPr>
            <w:rStyle w:val="Hipervnculo"/>
            <w:rFonts w:ascii="Times New Roman" w:hAnsi="Times New Roman" w:cs="Times New Roman"/>
            <w:lang w:val="en-US"/>
          </w:rPr>
          <w:t>https://opendoorsdata.org/</w:t>
        </w:r>
      </w:hyperlink>
    </w:p>
    <w:p w14:paraId="00521C4A" w14:textId="11F4FBE4" w:rsidR="002A5B9D" w:rsidRPr="002A5B9D" w:rsidRDefault="002A5B9D" w:rsidP="002A5B9D">
      <w:pPr>
        <w:rPr>
          <w:rFonts w:ascii="Times New Roman" w:hAnsi="Times New Roman" w:cs="Times New Roman"/>
          <w:b/>
          <w:bCs/>
          <w:lang w:val="en-US"/>
        </w:rPr>
      </w:pPr>
      <w:r w:rsidRPr="002A5B9D">
        <w:rPr>
          <w:rFonts w:ascii="Times New Roman" w:hAnsi="Times New Roman" w:cs="Times New Roman"/>
          <w:lang w:val="en-US"/>
        </w:rPr>
        <w:t xml:space="preserve">Ornelas, C. (2017). Higher Education Cooperation in North America: Comparing the Impact of NAFTA and the USMCA on Academic Mobility. </w:t>
      </w:r>
      <w:r w:rsidRPr="002A5B9D">
        <w:rPr>
          <w:rFonts w:ascii="Times New Roman" w:hAnsi="Times New Roman" w:cs="Times New Roman"/>
          <w:i/>
          <w:iCs/>
          <w:lang w:val="en-US"/>
        </w:rPr>
        <w:t>International Journal of Education Policy and Leadership</w:t>
      </w:r>
      <w:r w:rsidRPr="002A5B9D">
        <w:rPr>
          <w:rFonts w:ascii="Times New Roman" w:hAnsi="Times New Roman" w:cs="Times New Roman"/>
          <w:lang w:val="en-US"/>
        </w:rPr>
        <w:t xml:space="preserve">, 12(1), 87-102. </w:t>
      </w:r>
      <w:hyperlink r:id="rId20" w:history="1">
        <w:r w:rsidRPr="00275395">
          <w:rPr>
            <w:rStyle w:val="Hipervnculo"/>
            <w:rFonts w:ascii="Times New Roman" w:hAnsi="Times New Roman" w:cs="Times New Roman"/>
            <w:lang w:val="en-US"/>
          </w:rPr>
          <w:t>https://www.scielo.org.mx/scielo.php?script=sci_arttext&amp;pid=S1870-35502012000200004</w:t>
        </w:r>
      </w:hyperlink>
    </w:p>
    <w:p w14:paraId="6913F442" w14:textId="61DD163A" w:rsidR="002A5B9D" w:rsidRPr="002A5B9D" w:rsidRDefault="002A5B9D" w:rsidP="002A5B9D">
      <w:pPr>
        <w:pStyle w:val="Ttulo2"/>
        <w:shd w:val="clear" w:color="auto" w:fill="FFFFFF"/>
        <w:spacing w:before="0" w:after="160" w:line="240" w:lineRule="auto"/>
        <w:jc w:val="both"/>
        <w:rPr>
          <w:rFonts w:ascii="Times New Roman" w:hAnsi="Times New Roman" w:cs="Times New Roman"/>
          <w:color w:val="000000" w:themeColor="text1"/>
          <w:sz w:val="24"/>
          <w:szCs w:val="24"/>
        </w:rPr>
      </w:pPr>
      <w:r w:rsidRPr="002A5B9D">
        <w:rPr>
          <w:rFonts w:ascii="Times New Roman" w:hAnsi="Times New Roman" w:cs="Times New Roman"/>
          <w:color w:val="000000" w:themeColor="text1"/>
          <w:sz w:val="24"/>
          <w:szCs w:val="24"/>
          <w:lang w:val="it-IT"/>
        </w:rPr>
        <w:t xml:space="preserve">Passarini, J. Juri P., </w:t>
      </w:r>
      <w:proofErr w:type="spellStart"/>
      <w:r w:rsidRPr="002A5B9D">
        <w:rPr>
          <w:rFonts w:ascii="Times New Roman" w:hAnsi="Times New Roman" w:cs="Times New Roman"/>
          <w:color w:val="000000" w:themeColor="text1"/>
          <w:sz w:val="24"/>
          <w:szCs w:val="24"/>
          <w:lang w:val="it-IT"/>
        </w:rPr>
        <w:t>Borlido</w:t>
      </w:r>
      <w:proofErr w:type="spellEnd"/>
      <w:r w:rsidRPr="002A5B9D">
        <w:rPr>
          <w:rFonts w:ascii="Times New Roman" w:hAnsi="Times New Roman" w:cs="Times New Roman"/>
          <w:color w:val="000000" w:themeColor="text1"/>
          <w:sz w:val="24"/>
          <w:szCs w:val="24"/>
          <w:lang w:val="it-IT"/>
        </w:rPr>
        <w:t xml:space="preserve"> C., Nogueira E.  </w:t>
      </w:r>
      <w:r w:rsidRPr="002A5B9D">
        <w:rPr>
          <w:rFonts w:ascii="Times New Roman" w:hAnsi="Times New Roman" w:cs="Times New Roman"/>
          <w:color w:val="000000" w:themeColor="text1"/>
          <w:sz w:val="24"/>
          <w:szCs w:val="24"/>
        </w:rPr>
        <w:t xml:space="preserve">(2015). Procesos de acreditación de carreras en el MERCOSUR. </w:t>
      </w:r>
      <w:r w:rsidRPr="002A5B9D">
        <w:rPr>
          <w:rFonts w:ascii="Times New Roman" w:hAnsi="Times New Roman" w:cs="Times New Roman"/>
          <w:i/>
          <w:iCs/>
          <w:color w:val="000000" w:themeColor="text1"/>
          <w:sz w:val="24"/>
          <w:szCs w:val="24"/>
        </w:rPr>
        <w:t>Revista Española de Educación Comparada</w:t>
      </w:r>
      <w:r w:rsidRPr="002A5B9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2A5B9D">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t xml:space="preserve">). </w:t>
      </w:r>
      <w:r w:rsidRPr="002A5B9D">
        <w:rPr>
          <w:rFonts w:ascii="Times New Roman" w:hAnsi="Times New Roman" w:cs="Times New Roman"/>
          <w:color w:val="000000" w:themeColor="text1"/>
          <w:sz w:val="24"/>
          <w:szCs w:val="24"/>
        </w:rPr>
        <w:t> </w:t>
      </w:r>
    </w:p>
    <w:p w14:paraId="3D8E7CB7" w14:textId="77777777" w:rsidR="002A5B9D" w:rsidRPr="002A5B9D" w:rsidRDefault="002A5B9D" w:rsidP="002A5B9D">
      <w:pPr>
        <w:rPr>
          <w:rFonts w:ascii="Times New Roman" w:hAnsi="Times New Roman" w:cs="Times New Roman"/>
          <w:b/>
          <w:bCs/>
          <w:color w:val="000000" w:themeColor="text1"/>
          <w:lang w:val="en-US"/>
        </w:rPr>
      </w:pPr>
      <w:hyperlink r:id="rId21" w:history="1">
        <w:r w:rsidRPr="002A5B9D">
          <w:rPr>
            <w:rStyle w:val="Hipervnculo"/>
            <w:rFonts w:ascii="Times New Roman" w:hAnsi="Times New Roman" w:cs="Times New Roman"/>
            <w:color w:val="000000" w:themeColor="text1"/>
            <w:u w:val="none"/>
          </w:rPr>
          <w:t>https://doi.org/10.5944/reec.25.2015.14785</w:t>
        </w:r>
      </w:hyperlink>
      <w:r w:rsidRPr="002A5B9D">
        <w:rPr>
          <w:rFonts w:ascii="Times New Roman" w:hAnsi="Times New Roman" w:cs="Times New Roman"/>
          <w:color w:val="000000" w:themeColor="text1"/>
        </w:rPr>
        <w:t xml:space="preserve"> </w:t>
      </w:r>
    </w:p>
    <w:p w14:paraId="1E53608F" w14:textId="77777777" w:rsidR="002A5B9D" w:rsidRPr="002A5B9D" w:rsidRDefault="002A5B9D" w:rsidP="002A5B9D">
      <w:pPr>
        <w:spacing w:line="240" w:lineRule="auto"/>
        <w:jc w:val="both"/>
        <w:rPr>
          <w:rFonts w:ascii="Times New Roman" w:hAnsi="Times New Roman" w:cs="Times New Roman"/>
          <w:color w:val="000000" w:themeColor="text1"/>
          <w:lang w:val="it-IT"/>
        </w:rPr>
      </w:pPr>
      <w:proofErr w:type="spellStart"/>
      <w:r w:rsidRPr="002A5B9D">
        <w:rPr>
          <w:rFonts w:ascii="Times New Roman" w:hAnsi="Times New Roman" w:cs="Times New Roman"/>
          <w:color w:val="000000" w:themeColor="text1"/>
          <w:lang w:val="es-ES_tradnl"/>
        </w:rPr>
        <w:t>Passarini</w:t>
      </w:r>
      <w:proofErr w:type="spellEnd"/>
      <w:r w:rsidRPr="002A5B9D">
        <w:rPr>
          <w:rFonts w:ascii="Times New Roman" w:hAnsi="Times New Roman" w:cs="Times New Roman"/>
          <w:color w:val="000000" w:themeColor="text1"/>
          <w:lang w:val="es-ES_tradnl"/>
        </w:rPr>
        <w:t xml:space="preserve"> J. (2023). </w:t>
      </w:r>
      <w:r w:rsidRPr="002A5B9D">
        <w:rPr>
          <w:rFonts w:ascii="Times New Roman" w:hAnsi="Times New Roman" w:cs="Times New Roman"/>
          <w:i/>
          <w:iCs/>
          <w:color w:val="000000" w:themeColor="text1"/>
          <w:lang w:val="es-ES_tradnl"/>
        </w:rPr>
        <w:t xml:space="preserve">Movilidad de estudiantes, el reconocimiento de títulos y el ejercicio profesional en el </w:t>
      </w:r>
      <w:proofErr w:type="spellStart"/>
      <w:r w:rsidRPr="002A5B9D">
        <w:rPr>
          <w:rFonts w:ascii="Times New Roman" w:hAnsi="Times New Roman" w:cs="Times New Roman"/>
          <w:i/>
          <w:iCs/>
          <w:color w:val="000000" w:themeColor="text1"/>
          <w:lang w:val="es-ES_tradnl"/>
        </w:rPr>
        <w:t>MercoSur</w:t>
      </w:r>
      <w:proofErr w:type="spellEnd"/>
      <w:r w:rsidRPr="002A5B9D">
        <w:rPr>
          <w:rFonts w:ascii="Times New Roman" w:hAnsi="Times New Roman" w:cs="Times New Roman"/>
          <w:i/>
          <w:iCs/>
          <w:color w:val="000000" w:themeColor="text1"/>
          <w:lang w:val="es-ES_tradnl"/>
        </w:rPr>
        <w:t>.</w:t>
      </w:r>
      <w:r w:rsidRPr="002A5B9D">
        <w:rPr>
          <w:rFonts w:ascii="Times New Roman" w:hAnsi="Times New Roman" w:cs="Times New Roman"/>
          <w:color w:val="000000" w:themeColor="text1"/>
          <w:lang w:val="es-ES_tradnl"/>
        </w:rPr>
        <w:t xml:space="preserve"> </w:t>
      </w:r>
      <w:r w:rsidRPr="002A5B9D">
        <w:rPr>
          <w:rFonts w:ascii="Times New Roman" w:hAnsi="Times New Roman" w:cs="Times New Roman"/>
          <w:color w:val="000000" w:themeColor="text1"/>
          <w:lang w:val="it-IT"/>
        </w:rPr>
        <w:t>NUCLEO. https://biblioteca-repositorio.clacso.edu.ar/bitstream/CLACSO/249205/1/Movilidad-estudiantes.pdf</w:t>
      </w:r>
    </w:p>
    <w:p w14:paraId="7FAC0CE3" w14:textId="77777777" w:rsidR="002A5B9D" w:rsidRPr="002A5B9D" w:rsidRDefault="002A5B9D" w:rsidP="002A5B9D">
      <w:pPr>
        <w:spacing w:line="240" w:lineRule="auto"/>
        <w:jc w:val="both"/>
        <w:rPr>
          <w:rFonts w:ascii="Times New Roman" w:hAnsi="Times New Roman" w:cs="Times New Roman"/>
          <w:lang w:val="it-IT"/>
        </w:rPr>
      </w:pPr>
      <w:r w:rsidRPr="002A5B9D">
        <w:rPr>
          <w:rFonts w:ascii="Times New Roman" w:hAnsi="Times New Roman" w:cs="Times New Roman"/>
          <w:lang w:val="en-US"/>
        </w:rPr>
        <w:t xml:space="preserve">Pastor, R. A. (2011). </w:t>
      </w:r>
      <w:r w:rsidRPr="002A5B9D">
        <w:rPr>
          <w:rFonts w:ascii="Times New Roman" w:hAnsi="Times New Roman" w:cs="Times New Roman"/>
          <w:i/>
          <w:iCs/>
          <w:lang w:val="en-US"/>
        </w:rPr>
        <w:t>The North American Idea: A Vision of a Continental Future</w:t>
      </w:r>
      <w:r w:rsidRPr="002A5B9D">
        <w:rPr>
          <w:rFonts w:ascii="Times New Roman" w:hAnsi="Times New Roman" w:cs="Times New Roman"/>
          <w:lang w:val="en-US"/>
        </w:rPr>
        <w:t xml:space="preserve">. Oxford University Press. </w:t>
      </w:r>
      <w:hyperlink r:id="rId22" w:history="1">
        <w:r w:rsidRPr="002A5B9D">
          <w:rPr>
            <w:rStyle w:val="Hipervnculo"/>
            <w:rFonts w:ascii="Times New Roman" w:hAnsi="Times New Roman" w:cs="Times New Roman"/>
            <w:lang w:val="en-US"/>
          </w:rPr>
          <w:t>https://global.oup.com/academic/product/the-north-american-idea-9780199782413?cc=mx&amp;lang=en&amp;</w:t>
        </w:r>
      </w:hyperlink>
    </w:p>
    <w:p w14:paraId="0677507D" w14:textId="79AA9079"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rPr>
        <w:t xml:space="preserve">Perrotta, D. (2013). </w:t>
      </w:r>
      <w:r w:rsidRPr="002A5B9D">
        <w:rPr>
          <w:rStyle w:val="nfasis"/>
          <w:rFonts w:ascii="Times New Roman" w:hAnsi="Times New Roman" w:cs="Times New Roman"/>
        </w:rPr>
        <w:t>El regionalismo de la educación superior en el proceso de integración regional del MERCOSUR: políticas de coordinación, complementación, convergencia y armonización en las iniciativas de acreditación de la calidad de carreras de grado (1998-2012).</w:t>
      </w:r>
      <w:r w:rsidRPr="002A5B9D">
        <w:rPr>
          <w:rFonts w:ascii="Times New Roman" w:hAnsi="Times New Roman" w:cs="Times New Roman"/>
        </w:rPr>
        <w:t xml:space="preserve"> FLACSO, Sede Académica Argentina</w:t>
      </w:r>
    </w:p>
    <w:p w14:paraId="2A576DCE" w14:textId="77777777" w:rsidR="002A5B9D" w:rsidRPr="002A5B9D" w:rsidRDefault="002A5B9D" w:rsidP="002A5B9D">
      <w:pPr>
        <w:spacing w:line="240" w:lineRule="auto"/>
        <w:jc w:val="both"/>
        <w:rPr>
          <w:rFonts w:ascii="Times New Roman" w:hAnsi="Times New Roman" w:cs="Times New Roman"/>
        </w:rPr>
      </w:pPr>
      <w:r w:rsidRPr="002A5B9D">
        <w:rPr>
          <w:rStyle w:val="whitespace-normal"/>
          <w:rFonts w:ascii="Times New Roman" w:hAnsi="Times New Roman" w:cs="Times New Roman"/>
        </w:rPr>
        <w:t>Perrotta</w:t>
      </w:r>
      <w:r w:rsidRPr="002A5B9D">
        <w:rPr>
          <w:rFonts w:ascii="Times New Roman" w:hAnsi="Times New Roman" w:cs="Times New Roman"/>
        </w:rPr>
        <w:t xml:space="preserve"> &amp; </w:t>
      </w:r>
      <w:r w:rsidRPr="002A5B9D">
        <w:rPr>
          <w:rStyle w:val="whitespace-normal"/>
          <w:rFonts w:ascii="Times New Roman" w:hAnsi="Times New Roman" w:cs="Times New Roman"/>
        </w:rPr>
        <w:t>Alonso</w:t>
      </w:r>
      <w:r w:rsidRPr="002A5B9D">
        <w:rPr>
          <w:rFonts w:ascii="Times New Roman" w:hAnsi="Times New Roman" w:cs="Times New Roman"/>
        </w:rPr>
        <w:t xml:space="preserve"> (2021).</w:t>
      </w:r>
      <w:r w:rsidRPr="002A5B9D">
        <w:rPr>
          <w:rFonts w:ascii="Times New Roman" w:hAnsi="Times New Roman" w:cs="Times New Roman"/>
        </w:rPr>
        <w:br/>
      </w:r>
      <w:r w:rsidRPr="002A5B9D">
        <w:rPr>
          <w:rStyle w:val="nfasis"/>
          <w:rFonts w:ascii="Times New Roman" w:hAnsi="Times New Roman" w:cs="Times New Roman"/>
          <w:i w:val="0"/>
          <w:iCs w:val="0"/>
        </w:rPr>
        <w:t>Dinámicas de colaboración internacional en relaciones internacionales en el Mercosur</w:t>
      </w:r>
      <w:r w:rsidRPr="002A5B9D">
        <w:rPr>
          <w:rFonts w:ascii="Times New Roman" w:hAnsi="Times New Roman" w:cs="Times New Roman"/>
          <w:i/>
          <w:iCs/>
        </w:rPr>
        <w:t>.</w:t>
      </w:r>
      <w:r w:rsidRPr="002A5B9D">
        <w:rPr>
          <w:rFonts w:ascii="Times New Roman" w:hAnsi="Times New Roman" w:cs="Times New Roman"/>
          <w:i/>
          <w:iCs/>
        </w:rPr>
        <w:br/>
      </w:r>
      <w:r w:rsidRPr="002A5B9D">
        <w:rPr>
          <w:rStyle w:val="nfasis"/>
          <w:rFonts w:ascii="Times New Roman" w:hAnsi="Times New Roman" w:cs="Times New Roman"/>
        </w:rPr>
        <w:t>OASIS</w:t>
      </w:r>
      <w:r w:rsidRPr="002A5B9D">
        <w:rPr>
          <w:rFonts w:ascii="Times New Roman" w:hAnsi="Times New Roman" w:cs="Times New Roman"/>
        </w:rPr>
        <w:t>, 33, 125–152.</w:t>
      </w:r>
      <w:r w:rsidRPr="002A5B9D">
        <w:rPr>
          <w:rFonts w:ascii="Times New Roman" w:hAnsi="Times New Roman" w:cs="Times New Roman"/>
        </w:rPr>
        <w:br/>
        <w:t xml:space="preserve">DOI: </w:t>
      </w:r>
      <w:r>
        <w:fldChar w:fldCharType="begin"/>
      </w:r>
      <w:r>
        <w:instrText>HYPERLINK "https://doi.org/10.18601/16577558.n33.08"</w:instrText>
      </w:r>
      <w:r>
        <w:fldChar w:fldCharType="separate"/>
      </w:r>
      <w:r w:rsidRPr="002A5B9D">
        <w:rPr>
          <w:rStyle w:val="Hipervnculo"/>
          <w:rFonts w:ascii="Times New Roman" w:hAnsi="Times New Roman" w:cs="Times New Roman"/>
        </w:rPr>
        <w:t>https://doi.org/10.18601/16577558.n33.08</w:t>
      </w:r>
      <w:r>
        <w:fldChar w:fldCharType="end"/>
      </w:r>
    </w:p>
    <w:p w14:paraId="771C399F" w14:textId="77777777" w:rsidR="002A5B9D" w:rsidRPr="002A5B9D" w:rsidRDefault="002A5B9D" w:rsidP="002A5B9D">
      <w:pPr>
        <w:spacing w:line="240" w:lineRule="auto"/>
        <w:jc w:val="both"/>
        <w:rPr>
          <w:rFonts w:ascii="Times New Roman" w:hAnsi="Times New Roman" w:cs="Times New Roman"/>
          <w:lang w:val="es-MX"/>
        </w:rPr>
      </w:pPr>
      <w:r w:rsidRPr="002A5B9D">
        <w:rPr>
          <w:rFonts w:ascii="Times New Roman" w:hAnsi="Times New Roman" w:cs="Times New Roman"/>
          <w:lang w:val="es-MX"/>
        </w:rPr>
        <w:t xml:space="preserve">Rivera, L. (2025). La exención arancelaria en el TLCAN desde la teoría del abuso del derecho. </w:t>
      </w:r>
      <w:r w:rsidRPr="002A5B9D">
        <w:rPr>
          <w:rFonts w:ascii="Times New Roman" w:hAnsi="Times New Roman" w:cs="Times New Roman"/>
          <w:i/>
          <w:iCs/>
          <w:lang w:val="es-MX"/>
        </w:rPr>
        <w:t>Diagnóstico FACIL Empresarial, Finanzas, Auditoria, Contabilidad, Impuestos, Legal</w:t>
      </w:r>
      <w:r w:rsidRPr="002A5B9D">
        <w:rPr>
          <w:rFonts w:ascii="Times New Roman" w:hAnsi="Times New Roman" w:cs="Times New Roman"/>
          <w:lang w:val="es-MX"/>
        </w:rPr>
        <w:t xml:space="preserve">, (25), 15-33. </w:t>
      </w:r>
      <w:r>
        <w:fldChar w:fldCharType="begin"/>
      </w:r>
      <w:r>
        <w:instrText>HYPERLINK "https://doi.org/10.32870/dfe.vi25.177"</w:instrText>
      </w:r>
      <w:r>
        <w:fldChar w:fldCharType="separate"/>
      </w:r>
      <w:r w:rsidRPr="002A5B9D">
        <w:rPr>
          <w:rStyle w:val="Hipervnculo"/>
          <w:rFonts w:ascii="Times New Roman" w:hAnsi="Times New Roman" w:cs="Times New Roman"/>
          <w:lang w:val="es-MX"/>
        </w:rPr>
        <w:t>https://doi.org/10.32870/dfe.vi25.177</w:t>
      </w:r>
      <w:r>
        <w:fldChar w:fldCharType="end"/>
      </w:r>
    </w:p>
    <w:p w14:paraId="10DB7509" w14:textId="6F01CE04" w:rsidR="002A5B9D" w:rsidRPr="002A5B9D" w:rsidRDefault="002A5B9D" w:rsidP="002A5B9D">
      <w:pPr>
        <w:jc w:val="both"/>
        <w:rPr>
          <w:rFonts w:ascii="Times New Roman" w:hAnsi="Times New Roman" w:cs="Times New Roman"/>
          <w:b/>
          <w:bCs/>
          <w:color w:val="800000"/>
          <w:lang w:val="es-ES_tradnl"/>
        </w:rPr>
      </w:pPr>
      <w:r w:rsidRPr="002A5B9D">
        <w:rPr>
          <w:rFonts w:ascii="Times New Roman" w:hAnsi="Times New Roman" w:cs="Times New Roman"/>
          <w:color w:val="000000"/>
          <w:lang w:val="es-ES_tradnl"/>
        </w:rPr>
        <w:t>Ruiz</w:t>
      </w:r>
      <w:r>
        <w:rPr>
          <w:rFonts w:ascii="Times New Roman" w:hAnsi="Times New Roman" w:cs="Times New Roman"/>
          <w:color w:val="000000"/>
          <w:lang w:val="es-ES_tradnl"/>
        </w:rPr>
        <w:t>,</w:t>
      </w:r>
      <w:r w:rsidRPr="002A5B9D">
        <w:rPr>
          <w:rFonts w:ascii="Times New Roman" w:hAnsi="Times New Roman" w:cs="Times New Roman"/>
          <w:color w:val="000000"/>
          <w:lang w:val="es-ES_tradnl"/>
        </w:rPr>
        <w:t xml:space="preserve"> P. </w:t>
      </w:r>
      <w:r>
        <w:rPr>
          <w:rFonts w:ascii="Times New Roman" w:hAnsi="Times New Roman" w:cs="Times New Roman"/>
          <w:color w:val="000000"/>
          <w:lang w:val="es-ES_tradnl"/>
        </w:rPr>
        <w:t>&amp;</w:t>
      </w:r>
      <w:r w:rsidRPr="002A5B9D">
        <w:rPr>
          <w:rFonts w:ascii="Times New Roman" w:hAnsi="Times New Roman" w:cs="Times New Roman"/>
          <w:color w:val="000000"/>
          <w:lang w:val="es-ES_tradnl"/>
        </w:rPr>
        <w:t xml:space="preserve"> Gómez</w:t>
      </w:r>
      <w:r>
        <w:rPr>
          <w:rFonts w:ascii="Times New Roman" w:hAnsi="Times New Roman" w:cs="Times New Roman"/>
          <w:color w:val="000000"/>
          <w:lang w:val="es-ES_tradnl"/>
        </w:rPr>
        <w:t xml:space="preserve">, </w:t>
      </w:r>
      <w:r w:rsidRPr="002A5B9D">
        <w:rPr>
          <w:rFonts w:ascii="Times New Roman" w:hAnsi="Times New Roman" w:cs="Times New Roman"/>
          <w:color w:val="000000"/>
          <w:lang w:val="es-ES_tradnl"/>
        </w:rPr>
        <w:t xml:space="preserve">R. (2021). Efectos potenciales de los cambios en el T-MEC respecto al TLCAN sobre la economía mexicana. </w:t>
      </w:r>
      <w:r w:rsidRPr="002A5B9D">
        <w:rPr>
          <w:rFonts w:ascii="Times New Roman" w:hAnsi="Times New Roman" w:cs="Times New Roman"/>
          <w:i/>
          <w:iCs/>
          <w:color w:val="000000" w:themeColor="text1"/>
          <w:lang w:val="es-ES_tradnl"/>
        </w:rPr>
        <w:t>Norteamérica,</w:t>
      </w:r>
      <w:r w:rsidRPr="002A5B9D">
        <w:rPr>
          <w:rFonts w:ascii="Times New Roman" w:hAnsi="Times New Roman" w:cs="Times New Roman"/>
          <w:color w:val="000000" w:themeColor="text1"/>
          <w:lang w:val="es-ES_tradnl"/>
        </w:rPr>
        <w:t xml:space="preserve"> </w:t>
      </w:r>
      <w:r w:rsidRPr="002A5B9D">
        <w:rPr>
          <w:rFonts w:ascii="Times New Roman" w:hAnsi="Times New Roman" w:cs="Times New Roman"/>
          <w:i/>
          <w:iCs/>
          <w:color w:val="000000" w:themeColor="text1"/>
          <w:lang w:val="es-ES_tradnl"/>
        </w:rPr>
        <w:t xml:space="preserve">Revista Académica Del CISAN-UNAM, </w:t>
      </w:r>
      <w:r w:rsidRPr="002A5B9D">
        <w:rPr>
          <w:rFonts w:ascii="Times New Roman" w:hAnsi="Times New Roman" w:cs="Times New Roman"/>
          <w:color w:val="000000" w:themeColor="text1"/>
          <w:lang w:val="es-ES_tradnl"/>
        </w:rPr>
        <w:t>(16),</w:t>
      </w:r>
      <w:r>
        <w:rPr>
          <w:rFonts w:ascii="Times New Roman" w:hAnsi="Times New Roman" w:cs="Times New Roman"/>
          <w:color w:val="000000" w:themeColor="text1"/>
          <w:lang w:val="es-ES_tradnl"/>
        </w:rPr>
        <w:t xml:space="preserve"> </w:t>
      </w:r>
      <w:r w:rsidRPr="002A5B9D">
        <w:rPr>
          <w:rFonts w:ascii="Times New Roman" w:hAnsi="Times New Roman" w:cs="Times New Roman"/>
          <w:color w:val="000000" w:themeColor="text1"/>
          <w:lang w:val="es-ES_tradnl"/>
        </w:rPr>
        <w:t>2. </w:t>
      </w:r>
      <w:hyperlink r:id="rId23" w:history="1">
        <w:r w:rsidRPr="002A5B9D">
          <w:rPr>
            <w:rStyle w:val="Hipervnculo"/>
            <w:rFonts w:ascii="Times New Roman" w:hAnsi="Times New Roman" w:cs="Times New Roman"/>
            <w:lang w:val="es-ES_tradnl"/>
          </w:rPr>
          <w:t>https://doi.org/10.22201/cisan.24487228e.2021.2.518</w:t>
        </w:r>
      </w:hyperlink>
      <w:r w:rsidRPr="002A5B9D">
        <w:rPr>
          <w:rFonts w:ascii="Times New Roman" w:hAnsi="Times New Roman" w:cs="Times New Roman"/>
          <w:color w:val="800000"/>
          <w:lang w:val="es-ES_tradnl"/>
        </w:rPr>
        <w:t> </w:t>
      </w:r>
    </w:p>
    <w:p w14:paraId="4E259FE1" w14:textId="233D529C" w:rsidR="002A5B9D" w:rsidRPr="002A5B9D" w:rsidRDefault="002A5B9D" w:rsidP="002A5B9D">
      <w:pPr>
        <w:rPr>
          <w:rFonts w:ascii="Times New Roman" w:hAnsi="Times New Roman" w:cs="Times New Roman"/>
          <w:b/>
          <w:bCs/>
          <w:color w:val="800000"/>
          <w:lang w:val="es-ES_tradnl"/>
        </w:rPr>
      </w:pPr>
      <w:r w:rsidRPr="002A5B9D">
        <w:rPr>
          <w:rFonts w:ascii="Times New Roman" w:hAnsi="Times New Roman" w:cs="Times New Roman"/>
          <w:lang w:val="es-ES_tradnl"/>
        </w:rPr>
        <w:t>Secretaría de Educación Pública (SEP). (2024</w:t>
      </w:r>
      <w:r>
        <w:rPr>
          <w:rFonts w:ascii="Times New Roman" w:hAnsi="Times New Roman" w:cs="Times New Roman"/>
          <w:lang w:val="es-ES_tradnl"/>
        </w:rPr>
        <w:t>, 24 de septiembre</w:t>
      </w:r>
      <w:r w:rsidRPr="002A5B9D">
        <w:rPr>
          <w:rFonts w:ascii="Times New Roman" w:hAnsi="Times New Roman" w:cs="Times New Roman"/>
          <w:lang w:val="es-ES_tradnl"/>
        </w:rPr>
        <w:t xml:space="preserve">). </w:t>
      </w:r>
      <w:r w:rsidRPr="002A5B9D">
        <w:rPr>
          <w:rFonts w:ascii="Times New Roman" w:hAnsi="Times New Roman" w:cs="Times New Roman"/>
          <w:i/>
          <w:iCs/>
          <w:lang w:val="es-ES_tradnl"/>
        </w:rPr>
        <w:t>Revalidación de Estudios del Tipo superior</w:t>
      </w:r>
      <w:r w:rsidRPr="002A5B9D">
        <w:rPr>
          <w:rFonts w:ascii="Times New Roman" w:hAnsi="Times New Roman" w:cs="Times New Roman"/>
          <w:lang w:val="es-ES_tradnl"/>
        </w:rPr>
        <w:t>. https://www.sep.gob.mx56</w:t>
      </w:r>
    </w:p>
    <w:p w14:paraId="14734AC4" w14:textId="77777777"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lang w:val="en-US"/>
        </w:rPr>
        <w:t xml:space="preserve">Sehgal S. (2010). The evolution of NAFTA. An experience in Regionalism. </w:t>
      </w:r>
      <w:r w:rsidRPr="002A5B9D">
        <w:rPr>
          <w:rFonts w:ascii="Times New Roman" w:hAnsi="Times New Roman" w:cs="Times New Roman"/>
          <w:i/>
          <w:iCs/>
          <w:lang w:val="en-US"/>
        </w:rPr>
        <w:t>India Quarterly</w:t>
      </w:r>
      <w:r w:rsidRPr="002A5B9D">
        <w:rPr>
          <w:rFonts w:ascii="Times New Roman" w:hAnsi="Times New Roman" w:cs="Times New Roman"/>
          <w:lang w:val="en-US"/>
        </w:rPr>
        <w:t>, 66 (33). 303-316. https://citeseerx.ist.psu.edu/document?repid=rep1&amp;type=pdf&amp;doi=6423fc43d5690d2bbd228f2c8e2ea71f77b7f151</w:t>
      </w:r>
    </w:p>
    <w:p w14:paraId="2607F462" w14:textId="77777777" w:rsidR="002A5B9D" w:rsidRPr="002A5B9D" w:rsidRDefault="002A5B9D" w:rsidP="002A5B9D">
      <w:pPr>
        <w:spacing w:line="240" w:lineRule="auto"/>
        <w:jc w:val="both"/>
        <w:rPr>
          <w:rFonts w:ascii="Times New Roman" w:hAnsi="Times New Roman" w:cs="Times New Roman"/>
          <w:lang w:val="es-ES_tradnl"/>
        </w:rPr>
      </w:pPr>
      <w:r w:rsidRPr="002A5B9D">
        <w:rPr>
          <w:rFonts w:ascii="Times New Roman" w:hAnsi="Times New Roman" w:cs="Times New Roman"/>
          <w:lang w:val="en-US"/>
        </w:rPr>
        <w:lastRenderedPageBreak/>
        <w:t xml:space="preserve">Smith, J. P. (2020). Education and Professional Recognition under the USMCA: New Opportunities and Challenges. </w:t>
      </w:r>
      <w:r w:rsidRPr="002A5B9D">
        <w:rPr>
          <w:rFonts w:ascii="Times New Roman" w:hAnsi="Times New Roman" w:cs="Times New Roman"/>
          <w:i/>
          <w:iCs/>
          <w:lang w:val="es-ES_tradnl"/>
        </w:rPr>
        <w:t xml:space="preserve">North American </w:t>
      </w:r>
      <w:proofErr w:type="spellStart"/>
      <w:r w:rsidRPr="002A5B9D">
        <w:rPr>
          <w:rFonts w:ascii="Times New Roman" w:hAnsi="Times New Roman" w:cs="Times New Roman"/>
          <w:i/>
          <w:iCs/>
          <w:lang w:val="es-ES_tradnl"/>
        </w:rPr>
        <w:t>Integration</w:t>
      </w:r>
      <w:proofErr w:type="spellEnd"/>
      <w:r w:rsidRPr="002A5B9D">
        <w:rPr>
          <w:rFonts w:ascii="Times New Roman" w:hAnsi="Times New Roman" w:cs="Times New Roman"/>
          <w:i/>
          <w:iCs/>
          <w:lang w:val="es-ES_tradnl"/>
        </w:rPr>
        <w:t xml:space="preserve"> and </w:t>
      </w:r>
      <w:proofErr w:type="spellStart"/>
      <w:r w:rsidRPr="002A5B9D">
        <w:rPr>
          <w:rFonts w:ascii="Times New Roman" w:hAnsi="Times New Roman" w:cs="Times New Roman"/>
          <w:i/>
          <w:iCs/>
          <w:lang w:val="es-ES_tradnl"/>
        </w:rPr>
        <w:t>Development</w:t>
      </w:r>
      <w:proofErr w:type="spellEnd"/>
      <w:r w:rsidRPr="002A5B9D">
        <w:rPr>
          <w:rFonts w:ascii="Times New Roman" w:hAnsi="Times New Roman" w:cs="Times New Roman"/>
          <w:i/>
          <w:iCs/>
          <w:lang w:val="es-ES_tradnl"/>
        </w:rPr>
        <w:t xml:space="preserve"> </w:t>
      </w:r>
      <w:proofErr w:type="spellStart"/>
      <w:r w:rsidRPr="002A5B9D">
        <w:rPr>
          <w:rFonts w:ascii="Times New Roman" w:hAnsi="Times New Roman" w:cs="Times New Roman"/>
          <w:i/>
          <w:iCs/>
          <w:lang w:val="es-ES_tradnl"/>
        </w:rPr>
        <w:t>Journal</w:t>
      </w:r>
      <w:proofErr w:type="spellEnd"/>
      <w:r w:rsidRPr="002A5B9D">
        <w:rPr>
          <w:rFonts w:ascii="Times New Roman" w:hAnsi="Times New Roman" w:cs="Times New Roman"/>
          <w:lang w:val="es-ES_tradnl"/>
        </w:rPr>
        <w:t>, 8(1), 34-58.</w:t>
      </w:r>
    </w:p>
    <w:p w14:paraId="1A370967" w14:textId="77777777" w:rsidR="002A5B9D" w:rsidRPr="002A5B9D" w:rsidRDefault="002A5B9D" w:rsidP="002A5B9D">
      <w:pPr>
        <w:spacing w:line="240" w:lineRule="auto"/>
        <w:jc w:val="both"/>
        <w:rPr>
          <w:rFonts w:ascii="Times New Roman" w:hAnsi="Times New Roman" w:cs="Times New Roman"/>
          <w:lang w:val="es-ES_tradnl"/>
        </w:rPr>
      </w:pPr>
      <w:r w:rsidRPr="002A5B9D">
        <w:rPr>
          <w:rFonts w:ascii="Times New Roman" w:hAnsi="Times New Roman" w:cs="Times New Roman"/>
          <w:lang w:val="es-ES_tradnl"/>
        </w:rPr>
        <w:t xml:space="preserve">Souto, M. (2018). Reconocimiento de títulos y acreditación de la educación superior en el MERCOSUR: Avances y desafíos. </w:t>
      </w:r>
      <w:r w:rsidRPr="002A5B9D">
        <w:rPr>
          <w:rFonts w:ascii="Times New Roman" w:hAnsi="Times New Roman" w:cs="Times New Roman"/>
          <w:i/>
          <w:iCs/>
          <w:lang w:val="es-ES_tradnl"/>
        </w:rPr>
        <w:t>Revista Educación y Desarrollo en América Latina</w:t>
      </w:r>
      <w:r w:rsidRPr="002A5B9D">
        <w:rPr>
          <w:rFonts w:ascii="Times New Roman" w:hAnsi="Times New Roman" w:cs="Times New Roman"/>
          <w:lang w:val="es-ES_tradnl"/>
        </w:rPr>
        <w:t>, 12(2), 123-141.</w:t>
      </w:r>
      <w:r w:rsidRPr="002A5B9D">
        <w:rPr>
          <w:rFonts w:ascii="Times New Roman" w:hAnsi="Times New Roman" w:cs="Times New Roman"/>
        </w:rPr>
        <w:t xml:space="preserve"> </w:t>
      </w:r>
      <w:r w:rsidRPr="002A5B9D">
        <w:rPr>
          <w:rFonts w:ascii="Times New Roman" w:hAnsi="Times New Roman" w:cs="Times New Roman"/>
          <w:lang w:val="es-ES_tradnl"/>
        </w:rPr>
        <w:t>https://unesdoc.unesco.org/ark:/48223/pf0000372648</w:t>
      </w:r>
    </w:p>
    <w:p w14:paraId="4C7077EE" w14:textId="471BB267" w:rsidR="002A5B9D" w:rsidRPr="00B246D7" w:rsidRDefault="002A5B9D" w:rsidP="002A5B9D">
      <w:pPr>
        <w:jc w:val="both"/>
        <w:rPr>
          <w:rFonts w:ascii="Times New Roman" w:hAnsi="Times New Roman" w:cs="Times New Roman"/>
          <w:lang w:val="es-MX"/>
        </w:rPr>
      </w:pPr>
      <w:proofErr w:type="spellStart"/>
      <w:r w:rsidRPr="002A5B9D">
        <w:rPr>
          <w:rFonts w:ascii="Times New Roman" w:hAnsi="Times New Roman" w:cs="Times New Roman"/>
          <w:lang w:val="es-ES"/>
        </w:rPr>
        <w:t>Statistics</w:t>
      </w:r>
      <w:proofErr w:type="spellEnd"/>
      <w:r w:rsidRPr="002A5B9D">
        <w:rPr>
          <w:rFonts w:ascii="Times New Roman" w:hAnsi="Times New Roman" w:cs="Times New Roman"/>
          <w:lang w:val="es-ES"/>
        </w:rPr>
        <w:t xml:space="preserve"> </w:t>
      </w:r>
      <w:proofErr w:type="spellStart"/>
      <w:r w:rsidRPr="002A5B9D">
        <w:rPr>
          <w:rFonts w:ascii="Times New Roman" w:hAnsi="Times New Roman" w:cs="Times New Roman"/>
          <w:lang w:val="es-ES"/>
        </w:rPr>
        <w:t>Canada</w:t>
      </w:r>
      <w:proofErr w:type="spellEnd"/>
      <w:r w:rsidRPr="002A5B9D">
        <w:rPr>
          <w:rFonts w:ascii="Times New Roman" w:hAnsi="Times New Roman" w:cs="Times New Roman"/>
          <w:lang w:val="es-ES"/>
        </w:rPr>
        <w:t>. (2024</w:t>
      </w:r>
      <w:r>
        <w:rPr>
          <w:rFonts w:ascii="Times New Roman" w:hAnsi="Times New Roman" w:cs="Times New Roman"/>
          <w:lang w:val="es-ES"/>
        </w:rPr>
        <w:t xml:space="preserve">, </w:t>
      </w:r>
      <w:r w:rsidRPr="002A5B9D">
        <w:rPr>
          <w:rFonts w:ascii="Times New Roman" w:hAnsi="Times New Roman" w:cs="Times New Roman"/>
          <w:lang w:val="es-ES"/>
        </w:rPr>
        <w:t xml:space="preserve">24 de Noviembre). </w:t>
      </w:r>
      <w:r w:rsidRPr="002A5B9D">
        <w:rPr>
          <w:rFonts w:ascii="Times New Roman" w:hAnsi="Times New Roman" w:cs="Times New Roman"/>
          <w:i/>
          <w:iCs/>
          <w:lang w:val="en-US"/>
        </w:rPr>
        <w:t xml:space="preserve">International students. </w:t>
      </w:r>
      <w:hyperlink r:id="rId24" w:history="1">
        <w:r w:rsidRPr="002A5B9D">
          <w:rPr>
            <w:rStyle w:val="Hipervnculo"/>
            <w:rFonts w:ascii="Times New Roman" w:hAnsi="Times New Roman" w:cs="Times New Roman"/>
            <w:lang w:val="en-US"/>
          </w:rPr>
          <w:t>https://www.statcan.gc.ca/</w:t>
        </w:r>
      </w:hyperlink>
    </w:p>
    <w:p w14:paraId="11B5B231" w14:textId="77777777" w:rsidR="002A5B9D" w:rsidRPr="002A5B9D" w:rsidRDefault="002A5B9D" w:rsidP="002A5B9D">
      <w:pPr>
        <w:spacing w:line="240" w:lineRule="auto"/>
        <w:jc w:val="both"/>
        <w:rPr>
          <w:rFonts w:ascii="Times New Roman" w:hAnsi="Times New Roman" w:cs="Times New Roman"/>
          <w:color w:val="202122"/>
          <w:shd w:val="clear" w:color="auto" w:fill="FFFFFF"/>
        </w:rPr>
      </w:pPr>
      <w:r w:rsidRPr="002A5B9D">
        <w:rPr>
          <w:rFonts w:ascii="Times New Roman" w:hAnsi="Times New Roman" w:cs="Times New Roman"/>
          <w:color w:val="202122"/>
          <w:shd w:val="clear" w:color="auto" w:fill="FFFFFF"/>
          <w:lang w:val="es-ES_tradnl"/>
        </w:rPr>
        <w:t xml:space="preserve">Tratado de Libre Comercio de América del Norte (TLCAN). (20 de diciembre de 1993). </w:t>
      </w:r>
      <w:hyperlink r:id="rId25" w:history="1">
        <w:r w:rsidRPr="002A5B9D">
          <w:rPr>
            <w:rStyle w:val="Hipervnculo"/>
            <w:rFonts w:ascii="Times New Roman" w:hAnsi="Times New Roman" w:cs="Times New Roman"/>
            <w:shd w:val="clear" w:color="auto" w:fill="FFFFFF"/>
          </w:rPr>
          <w:t>https://www.cndh.org.mx/DocTR/2016/JUR/A70/01/JUR-20170331-II01.pdf</w:t>
        </w:r>
      </w:hyperlink>
    </w:p>
    <w:p w14:paraId="0281B548" w14:textId="77777777"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lang w:val="en-US"/>
        </w:rPr>
        <w:t xml:space="preserve">United Nations Educational, Scientific and Cultural Organization (UNESCO). </w:t>
      </w:r>
      <w:r w:rsidRPr="002A5B9D">
        <w:rPr>
          <w:rFonts w:ascii="Times New Roman" w:hAnsi="Times New Roman" w:cs="Times New Roman"/>
          <w:lang w:val="es-ES_tradnl"/>
        </w:rPr>
        <w:t xml:space="preserve">(2022). </w:t>
      </w:r>
      <w:r w:rsidRPr="002A5B9D">
        <w:rPr>
          <w:rFonts w:ascii="Times New Roman" w:hAnsi="Times New Roman" w:cs="Times New Roman"/>
          <w:i/>
          <w:iCs/>
          <w:lang w:val="es-ES_tradnl"/>
        </w:rPr>
        <w:t xml:space="preserve">Más allá́ de los límites. Nuevas formas de reinventar la educación superior. </w:t>
      </w:r>
      <w:r w:rsidRPr="002A5B9D">
        <w:rPr>
          <w:rFonts w:ascii="Times New Roman" w:hAnsi="Times New Roman" w:cs="Times New Roman"/>
          <w:lang w:val="es-ES_tradnl"/>
        </w:rPr>
        <w:t xml:space="preserve">Documento de trabajo para la Conferencia Mundial de Educación Superior. </w:t>
      </w:r>
      <w:r w:rsidRPr="002A5B9D">
        <w:rPr>
          <w:rFonts w:ascii="Times New Roman" w:hAnsi="Times New Roman" w:cs="Times New Roman"/>
          <w:lang w:val="en-US"/>
        </w:rPr>
        <w:t>18-20 de mayo de 2022. https://unesdoc.unesco.org/ark:/48223/pf0000389912_spa</w:t>
      </w:r>
    </w:p>
    <w:p w14:paraId="45143677" w14:textId="77777777"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lang w:val="en-US"/>
        </w:rPr>
        <w:t xml:space="preserve">United Nations Educational, Scientific and Cultural Organization (UNESCO). </w:t>
      </w:r>
      <w:r w:rsidRPr="002A5B9D">
        <w:rPr>
          <w:rFonts w:ascii="Times New Roman" w:hAnsi="Times New Roman" w:cs="Times New Roman"/>
          <w:lang w:val="es-ES_tradnl"/>
        </w:rPr>
        <w:t xml:space="preserve">(2023). </w:t>
      </w:r>
      <w:r w:rsidRPr="002A5B9D">
        <w:rPr>
          <w:rFonts w:ascii="Times New Roman" w:hAnsi="Times New Roman" w:cs="Times New Roman"/>
          <w:i/>
          <w:iCs/>
          <w:color w:val="333333"/>
          <w:shd w:val="clear" w:color="auto" w:fill="FFFFFF"/>
        </w:rPr>
        <w:t xml:space="preserve">Diez ejes para repensar la educación superior del mañana en América Latina y el Caribe: una contribución a la Conferencia Mundial de Educación Superior de la UNESCO; artículos de expertos. </w:t>
      </w:r>
      <w:r w:rsidRPr="002A5B9D">
        <w:rPr>
          <w:rFonts w:ascii="Times New Roman" w:hAnsi="Times New Roman" w:cs="Times New Roman"/>
          <w:color w:val="333333"/>
          <w:shd w:val="clear" w:color="auto" w:fill="FFFFFF"/>
        </w:rPr>
        <w:t>UNESCO. https://unesdoc.unesco.org/ark:/48223/pf0000387027</w:t>
      </w:r>
    </w:p>
    <w:p w14:paraId="337A4CA0" w14:textId="3530066D" w:rsidR="002A5B9D" w:rsidRPr="002A5B9D" w:rsidRDefault="002A5B9D" w:rsidP="002A5B9D">
      <w:pPr>
        <w:spacing w:line="240" w:lineRule="auto"/>
        <w:jc w:val="both"/>
        <w:rPr>
          <w:rFonts w:ascii="Times New Roman" w:hAnsi="Times New Roman" w:cs="Times New Roman"/>
          <w:lang w:val="en-US"/>
        </w:rPr>
      </w:pPr>
      <w:r w:rsidRPr="002A5B9D">
        <w:rPr>
          <w:rFonts w:ascii="Times New Roman" w:hAnsi="Times New Roman" w:cs="Times New Roman"/>
          <w:lang w:val="en-US"/>
        </w:rPr>
        <w:t>U.S. Department of Education. (2024</w:t>
      </w:r>
      <w:r>
        <w:rPr>
          <w:rFonts w:ascii="Times New Roman" w:hAnsi="Times New Roman" w:cs="Times New Roman"/>
          <w:lang w:val="en-US"/>
        </w:rPr>
        <w:t xml:space="preserve">, </w:t>
      </w:r>
      <w:r w:rsidRPr="002A5B9D">
        <w:rPr>
          <w:rFonts w:ascii="Times New Roman" w:hAnsi="Times New Roman" w:cs="Times New Roman"/>
          <w:lang w:val="en-US"/>
        </w:rPr>
        <w:t xml:space="preserve">24 de </w:t>
      </w:r>
      <w:proofErr w:type="spellStart"/>
      <w:r>
        <w:rPr>
          <w:rFonts w:ascii="Times New Roman" w:hAnsi="Times New Roman" w:cs="Times New Roman"/>
          <w:lang w:val="en-US"/>
        </w:rPr>
        <w:t>N</w:t>
      </w:r>
      <w:r w:rsidRPr="002A5B9D">
        <w:rPr>
          <w:rFonts w:ascii="Times New Roman" w:hAnsi="Times New Roman" w:cs="Times New Roman"/>
          <w:lang w:val="en-US"/>
        </w:rPr>
        <w:t>oviembre</w:t>
      </w:r>
      <w:proofErr w:type="spellEnd"/>
      <w:r w:rsidRPr="002A5B9D">
        <w:rPr>
          <w:rFonts w:ascii="Times New Roman" w:hAnsi="Times New Roman" w:cs="Times New Roman"/>
          <w:lang w:val="en-US"/>
        </w:rPr>
        <w:t xml:space="preserve">). </w:t>
      </w:r>
      <w:r w:rsidRPr="002A5B9D">
        <w:rPr>
          <w:rFonts w:ascii="Times New Roman" w:hAnsi="Times New Roman" w:cs="Times New Roman"/>
          <w:i/>
          <w:iCs/>
          <w:lang w:val="en-US"/>
        </w:rPr>
        <w:t>Higher Education</w:t>
      </w:r>
      <w:r w:rsidRPr="002A5B9D">
        <w:rPr>
          <w:rFonts w:ascii="Times New Roman" w:hAnsi="Times New Roman" w:cs="Times New Roman"/>
          <w:lang w:val="en-US"/>
        </w:rPr>
        <w:t xml:space="preserve">. </w:t>
      </w:r>
      <w:hyperlink r:id="rId26" w:tgtFrame="_new" w:history="1">
        <w:r w:rsidRPr="002A5B9D">
          <w:rPr>
            <w:rStyle w:val="Hipervnculo"/>
            <w:rFonts w:ascii="Times New Roman" w:hAnsi="Times New Roman" w:cs="Times New Roman"/>
            <w:lang w:val="en-US"/>
          </w:rPr>
          <w:t>https://www.ed.gov</w:t>
        </w:r>
      </w:hyperlink>
    </w:p>
    <w:p w14:paraId="75DA54FD" w14:textId="77777777" w:rsidR="002A5B9D" w:rsidRPr="002A5B9D" w:rsidRDefault="002A5B9D" w:rsidP="002A5B9D">
      <w:pPr>
        <w:spacing w:line="240" w:lineRule="auto"/>
        <w:jc w:val="both"/>
        <w:rPr>
          <w:rFonts w:ascii="Times New Roman" w:hAnsi="Times New Roman" w:cs="Times New Roman"/>
          <w:color w:val="000000" w:themeColor="text1"/>
          <w:lang w:val="en-US"/>
        </w:rPr>
      </w:pPr>
      <w:r w:rsidRPr="002A5B9D">
        <w:rPr>
          <w:rFonts w:ascii="Times New Roman" w:hAnsi="Times New Roman" w:cs="Times New Roman"/>
          <w:color w:val="000000" w:themeColor="text1"/>
          <w:lang w:val="en-US"/>
        </w:rPr>
        <w:t xml:space="preserve">Van Damme D. (2019). Converge and Divergence in the Global Higher Education System: The Conflict between Qualifications and Skills. </w:t>
      </w:r>
      <w:r w:rsidRPr="002A5B9D">
        <w:rPr>
          <w:rFonts w:ascii="Times New Roman" w:hAnsi="Times New Roman" w:cs="Times New Roman"/>
          <w:i/>
          <w:iCs/>
          <w:color w:val="000000" w:themeColor="text1"/>
          <w:lang w:val="en-US"/>
        </w:rPr>
        <w:t>International Journal of Chinese Education</w:t>
      </w:r>
      <w:r w:rsidRPr="002A5B9D">
        <w:rPr>
          <w:rFonts w:ascii="Times New Roman" w:hAnsi="Times New Roman" w:cs="Times New Roman"/>
          <w:color w:val="000000" w:themeColor="text1"/>
          <w:lang w:val="en-US"/>
        </w:rPr>
        <w:t xml:space="preserve">, </w:t>
      </w:r>
      <w:r w:rsidRPr="002A5B9D">
        <w:rPr>
          <w:rFonts w:ascii="Times New Roman" w:hAnsi="Times New Roman" w:cs="Times New Roman"/>
          <w:i/>
          <w:iCs/>
          <w:color w:val="000000" w:themeColor="text1"/>
          <w:lang w:val="en-US"/>
        </w:rPr>
        <w:t>8</w:t>
      </w:r>
      <w:r w:rsidRPr="002A5B9D">
        <w:rPr>
          <w:rFonts w:ascii="Times New Roman" w:hAnsi="Times New Roman" w:cs="Times New Roman"/>
          <w:color w:val="000000" w:themeColor="text1"/>
          <w:lang w:val="en-US"/>
        </w:rPr>
        <w:t>, 7-24. https://journals.sagepub.com/doi/full/10.1163/22125868-12340102</w:t>
      </w:r>
    </w:p>
    <w:p w14:paraId="53FB56F5" w14:textId="77777777" w:rsidR="002A5B9D" w:rsidRPr="002A5B9D" w:rsidRDefault="002A5B9D" w:rsidP="002A5B9D">
      <w:pPr>
        <w:jc w:val="both"/>
        <w:rPr>
          <w:rFonts w:ascii="Times New Roman" w:hAnsi="Times New Roman" w:cs="Times New Roman"/>
          <w:lang w:val="it-IT"/>
        </w:rPr>
      </w:pPr>
      <w:r w:rsidRPr="002A5B9D">
        <w:rPr>
          <w:rFonts w:ascii="Times New Roman" w:hAnsi="Times New Roman" w:cs="Times New Roman"/>
          <w:color w:val="000000" w:themeColor="text1"/>
          <w:lang w:val="en-US"/>
        </w:rPr>
        <w:t xml:space="preserve">World Bank Group. (24 de </w:t>
      </w:r>
      <w:proofErr w:type="spellStart"/>
      <w:r w:rsidRPr="002A5B9D">
        <w:rPr>
          <w:rFonts w:ascii="Times New Roman" w:hAnsi="Times New Roman" w:cs="Times New Roman"/>
          <w:color w:val="000000" w:themeColor="text1"/>
          <w:lang w:val="en-US"/>
        </w:rPr>
        <w:t>noviembre</w:t>
      </w:r>
      <w:proofErr w:type="spellEnd"/>
      <w:r w:rsidRPr="002A5B9D">
        <w:rPr>
          <w:rFonts w:ascii="Times New Roman" w:hAnsi="Times New Roman" w:cs="Times New Roman"/>
          <w:color w:val="000000" w:themeColor="text1"/>
          <w:lang w:val="en-US"/>
        </w:rPr>
        <w:t xml:space="preserve"> de 2024). </w:t>
      </w:r>
      <w:r w:rsidRPr="002A5B9D">
        <w:rPr>
          <w:rFonts w:ascii="Times New Roman" w:hAnsi="Times New Roman" w:cs="Times New Roman"/>
          <w:i/>
          <w:iCs/>
          <w:color w:val="000000" w:themeColor="text1"/>
          <w:lang w:val="en-US"/>
        </w:rPr>
        <w:t>World Bank Open Data</w:t>
      </w:r>
      <w:r w:rsidRPr="002A5B9D">
        <w:rPr>
          <w:rFonts w:ascii="Times New Roman" w:hAnsi="Times New Roman" w:cs="Times New Roman"/>
          <w:color w:val="000000" w:themeColor="text1"/>
          <w:lang w:val="en-US"/>
        </w:rPr>
        <w:t xml:space="preserve">. </w:t>
      </w:r>
      <w:hyperlink r:id="rId27" w:history="1">
        <w:r w:rsidRPr="002A5B9D">
          <w:rPr>
            <w:rStyle w:val="Hipervnculo"/>
            <w:rFonts w:ascii="Times New Roman" w:hAnsi="Times New Roman" w:cs="Times New Roman"/>
            <w:lang w:val="en-US"/>
          </w:rPr>
          <w:t>https://data.worldbank.org/</w:t>
        </w:r>
      </w:hyperlink>
    </w:p>
    <w:p w14:paraId="7E83515B" w14:textId="6C43E851" w:rsidR="001923DC" w:rsidRPr="002A5B9D" w:rsidRDefault="002A5B9D" w:rsidP="002A5B9D">
      <w:pPr>
        <w:spacing w:line="240" w:lineRule="auto"/>
        <w:jc w:val="both"/>
        <w:rPr>
          <w:rFonts w:ascii="Times New Roman" w:hAnsi="Times New Roman" w:cs="Times New Roman"/>
          <w:lang w:val="pt-BR"/>
        </w:rPr>
      </w:pPr>
      <w:r w:rsidRPr="002A5B9D">
        <w:rPr>
          <w:rFonts w:ascii="Times New Roman" w:hAnsi="Times New Roman" w:cs="Times New Roman"/>
          <w:lang w:val="it-IT"/>
        </w:rPr>
        <w:t xml:space="preserve">World Trade Organization. (1995). </w:t>
      </w:r>
      <w:r w:rsidRPr="002A5B9D">
        <w:rPr>
          <w:rStyle w:val="nfasis"/>
          <w:rFonts w:ascii="Times New Roman" w:hAnsi="Times New Roman" w:cs="Times New Roman"/>
          <w:lang w:val="it-IT"/>
        </w:rPr>
        <w:t xml:space="preserve">Marrakesh Agreement </w:t>
      </w:r>
      <w:proofErr w:type="spellStart"/>
      <w:r w:rsidRPr="002A5B9D">
        <w:rPr>
          <w:rStyle w:val="nfasis"/>
          <w:rFonts w:ascii="Times New Roman" w:hAnsi="Times New Roman" w:cs="Times New Roman"/>
          <w:lang w:val="it-IT"/>
        </w:rPr>
        <w:t>Establishing</w:t>
      </w:r>
      <w:proofErr w:type="spellEnd"/>
      <w:r w:rsidRPr="002A5B9D">
        <w:rPr>
          <w:rStyle w:val="nfasis"/>
          <w:rFonts w:ascii="Times New Roman" w:hAnsi="Times New Roman" w:cs="Times New Roman"/>
          <w:lang w:val="it-IT"/>
        </w:rPr>
        <w:t xml:space="preserve"> the World Trade Organization</w:t>
      </w:r>
      <w:r w:rsidRPr="002A5B9D">
        <w:rPr>
          <w:rFonts w:ascii="Times New Roman" w:hAnsi="Times New Roman" w:cs="Times New Roman"/>
          <w:lang w:val="it-IT"/>
        </w:rPr>
        <w:t xml:space="preserve">. </w:t>
      </w:r>
      <w:hyperlink r:id="rId28" w:tgtFrame="_new" w:history="1">
        <w:r w:rsidRPr="002A5B9D">
          <w:rPr>
            <w:rStyle w:val="Hipervnculo"/>
            <w:rFonts w:ascii="Times New Roman" w:hAnsi="Times New Roman" w:cs="Times New Roman"/>
            <w:lang w:val="it-IT"/>
          </w:rPr>
          <w:t>https://www.wto.org/english/docs_e/legal_e/04-wto_e.htm</w:t>
        </w:r>
      </w:hyperlink>
    </w:p>
    <w:sectPr w:rsidR="001923DC" w:rsidRPr="002A5B9D" w:rsidSect="00701F64">
      <w:headerReference w:type="default" r:id="rId29"/>
      <w:footerReference w:type="default" r:id="rId3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AC9B6" w14:textId="77777777" w:rsidR="00FC2A94" w:rsidRPr="00BA642E" w:rsidRDefault="00FC2A94" w:rsidP="00C802F5">
      <w:pPr>
        <w:spacing w:after="0" w:line="240" w:lineRule="auto"/>
      </w:pPr>
      <w:r w:rsidRPr="00BA642E">
        <w:separator/>
      </w:r>
    </w:p>
  </w:endnote>
  <w:endnote w:type="continuationSeparator" w:id="0">
    <w:p w14:paraId="1D965DA4" w14:textId="77777777" w:rsidR="00FC2A94" w:rsidRPr="00BA642E" w:rsidRDefault="00FC2A9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herit">
    <w:altName w:val="Cambria"/>
    <w:panose1 w:val="020B0604020202020204"/>
    <w:charset w:val="00"/>
    <w:family w:val="auto"/>
    <w:pitch w:val="default"/>
  </w:font>
  <w:font w:name="Yu Gothic">
    <w:altName w:val="游ゴシック"/>
    <w:panose1 w:val="020B0400000000000000"/>
    <w:charset w:val="80"/>
    <w:family w:val="moder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3CD56" w14:textId="77777777" w:rsidR="00FC2A94" w:rsidRPr="00BA642E" w:rsidRDefault="00FC2A94" w:rsidP="00C802F5">
      <w:pPr>
        <w:spacing w:after="0" w:line="240" w:lineRule="auto"/>
      </w:pPr>
      <w:r w:rsidRPr="00BA642E">
        <w:separator/>
      </w:r>
    </w:p>
  </w:footnote>
  <w:footnote w:type="continuationSeparator" w:id="0">
    <w:p w14:paraId="3C605920" w14:textId="77777777" w:rsidR="00FC2A94" w:rsidRPr="00BA642E" w:rsidRDefault="00FC2A9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63424"/>
    <w:rsid w:val="0008455E"/>
    <w:rsid w:val="0010769E"/>
    <w:rsid w:val="001816D6"/>
    <w:rsid w:val="00185F5E"/>
    <w:rsid w:val="001923DC"/>
    <w:rsid w:val="001961FE"/>
    <w:rsid w:val="00232403"/>
    <w:rsid w:val="002327C3"/>
    <w:rsid w:val="002734A9"/>
    <w:rsid w:val="002A5B9D"/>
    <w:rsid w:val="002D5169"/>
    <w:rsid w:val="00312392"/>
    <w:rsid w:val="003758E6"/>
    <w:rsid w:val="003F0472"/>
    <w:rsid w:val="004040C0"/>
    <w:rsid w:val="00437E9C"/>
    <w:rsid w:val="004B4F7B"/>
    <w:rsid w:val="00517A73"/>
    <w:rsid w:val="00550766"/>
    <w:rsid w:val="005E53DC"/>
    <w:rsid w:val="005F3B2E"/>
    <w:rsid w:val="00701F64"/>
    <w:rsid w:val="007347BB"/>
    <w:rsid w:val="007B5B5F"/>
    <w:rsid w:val="007D233B"/>
    <w:rsid w:val="0085070B"/>
    <w:rsid w:val="00A17247"/>
    <w:rsid w:val="00A4100B"/>
    <w:rsid w:val="00B246D7"/>
    <w:rsid w:val="00BA642E"/>
    <w:rsid w:val="00BC236F"/>
    <w:rsid w:val="00BF1EE0"/>
    <w:rsid w:val="00C802F5"/>
    <w:rsid w:val="00C868CB"/>
    <w:rsid w:val="00C96B2C"/>
    <w:rsid w:val="00CC04C1"/>
    <w:rsid w:val="00CE388E"/>
    <w:rsid w:val="00D327AC"/>
    <w:rsid w:val="00D843EC"/>
    <w:rsid w:val="00EE01AB"/>
    <w:rsid w:val="00EF3DA7"/>
    <w:rsid w:val="00FC1CC2"/>
    <w:rsid w:val="00FC2A94"/>
  </w:rsids>
  <m:mathPr>
    <m:mathFont m:val="Cambria Math"/>
    <m:brkBin m:val="before"/>
    <m:brkBinSub m:val="--"/>
    <m:smallFrac m:val="0"/>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2D5169"/>
    <w:pPr>
      <w:spacing w:after="0" w:line="240" w:lineRule="auto"/>
    </w:pPr>
    <w:rPr>
      <w:rFonts w:ascii="Times New Roman" w:eastAsia="Times New Roman" w:hAnsi="Times New Roman" w:cs="Times New Roman"/>
      <w:kern w:val="0"/>
      <w:lang w:val="es-MX" w:eastAsia="it-IT"/>
      <w14:ligatures w14:val="none"/>
    </w:rPr>
  </w:style>
  <w:style w:type="table" w:styleId="Tablaconcuadrcula">
    <w:name w:val="Table Grid"/>
    <w:basedOn w:val="Tablanormal"/>
    <w:uiPriority w:val="39"/>
    <w:rsid w:val="002D5169"/>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2D5169"/>
    <w:rPr>
      <w:b/>
      <w:bCs/>
    </w:rPr>
  </w:style>
  <w:style w:type="character" w:styleId="nfasis">
    <w:name w:val="Emphasis"/>
    <w:basedOn w:val="Fuentedeprrafopredeter"/>
    <w:uiPriority w:val="20"/>
    <w:qFormat/>
    <w:rsid w:val="002D5169"/>
    <w:rPr>
      <w:i/>
      <w:iCs/>
    </w:rPr>
  </w:style>
  <w:style w:type="character" w:customStyle="1" w:styleId="whitespace-normal">
    <w:name w:val="whitespace-normal"/>
    <w:basedOn w:val="Fuentedeprrafopredeter"/>
    <w:rsid w:val="002D5169"/>
  </w:style>
  <w:style w:type="paragraph" w:customStyle="1" w:styleId="tagline">
    <w:name w:val="tagline"/>
    <w:basedOn w:val="Normal"/>
    <w:rsid w:val="002A5B9D"/>
    <w:pPr>
      <w:spacing w:before="100" w:beforeAutospacing="1" w:after="100" w:afterAutospacing="1" w:line="240" w:lineRule="auto"/>
    </w:pPr>
    <w:rPr>
      <w:rFonts w:ascii="Times New Roman" w:eastAsia="Times New Roman" w:hAnsi="Times New Roman" w:cs="Times New Roman"/>
      <w:kern w:val="0"/>
      <w:lang w:val="es-MX"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lberto.gordaz@academicos.udg.mx" TargetMode="External"/><Relationship Id="rId13" Type="http://schemas.openxmlformats.org/officeDocument/2006/relationships/hyperlink" Target="https://www.cmec.ca" TargetMode="External"/><Relationship Id="rId18" Type="http://schemas.openxmlformats.org/officeDocument/2006/relationships/hyperlink" Target="https://www.mercosur.int/temas/educacion/" TargetMode="External"/><Relationship Id="rId26" Type="http://schemas.openxmlformats.org/officeDocument/2006/relationships/hyperlink" Target="https://www.ed.gov" TargetMode="External"/><Relationship Id="rId3" Type="http://schemas.openxmlformats.org/officeDocument/2006/relationships/settings" Target="settings.xml"/><Relationship Id="rId21" Type="http://schemas.openxmlformats.org/officeDocument/2006/relationships/hyperlink" Target="https://doi.org/10.5944/reec.25.2015.14785" TargetMode="External"/><Relationship Id="rId7" Type="http://schemas.openxmlformats.org/officeDocument/2006/relationships/hyperlink" Target="mailto:sabrina.nigra@academicos.udg.mx" TargetMode="External"/><Relationship Id="rId12" Type="http://schemas.openxmlformats.org/officeDocument/2006/relationships/hyperlink" Target="https://www.csis.org/analysis/usmca-review-2026" TargetMode="External"/><Relationship Id="rId17" Type="http://schemas.openxmlformats.org/officeDocument/2006/relationships/hyperlink" Target="https://doi.org/10.32719/25506641.2023.14.7" TargetMode="External"/><Relationship Id="rId25" Type="http://schemas.openxmlformats.org/officeDocument/2006/relationships/hyperlink" Target="https://www.cndh.org.mx/DocTR/2016/JUR/A70/01/JUR-20170331-II01.pdf" TargetMode="External"/><Relationship Id="rId2" Type="http://schemas.openxmlformats.org/officeDocument/2006/relationships/styles" Target="styles.xml"/><Relationship Id="rId16" Type="http://schemas.openxmlformats.org/officeDocument/2006/relationships/hyperlink" Target="https://www.gob.mx/epn/articulos/indicadores-de-la-relacion-tripartita-canada-estados-unidos-mexico" TargetMode="External"/><Relationship Id="rId20" Type="http://schemas.openxmlformats.org/officeDocument/2006/relationships/hyperlink" Target="https://www.scielo.org.mx/scielo.php?script=sci_arttext&amp;pid=S1870-355020120002000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cepsec.org/legal-text/" TargetMode="External"/><Relationship Id="rId24" Type="http://schemas.openxmlformats.org/officeDocument/2006/relationships/hyperlink" Target="https://www.statcan.gc.c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61203/2347-0658.v8.n1.24674" TargetMode="External"/><Relationship Id="rId23" Type="http://schemas.openxmlformats.org/officeDocument/2006/relationships/hyperlink" Target="https://doi.org/10.22201/cisan.24487228e.2021.2.518" TargetMode="External"/><Relationship Id="rId28" Type="http://schemas.openxmlformats.org/officeDocument/2006/relationships/hyperlink" Target="https://www.wto.org/english/docs_e/legal_e/04-wto_e.htm" TargetMode="External"/><Relationship Id="rId10" Type="http://schemas.openxmlformats.org/officeDocument/2006/relationships/hyperlink" Target="https://www.redalyc.org/pdf/132/13207005.pdf" TargetMode="External"/><Relationship Id="rId19" Type="http://schemas.openxmlformats.org/officeDocument/2006/relationships/hyperlink" Target="https://opendoorsdata.org/"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gelio.r@cucea.udg.mx" TargetMode="External"/><Relationship Id="rId14" Type="http://schemas.openxmlformats.org/officeDocument/2006/relationships/hyperlink" Target="https://www.usa.gov/es/agencias/departamento-de-seguridad-nacional" TargetMode="External"/><Relationship Id="rId22" Type="http://schemas.openxmlformats.org/officeDocument/2006/relationships/hyperlink" Target="https://global.oup.com/academic/product/the-north-american-idea-9780199782413?cc=mx&amp;lang=en&amp;" TargetMode="External"/><Relationship Id="rId27" Type="http://schemas.openxmlformats.org/officeDocument/2006/relationships/hyperlink" Target="https://data.worldbank.org/"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870719-B84F-465A-AA53-007C778A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14</Pages>
  <Words>5602</Words>
  <Characters>34062</Characters>
  <Application>Microsoft Office Word</Application>
  <DocSecurity>0</DocSecurity>
  <Lines>587</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Israel Glez</cp:lastModifiedBy>
  <cp:revision>13</cp:revision>
  <cp:lastPrinted>2026-05-29T05:22:00Z</cp:lastPrinted>
  <dcterms:created xsi:type="dcterms:W3CDTF">2026-03-14T03:50:00Z</dcterms:created>
  <dcterms:modified xsi:type="dcterms:W3CDTF">2026-05-29T16:48:00Z</dcterms:modified>
</cp:coreProperties>
</file>