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E5751" w14:textId="77777777" w:rsidR="0089158C" w:rsidRPr="00BA642E" w:rsidRDefault="0089158C" w:rsidP="00F451B5">
      <w:pPr>
        <w:spacing w:line="276" w:lineRule="auto"/>
        <w:jc w:val="both"/>
        <w:rPr>
          <w:rFonts w:ascii="Times New Roman" w:hAnsi="Times New Roman" w:cs="Times New Roman"/>
        </w:rPr>
      </w:pPr>
    </w:p>
    <w:p w14:paraId="682F3A5A" w14:textId="77777777" w:rsidR="00F451B5" w:rsidRPr="001935DB" w:rsidRDefault="00F451B5" w:rsidP="001935DB">
      <w:pPr>
        <w:spacing w:line="276" w:lineRule="auto"/>
        <w:jc w:val="center"/>
        <w:rPr>
          <w:rFonts w:ascii="Times New Roman" w:hAnsi="Times New Roman" w:cs="Times New Roman"/>
          <w:b/>
          <w:sz w:val="28"/>
          <w:szCs w:val="28"/>
          <w:lang w:val="es-AR"/>
        </w:rPr>
      </w:pPr>
      <w:r w:rsidRPr="001935DB">
        <w:rPr>
          <w:rFonts w:ascii="Times New Roman" w:hAnsi="Times New Roman" w:cs="Times New Roman"/>
          <w:b/>
          <w:bCs/>
          <w:sz w:val="28"/>
          <w:szCs w:val="28"/>
          <w:lang w:val="es-AR"/>
        </w:rPr>
        <w:t>Carreras científicas de investigadores retornados: una lectura desde el esquema tripartito de carrera de Gläser y Laudel</w:t>
      </w:r>
    </w:p>
    <w:p w14:paraId="76DE7F62" w14:textId="77777777" w:rsidR="00F451B5" w:rsidRDefault="00F451B5" w:rsidP="00F451B5">
      <w:pPr>
        <w:spacing w:line="276" w:lineRule="auto"/>
        <w:jc w:val="both"/>
        <w:rPr>
          <w:rFonts w:ascii="Times New Roman" w:hAnsi="Times New Roman" w:cs="Times New Roman"/>
          <w:b/>
          <w:lang w:val="es-AR"/>
        </w:rPr>
      </w:pPr>
    </w:p>
    <w:p w14:paraId="1BA5967C" w14:textId="77777777" w:rsidR="0089158C" w:rsidRDefault="0089158C" w:rsidP="00F451B5">
      <w:pPr>
        <w:spacing w:line="276" w:lineRule="auto"/>
        <w:jc w:val="both"/>
        <w:rPr>
          <w:rFonts w:ascii="Times New Roman" w:hAnsi="Times New Roman" w:cs="Times New Roman"/>
          <w:b/>
          <w:lang w:val="es-AR"/>
        </w:rPr>
      </w:pPr>
    </w:p>
    <w:p w14:paraId="2C05BC59" w14:textId="77777777" w:rsidR="0089158C" w:rsidRPr="00F451B5" w:rsidRDefault="0089158C" w:rsidP="00F451B5">
      <w:pPr>
        <w:spacing w:line="276" w:lineRule="auto"/>
        <w:jc w:val="both"/>
        <w:rPr>
          <w:rFonts w:ascii="Times New Roman" w:hAnsi="Times New Roman" w:cs="Times New Roman"/>
          <w:b/>
          <w:lang w:val="es-AR"/>
        </w:rPr>
      </w:pPr>
    </w:p>
    <w:p w14:paraId="61955174" w14:textId="77777777" w:rsidR="0089158C" w:rsidRPr="0089158C" w:rsidRDefault="0089158C" w:rsidP="0089158C">
      <w:pPr>
        <w:spacing w:line="276" w:lineRule="auto"/>
        <w:jc w:val="both"/>
        <w:rPr>
          <w:rFonts w:ascii="Corbel" w:hAnsi="Corbel" w:cs="Times New Roman"/>
          <w:b/>
          <w:color w:val="44546A" w:themeColor="text2"/>
          <w:lang w:val="es-AR"/>
        </w:rPr>
      </w:pPr>
      <w:r w:rsidRPr="0089158C">
        <w:rPr>
          <w:rFonts w:ascii="Corbel" w:hAnsi="Corbel" w:cs="Times New Roman"/>
          <w:b/>
          <w:bCs/>
          <w:color w:val="44546A" w:themeColor="text2"/>
          <w:lang w:val="es-AR"/>
        </w:rPr>
        <w:t>Nota de la autora:</w:t>
      </w:r>
      <w:r w:rsidRPr="0089158C">
        <w:rPr>
          <w:rFonts w:ascii="Corbel" w:hAnsi="Corbel" w:cs="Times New Roman"/>
          <w:b/>
          <w:color w:val="44546A" w:themeColor="text2"/>
          <w:lang w:val="es-AR"/>
        </w:rPr>
        <w:t xml:space="preserve"> Esta ponencia presenta avances preliminares de una investigación en curso. Se solicita expresamente que no sea publicada en las actas del evento.</w:t>
      </w:r>
    </w:p>
    <w:p w14:paraId="2E950A37" w14:textId="77777777" w:rsidR="001935DB" w:rsidRDefault="001935DB" w:rsidP="00F451B5">
      <w:pPr>
        <w:spacing w:line="276" w:lineRule="auto"/>
        <w:jc w:val="both"/>
        <w:rPr>
          <w:rFonts w:ascii="Times New Roman" w:hAnsi="Times New Roman" w:cs="Times New Roman"/>
          <w:b/>
          <w:lang w:val="es-AR"/>
        </w:rPr>
      </w:pPr>
    </w:p>
    <w:p w14:paraId="7791378B" w14:textId="77777777" w:rsidR="0089158C" w:rsidRDefault="0089158C" w:rsidP="00F451B5">
      <w:pPr>
        <w:spacing w:line="276" w:lineRule="auto"/>
        <w:jc w:val="both"/>
        <w:rPr>
          <w:rFonts w:ascii="Times New Roman" w:hAnsi="Times New Roman" w:cs="Times New Roman"/>
          <w:b/>
          <w:lang w:val="es-AR"/>
        </w:rPr>
      </w:pPr>
    </w:p>
    <w:p w14:paraId="797BAE03" w14:textId="77777777" w:rsidR="0089158C" w:rsidRPr="00F451B5" w:rsidRDefault="0089158C" w:rsidP="00F451B5">
      <w:pPr>
        <w:spacing w:line="276" w:lineRule="auto"/>
        <w:jc w:val="both"/>
        <w:rPr>
          <w:rFonts w:ascii="Times New Roman" w:hAnsi="Times New Roman" w:cs="Times New Roman"/>
          <w:b/>
          <w:lang w:val="es-AR"/>
        </w:rPr>
      </w:pPr>
    </w:p>
    <w:p w14:paraId="6ABCEE2A" w14:textId="77777777" w:rsidR="00F451B5" w:rsidRPr="00F451B5" w:rsidRDefault="00F451B5" w:rsidP="00F451B5">
      <w:pPr>
        <w:spacing w:after="0" w:line="276" w:lineRule="auto"/>
        <w:jc w:val="right"/>
        <w:rPr>
          <w:rFonts w:ascii="Times New Roman" w:hAnsi="Times New Roman" w:cs="Times New Roman"/>
          <w:b/>
          <w:bCs/>
          <w:lang w:val="es-AR"/>
        </w:rPr>
      </w:pPr>
      <w:r w:rsidRPr="00F451B5">
        <w:rPr>
          <w:rFonts w:ascii="Times New Roman" w:hAnsi="Times New Roman" w:cs="Times New Roman"/>
          <w:b/>
          <w:bCs/>
          <w:lang w:val="es-AR"/>
        </w:rPr>
        <w:t>Rivero, Patricia Jimena</w:t>
      </w:r>
    </w:p>
    <w:p w14:paraId="6D09BBFD" w14:textId="77777777" w:rsidR="00F451B5" w:rsidRPr="00F451B5" w:rsidRDefault="00F451B5" w:rsidP="00F451B5">
      <w:pPr>
        <w:spacing w:after="0" w:line="276" w:lineRule="auto"/>
        <w:jc w:val="right"/>
        <w:rPr>
          <w:rFonts w:ascii="Times New Roman" w:hAnsi="Times New Roman" w:cs="Times New Roman"/>
          <w:lang w:val="es-AR"/>
        </w:rPr>
      </w:pPr>
      <w:r w:rsidRPr="00F451B5">
        <w:rPr>
          <w:rFonts w:ascii="Times New Roman" w:hAnsi="Times New Roman" w:cs="Times New Roman"/>
          <w:lang w:val="es-AR"/>
        </w:rPr>
        <w:t>CIECS-CONICET-UNC y Universidad Católica de Córdoba</w:t>
      </w:r>
    </w:p>
    <w:p w14:paraId="297DC6FB" w14:textId="77777777" w:rsidR="00F451B5" w:rsidRPr="00F451B5" w:rsidRDefault="00F451B5" w:rsidP="00F451B5">
      <w:pPr>
        <w:spacing w:after="0" w:line="276" w:lineRule="auto"/>
        <w:jc w:val="right"/>
        <w:rPr>
          <w:rFonts w:ascii="Times New Roman" w:hAnsi="Times New Roman" w:cs="Times New Roman"/>
          <w:lang w:val="es-AR"/>
        </w:rPr>
      </w:pPr>
      <w:hyperlink r:id="rId7" w:history="1">
        <w:r w:rsidRPr="00F451B5">
          <w:rPr>
            <w:rStyle w:val="Hipervnculo"/>
            <w:rFonts w:ascii="Times New Roman" w:hAnsi="Times New Roman" w:cs="Times New Roman"/>
            <w:lang w:val="es-AR"/>
          </w:rPr>
          <w:t>patricia.rivero@ucc.edu.ar</w:t>
        </w:r>
      </w:hyperlink>
      <w:r w:rsidRPr="00F451B5">
        <w:rPr>
          <w:rFonts w:ascii="Times New Roman" w:hAnsi="Times New Roman" w:cs="Times New Roman"/>
          <w:lang w:val="es-AR"/>
        </w:rPr>
        <w:t xml:space="preserve"> </w:t>
      </w:r>
    </w:p>
    <w:p w14:paraId="220433FA" w14:textId="77777777" w:rsidR="00F451B5" w:rsidRPr="00F451B5" w:rsidRDefault="00F451B5" w:rsidP="00F451B5">
      <w:pPr>
        <w:spacing w:line="276" w:lineRule="auto"/>
        <w:jc w:val="both"/>
        <w:rPr>
          <w:rFonts w:ascii="Times New Roman" w:hAnsi="Times New Roman" w:cs="Times New Roman"/>
          <w:lang w:val="es-AR"/>
        </w:rPr>
      </w:pPr>
    </w:p>
    <w:p w14:paraId="164AB9FE" w14:textId="77777777" w:rsidR="00F451B5" w:rsidRPr="00F451B5" w:rsidRDefault="00F451B5" w:rsidP="00F451B5">
      <w:pPr>
        <w:spacing w:line="276" w:lineRule="auto"/>
        <w:jc w:val="both"/>
        <w:rPr>
          <w:rFonts w:ascii="Times New Roman" w:hAnsi="Times New Roman" w:cs="Times New Roman"/>
          <w:lang w:val="es-AR"/>
        </w:rPr>
      </w:pPr>
    </w:p>
    <w:p w14:paraId="4BCDF347" w14:textId="77777777" w:rsidR="00F451B5" w:rsidRPr="00F451B5" w:rsidRDefault="00F451B5" w:rsidP="00F451B5">
      <w:pPr>
        <w:spacing w:line="276" w:lineRule="auto"/>
        <w:jc w:val="both"/>
        <w:rPr>
          <w:rFonts w:ascii="Times New Roman" w:hAnsi="Times New Roman" w:cs="Times New Roman"/>
          <w:b/>
          <w:bCs/>
          <w:lang w:val="es-AR"/>
        </w:rPr>
      </w:pPr>
      <w:r w:rsidRPr="00F451B5">
        <w:rPr>
          <w:rFonts w:ascii="Times New Roman" w:hAnsi="Times New Roman" w:cs="Times New Roman"/>
          <w:b/>
          <w:bCs/>
          <w:lang w:val="es-AR"/>
        </w:rPr>
        <w:t>Resumen</w:t>
      </w:r>
    </w:p>
    <w:p w14:paraId="505E699B"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 xml:space="preserve">En las últimas décadas, la movilidad internacional de investigadores se ha consolidado como un tema central en los estudios sobre internacionalización de la investigación y trayectorias científicas. Sin embargo, en contextos periféricos estas dinámicas no se explican únicamente por estrategias académicas de circulación científica, sino también por procesos más amplios de migración altamente calificada asociados a crisis económicas, transformaciones del mercado de trabajo científico y condiciones institucionales de los sistemas de investigación. En Argentina, estas dinámicas se expresaron en distintos momentos históricos en los que numerosos investigadores desarrollaron parte de sus trayectorias profesionales en el exterior. En este marco, el Programa RAÍCES se orientó a promover el retorno de científicos y su reinserción en universidades y organismos públicos de investigación. Sin embargo, aún se conoce poco acerca de qué ocurre con las redes científicas internacionales construidas durante la experiencia migratoria una vez que los investigadores retornan al país. Este trabajo analiza la continuidad y reconfiguración de vínculos académicos internacionales en las trayectorias de investigadores repatriados al sistema científico argentino. El estudio se </w:t>
      </w:r>
      <w:r w:rsidRPr="00F451B5">
        <w:rPr>
          <w:rFonts w:ascii="Times New Roman" w:hAnsi="Times New Roman" w:cs="Times New Roman"/>
          <w:lang w:val="es-AR"/>
        </w:rPr>
        <w:lastRenderedPageBreak/>
        <w:t>basa en una encuesta realizada en 2020 a 73 científicos que retornaron al país en el marco de políticas de repatriación. El relevamiento reúne información sobre formación académica, trayectorias laborales, inserción institucional, redes de colaboración científica y experiencias de movilidad internacional previas y posteriores al retorno. Desde el punto de vista metodológico, el trabajo combina el análisis de esta base de datos con una estrategia de seguimiento longitudinal de una submuestra de investigadores repatriados. En particular, se prevé realizar entrevistas en profundidad a aproximadamente 20 investigadores con el objetivo de reconstruir la evolución de sus trayectorias académicas y la continuidad de sus vínculos científicos internacionales. Este abordaje permite complementar el análisis cuantitativo con evidencia cualitativa orientada a comprender cómo las experiencias de movilidad y migración científica inciden en el desarrollo posterior de las carreras científicas. El análisis se centra en tres dimensiones de las trayectorias científicas: la inserción institucional de los investigadores tras su regreso al país; la persistencia de vínculos académicos con instituciones extranjeras —expresada en publicaciones conjuntas, proyectos de investigación y otras formas de colaboración científica—; y la continuidad de experiencias de movilidad internacional a través de estancias, visitas académicas o participación en redes científicas transnacionales. Estas dimensiones permiten observar hasta qué punto las experiencias migratorias previas se traducen en capitales académicos que inciden en la configuración posterior de las carreras científicas. Los resultados preliminares sugieren que el retorno no implica necesariamente un cierre de la experiencia migratoria ni una reorientación exclusivamente nacional de las trayectorias científicas. Por el contrario, en numerosos casos se observa la persistencia de vínculos con grupos de investigación del exterior y la continuidad de formas de circulación académica que contribuyen a sostener redes internacionales de producción de conocimiento. En este sentido, el trabajo aporta evidencia empírica para comprender cómo las experiencias de movilidad y migración científica se inscriben en trayectorias académicas internacionalizadas y cómo estas redes inciden en la producción y circulación del conocimiento en sistemas científicos periféricos.</w:t>
      </w:r>
    </w:p>
    <w:p w14:paraId="76B43982" w14:textId="77777777" w:rsidR="00F451B5" w:rsidRPr="00F451B5" w:rsidRDefault="00F451B5" w:rsidP="00F451B5">
      <w:pPr>
        <w:spacing w:line="276" w:lineRule="auto"/>
        <w:jc w:val="both"/>
        <w:rPr>
          <w:rFonts w:ascii="Times New Roman" w:hAnsi="Times New Roman" w:cs="Times New Roman"/>
          <w:b/>
          <w:bCs/>
          <w:lang w:val="es-AR"/>
        </w:rPr>
      </w:pPr>
      <w:r w:rsidRPr="00F451B5">
        <w:rPr>
          <w:rFonts w:ascii="Times New Roman" w:hAnsi="Times New Roman" w:cs="Times New Roman"/>
          <w:b/>
          <w:bCs/>
          <w:lang w:val="es-AR"/>
        </w:rPr>
        <w:t xml:space="preserve">Palabras clave: </w:t>
      </w:r>
      <w:r w:rsidRPr="00F451B5">
        <w:rPr>
          <w:rFonts w:ascii="Times New Roman" w:hAnsi="Times New Roman" w:cs="Times New Roman"/>
          <w:lang w:val="es-AR"/>
        </w:rPr>
        <w:t>Movilidad científica; Migración de científicos; Redes académicas internacionales; Trayectorias científicas.</w:t>
      </w:r>
    </w:p>
    <w:tbl>
      <w:tblPr>
        <w:tblW w:w="0" w:type="auto"/>
        <w:tblCellSpacing w:w="15" w:type="dxa"/>
        <w:tblInd w:w="480" w:type="dxa"/>
        <w:shd w:val="clear" w:color="auto" w:fill="FFFFFF"/>
        <w:tblLook w:val="04A0" w:firstRow="1" w:lastRow="0" w:firstColumn="1" w:lastColumn="0" w:noHBand="0" w:noVBand="1"/>
      </w:tblPr>
      <w:tblGrid>
        <w:gridCol w:w="96"/>
      </w:tblGrid>
      <w:tr w:rsidR="00F451B5" w:rsidRPr="00F451B5" w14:paraId="0FE187CC" w14:textId="77777777">
        <w:trPr>
          <w:tblCellSpacing w:w="15" w:type="dxa"/>
        </w:trPr>
        <w:tc>
          <w:tcPr>
            <w:tcW w:w="0" w:type="auto"/>
            <w:shd w:val="clear" w:color="auto" w:fill="FFFFFF"/>
            <w:tcMar>
              <w:top w:w="15" w:type="dxa"/>
              <w:left w:w="15" w:type="dxa"/>
              <w:bottom w:w="15" w:type="dxa"/>
              <w:right w:w="15" w:type="dxa"/>
            </w:tcMar>
            <w:vAlign w:val="center"/>
            <w:hideMark/>
          </w:tcPr>
          <w:p w14:paraId="7B0F2A95" w14:textId="77777777" w:rsidR="00F451B5" w:rsidRPr="00F451B5" w:rsidRDefault="00F451B5" w:rsidP="00F451B5">
            <w:pPr>
              <w:spacing w:line="276" w:lineRule="auto"/>
              <w:jc w:val="both"/>
              <w:rPr>
                <w:rFonts w:ascii="Times New Roman" w:hAnsi="Times New Roman" w:cs="Times New Roman"/>
                <w:b/>
                <w:bCs/>
                <w:lang w:val="es-AR"/>
              </w:rPr>
            </w:pPr>
          </w:p>
        </w:tc>
      </w:tr>
    </w:tbl>
    <w:p w14:paraId="5A2365B7" w14:textId="77777777" w:rsidR="00F451B5" w:rsidRPr="00F451B5" w:rsidRDefault="00F451B5" w:rsidP="00F451B5">
      <w:pPr>
        <w:spacing w:line="276" w:lineRule="auto"/>
        <w:jc w:val="both"/>
        <w:rPr>
          <w:rFonts w:ascii="Times New Roman" w:hAnsi="Times New Roman" w:cs="Times New Roman"/>
          <w:lang w:val="es-AR"/>
        </w:rPr>
      </w:pPr>
    </w:p>
    <w:p w14:paraId="1B01F7B2" w14:textId="5FBE5F10" w:rsidR="00F451B5" w:rsidRPr="00F451B5" w:rsidRDefault="00F451B5" w:rsidP="00F451B5">
      <w:pPr>
        <w:numPr>
          <w:ilvl w:val="0"/>
          <w:numId w:val="1"/>
        </w:numPr>
        <w:spacing w:line="276" w:lineRule="auto"/>
        <w:ind w:left="360"/>
        <w:jc w:val="both"/>
        <w:rPr>
          <w:rFonts w:ascii="Times New Roman" w:hAnsi="Times New Roman" w:cs="Times New Roman"/>
          <w:b/>
          <w:bCs/>
          <w:lang w:val="es-AR"/>
        </w:rPr>
      </w:pPr>
      <w:r w:rsidRPr="00F451B5">
        <w:rPr>
          <w:rFonts w:ascii="Times New Roman" w:hAnsi="Times New Roman" w:cs="Times New Roman"/>
          <w:b/>
          <w:bCs/>
          <w:lang w:val="es-AR"/>
        </w:rPr>
        <w:t xml:space="preserve">Introducción: </w:t>
      </w:r>
      <w:r w:rsidR="001935DB">
        <w:rPr>
          <w:rFonts w:ascii="Times New Roman" w:hAnsi="Times New Roman" w:cs="Times New Roman"/>
          <w:b/>
          <w:bCs/>
          <w:lang w:val="es-AR"/>
        </w:rPr>
        <w:t>m</w:t>
      </w:r>
      <w:r w:rsidRPr="00F451B5">
        <w:rPr>
          <w:rFonts w:ascii="Times New Roman" w:hAnsi="Times New Roman" w:cs="Times New Roman"/>
          <w:b/>
          <w:bCs/>
          <w:lang w:val="es-AR"/>
        </w:rPr>
        <w:t>ás allá de la dicotomía "</w:t>
      </w:r>
      <w:r w:rsidR="001935DB">
        <w:rPr>
          <w:rFonts w:ascii="Times New Roman" w:hAnsi="Times New Roman" w:cs="Times New Roman"/>
          <w:b/>
          <w:bCs/>
          <w:lang w:val="es-AR"/>
        </w:rPr>
        <w:t>f</w:t>
      </w:r>
      <w:r w:rsidRPr="00F451B5">
        <w:rPr>
          <w:rFonts w:ascii="Times New Roman" w:hAnsi="Times New Roman" w:cs="Times New Roman"/>
          <w:b/>
          <w:bCs/>
          <w:lang w:val="es-AR"/>
        </w:rPr>
        <w:t>uga-</w:t>
      </w:r>
      <w:r w:rsidR="001935DB">
        <w:rPr>
          <w:rFonts w:ascii="Times New Roman" w:hAnsi="Times New Roman" w:cs="Times New Roman"/>
          <w:b/>
          <w:bCs/>
          <w:lang w:val="es-AR"/>
        </w:rPr>
        <w:t>r</w:t>
      </w:r>
      <w:r w:rsidRPr="00F451B5">
        <w:rPr>
          <w:rFonts w:ascii="Times New Roman" w:hAnsi="Times New Roman" w:cs="Times New Roman"/>
          <w:b/>
          <w:bCs/>
          <w:lang w:val="es-AR"/>
        </w:rPr>
        <w:t>etorno"</w:t>
      </w:r>
    </w:p>
    <w:p w14:paraId="458557B6"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 xml:space="preserve">Los estudios sobre migración y movilidad científica han privilegiado históricamente el análisis de la emigración y el retorno de investigadores altamente calificados. En Argentina y América Latina, este campo se organizó principalmente en torno a la dicotomía fuga-retorno, concentrando la atención en las causas de la emigración, las políticas de repatriación y sus efectos sobre los sistemas nacionales de ciencia y </w:t>
      </w:r>
      <w:r w:rsidRPr="00F451B5">
        <w:rPr>
          <w:rFonts w:ascii="Times New Roman" w:hAnsi="Times New Roman" w:cs="Times New Roman"/>
          <w:lang w:val="es-AR"/>
        </w:rPr>
        <w:lastRenderedPageBreak/>
        <w:t>tecnología (Rivero y Navarro-Conticello, 2021; Rivero, 2024). En el caso argentino, buena parte de los estudios se centró en el análisis de las políticas de repatriación, particularmente en torno al Programa RAÍCES y sus alcances como instrumento de política científica (Luchilo, 2011, 2015; Rivero y Trejo Peña, 2020; Rivero, 2025). Estos trabajos permitieron comprender el diseño y funcionamiento de dichas políticas, aunque dejaron relativamente menos explorada la evolución de las carreras científicas una vez producido el retorno.</w:t>
      </w:r>
    </w:p>
    <w:p w14:paraId="5BD56B7D"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Si bien estas investigaciones realizaron aportes fundamentales para comprender la circulación internacional de recursos humanos altamente calificados, el retorno continuó siendo el principal objeto de análisis, dejando en un segundo plano las carreras científicas que se desarrollan antes, durante y después de la experiencia internacional.</w:t>
      </w:r>
    </w:p>
    <w:p w14:paraId="24F89007"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Esta ponencia propone desplazar la unidad de análisis desde el retorno hacia las carreras científicas de investigadores que atravesaron experiencias de movilidad internacional. El retorno deja de entenderse como un punto de llegada para ser analizado como un hito dentro de trayectorias científicas de carácter longitudinal. Desde esta perspectiva, interesa comprender cómo evolucionan las distintas dimensiones de la carrera científica una vez producido ese evento, más que explicar las causas o consecuencias del regreso al país.</w:t>
      </w:r>
    </w:p>
    <w:p w14:paraId="7646FBFB"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Para ello recuperamos el esquema tripartito de carrera desarrollado por Gläser y Laudel (2015), que distingue tres dimensiones analíticas: la carrera organizativa, vinculada a la inserción institucional; la carrera comunitaria, asociada a la participación y el reconocimiento dentro de la comunidad científica; y la carrera cognitiva, referida a los procesos de producción de conocimiento. Este enfoque permite analizar las carreras científicas como procesos multidimensionales cuyas distintas dimensiones pueden evolucionar con ritmos diferentes (Rivero, 2023).</w:t>
      </w:r>
    </w:p>
    <w:p w14:paraId="08E54E94"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El objetivo de la ponencia es analizar las carreras científicas de investigadores retornados a Argentina a partir de este esquema analítico. Para ello se presentan resultados de la primera fase de una investigación de diseño mixto secuencial, basada en una encuesta realizada en 2020 a investigadores repatriados mediante el Programa RAÍCES. Actualmente se desarrolla una segunda etapa cualitativa orientada a reconstruir estas trayectorias mediante entrevistas en profundidad.</w:t>
      </w:r>
    </w:p>
    <w:p w14:paraId="1DE4AA65" w14:textId="77777777" w:rsid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La ponencia busca contribuir al estudio de las carreras científicas incorporando una perspectiva longitudinal que permita comprender la movilidad internacional y el retorno como momentos de una trayectoria profesional más amplia.</w:t>
      </w:r>
    </w:p>
    <w:p w14:paraId="66F5164D" w14:textId="77777777" w:rsidR="0089158C" w:rsidRPr="00F451B5" w:rsidRDefault="0089158C" w:rsidP="00F451B5">
      <w:pPr>
        <w:spacing w:line="276" w:lineRule="auto"/>
        <w:jc w:val="both"/>
        <w:rPr>
          <w:rFonts w:ascii="Times New Roman" w:hAnsi="Times New Roman" w:cs="Times New Roman"/>
          <w:lang w:val="es-AR"/>
        </w:rPr>
      </w:pPr>
    </w:p>
    <w:p w14:paraId="6869A5BA" w14:textId="77777777" w:rsidR="00F451B5" w:rsidRPr="00F451B5" w:rsidRDefault="00F451B5" w:rsidP="00F451B5">
      <w:pPr>
        <w:spacing w:line="276" w:lineRule="auto"/>
        <w:jc w:val="both"/>
        <w:rPr>
          <w:rFonts w:ascii="Times New Roman" w:hAnsi="Times New Roman" w:cs="Times New Roman"/>
          <w:lang w:val="es-AR"/>
        </w:rPr>
      </w:pPr>
    </w:p>
    <w:p w14:paraId="1CF2A3D9" w14:textId="1BC0565D" w:rsidR="00F451B5" w:rsidRPr="00F451B5" w:rsidRDefault="00F451B5" w:rsidP="00F451B5">
      <w:pPr>
        <w:spacing w:line="276" w:lineRule="auto"/>
        <w:jc w:val="both"/>
        <w:rPr>
          <w:rFonts w:ascii="Times New Roman" w:hAnsi="Times New Roman" w:cs="Times New Roman"/>
          <w:b/>
          <w:bCs/>
          <w:lang w:val="es-AR"/>
        </w:rPr>
      </w:pPr>
      <w:r w:rsidRPr="00F451B5">
        <w:rPr>
          <w:rFonts w:ascii="Times New Roman" w:hAnsi="Times New Roman" w:cs="Times New Roman"/>
          <w:b/>
          <w:bCs/>
          <w:lang w:val="es-AR"/>
        </w:rPr>
        <w:lastRenderedPageBreak/>
        <w:t>2. Marco Teórico</w:t>
      </w:r>
    </w:p>
    <w:p w14:paraId="23848125" w14:textId="77777777" w:rsidR="00F451B5" w:rsidRPr="00F451B5" w:rsidRDefault="00F451B5" w:rsidP="00F451B5">
      <w:pPr>
        <w:spacing w:line="276" w:lineRule="auto"/>
        <w:jc w:val="both"/>
        <w:rPr>
          <w:rFonts w:ascii="Times New Roman" w:hAnsi="Times New Roman" w:cs="Times New Roman"/>
          <w:b/>
          <w:bCs/>
          <w:i/>
          <w:iCs/>
          <w:lang w:val="es-AR"/>
        </w:rPr>
      </w:pPr>
      <w:r w:rsidRPr="00F451B5">
        <w:rPr>
          <w:rFonts w:ascii="Times New Roman" w:hAnsi="Times New Roman" w:cs="Times New Roman"/>
          <w:b/>
          <w:bCs/>
          <w:i/>
          <w:iCs/>
          <w:lang w:val="es-AR"/>
        </w:rPr>
        <w:t>2.1 Retorno y carreras científicas como procesos longitudinales</w:t>
      </w:r>
    </w:p>
    <w:p w14:paraId="1B64B6E2"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Tradicionalmente, los estudios sobre migración altamente calificada abordaron el retorno como la etapa final del proceso migratorio, privilegiando una mirada organizada en torno a la dicotomía fuga-retorno, origen/destino, irse/regresar, expatriarse/repatriarse. Desde esta perspectiva, el regreso al país de origen suele interpretarse como el cierre de la experiencia internacional y como un indicador del éxito de las políticas de repatriación. Sin embargo, los estudios sobre circulación científica y transnacionalismo han cuestionado esta lectura, mostrando que la movilidad internacional difícilmente pueda comprenderse como una secuencia lineal de salida y regreso. Esta perspectiva resulta consistente con investigaciones que muestran que las experiencias de movilidad internacional producen efectos duraderos sobre las oportunidades de inserción y el desarrollo posterior de las trayectorias académicas (Luchilo, Moreno y D'Onofrio, 2019). Por el contrario, se trata de un proceso en el que los desplazamientos, las colaboraciones y los vínculos científicos continúan desarrollándose a lo largo del tiempo.</w:t>
      </w:r>
    </w:p>
    <w:p w14:paraId="01C8B068"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Este desplazamiento supone cambiar la unidad de análisis: de los movimientos migratorios hacia las trayectorias científicas. Desde la sociología de las carreras, la migración y el retorno constituyen hitos dentro de procesos longitudinales en los que distintos acontecimientos adquieren significado en función de la trayectoria completa de los investigadores. La experiencia internacional no concluye con el regreso al país, sino que continúa incidiendo sobre la producción de conocimiento, la inserción institucional y las formas de participación en comunidades científicas.</w:t>
      </w:r>
    </w:p>
    <w:p w14:paraId="0B243105"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En este marco, el retorno deja de entenderse como un acontecimiento que debe explicarse en sí mismo para convertirse en un momento dentro de la construcción de la carrera científica. Analizar estas trayectorias implica preguntarse cómo evolucionan sus distintas dimensiones después del regreso y no únicamente por las causas o consecuencias del retorno. Esta perspectiva resulta especialmente pertinente porque, en muchos casos, el regreso ocurre durante las primeras etapas de consolidación de la carrera, cuando convergen decisiones sobre la inserción institucional, la definición de agendas de investigación y la construcción de redes de colaboración.</w:t>
      </w:r>
    </w:p>
    <w:p w14:paraId="7387D2B6" w14:textId="477279E7" w:rsid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El aporte de este trabajo consiste precisamente en desplazar el análisis desde el retorno hacia las carreras científicas de investigadores que atravesaron experiencias de movilidad internacional. Sobre esta base, el siguiente apartado recupera el esquema tripartito de Gläser y Laudel (2015) como herramienta conceptual para comprender estas trayectorias.</w:t>
      </w:r>
    </w:p>
    <w:p w14:paraId="6C1F8AF0" w14:textId="77777777" w:rsidR="00F451B5" w:rsidRDefault="00F451B5" w:rsidP="00F451B5">
      <w:pPr>
        <w:spacing w:line="276" w:lineRule="auto"/>
        <w:jc w:val="both"/>
        <w:rPr>
          <w:rFonts w:ascii="Times New Roman" w:hAnsi="Times New Roman" w:cs="Times New Roman"/>
          <w:lang w:val="es-AR"/>
        </w:rPr>
      </w:pPr>
    </w:p>
    <w:p w14:paraId="547F3B69" w14:textId="77777777" w:rsidR="0089158C" w:rsidRPr="00F451B5" w:rsidRDefault="0089158C" w:rsidP="00F451B5">
      <w:pPr>
        <w:spacing w:line="276" w:lineRule="auto"/>
        <w:jc w:val="both"/>
        <w:rPr>
          <w:rFonts w:ascii="Times New Roman" w:hAnsi="Times New Roman" w:cs="Times New Roman"/>
          <w:lang w:val="es-AR"/>
        </w:rPr>
      </w:pPr>
    </w:p>
    <w:p w14:paraId="3CAB8FE6" w14:textId="77777777" w:rsidR="00F451B5" w:rsidRPr="00F451B5" w:rsidRDefault="00F451B5" w:rsidP="00F451B5">
      <w:pPr>
        <w:spacing w:line="276" w:lineRule="auto"/>
        <w:jc w:val="both"/>
        <w:rPr>
          <w:rFonts w:ascii="Times New Roman" w:hAnsi="Times New Roman" w:cs="Times New Roman"/>
          <w:b/>
          <w:bCs/>
          <w:i/>
          <w:iCs/>
          <w:lang w:val="es-AR"/>
        </w:rPr>
      </w:pPr>
      <w:r w:rsidRPr="00F451B5">
        <w:rPr>
          <w:rFonts w:ascii="Times New Roman" w:hAnsi="Times New Roman" w:cs="Times New Roman"/>
          <w:b/>
          <w:bCs/>
          <w:i/>
          <w:iCs/>
          <w:lang w:val="es-AR"/>
        </w:rPr>
        <w:lastRenderedPageBreak/>
        <w:t>2.2 El esquema tripartito de Gläser y Laudel</w:t>
      </w:r>
    </w:p>
    <w:p w14:paraId="7CF7AF9A"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El desplazamiento analítico propuesto en este trabajo requiere un marco conceptual capaz de comprender las carreras científicas como procesos multidimensionales y longitudinales. La carrera se vincula a una ocupación compuesta por una secuencia de etapas y la ocurrencia de eventos o hitos que explican sus transiciones (Stehli y Rivero, 2025). En este sentido, el esquema tripartito desarrollado por Gläser y Laudel (2015) ofrece una herramienta particularmente útil para analizar la actividad científica más allá de las posiciones institucionales ocupadas por los investigadores o de acontecimientos específicos como la movilidad y el retorno.</w:t>
      </w:r>
    </w:p>
    <w:p w14:paraId="5DD6EE4B"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A diferencia de los enfoques que conciben la carrera científica como una sucesión de cargos o promociones, estos autores distinguen tres dimensiones que se desarrollan simultáneamente: la carrera organizativa, vinculada a la inserción institucional; la carrera comunitaria, referida a la participación y el reconocimiento dentro de la comunidad científica; y la carrera cognitiva, asociada a los procesos de producción de conocimiento y a la construcción de agendas de investigación. Aunque forman parte de una misma trayectoria, estas dimensiones no evolucionan necesariamente al mismo ritmo ni responden a los mismos condicionantes institucionales, disciplinares u organizacionales.</w:t>
      </w:r>
    </w:p>
    <w:p w14:paraId="736F39A3"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Este enfoque resulta especialmente pertinente para el estudio de investigadores retornados porque permite desplazar la atención desde el evento del retorno hacia la evolución de las distintas dimensiones de la carrera científica. Así, la carrera organizativa permite analizar las modalidades de inserción en organismos como el CONICET y las universidades; la carrera comunitaria, la continuidad y transformación de los vínculos construidos durante la experiencia internacional; y la carrera cognitiva, la evolución de las agendas, problemas y procesos de investigación desarrollados a lo largo de la trayectoria.</w:t>
      </w:r>
    </w:p>
    <w:p w14:paraId="492FF884"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El principal aporte del esquema tripartito reside en que no presupone trayectorias lineales ni evoluciones convergentes entre estas dimensiones. Por el contrario, permite analizar sus distintos ritmos de desarrollo, así como las tensiones y desacoples que pueden producirse entre ellas. Esta perspectiva resulta particularmente fértil para estudiar las carreras científicas de investigadores retornados, ya que permite comprender el retorno como un momento dentro de una trayectoria más amplia y no como un acontecimiento que, por sí mismo, explica la evolución de la carrera.</w:t>
      </w:r>
    </w:p>
    <w:p w14:paraId="505DBDEA" w14:textId="77777777" w:rsidR="00F451B5" w:rsidRPr="00F451B5" w:rsidRDefault="00F451B5" w:rsidP="00F451B5">
      <w:pPr>
        <w:spacing w:line="276" w:lineRule="auto"/>
        <w:jc w:val="both"/>
        <w:rPr>
          <w:rFonts w:ascii="Times New Roman" w:hAnsi="Times New Roman" w:cs="Times New Roman"/>
          <w:lang w:val="es-AR"/>
        </w:rPr>
      </w:pPr>
    </w:p>
    <w:p w14:paraId="374B8B4E" w14:textId="77777777" w:rsidR="00F451B5" w:rsidRPr="00F451B5" w:rsidRDefault="00F451B5" w:rsidP="00F451B5">
      <w:pPr>
        <w:spacing w:line="276" w:lineRule="auto"/>
        <w:jc w:val="both"/>
        <w:rPr>
          <w:rFonts w:ascii="Times New Roman" w:hAnsi="Times New Roman" w:cs="Times New Roman"/>
          <w:b/>
          <w:bCs/>
          <w:i/>
          <w:iCs/>
          <w:lang w:val="es-AR"/>
        </w:rPr>
      </w:pPr>
      <w:r w:rsidRPr="00F451B5">
        <w:rPr>
          <w:rFonts w:ascii="Times New Roman" w:hAnsi="Times New Roman" w:cs="Times New Roman"/>
          <w:b/>
          <w:bCs/>
          <w:i/>
          <w:iCs/>
          <w:lang w:val="es-AR"/>
        </w:rPr>
        <w:t>2.3 La naturaleza transnacional de la carrera comunitaria en investigadores retornados</w:t>
      </w:r>
    </w:p>
    <w:p w14:paraId="7CDEAFB7"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 xml:space="preserve">Entre las tres dimensiones propuestas por Gläser y Laudel (2015), la carrera comunitaria resulta especialmente relevante para el estudio de investigadores que han desarrollado </w:t>
      </w:r>
      <w:r w:rsidRPr="00F451B5">
        <w:rPr>
          <w:rFonts w:ascii="Times New Roman" w:hAnsi="Times New Roman" w:cs="Times New Roman"/>
          <w:lang w:val="es-AR"/>
        </w:rPr>
        <w:lastRenderedPageBreak/>
        <w:t>experiencias de movilidad internacional. Mientras la carrera organizativa se vincula con la inserción en instituciones de investigación, la carrera comunitaria remite a la participación y el reconocimiento dentro de comunidades científicas que trascienden las fronteras nacionales. Desde esta perspectiva, la pertenencia a una comunidad científica no depende únicamente de la institución de empleo, sino también de la participación en redes de colaboración, proyectos de investigación, publicaciones conjuntas y otros espacios de intercambio académico.</w:t>
      </w:r>
    </w:p>
    <w:p w14:paraId="798469F0"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Diversos estudios sobre movilidad científica han mostrado que estas experiencias no sólo implican desplazamientos entre instituciones o países, sino también procesos de producción y circulación de conocimientos que continúan desarrollándose mediante redes de colaboración construidas durante la experiencia internacional (Broitman Rojas y Rivero, 2022). Esta perspectiva resulta consistente con la noción de carrera comunitaria propuesta por Gläser y Laudel, en tanto pone el foco en la continuidad de los vínculos científicos más allá de la movilidad física.</w:t>
      </w:r>
    </w:p>
    <w:p w14:paraId="43610AC3"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En el caso de los investigadores retornados, esta dimensión permite analizar cómo evolucionan los vínculos científicos construidos durante la experiencia internacional. El interés no reside en determinar si esas relaciones simplemente permanecen o desaparecen, sino en comprender las distintas formas que pueden adoptar a lo largo de la trayectoria: sostenerse, ampliarse, transformarse o debilitarse. Se trata, por lo tanto, de una cuestión empírica cuya respuesta requiere reconstruir las trayectorias de los investigadores más allá del momento del retorno.</w:t>
      </w:r>
    </w:p>
    <w:p w14:paraId="37330577"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Este enfoque resulta especialmente útil porque permite distinguir la evolución de la carrera comunitaria de la de otras dimensiones de la carrera científica. Mientras la inserción organizativa depende principalmente de las oportunidades ofrecidas por el sistema científico nacional y la carrera cognitiva se desarrolla en interacción con agendas, problemas y contextos de investigación, la carrera comunitaria permite observar cómo se construyen, mantienen o redefinen las formas de participación en comunidades científicas internacionales a lo largo del tiempo.</w:t>
      </w:r>
    </w:p>
    <w:p w14:paraId="3E62560F"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Desde esta perspectiva, el retorno deja de interpretarse como el cierre de una experiencia internacional para convertirse en un momento dentro de una trayectoria cuya dimensión comunitaria continúa evolucionando. Esta lectura orienta el análisis empírico desarrollado en los apartados siguientes, donde se examinan distintas formas de colaboración internacional posteriores al retorno como expresión de la evolución de la carrera científica.</w:t>
      </w:r>
    </w:p>
    <w:p w14:paraId="5D8C5018" w14:textId="77777777" w:rsidR="00F451B5" w:rsidRDefault="00F451B5" w:rsidP="00F451B5">
      <w:pPr>
        <w:spacing w:line="276" w:lineRule="auto"/>
        <w:jc w:val="both"/>
        <w:rPr>
          <w:rFonts w:ascii="Times New Roman" w:hAnsi="Times New Roman" w:cs="Times New Roman"/>
          <w:lang w:val="es-AR"/>
        </w:rPr>
      </w:pPr>
    </w:p>
    <w:p w14:paraId="7D46D34D" w14:textId="77777777" w:rsidR="0089158C" w:rsidRPr="00F451B5" w:rsidRDefault="0089158C" w:rsidP="00F451B5">
      <w:pPr>
        <w:spacing w:line="276" w:lineRule="auto"/>
        <w:jc w:val="both"/>
        <w:rPr>
          <w:rFonts w:ascii="Times New Roman" w:hAnsi="Times New Roman" w:cs="Times New Roman"/>
          <w:lang w:val="es-AR"/>
        </w:rPr>
      </w:pPr>
    </w:p>
    <w:p w14:paraId="6AE98FF8" w14:textId="77777777" w:rsidR="00F451B5" w:rsidRPr="00F451B5" w:rsidRDefault="00F451B5" w:rsidP="00F451B5">
      <w:pPr>
        <w:spacing w:line="276" w:lineRule="auto"/>
        <w:jc w:val="both"/>
        <w:rPr>
          <w:rFonts w:ascii="Times New Roman" w:hAnsi="Times New Roman" w:cs="Times New Roman"/>
          <w:b/>
          <w:bCs/>
          <w:lang w:val="es-AR"/>
        </w:rPr>
      </w:pPr>
      <w:r w:rsidRPr="00F451B5">
        <w:rPr>
          <w:rFonts w:ascii="Times New Roman" w:hAnsi="Times New Roman" w:cs="Times New Roman"/>
          <w:b/>
          <w:bCs/>
          <w:lang w:val="es-AR"/>
        </w:rPr>
        <w:lastRenderedPageBreak/>
        <w:t>3. Metodología: Un Diseño Mixto Secuencial (Fase 1)</w:t>
      </w:r>
    </w:p>
    <w:p w14:paraId="7B7CACA7" w14:textId="60974CB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La investigación se inscribe en un diseño metodológico mixto secuencial, orientado a reconstruir las trayectorias de investigadores repatriados desde una perspectiva longitudinal. En esta ponencia se presentan los resultados correspondientes a la primera fase cuantitativa, basada en una encuesta aplicada entre junio y octubre de 2020 a investigadores repatriados mediante el Programa RAÍCES. Este programa constituye la principal política pública de repatriación científica implementada por el Estado argentino. Creado con el propósito de promover el retorno y la reinserción de científicos argentinos residentes en el exterior, combina instrumentos de apoyo económico para el regreso con mecanismos orientados a facilitar su incorporación a instituciones del sistema científico</w:t>
      </w:r>
      <w:r>
        <w:rPr>
          <w:rFonts w:ascii="Times New Roman" w:hAnsi="Times New Roman" w:cs="Times New Roman"/>
          <w:lang w:val="es-AR"/>
        </w:rPr>
        <w:t xml:space="preserve"> </w:t>
      </w:r>
      <w:r w:rsidRPr="00F451B5">
        <w:rPr>
          <w:rFonts w:ascii="Times New Roman" w:hAnsi="Times New Roman" w:cs="Times New Roman"/>
          <w:lang w:val="es-AR"/>
        </w:rPr>
        <w:t>nacional (Luchilo, 2011; Rivero y Trejo Peña, 2020). Todos los investigadores que integran la muestra retornaron al país a través de este programa, por lo que comparten una misma vía institucional de retorno, aunque presentan trayectorias científicas e inserciones posteriores heterogéneas.</w:t>
      </w:r>
    </w:p>
    <w:p w14:paraId="6E9C6F62"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El relevamiento reunió inicialmente 73 casos y, tras un proceso de depuración y eliminación de registros duplicados, quedó conformada una muestra final de 66 investigadores residentes en distintas provincias de la Argentina.</w:t>
      </w:r>
    </w:p>
    <w:p w14:paraId="35260B2C"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Se trata de una encuesta de carácter exploratorio basada en una muestra no probabilística, orientada a reconstruir distintas dimensiones de las trayectorias de movilidad internacional y retorno. El instrumento relevó información sobre la formación académica, la experiencia desarrollada en el exterior, las condiciones de repatriación, la inserción laboral posterior al retorno y la continuidad de los vínculos científicos internacionales mediante publicaciones, proyectos, estancias y redes de colaboración.</w:t>
      </w:r>
    </w:p>
    <w:p w14:paraId="5B61C76B"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El enfoque adoptado es retrospectivo, ya que las valoraciones sobre la experiencia internacional, las decisiones de retorno y las trayectorias posteriores fueron reconstruidas a partir de la situación que presentaban los investigadores al momento de responder la encuesta. En consecuencia, estas respuestas no se interpretan como un registro inmediato de las experiencias vividas, sino como reconstrucciones realizadas desde posiciones institucionales y profesionales configuradas con posterioridad al retorno. Este aspecto resulta especialmente relevante porque los procesos analizados corresponden, en su mayoría, a retornos producidos entre 2014 y 2017, lo que permite interpretar la información desde una perspectiva de trayectorias ya parcialmente consolidadas.</w:t>
      </w:r>
    </w:p>
    <w:p w14:paraId="29FBCD19"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 xml:space="preserve">Los resultados presentados constituyen la base empírica de una segunda etapa cualitativa, actualmente en desarrollo, que contempla la realización de entrevistas en profundidad con el propósito de reconstruir longitudinalmente las carreras científicas de estos investigadores. Mientras el componente cuantitativo permite identificar patrones generales de inserción y vinculación científica posteriores al retorno, la fase cualitativa </w:t>
      </w:r>
      <w:r w:rsidRPr="00F451B5">
        <w:rPr>
          <w:rFonts w:ascii="Times New Roman" w:hAnsi="Times New Roman" w:cs="Times New Roman"/>
          <w:lang w:val="es-AR"/>
        </w:rPr>
        <w:lastRenderedPageBreak/>
        <w:t>buscará comprender los procesos, decisiones y transformaciones que configuran estas trayectorias a lo largo del tiempo.</w:t>
      </w:r>
    </w:p>
    <w:p w14:paraId="3308C81F"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En coherencia con el enfoque adoptado en este trabajo, la estrategia analítica recupera el esquema tripartito de Gläser y Laudel (2015). Sin embargo, dado el alcance de la información relevada por la encuesta, esta primera aproximación se concentra principalmente en la carrera comunitaria y, de manera complementaria, en algunos aspectos de la carrera cognitiva. La dimensión organizativa será reconstruida con mayor profundidad durante la etapa cualitativa.</w:t>
      </w:r>
    </w:p>
    <w:p w14:paraId="4AC810AD"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Con este propósito se seleccionaron cuatro indicadores: i) publicaciones y coautorías con investigadores del exterior; ii) participación en proyectos internacionales de investigación; iii) realización de estancias y visitas académicas posteriores al retorno; y iv) participación en redes científicas internacionales y otras modalidades de colaboración. Estos indicadores permiten analizar distintas expresiones de la continuidad de la dimensión internacional de las carreras científicas después del regreso al país y constituyen el punto de partida para la reconstrucción longitudinal que orienta la segunda fase de la investigación.</w:t>
      </w:r>
    </w:p>
    <w:p w14:paraId="783489CC" w14:textId="77777777" w:rsidR="00F451B5" w:rsidRPr="00F451B5" w:rsidRDefault="00F451B5" w:rsidP="00F451B5">
      <w:pPr>
        <w:spacing w:line="276" w:lineRule="auto"/>
        <w:jc w:val="both"/>
        <w:rPr>
          <w:rFonts w:ascii="Times New Roman" w:hAnsi="Times New Roman" w:cs="Times New Roman"/>
          <w:lang w:val="es-AR"/>
        </w:rPr>
      </w:pPr>
    </w:p>
    <w:p w14:paraId="129745DB" w14:textId="77777777" w:rsidR="00F451B5" w:rsidRPr="00F451B5" w:rsidRDefault="00F451B5" w:rsidP="00F451B5">
      <w:pPr>
        <w:spacing w:line="276" w:lineRule="auto"/>
        <w:jc w:val="both"/>
        <w:rPr>
          <w:rFonts w:ascii="Times New Roman" w:hAnsi="Times New Roman" w:cs="Times New Roman"/>
          <w:b/>
          <w:bCs/>
          <w:lang w:val="es-AR"/>
        </w:rPr>
      </w:pPr>
      <w:r w:rsidRPr="00F451B5">
        <w:rPr>
          <w:rFonts w:ascii="Times New Roman" w:hAnsi="Times New Roman" w:cs="Times New Roman"/>
          <w:b/>
          <w:bCs/>
          <w:lang w:val="es-AR"/>
        </w:rPr>
        <w:t>4. Resultados y discusión: la continuidad de la dimensión internacional de las carreras científicas</w:t>
      </w:r>
    </w:p>
    <w:p w14:paraId="00BD89E8"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El análisis de los 66 investigadores repatriados muestra que el retorno no supone necesariamente el cierre de las relaciones científicas construidas durante la experiencia internacional. Una parte importante de los investigadores continúa desarrollando distintas formas de colaboración con colegas e instituciones del exterior mediante publicaciones, proyectos, movilidad y redes científicas. Más que describir prácticas aisladas, estos resultados permiten aproximarse a la evolución de la carrera comunitaria una vez producido el regreso al país.</w:t>
      </w:r>
    </w:p>
    <w:p w14:paraId="026044B4" w14:textId="77777777" w:rsidR="00F451B5" w:rsidRPr="00F451B5" w:rsidRDefault="00F451B5" w:rsidP="00F451B5">
      <w:pPr>
        <w:spacing w:line="276" w:lineRule="auto"/>
        <w:jc w:val="both"/>
        <w:rPr>
          <w:rFonts w:ascii="Times New Roman" w:hAnsi="Times New Roman" w:cs="Times New Roman"/>
          <w:lang w:val="es-AR"/>
        </w:rPr>
      </w:pPr>
    </w:p>
    <w:p w14:paraId="42386271" w14:textId="77777777" w:rsidR="00F451B5" w:rsidRPr="00F451B5" w:rsidRDefault="00F451B5" w:rsidP="00F451B5">
      <w:pPr>
        <w:spacing w:line="276" w:lineRule="auto"/>
        <w:jc w:val="both"/>
        <w:rPr>
          <w:rFonts w:ascii="Times New Roman" w:hAnsi="Times New Roman" w:cs="Times New Roman"/>
          <w:b/>
          <w:bCs/>
          <w:i/>
          <w:iCs/>
          <w:lang w:val="es-AR"/>
        </w:rPr>
      </w:pPr>
      <w:r w:rsidRPr="00F451B5">
        <w:rPr>
          <w:rFonts w:ascii="Times New Roman" w:hAnsi="Times New Roman" w:cs="Times New Roman"/>
          <w:b/>
          <w:bCs/>
          <w:i/>
          <w:iCs/>
          <w:lang w:val="es-AR"/>
        </w:rPr>
        <w:t>4.1. Persistencia de la dimensión transnacional de la carrera comunitaria</w:t>
      </w:r>
    </w:p>
    <w:p w14:paraId="1CBE5611"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Uno de los principales indicadores de continuidad del intercambio y la colaboración científica internacional es la producción de publicaciones conjuntas. Del total de investigadores relevados, 46 de los 66 (69,7%) registran al menos una publicación en coautoría con integrantes de su grupo de investigación del exterior después del retorno. La intensidad de esta producción presenta una marcada heterogeneidad: mientras algunos investigadores publicaron uno o dos trabajos, otros alcanzaron hasta 17 publicaciones posteriores al regreso.</w:t>
      </w:r>
    </w:p>
    <w:p w14:paraId="783AB052"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lastRenderedPageBreak/>
        <w:t>Más que el volumen de publicaciones, el aspecto relevante es su continuidad en el tiempo. El análisis exploratorio muestra que las colaboraciones internacionales no se concentran exclusivamente en los primeros años posteriores al retorno. Por el contrario, los investigadores con trayectorias más consolidadas continúan registrando publicaciones en coautoría con colegas del exterior, alcanzando un promedio de 3,9 publicaciones entre quienes presentan mayor tiempo desde el regreso, frente a 2,3 publicaciones entre quienes retornaron más recientemente. Si bien estos resultados deben interpretarse con cautela debido al reducido número de casos en algunas categorías, sugieren que las colaboraciones científicas pueden sostenerse durante varios años después del retorno y no responder únicamente a investigaciones iniciadas durante la estancia internacional.</w:t>
      </w:r>
    </w:p>
    <w:p w14:paraId="3FD1E4B6" w14:textId="77777777" w:rsidR="00F451B5" w:rsidRPr="00F451B5" w:rsidRDefault="00F451B5" w:rsidP="00F451B5">
      <w:pPr>
        <w:spacing w:line="276" w:lineRule="auto"/>
        <w:jc w:val="both"/>
        <w:rPr>
          <w:rFonts w:ascii="Times New Roman" w:hAnsi="Times New Roman" w:cs="Times New Roman"/>
          <w:lang w:val="es-AR"/>
        </w:rPr>
      </w:pPr>
    </w:p>
    <w:p w14:paraId="1998DA06" w14:textId="48D4092C" w:rsidR="00F451B5" w:rsidRPr="00F451B5" w:rsidRDefault="00F451B5" w:rsidP="00F451B5">
      <w:pPr>
        <w:spacing w:line="276" w:lineRule="auto"/>
        <w:jc w:val="center"/>
        <w:rPr>
          <w:rFonts w:ascii="Times New Roman" w:hAnsi="Times New Roman" w:cs="Times New Roman"/>
          <w:b/>
          <w:bCs/>
          <w:lang w:val="es-AR"/>
        </w:rPr>
      </w:pPr>
      <w:r w:rsidRPr="00F451B5">
        <w:rPr>
          <w:rFonts w:ascii="Times New Roman" w:hAnsi="Times New Roman" w:cs="Times New Roman"/>
          <w:b/>
          <w:bCs/>
          <w:lang w:val="es-AR"/>
        </w:rPr>
        <w:t>Tabla 1. Publicaciones internacionales posteriores al retorno según tiempo transcurrido desde el regreso</w:t>
      </w:r>
    </w:p>
    <w:tbl>
      <w:tblPr>
        <w:tblStyle w:val="Tablaconcuadrcula"/>
        <w:tblW w:w="0" w:type="auto"/>
        <w:tblLook w:val="04A0" w:firstRow="1" w:lastRow="0" w:firstColumn="1" w:lastColumn="0" w:noHBand="0" w:noVBand="1"/>
      </w:tblPr>
      <w:tblGrid>
        <w:gridCol w:w="2547"/>
        <w:gridCol w:w="1559"/>
        <w:gridCol w:w="2552"/>
        <w:gridCol w:w="1836"/>
      </w:tblGrid>
      <w:tr w:rsidR="00F451B5" w:rsidRPr="00F451B5" w14:paraId="5B578D8D" w14:textId="77777777" w:rsidTr="00F451B5">
        <w:tc>
          <w:tcPr>
            <w:tcW w:w="2547" w:type="dxa"/>
            <w:tcBorders>
              <w:top w:val="single" w:sz="4" w:space="0" w:color="auto"/>
              <w:left w:val="single" w:sz="4" w:space="0" w:color="auto"/>
              <w:bottom w:val="single" w:sz="4" w:space="0" w:color="auto"/>
              <w:right w:val="single" w:sz="4" w:space="0" w:color="auto"/>
            </w:tcBorders>
            <w:hideMark/>
          </w:tcPr>
          <w:p w14:paraId="17F0E223" w14:textId="77777777" w:rsidR="00F451B5" w:rsidRPr="00F451B5" w:rsidRDefault="00F451B5" w:rsidP="00F451B5">
            <w:pPr>
              <w:spacing w:after="160"/>
              <w:rPr>
                <w:rFonts w:ascii="Times New Roman" w:hAnsi="Times New Roman" w:cs="Times New Roman"/>
                <w:b/>
                <w:bCs/>
                <w:sz w:val="22"/>
                <w:szCs w:val="22"/>
                <w:lang w:val="es-AR"/>
              </w:rPr>
            </w:pPr>
            <w:r w:rsidRPr="00F451B5">
              <w:rPr>
                <w:rFonts w:ascii="Times New Roman" w:hAnsi="Times New Roman" w:cs="Times New Roman"/>
                <w:b/>
                <w:bCs/>
                <w:sz w:val="22"/>
                <w:szCs w:val="22"/>
                <w:lang w:val="es-AR"/>
              </w:rPr>
              <w:t>Tiempo desde el retorno</w:t>
            </w:r>
          </w:p>
        </w:tc>
        <w:tc>
          <w:tcPr>
            <w:tcW w:w="1559" w:type="dxa"/>
            <w:tcBorders>
              <w:top w:val="single" w:sz="4" w:space="0" w:color="auto"/>
              <w:left w:val="single" w:sz="4" w:space="0" w:color="auto"/>
              <w:bottom w:val="single" w:sz="4" w:space="0" w:color="auto"/>
              <w:right w:val="single" w:sz="4" w:space="0" w:color="auto"/>
            </w:tcBorders>
            <w:hideMark/>
          </w:tcPr>
          <w:p w14:paraId="0F2016E9" w14:textId="77777777" w:rsidR="00F451B5" w:rsidRPr="00F451B5" w:rsidRDefault="00F451B5" w:rsidP="00F451B5">
            <w:pPr>
              <w:spacing w:after="160"/>
              <w:rPr>
                <w:rFonts w:ascii="Times New Roman" w:hAnsi="Times New Roman" w:cs="Times New Roman"/>
                <w:b/>
                <w:bCs/>
                <w:sz w:val="22"/>
                <w:szCs w:val="22"/>
                <w:lang w:val="es-AR"/>
              </w:rPr>
            </w:pPr>
            <w:r w:rsidRPr="00F451B5">
              <w:rPr>
                <w:rFonts w:ascii="Times New Roman" w:hAnsi="Times New Roman" w:cs="Times New Roman"/>
                <w:b/>
                <w:bCs/>
                <w:sz w:val="22"/>
                <w:szCs w:val="22"/>
                <w:lang w:val="es-AR"/>
              </w:rPr>
              <w:t>Casos (N)</w:t>
            </w:r>
          </w:p>
        </w:tc>
        <w:tc>
          <w:tcPr>
            <w:tcW w:w="2552" w:type="dxa"/>
            <w:tcBorders>
              <w:top w:val="single" w:sz="4" w:space="0" w:color="auto"/>
              <w:left w:val="single" w:sz="4" w:space="0" w:color="auto"/>
              <w:bottom w:val="single" w:sz="4" w:space="0" w:color="auto"/>
              <w:right w:val="single" w:sz="4" w:space="0" w:color="auto"/>
            </w:tcBorders>
            <w:hideMark/>
          </w:tcPr>
          <w:p w14:paraId="5D1B92FA" w14:textId="77777777" w:rsidR="00F451B5" w:rsidRPr="00F451B5" w:rsidRDefault="00F451B5" w:rsidP="00F451B5">
            <w:pPr>
              <w:spacing w:after="160"/>
              <w:rPr>
                <w:rFonts w:ascii="Times New Roman" w:hAnsi="Times New Roman" w:cs="Times New Roman"/>
                <w:b/>
                <w:bCs/>
                <w:sz w:val="22"/>
                <w:szCs w:val="22"/>
                <w:lang w:val="es-AR"/>
              </w:rPr>
            </w:pPr>
            <w:r w:rsidRPr="00F451B5">
              <w:rPr>
                <w:rFonts w:ascii="Times New Roman" w:hAnsi="Times New Roman" w:cs="Times New Roman"/>
                <w:b/>
                <w:bCs/>
                <w:sz w:val="22"/>
                <w:szCs w:val="22"/>
                <w:lang w:val="es-AR"/>
              </w:rPr>
              <w:t>Promedio de publicaciones post-retorno</w:t>
            </w:r>
          </w:p>
        </w:tc>
        <w:tc>
          <w:tcPr>
            <w:tcW w:w="1836" w:type="dxa"/>
            <w:tcBorders>
              <w:top w:val="single" w:sz="4" w:space="0" w:color="auto"/>
              <w:left w:val="single" w:sz="4" w:space="0" w:color="auto"/>
              <w:bottom w:val="single" w:sz="4" w:space="0" w:color="auto"/>
              <w:right w:val="single" w:sz="4" w:space="0" w:color="auto"/>
            </w:tcBorders>
            <w:hideMark/>
          </w:tcPr>
          <w:p w14:paraId="05E272B7" w14:textId="77777777" w:rsidR="00F451B5" w:rsidRPr="00F451B5" w:rsidRDefault="00F451B5" w:rsidP="00F451B5">
            <w:pPr>
              <w:spacing w:after="160"/>
              <w:rPr>
                <w:rFonts w:ascii="Times New Roman" w:hAnsi="Times New Roman" w:cs="Times New Roman"/>
                <w:b/>
                <w:bCs/>
                <w:sz w:val="22"/>
                <w:szCs w:val="22"/>
                <w:lang w:val="es-AR"/>
              </w:rPr>
            </w:pPr>
            <w:r w:rsidRPr="00F451B5">
              <w:rPr>
                <w:rFonts w:ascii="Times New Roman" w:hAnsi="Times New Roman" w:cs="Times New Roman"/>
                <w:b/>
                <w:bCs/>
                <w:sz w:val="22"/>
                <w:szCs w:val="22"/>
                <w:lang w:val="es-AR"/>
              </w:rPr>
              <w:t>Máximo registrado</w:t>
            </w:r>
          </w:p>
        </w:tc>
      </w:tr>
      <w:tr w:rsidR="00F451B5" w:rsidRPr="00F451B5" w14:paraId="43692455" w14:textId="77777777" w:rsidTr="00F451B5">
        <w:tc>
          <w:tcPr>
            <w:tcW w:w="2547" w:type="dxa"/>
            <w:tcBorders>
              <w:top w:val="single" w:sz="4" w:space="0" w:color="auto"/>
              <w:left w:val="single" w:sz="4" w:space="0" w:color="auto"/>
              <w:bottom w:val="single" w:sz="4" w:space="0" w:color="auto"/>
              <w:right w:val="single" w:sz="4" w:space="0" w:color="auto"/>
            </w:tcBorders>
            <w:hideMark/>
          </w:tcPr>
          <w:p w14:paraId="48DE4778"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Reciente</w:t>
            </w:r>
          </w:p>
        </w:tc>
        <w:tc>
          <w:tcPr>
            <w:tcW w:w="1559" w:type="dxa"/>
            <w:tcBorders>
              <w:top w:val="single" w:sz="4" w:space="0" w:color="auto"/>
              <w:left w:val="single" w:sz="4" w:space="0" w:color="auto"/>
              <w:bottom w:val="single" w:sz="4" w:space="0" w:color="auto"/>
              <w:right w:val="single" w:sz="4" w:space="0" w:color="auto"/>
            </w:tcBorders>
            <w:hideMark/>
          </w:tcPr>
          <w:p w14:paraId="126899FE"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16</w:t>
            </w:r>
          </w:p>
        </w:tc>
        <w:tc>
          <w:tcPr>
            <w:tcW w:w="2552" w:type="dxa"/>
            <w:tcBorders>
              <w:top w:val="single" w:sz="4" w:space="0" w:color="auto"/>
              <w:left w:val="single" w:sz="4" w:space="0" w:color="auto"/>
              <w:bottom w:val="single" w:sz="4" w:space="0" w:color="auto"/>
              <w:right w:val="single" w:sz="4" w:space="0" w:color="auto"/>
            </w:tcBorders>
            <w:hideMark/>
          </w:tcPr>
          <w:p w14:paraId="51E85F1E"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2,3</w:t>
            </w:r>
          </w:p>
        </w:tc>
        <w:tc>
          <w:tcPr>
            <w:tcW w:w="1836" w:type="dxa"/>
            <w:tcBorders>
              <w:top w:val="single" w:sz="4" w:space="0" w:color="auto"/>
              <w:left w:val="single" w:sz="4" w:space="0" w:color="auto"/>
              <w:bottom w:val="single" w:sz="4" w:space="0" w:color="auto"/>
              <w:right w:val="single" w:sz="4" w:space="0" w:color="auto"/>
            </w:tcBorders>
            <w:hideMark/>
          </w:tcPr>
          <w:p w14:paraId="5A95E46E"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10</w:t>
            </w:r>
          </w:p>
        </w:tc>
      </w:tr>
      <w:tr w:rsidR="00F451B5" w:rsidRPr="00F451B5" w14:paraId="51971FC5" w14:textId="77777777" w:rsidTr="00F451B5">
        <w:tc>
          <w:tcPr>
            <w:tcW w:w="2547" w:type="dxa"/>
            <w:tcBorders>
              <w:top w:val="single" w:sz="4" w:space="0" w:color="auto"/>
              <w:left w:val="single" w:sz="4" w:space="0" w:color="auto"/>
              <w:bottom w:val="single" w:sz="4" w:space="0" w:color="auto"/>
              <w:right w:val="single" w:sz="4" w:space="0" w:color="auto"/>
            </w:tcBorders>
            <w:hideMark/>
          </w:tcPr>
          <w:p w14:paraId="33A39896"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Intermedio</w:t>
            </w:r>
          </w:p>
        </w:tc>
        <w:tc>
          <w:tcPr>
            <w:tcW w:w="1559" w:type="dxa"/>
            <w:tcBorders>
              <w:top w:val="single" w:sz="4" w:space="0" w:color="auto"/>
              <w:left w:val="single" w:sz="4" w:space="0" w:color="auto"/>
              <w:bottom w:val="single" w:sz="4" w:space="0" w:color="auto"/>
              <w:right w:val="single" w:sz="4" w:space="0" w:color="auto"/>
            </w:tcBorders>
            <w:hideMark/>
          </w:tcPr>
          <w:p w14:paraId="262185D0"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30</w:t>
            </w:r>
          </w:p>
        </w:tc>
        <w:tc>
          <w:tcPr>
            <w:tcW w:w="2552" w:type="dxa"/>
            <w:tcBorders>
              <w:top w:val="single" w:sz="4" w:space="0" w:color="auto"/>
              <w:left w:val="single" w:sz="4" w:space="0" w:color="auto"/>
              <w:bottom w:val="single" w:sz="4" w:space="0" w:color="auto"/>
              <w:right w:val="single" w:sz="4" w:space="0" w:color="auto"/>
            </w:tcBorders>
            <w:hideMark/>
          </w:tcPr>
          <w:p w14:paraId="6F1755CD"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3,1</w:t>
            </w:r>
          </w:p>
        </w:tc>
        <w:tc>
          <w:tcPr>
            <w:tcW w:w="1836" w:type="dxa"/>
            <w:tcBorders>
              <w:top w:val="single" w:sz="4" w:space="0" w:color="auto"/>
              <w:left w:val="single" w:sz="4" w:space="0" w:color="auto"/>
              <w:bottom w:val="single" w:sz="4" w:space="0" w:color="auto"/>
              <w:right w:val="single" w:sz="4" w:space="0" w:color="auto"/>
            </w:tcBorders>
            <w:hideMark/>
          </w:tcPr>
          <w:p w14:paraId="6D43801F"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17</w:t>
            </w:r>
          </w:p>
        </w:tc>
      </w:tr>
      <w:tr w:rsidR="00F451B5" w:rsidRPr="00F451B5" w14:paraId="1BF402A8" w14:textId="77777777" w:rsidTr="00F451B5">
        <w:tc>
          <w:tcPr>
            <w:tcW w:w="2547" w:type="dxa"/>
            <w:tcBorders>
              <w:top w:val="single" w:sz="4" w:space="0" w:color="auto"/>
              <w:left w:val="single" w:sz="4" w:space="0" w:color="auto"/>
              <w:bottom w:val="single" w:sz="4" w:space="0" w:color="auto"/>
              <w:right w:val="single" w:sz="4" w:space="0" w:color="auto"/>
            </w:tcBorders>
            <w:hideMark/>
          </w:tcPr>
          <w:p w14:paraId="2DAAA1CF"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Consolidado</w:t>
            </w:r>
          </w:p>
        </w:tc>
        <w:tc>
          <w:tcPr>
            <w:tcW w:w="1559" w:type="dxa"/>
            <w:tcBorders>
              <w:top w:val="single" w:sz="4" w:space="0" w:color="auto"/>
              <w:left w:val="single" w:sz="4" w:space="0" w:color="auto"/>
              <w:bottom w:val="single" w:sz="4" w:space="0" w:color="auto"/>
              <w:right w:val="single" w:sz="4" w:space="0" w:color="auto"/>
            </w:tcBorders>
            <w:hideMark/>
          </w:tcPr>
          <w:p w14:paraId="060E427E"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17</w:t>
            </w:r>
          </w:p>
        </w:tc>
        <w:tc>
          <w:tcPr>
            <w:tcW w:w="2552" w:type="dxa"/>
            <w:tcBorders>
              <w:top w:val="single" w:sz="4" w:space="0" w:color="auto"/>
              <w:left w:val="single" w:sz="4" w:space="0" w:color="auto"/>
              <w:bottom w:val="single" w:sz="4" w:space="0" w:color="auto"/>
              <w:right w:val="single" w:sz="4" w:space="0" w:color="auto"/>
            </w:tcBorders>
            <w:hideMark/>
          </w:tcPr>
          <w:p w14:paraId="6C198967"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3,9</w:t>
            </w:r>
          </w:p>
        </w:tc>
        <w:tc>
          <w:tcPr>
            <w:tcW w:w="1836" w:type="dxa"/>
            <w:tcBorders>
              <w:top w:val="single" w:sz="4" w:space="0" w:color="auto"/>
              <w:left w:val="single" w:sz="4" w:space="0" w:color="auto"/>
              <w:bottom w:val="single" w:sz="4" w:space="0" w:color="auto"/>
              <w:right w:val="single" w:sz="4" w:space="0" w:color="auto"/>
            </w:tcBorders>
            <w:hideMark/>
          </w:tcPr>
          <w:p w14:paraId="2AB92603"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10</w:t>
            </w:r>
          </w:p>
        </w:tc>
      </w:tr>
      <w:tr w:rsidR="00F451B5" w:rsidRPr="00F451B5" w14:paraId="0ABD678C" w14:textId="77777777" w:rsidTr="00F451B5">
        <w:tc>
          <w:tcPr>
            <w:tcW w:w="2547" w:type="dxa"/>
            <w:tcBorders>
              <w:top w:val="single" w:sz="4" w:space="0" w:color="auto"/>
              <w:left w:val="single" w:sz="4" w:space="0" w:color="auto"/>
              <w:bottom w:val="single" w:sz="4" w:space="0" w:color="auto"/>
              <w:right w:val="single" w:sz="4" w:space="0" w:color="auto"/>
            </w:tcBorders>
            <w:hideMark/>
          </w:tcPr>
          <w:p w14:paraId="7B169808"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Antiguo</w:t>
            </w:r>
          </w:p>
        </w:tc>
        <w:tc>
          <w:tcPr>
            <w:tcW w:w="1559" w:type="dxa"/>
            <w:tcBorders>
              <w:top w:val="single" w:sz="4" w:space="0" w:color="auto"/>
              <w:left w:val="single" w:sz="4" w:space="0" w:color="auto"/>
              <w:bottom w:val="single" w:sz="4" w:space="0" w:color="auto"/>
              <w:right w:val="single" w:sz="4" w:space="0" w:color="auto"/>
            </w:tcBorders>
            <w:hideMark/>
          </w:tcPr>
          <w:p w14:paraId="2CD3632B"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3</w:t>
            </w:r>
          </w:p>
        </w:tc>
        <w:tc>
          <w:tcPr>
            <w:tcW w:w="2552" w:type="dxa"/>
            <w:tcBorders>
              <w:top w:val="single" w:sz="4" w:space="0" w:color="auto"/>
              <w:left w:val="single" w:sz="4" w:space="0" w:color="auto"/>
              <w:bottom w:val="single" w:sz="4" w:space="0" w:color="auto"/>
              <w:right w:val="single" w:sz="4" w:space="0" w:color="auto"/>
            </w:tcBorders>
            <w:hideMark/>
          </w:tcPr>
          <w:p w14:paraId="449030A1"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2,0</w:t>
            </w:r>
          </w:p>
        </w:tc>
        <w:tc>
          <w:tcPr>
            <w:tcW w:w="1836" w:type="dxa"/>
            <w:tcBorders>
              <w:top w:val="single" w:sz="4" w:space="0" w:color="auto"/>
              <w:left w:val="single" w:sz="4" w:space="0" w:color="auto"/>
              <w:bottom w:val="single" w:sz="4" w:space="0" w:color="auto"/>
              <w:right w:val="single" w:sz="4" w:space="0" w:color="auto"/>
            </w:tcBorders>
            <w:hideMark/>
          </w:tcPr>
          <w:p w14:paraId="6AA65951"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4</w:t>
            </w:r>
          </w:p>
        </w:tc>
      </w:tr>
    </w:tbl>
    <w:p w14:paraId="150FD137"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i/>
          <w:iCs/>
          <w:lang w:val="es-AR"/>
        </w:rPr>
        <w:t>Fuente: elaboración propia sobre encuesta a investigadores repatriados (n=66).</w:t>
      </w:r>
    </w:p>
    <w:p w14:paraId="1AD9F084" w14:textId="77777777" w:rsidR="00F451B5" w:rsidRPr="00F451B5" w:rsidRDefault="00F451B5" w:rsidP="00F451B5">
      <w:pPr>
        <w:spacing w:line="276" w:lineRule="auto"/>
        <w:jc w:val="both"/>
        <w:rPr>
          <w:rFonts w:ascii="Times New Roman" w:hAnsi="Times New Roman" w:cs="Times New Roman"/>
          <w:lang w:val="es-AR"/>
        </w:rPr>
      </w:pPr>
    </w:p>
    <w:p w14:paraId="56B54763"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Las publicaciones posteriores al retorno no sólo representan productos de investigación, sino también la continuidad de vínculos científicos construidos durante la movilidad internacional. Más que evidenciar una simple prolongación de investigaciones iniciadas durante la estancia en el exterior, los datos sugieren que esas relaciones continúan formando parte de las trayectorias profesionales una vez producida la reinserción institucional en Argentina.</w:t>
      </w:r>
    </w:p>
    <w:p w14:paraId="733EBF24"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 xml:space="preserve">Desde el esquema tripartito de Gläser y Laudel (2015), estas coautorías expresan simultáneamente la carrera cognitiva, al materializar procesos de producción de conocimiento, y la carrera comunitaria, al sostener la participación de los investigadores en comunidades científicas internacionales. La heterogeneidad observada entre los casos sugiere, además, que estas dimensiones no evolucionan de manera uniforme. Precisamente, la segunda fase cualitativa permitirá reconstruir cómo estas colaboraciones </w:t>
      </w:r>
      <w:r w:rsidRPr="00F451B5">
        <w:rPr>
          <w:rFonts w:ascii="Times New Roman" w:hAnsi="Times New Roman" w:cs="Times New Roman"/>
          <w:lang w:val="es-AR"/>
        </w:rPr>
        <w:lastRenderedPageBreak/>
        <w:t>se sostienen, se transforman o se debilitan con el paso del tiempo, incorporando la perspectiva longitudinal que estructura esta investigación.</w:t>
      </w:r>
    </w:p>
    <w:p w14:paraId="4937CFC6" w14:textId="77777777" w:rsidR="00F451B5" w:rsidRPr="00F451B5" w:rsidRDefault="00F451B5" w:rsidP="00F451B5">
      <w:pPr>
        <w:spacing w:line="276" w:lineRule="auto"/>
        <w:jc w:val="both"/>
        <w:rPr>
          <w:rFonts w:ascii="Times New Roman" w:hAnsi="Times New Roman" w:cs="Times New Roman"/>
          <w:lang w:val="es-AR"/>
        </w:rPr>
      </w:pPr>
    </w:p>
    <w:p w14:paraId="7D2AB6F8" w14:textId="77777777" w:rsidR="00F451B5" w:rsidRPr="00F451B5" w:rsidRDefault="00F451B5" w:rsidP="00F451B5">
      <w:pPr>
        <w:spacing w:line="276" w:lineRule="auto"/>
        <w:jc w:val="both"/>
        <w:rPr>
          <w:rFonts w:ascii="Times New Roman" w:hAnsi="Times New Roman" w:cs="Times New Roman"/>
          <w:b/>
          <w:bCs/>
          <w:i/>
          <w:iCs/>
          <w:lang w:val="es-AR"/>
        </w:rPr>
      </w:pPr>
      <w:r w:rsidRPr="00F451B5">
        <w:rPr>
          <w:rFonts w:ascii="Times New Roman" w:hAnsi="Times New Roman" w:cs="Times New Roman"/>
          <w:b/>
          <w:bCs/>
          <w:i/>
          <w:iCs/>
          <w:lang w:val="es-AR"/>
        </w:rPr>
        <w:t>4.2. Diversificación de las formas de colaboración científica después del retorno</w:t>
      </w:r>
    </w:p>
    <w:p w14:paraId="042A2354"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La continuidad de la dimensión internacional de la carrera científica no se expresa mediante un único mecanismo. Los datos muestran que las formas de colaboración internacional posteriores al retorno combinan distintas modalidades de participación en comunidades científicas, que incluyen la producción conjunta de conocimiento, el desarrollo de proyectos de investigación y la continuidad de la movilidad académica.</w:t>
      </w:r>
    </w:p>
    <w:p w14:paraId="31250D75" w14:textId="77777777" w:rsidR="00F451B5" w:rsidRPr="00F451B5" w:rsidRDefault="00F451B5" w:rsidP="00F451B5">
      <w:pPr>
        <w:spacing w:line="276" w:lineRule="auto"/>
        <w:jc w:val="both"/>
        <w:rPr>
          <w:rFonts w:ascii="Times New Roman" w:hAnsi="Times New Roman" w:cs="Times New Roman"/>
          <w:lang w:val="es-AR"/>
        </w:rPr>
      </w:pPr>
    </w:p>
    <w:p w14:paraId="18C7CE85" w14:textId="0970B029" w:rsidR="00F451B5" w:rsidRPr="00F451B5" w:rsidRDefault="00F451B5" w:rsidP="00F451B5">
      <w:pPr>
        <w:spacing w:line="276" w:lineRule="auto"/>
        <w:jc w:val="both"/>
        <w:rPr>
          <w:rFonts w:ascii="Times New Roman" w:hAnsi="Times New Roman" w:cs="Times New Roman"/>
          <w:b/>
          <w:bCs/>
          <w:lang w:val="es-AR"/>
        </w:rPr>
      </w:pPr>
      <w:r w:rsidRPr="00F451B5">
        <w:rPr>
          <w:rFonts w:ascii="Times New Roman" w:hAnsi="Times New Roman" w:cs="Times New Roman"/>
          <w:b/>
          <w:bCs/>
          <w:lang w:val="es-AR"/>
        </w:rPr>
        <w:t>Tabla 2. Modalidades de continuidad de la carrera comunitaria después del retorno</w:t>
      </w:r>
    </w:p>
    <w:tbl>
      <w:tblPr>
        <w:tblStyle w:val="Tablaconcuadrcula"/>
        <w:tblW w:w="8500" w:type="dxa"/>
        <w:tblLook w:val="04A0" w:firstRow="1" w:lastRow="0" w:firstColumn="1" w:lastColumn="0" w:noHBand="0" w:noVBand="1"/>
      </w:tblPr>
      <w:tblGrid>
        <w:gridCol w:w="4802"/>
        <w:gridCol w:w="1856"/>
        <w:gridCol w:w="1842"/>
      </w:tblGrid>
      <w:tr w:rsidR="00F451B5" w:rsidRPr="00F451B5" w14:paraId="4FB9D65D" w14:textId="77777777">
        <w:tc>
          <w:tcPr>
            <w:tcW w:w="4802" w:type="dxa"/>
            <w:tcBorders>
              <w:top w:val="single" w:sz="4" w:space="0" w:color="auto"/>
              <w:left w:val="single" w:sz="4" w:space="0" w:color="auto"/>
              <w:bottom w:val="single" w:sz="4" w:space="0" w:color="auto"/>
              <w:right w:val="single" w:sz="4" w:space="0" w:color="auto"/>
            </w:tcBorders>
            <w:hideMark/>
          </w:tcPr>
          <w:p w14:paraId="444A704D" w14:textId="77777777" w:rsidR="00F451B5" w:rsidRPr="00F451B5" w:rsidRDefault="00F451B5" w:rsidP="00F451B5">
            <w:pPr>
              <w:spacing w:after="160"/>
              <w:jc w:val="both"/>
              <w:rPr>
                <w:rFonts w:ascii="Times New Roman" w:hAnsi="Times New Roman" w:cs="Times New Roman"/>
                <w:b/>
                <w:bCs/>
                <w:sz w:val="22"/>
                <w:szCs w:val="22"/>
                <w:lang w:val="es-AR"/>
              </w:rPr>
            </w:pPr>
            <w:r w:rsidRPr="00F451B5">
              <w:rPr>
                <w:rFonts w:ascii="Times New Roman" w:hAnsi="Times New Roman" w:cs="Times New Roman"/>
                <w:b/>
                <w:bCs/>
                <w:sz w:val="22"/>
                <w:szCs w:val="22"/>
                <w:lang w:val="es-AR"/>
              </w:rPr>
              <w:t>Indicador utilizado</w:t>
            </w:r>
          </w:p>
        </w:tc>
        <w:tc>
          <w:tcPr>
            <w:tcW w:w="1856" w:type="dxa"/>
            <w:tcBorders>
              <w:top w:val="single" w:sz="4" w:space="0" w:color="auto"/>
              <w:left w:val="single" w:sz="4" w:space="0" w:color="auto"/>
              <w:bottom w:val="single" w:sz="4" w:space="0" w:color="auto"/>
              <w:right w:val="single" w:sz="4" w:space="0" w:color="auto"/>
            </w:tcBorders>
            <w:hideMark/>
          </w:tcPr>
          <w:p w14:paraId="76C30559" w14:textId="08BAA97E" w:rsidR="00F451B5" w:rsidRPr="00F451B5" w:rsidRDefault="00F451B5" w:rsidP="00F451B5">
            <w:pPr>
              <w:spacing w:after="160"/>
              <w:jc w:val="both"/>
              <w:rPr>
                <w:rFonts w:ascii="Times New Roman" w:hAnsi="Times New Roman" w:cs="Times New Roman"/>
                <w:b/>
                <w:bCs/>
                <w:sz w:val="22"/>
                <w:szCs w:val="22"/>
                <w:lang w:val="es-AR"/>
              </w:rPr>
            </w:pPr>
            <w:r w:rsidRPr="00F451B5">
              <w:rPr>
                <w:rFonts w:ascii="Times New Roman" w:hAnsi="Times New Roman" w:cs="Times New Roman"/>
                <w:b/>
                <w:bCs/>
                <w:sz w:val="22"/>
                <w:szCs w:val="22"/>
                <w:lang w:val="es-AR"/>
              </w:rPr>
              <w:t>Casos</w:t>
            </w:r>
            <w:r w:rsidR="0089158C">
              <w:rPr>
                <w:rFonts w:ascii="Times New Roman" w:hAnsi="Times New Roman" w:cs="Times New Roman"/>
                <w:b/>
                <w:bCs/>
                <w:sz w:val="22"/>
                <w:szCs w:val="22"/>
                <w:lang w:val="es-AR"/>
              </w:rPr>
              <w:t xml:space="preserve"> (N)</w:t>
            </w:r>
          </w:p>
        </w:tc>
        <w:tc>
          <w:tcPr>
            <w:tcW w:w="1842" w:type="dxa"/>
            <w:tcBorders>
              <w:top w:val="single" w:sz="4" w:space="0" w:color="auto"/>
              <w:left w:val="single" w:sz="4" w:space="0" w:color="auto"/>
              <w:bottom w:val="single" w:sz="4" w:space="0" w:color="auto"/>
              <w:right w:val="single" w:sz="4" w:space="0" w:color="auto"/>
            </w:tcBorders>
            <w:hideMark/>
          </w:tcPr>
          <w:p w14:paraId="32B11D32" w14:textId="77777777" w:rsidR="00F451B5" w:rsidRPr="00F451B5" w:rsidRDefault="00F451B5" w:rsidP="00F451B5">
            <w:pPr>
              <w:spacing w:after="160"/>
              <w:jc w:val="both"/>
              <w:rPr>
                <w:rFonts w:ascii="Times New Roman" w:hAnsi="Times New Roman" w:cs="Times New Roman"/>
                <w:b/>
                <w:bCs/>
                <w:sz w:val="22"/>
                <w:szCs w:val="22"/>
                <w:lang w:val="es-AR"/>
              </w:rPr>
            </w:pPr>
            <w:r w:rsidRPr="00F451B5">
              <w:rPr>
                <w:rFonts w:ascii="Times New Roman" w:hAnsi="Times New Roman" w:cs="Times New Roman"/>
                <w:b/>
                <w:bCs/>
                <w:sz w:val="22"/>
                <w:szCs w:val="22"/>
                <w:lang w:val="es-AR"/>
              </w:rPr>
              <w:t>%</w:t>
            </w:r>
          </w:p>
        </w:tc>
      </w:tr>
      <w:tr w:rsidR="00F451B5" w:rsidRPr="00F451B5" w14:paraId="0C04F11F" w14:textId="77777777">
        <w:tc>
          <w:tcPr>
            <w:tcW w:w="4802" w:type="dxa"/>
            <w:tcBorders>
              <w:top w:val="single" w:sz="4" w:space="0" w:color="auto"/>
              <w:left w:val="single" w:sz="4" w:space="0" w:color="auto"/>
              <w:bottom w:val="single" w:sz="4" w:space="0" w:color="auto"/>
              <w:right w:val="single" w:sz="4" w:space="0" w:color="auto"/>
            </w:tcBorders>
            <w:hideMark/>
          </w:tcPr>
          <w:p w14:paraId="27618767"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Publicaciones en coautoría post-retorno</w:t>
            </w:r>
          </w:p>
        </w:tc>
        <w:tc>
          <w:tcPr>
            <w:tcW w:w="1856" w:type="dxa"/>
            <w:tcBorders>
              <w:top w:val="single" w:sz="4" w:space="0" w:color="auto"/>
              <w:left w:val="single" w:sz="4" w:space="0" w:color="auto"/>
              <w:bottom w:val="single" w:sz="4" w:space="0" w:color="auto"/>
              <w:right w:val="single" w:sz="4" w:space="0" w:color="auto"/>
            </w:tcBorders>
            <w:hideMark/>
          </w:tcPr>
          <w:p w14:paraId="6394372F"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46</w:t>
            </w:r>
          </w:p>
        </w:tc>
        <w:tc>
          <w:tcPr>
            <w:tcW w:w="1842" w:type="dxa"/>
            <w:tcBorders>
              <w:top w:val="single" w:sz="4" w:space="0" w:color="auto"/>
              <w:left w:val="single" w:sz="4" w:space="0" w:color="auto"/>
              <w:bottom w:val="single" w:sz="4" w:space="0" w:color="auto"/>
              <w:right w:val="single" w:sz="4" w:space="0" w:color="auto"/>
            </w:tcBorders>
            <w:hideMark/>
          </w:tcPr>
          <w:p w14:paraId="4815EBD4"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69,7</w:t>
            </w:r>
          </w:p>
        </w:tc>
      </w:tr>
      <w:tr w:rsidR="00F451B5" w:rsidRPr="00F451B5" w14:paraId="3C9BA6C3" w14:textId="77777777">
        <w:tc>
          <w:tcPr>
            <w:tcW w:w="4802" w:type="dxa"/>
            <w:tcBorders>
              <w:top w:val="single" w:sz="4" w:space="0" w:color="auto"/>
              <w:left w:val="single" w:sz="4" w:space="0" w:color="auto"/>
              <w:bottom w:val="single" w:sz="4" w:space="0" w:color="auto"/>
              <w:right w:val="single" w:sz="4" w:space="0" w:color="auto"/>
            </w:tcBorders>
            <w:hideMark/>
          </w:tcPr>
          <w:p w14:paraId="34A2E238"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Participación en proyectos internacionales</w:t>
            </w:r>
          </w:p>
        </w:tc>
        <w:tc>
          <w:tcPr>
            <w:tcW w:w="1856" w:type="dxa"/>
            <w:tcBorders>
              <w:top w:val="single" w:sz="4" w:space="0" w:color="auto"/>
              <w:left w:val="single" w:sz="4" w:space="0" w:color="auto"/>
              <w:bottom w:val="single" w:sz="4" w:space="0" w:color="auto"/>
              <w:right w:val="single" w:sz="4" w:space="0" w:color="auto"/>
            </w:tcBorders>
            <w:hideMark/>
          </w:tcPr>
          <w:p w14:paraId="67CD3B69"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40</w:t>
            </w:r>
          </w:p>
        </w:tc>
        <w:tc>
          <w:tcPr>
            <w:tcW w:w="1842" w:type="dxa"/>
            <w:tcBorders>
              <w:top w:val="single" w:sz="4" w:space="0" w:color="auto"/>
              <w:left w:val="single" w:sz="4" w:space="0" w:color="auto"/>
              <w:bottom w:val="single" w:sz="4" w:space="0" w:color="auto"/>
              <w:right w:val="single" w:sz="4" w:space="0" w:color="auto"/>
            </w:tcBorders>
            <w:hideMark/>
          </w:tcPr>
          <w:p w14:paraId="476D0668"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60,6</w:t>
            </w:r>
          </w:p>
        </w:tc>
      </w:tr>
      <w:tr w:rsidR="00F451B5" w:rsidRPr="00F451B5" w14:paraId="4BD19986" w14:textId="77777777">
        <w:tc>
          <w:tcPr>
            <w:tcW w:w="4802" w:type="dxa"/>
            <w:tcBorders>
              <w:top w:val="single" w:sz="4" w:space="0" w:color="auto"/>
              <w:left w:val="single" w:sz="4" w:space="0" w:color="auto"/>
              <w:bottom w:val="single" w:sz="4" w:space="0" w:color="auto"/>
              <w:right w:val="single" w:sz="4" w:space="0" w:color="auto"/>
            </w:tcBorders>
            <w:hideMark/>
          </w:tcPr>
          <w:p w14:paraId="3A595EA8"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Nuevas estancias post-retorno</w:t>
            </w:r>
          </w:p>
        </w:tc>
        <w:tc>
          <w:tcPr>
            <w:tcW w:w="1856" w:type="dxa"/>
            <w:tcBorders>
              <w:top w:val="single" w:sz="4" w:space="0" w:color="auto"/>
              <w:left w:val="single" w:sz="4" w:space="0" w:color="auto"/>
              <w:bottom w:val="single" w:sz="4" w:space="0" w:color="auto"/>
              <w:right w:val="single" w:sz="4" w:space="0" w:color="auto"/>
            </w:tcBorders>
            <w:hideMark/>
          </w:tcPr>
          <w:p w14:paraId="11912861"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25</w:t>
            </w:r>
          </w:p>
        </w:tc>
        <w:tc>
          <w:tcPr>
            <w:tcW w:w="1842" w:type="dxa"/>
            <w:tcBorders>
              <w:top w:val="single" w:sz="4" w:space="0" w:color="auto"/>
              <w:left w:val="single" w:sz="4" w:space="0" w:color="auto"/>
              <w:bottom w:val="single" w:sz="4" w:space="0" w:color="auto"/>
              <w:right w:val="single" w:sz="4" w:space="0" w:color="auto"/>
            </w:tcBorders>
            <w:hideMark/>
          </w:tcPr>
          <w:p w14:paraId="08C6C072" w14:textId="77777777" w:rsidR="00F451B5" w:rsidRPr="00F451B5" w:rsidRDefault="00F451B5" w:rsidP="00F451B5">
            <w:pPr>
              <w:spacing w:after="160"/>
              <w:jc w:val="both"/>
              <w:rPr>
                <w:rFonts w:ascii="Times New Roman" w:hAnsi="Times New Roman" w:cs="Times New Roman"/>
                <w:sz w:val="22"/>
                <w:szCs w:val="22"/>
                <w:lang w:val="es-AR"/>
              </w:rPr>
            </w:pPr>
            <w:r w:rsidRPr="00F451B5">
              <w:rPr>
                <w:rFonts w:ascii="Times New Roman" w:hAnsi="Times New Roman" w:cs="Times New Roman"/>
                <w:sz w:val="22"/>
                <w:szCs w:val="22"/>
                <w:lang w:val="es-AR"/>
              </w:rPr>
              <w:t>37,9</w:t>
            </w:r>
          </w:p>
        </w:tc>
      </w:tr>
    </w:tbl>
    <w:p w14:paraId="46952F9E"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i/>
          <w:iCs/>
          <w:lang w:val="es-AR"/>
        </w:rPr>
        <w:t>Fuente: elaboración propia sobre encuesta a investigadores repatriados (n=66).</w:t>
      </w:r>
    </w:p>
    <w:p w14:paraId="64509511" w14:textId="77777777" w:rsidR="00F451B5" w:rsidRPr="00F451B5" w:rsidRDefault="00F451B5" w:rsidP="00F451B5">
      <w:pPr>
        <w:spacing w:line="276" w:lineRule="auto"/>
        <w:jc w:val="both"/>
        <w:rPr>
          <w:rFonts w:ascii="Times New Roman" w:hAnsi="Times New Roman" w:cs="Times New Roman"/>
          <w:lang w:val="es-AR"/>
        </w:rPr>
      </w:pPr>
    </w:p>
    <w:p w14:paraId="26852551"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La evidencia muestra que la forma más extendida de continuidad internacional corresponde a las publicaciones en coautoría (69,7%), seguida por la participación en proyectos de investigación (60,6%). En cambio, la realización de nuevas estancias internacionales alcanza al 37,9% de los investigadores relevados. Esta diferencia sugiere que la colaboración científica puede sostenerse aun cuando la movilidad física disminuye. Una vez producido el retorno, las relaciones internacionales parecen mantenerse principalmente a través de proyectos y publicaciones, más que mediante nuevos desplazamientos al exterior.</w:t>
      </w:r>
    </w:p>
    <w:p w14:paraId="48F6D00A"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La movilidad posterior aporta, sin embargo, un matiz adicional. Entre quienes realizaron nuevas estancias internacionales, 12 investigadores (18,2%) regresaron a las mismas instituciones donde habían desarrollado su experiencia previa, mientras que 13 (19,7%) establecieron vínculos con nuevas instituciones o países. Este resultado muestra que las trayectorias posteriores al retorno no siguen un único patrón. Algunos investigadores prolongan las relaciones construidas durante la experiencia internacional, mientras que otros amplían sus redes de colaboración incorporando nuevos grupos e instituciones.</w:t>
      </w:r>
    </w:p>
    <w:p w14:paraId="448DD9FB" w14:textId="77777777" w:rsidR="00F451B5" w:rsidRPr="00F451B5" w:rsidRDefault="00F451B5" w:rsidP="00F451B5">
      <w:pPr>
        <w:spacing w:line="276" w:lineRule="auto"/>
        <w:jc w:val="both"/>
        <w:rPr>
          <w:rFonts w:ascii="Times New Roman" w:hAnsi="Times New Roman" w:cs="Times New Roman"/>
          <w:lang w:val="es-AR"/>
        </w:rPr>
      </w:pPr>
    </w:p>
    <w:p w14:paraId="6AEC9304" w14:textId="4CE7A585" w:rsidR="00F451B5" w:rsidRPr="00F451B5" w:rsidRDefault="00F451B5" w:rsidP="00F451B5">
      <w:pPr>
        <w:spacing w:line="276" w:lineRule="auto"/>
        <w:jc w:val="center"/>
        <w:rPr>
          <w:rFonts w:ascii="Times New Roman" w:hAnsi="Times New Roman" w:cs="Times New Roman"/>
          <w:b/>
          <w:bCs/>
          <w:lang w:val="es-AR"/>
        </w:rPr>
      </w:pPr>
      <w:r w:rsidRPr="00F451B5">
        <w:rPr>
          <w:rFonts w:ascii="Times New Roman" w:hAnsi="Times New Roman" w:cs="Times New Roman"/>
          <w:b/>
          <w:bCs/>
          <w:lang w:val="es-AR"/>
        </w:rPr>
        <w:lastRenderedPageBreak/>
        <w:t>Tabla 3. Lectura analítica de la continuidad de la carrera comunitaria después del retorno</w:t>
      </w:r>
    </w:p>
    <w:tbl>
      <w:tblPr>
        <w:tblStyle w:val="Tablaconcuadrcula"/>
        <w:tblW w:w="0" w:type="auto"/>
        <w:tblLook w:val="04A0" w:firstRow="1" w:lastRow="0" w:firstColumn="1" w:lastColumn="0" w:noHBand="0" w:noVBand="1"/>
      </w:tblPr>
      <w:tblGrid>
        <w:gridCol w:w="3256"/>
        <w:gridCol w:w="5238"/>
      </w:tblGrid>
      <w:tr w:rsidR="00F451B5" w:rsidRPr="00F451B5" w14:paraId="796E09AA" w14:textId="77777777">
        <w:tc>
          <w:tcPr>
            <w:tcW w:w="3256" w:type="dxa"/>
            <w:tcBorders>
              <w:top w:val="single" w:sz="4" w:space="0" w:color="auto"/>
              <w:left w:val="single" w:sz="4" w:space="0" w:color="auto"/>
              <w:bottom w:val="single" w:sz="4" w:space="0" w:color="auto"/>
              <w:right w:val="single" w:sz="4" w:space="0" w:color="auto"/>
            </w:tcBorders>
            <w:hideMark/>
          </w:tcPr>
          <w:p w14:paraId="10D0FBF0" w14:textId="77777777" w:rsidR="00F451B5" w:rsidRPr="00F451B5" w:rsidRDefault="00F451B5" w:rsidP="00F451B5">
            <w:pPr>
              <w:spacing w:after="160"/>
              <w:jc w:val="both"/>
              <w:rPr>
                <w:rFonts w:ascii="Times New Roman" w:hAnsi="Times New Roman" w:cs="Times New Roman"/>
                <w:b/>
                <w:bCs/>
                <w:sz w:val="22"/>
                <w:szCs w:val="22"/>
                <w:lang w:val="es-AR"/>
              </w:rPr>
            </w:pPr>
            <w:r w:rsidRPr="00F451B5">
              <w:rPr>
                <w:rFonts w:ascii="Times New Roman" w:hAnsi="Times New Roman" w:cs="Times New Roman"/>
                <w:b/>
                <w:bCs/>
                <w:sz w:val="22"/>
                <w:szCs w:val="22"/>
                <w:lang w:val="es-AR"/>
              </w:rPr>
              <w:t>Evidencia empírica</w:t>
            </w:r>
          </w:p>
        </w:tc>
        <w:tc>
          <w:tcPr>
            <w:tcW w:w="5238" w:type="dxa"/>
            <w:tcBorders>
              <w:top w:val="single" w:sz="4" w:space="0" w:color="auto"/>
              <w:left w:val="single" w:sz="4" w:space="0" w:color="auto"/>
              <w:bottom w:val="single" w:sz="4" w:space="0" w:color="auto"/>
              <w:right w:val="single" w:sz="4" w:space="0" w:color="auto"/>
            </w:tcBorders>
            <w:hideMark/>
          </w:tcPr>
          <w:p w14:paraId="3C5DE6DA" w14:textId="77777777" w:rsidR="00F451B5" w:rsidRPr="00F451B5" w:rsidRDefault="00F451B5" w:rsidP="00F451B5">
            <w:pPr>
              <w:spacing w:after="160"/>
              <w:jc w:val="both"/>
              <w:rPr>
                <w:rFonts w:ascii="Times New Roman" w:hAnsi="Times New Roman" w:cs="Times New Roman"/>
                <w:b/>
                <w:bCs/>
                <w:sz w:val="22"/>
                <w:szCs w:val="22"/>
                <w:lang w:val="es-AR"/>
              </w:rPr>
            </w:pPr>
            <w:r w:rsidRPr="00F451B5">
              <w:rPr>
                <w:rFonts w:ascii="Times New Roman" w:hAnsi="Times New Roman" w:cs="Times New Roman"/>
                <w:b/>
                <w:bCs/>
                <w:sz w:val="22"/>
                <w:szCs w:val="22"/>
                <w:lang w:val="es-AR"/>
              </w:rPr>
              <w:t>Lectura analítica</w:t>
            </w:r>
          </w:p>
        </w:tc>
      </w:tr>
      <w:tr w:rsidR="00F451B5" w:rsidRPr="00F451B5" w14:paraId="345D594D" w14:textId="77777777">
        <w:tc>
          <w:tcPr>
            <w:tcW w:w="3256" w:type="dxa"/>
            <w:tcBorders>
              <w:top w:val="single" w:sz="4" w:space="0" w:color="auto"/>
              <w:left w:val="single" w:sz="4" w:space="0" w:color="auto"/>
              <w:bottom w:val="single" w:sz="4" w:space="0" w:color="auto"/>
              <w:right w:val="single" w:sz="4" w:space="0" w:color="auto"/>
            </w:tcBorders>
            <w:hideMark/>
          </w:tcPr>
          <w:p w14:paraId="0D75C21C" w14:textId="77777777" w:rsidR="00F451B5" w:rsidRPr="00F451B5" w:rsidRDefault="00F451B5" w:rsidP="00F451B5">
            <w:pPr>
              <w:spacing w:after="160"/>
              <w:rPr>
                <w:rFonts w:ascii="Times New Roman" w:hAnsi="Times New Roman" w:cs="Times New Roman"/>
                <w:sz w:val="22"/>
                <w:szCs w:val="22"/>
                <w:lang w:val="es-AR"/>
              </w:rPr>
            </w:pPr>
            <w:r w:rsidRPr="00F451B5">
              <w:rPr>
                <w:rFonts w:ascii="Times New Roman" w:hAnsi="Times New Roman" w:cs="Times New Roman"/>
                <w:sz w:val="22"/>
                <w:szCs w:val="22"/>
                <w:lang w:val="es-AR"/>
              </w:rPr>
              <w:t>69,7% mantiene publicaciones con grupos del exterior</w:t>
            </w:r>
          </w:p>
        </w:tc>
        <w:tc>
          <w:tcPr>
            <w:tcW w:w="5238" w:type="dxa"/>
            <w:tcBorders>
              <w:top w:val="single" w:sz="4" w:space="0" w:color="auto"/>
              <w:left w:val="single" w:sz="4" w:space="0" w:color="auto"/>
              <w:bottom w:val="single" w:sz="4" w:space="0" w:color="auto"/>
              <w:right w:val="single" w:sz="4" w:space="0" w:color="auto"/>
            </w:tcBorders>
            <w:hideMark/>
          </w:tcPr>
          <w:p w14:paraId="79A46FAE" w14:textId="77777777" w:rsidR="00F451B5" w:rsidRPr="00F451B5" w:rsidRDefault="00F451B5" w:rsidP="00F451B5">
            <w:pPr>
              <w:spacing w:after="160"/>
              <w:rPr>
                <w:rFonts w:ascii="Times New Roman" w:hAnsi="Times New Roman" w:cs="Times New Roman"/>
                <w:sz w:val="22"/>
                <w:szCs w:val="22"/>
                <w:lang w:val="es-AR"/>
              </w:rPr>
            </w:pPr>
            <w:r w:rsidRPr="00F451B5">
              <w:rPr>
                <w:rFonts w:ascii="Times New Roman" w:hAnsi="Times New Roman" w:cs="Times New Roman"/>
                <w:sz w:val="22"/>
                <w:szCs w:val="22"/>
                <w:lang w:val="es-AR"/>
              </w:rPr>
              <w:t>La producción científica conjunta constituye el principal mecanismo de continuidad internacional.</w:t>
            </w:r>
          </w:p>
        </w:tc>
      </w:tr>
      <w:tr w:rsidR="00F451B5" w:rsidRPr="00F451B5" w14:paraId="74363855" w14:textId="77777777">
        <w:tc>
          <w:tcPr>
            <w:tcW w:w="3256" w:type="dxa"/>
            <w:tcBorders>
              <w:top w:val="single" w:sz="4" w:space="0" w:color="auto"/>
              <w:left w:val="single" w:sz="4" w:space="0" w:color="auto"/>
              <w:bottom w:val="single" w:sz="4" w:space="0" w:color="auto"/>
              <w:right w:val="single" w:sz="4" w:space="0" w:color="auto"/>
            </w:tcBorders>
            <w:hideMark/>
          </w:tcPr>
          <w:p w14:paraId="7C37B8CF" w14:textId="77777777" w:rsidR="00F451B5" w:rsidRPr="00F451B5" w:rsidRDefault="00F451B5" w:rsidP="00F451B5">
            <w:pPr>
              <w:spacing w:after="160"/>
              <w:rPr>
                <w:rFonts w:ascii="Times New Roman" w:hAnsi="Times New Roman" w:cs="Times New Roman"/>
                <w:sz w:val="22"/>
                <w:szCs w:val="22"/>
                <w:lang w:val="es-AR"/>
              </w:rPr>
            </w:pPr>
            <w:r w:rsidRPr="00F451B5">
              <w:rPr>
                <w:rFonts w:ascii="Times New Roman" w:hAnsi="Times New Roman" w:cs="Times New Roman"/>
                <w:sz w:val="22"/>
                <w:szCs w:val="22"/>
                <w:lang w:val="es-AR"/>
              </w:rPr>
              <w:t>60,6% participa en proyectos internacionales</w:t>
            </w:r>
          </w:p>
        </w:tc>
        <w:tc>
          <w:tcPr>
            <w:tcW w:w="5238" w:type="dxa"/>
            <w:tcBorders>
              <w:top w:val="single" w:sz="4" w:space="0" w:color="auto"/>
              <w:left w:val="single" w:sz="4" w:space="0" w:color="auto"/>
              <w:bottom w:val="single" w:sz="4" w:space="0" w:color="auto"/>
              <w:right w:val="single" w:sz="4" w:space="0" w:color="auto"/>
            </w:tcBorders>
            <w:hideMark/>
          </w:tcPr>
          <w:p w14:paraId="00B9D53D" w14:textId="77777777" w:rsidR="00F451B5" w:rsidRPr="00F451B5" w:rsidRDefault="00F451B5" w:rsidP="00F451B5">
            <w:pPr>
              <w:spacing w:after="160"/>
              <w:rPr>
                <w:rFonts w:ascii="Times New Roman" w:hAnsi="Times New Roman" w:cs="Times New Roman"/>
                <w:sz w:val="22"/>
                <w:szCs w:val="22"/>
                <w:lang w:val="es-AR"/>
              </w:rPr>
            </w:pPr>
            <w:r w:rsidRPr="00F451B5">
              <w:rPr>
                <w:rFonts w:ascii="Times New Roman" w:hAnsi="Times New Roman" w:cs="Times New Roman"/>
                <w:sz w:val="22"/>
                <w:szCs w:val="22"/>
                <w:lang w:val="es-AR"/>
              </w:rPr>
              <w:t>La colaboración científica organizada persiste después del retorno.</w:t>
            </w:r>
          </w:p>
        </w:tc>
      </w:tr>
      <w:tr w:rsidR="00F451B5" w:rsidRPr="00F451B5" w14:paraId="3E5E1A0F" w14:textId="77777777">
        <w:tc>
          <w:tcPr>
            <w:tcW w:w="3256" w:type="dxa"/>
            <w:tcBorders>
              <w:top w:val="single" w:sz="4" w:space="0" w:color="auto"/>
              <w:left w:val="single" w:sz="4" w:space="0" w:color="auto"/>
              <w:bottom w:val="single" w:sz="4" w:space="0" w:color="auto"/>
              <w:right w:val="single" w:sz="4" w:space="0" w:color="auto"/>
            </w:tcBorders>
            <w:hideMark/>
          </w:tcPr>
          <w:p w14:paraId="5F1C1767" w14:textId="77777777" w:rsidR="00F451B5" w:rsidRPr="00F451B5" w:rsidRDefault="00F451B5" w:rsidP="00F451B5">
            <w:pPr>
              <w:spacing w:after="160"/>
              <w:rPr>
                <w:rFonts w:ascii="Times New Roman" w:hAnsi="Times New Roman" w:cs="Times New Roman"/>
                <w:sz w:val="22"/>
                <w:szCs w:val="22"/>
                <w:lang w:val="es-AR"/>
              </w:rPr>
            </w:pPr>
            <w:r w:rsidRPr="00F451B5">
              <w:rPr>
                <w:rFonts w:ascii="Times New Roman" w:hAnsi="Times New Roman" w:cs="Times New Roman"/>
                <w:sz w:val="22"/>
                <w:szCs w:val="22"/>
                <w:lang w:val="es-AR"/>
              </w:rPr>
              <w:t>Sólo 37,9% realiza nuevas estancias</w:t>
            </w:r>
          </w:p>
        </w:tc>
        <w:tc>
          <w:tcPr>
            <w:tcW w:w="5238" w:type="dxa"/>
            <w:tcBorders>
              <w:top w:val="single" w:sz="4" w:space="0" w:color="auto"/>
              <w:left w:val="single" w:sz="4" w:space="0" w:color="auto"/>
              <w:bottom w:val="single" w:sz="4" w:space="0" w:color="auto"/>
              <w:right w:val="single" w:sz="4" w:space="0" w:color="auto"/>
            </w:tcBorders>
            <w:hideMark/>
          </w:tcPr>
          <w:p w14:paraId="53BABFD4" w14:textId="77777777" w:rsidR="00F451B5" w:rsidRPr="00F451B5" w:rsidRDefault="00F451B5" w:rsidP="00F451B5">
            <w:pPr>
              <w:spacing w:after="160"/>
              <w:rPr>
                <w:rFonts w:ascii="Times New Roman" w:hAnsi="Times New Roman" w:cs="Times New Roman"/>
                <w:sz w:val="22"/>
                <w:szCs w:val="22"/>
                <w:lang w:val="es-AR"/>
              </w:rPr>
            </w:pPr>
            <w:r w:rsidRPr="00F451B5">
              <w:rPr>
                <w:rFonts w:ascii="Times New Roman" w:hAnsi="Times New Roman" w:cs="Times New Roman"/>
                <w:sz w:val="22"/>
                <w:szCs w:val="22"/>
                <w:lang w:val="es-AR"/>
              </w:rPr>
              <w:t>La internacionalización continúa aun cuando disminuye la movilidad física.</w:t>
            </w:r>
          </w:p>
        </w:tc>
      </w:tr>
      <w:tr w:rsidR="00F451B5" w:rsidRPr="00F451B5" w14:paraId="74408E5E" w14:textId="77777777">
        <w:tc>
          <w:tcPr>
            <w:tcW w:w="3256" w:type="dxa"/>
            <w:tcBorders>
              <w:top w:val="single" w:sz="4" w:space="0" w:color="auto"/>
              <w:left w:val="single" w:sz="4" w:space="0" w:color="auto"/>
              <w:bottom w:val="single" w:sz="4" w:space="0" w:color="auto"/>
              <w:right w:val="single" w:sz="4" w:space="0" w:color="auto"/>
            </w:tcBorders>
            <w:hideMark/>
          </w:tcPr>
          <w:p w14:paraId="3B1A7675" w14:textId="77777777" w:rsidR="00F451B5" w:rsidRPr="00F451B5" w:rsidRDefault="00F451B5" w:rsidP="00F451B5">
            <w:pPr>
              <w:spacing w:after="160"/>
              <w:rPr>
                <w:rFonts w:ascii="Times New Roman" w:hAnsi="Times New Roman" w:cs="Times New Roman"/>
                <w:sz w:val="22"/>
                <w:szCs w:val="22"/>
                <w:lang w:val="es-AR"/>
              </w:rPr>
            </w:pPr>
            <w:r w:rsidRPr="00F451B5">
              <w:rPr>
                <w:rFonts w:ascii="Times New Roman" w:hAnsi="Times New Roman" w:cs="Times New Roman"/>
                <w:sz w:val="22"/>
                <w:szCs w:val="22"/>
                <w:lang w:val="es-AR"/>
              </w:rPr>
              <w:t>Parte de las nuevas estancias se realizan en nuevas instituciones</w:t>
            </w:r>
          </w:p>
        </w:tc>
        <w:tc>
          <w:tcPr>
            <w:tcW w:w="5238" w:type="dxa"/>
            <w:tcBorders>
              <w:top w:val="single" w:sz="4" w:space="0" w:color="auto"/>
              <w:left w:val="single" w:sz="4" w:space="0" w:color="auto"/>
              <w:bottom w:val="single" w:sz="4" w:space="0" w:color="auto"/>
              <w:right w:val="single" w:sz="4" w:space="0" w:color="auto"/>
            </w:tcBorders>
            <w:hideMark/>
          </w:tcPr>
          <w:p w14:paraId="013F4B83" w14:textId="77777777" w:rsidR="00F451B5" w:rsidRPr="00F451B5" w:rsidRDefault="00F451B5" w:rsidP="00F451B5">
            <w:pPr>
              <w:spacing w:after="160"/>
              <w:rPr>
                <w:rFonts w:ascii="Times New Roman" w:hAnsi="Times New Roman" w:cs="Times New Roman"/>
                <w:sz w:val="22"/>
                <w:szCs w:val="22"/>
                <w:lang w:val="es-AR"/>
              </w:rPr>
            </w:pPr>
            <w:r w:rsidRPr="00F451B5">
              <w:rPr>
                <w:rFonts w:ascii="Times New Roman" w:hAnsi="Times New Roman" w:cs="Times New Roman"/>
                <w:sz w:val="22"/>
                <w:szCs w:val="22"/>
                <w:lang w:val="es-AR"/>
              </w:rPr>
              <w:t>Las redes científicas no sólo se sostienen, sino que también pueden ampliarse y transformarse.</w:t>
            </w:r>
          </w:p>
        </w:tc>
      </w:tr>
    </w:tbl>
    <w:p w14:paraId="5AA0F712" w14:textId="77777777" w:rsidR="00F451B5" w:rsidRPr="00F451B5" w:rsidRDefault="00F451B5" w:rsidP="00F451B5">
      <w:pPr>
        <w:spacing w:line="276" w:lineRule="auto"/>
        <w:jc w:val="both"/>
        <w:rPr>
          <w:rFonts w:ascii="Times New Roman" w:hAnsi="Times New Roman" w:cs="Times New Roman"/>
          <w:i/>
          <w:iCs/>
          <w:lang w:val="es-AR"/>
        </w:rPr>
      </w:pPr>
      <w:r w:rsidRPr="00F451B5">
        <w:rPr>
          <w:rFonts w:ascii="Times New Roman" w:hAnsi="Times New Roman" w:cs="Times New Roman"/>
          <w:i/>
          <w:iCs/>
          <w:lang w:val="es-AR"/>
        </w:rPr>
        <w:t>Fuente: elaboración propia.</w:t>
      </w:r>
    </w:p>
    <w:p w14:paraId="05DEAA92" w14:textId="77777777" w:rsidR="00F451B5" w:rsidRPr="00F451B5" w:rsidRDefault="00F451B5" w:rsidP="00F451B5">
      <w:pPr>
        <w:spacing w:line="276" w:lineRule="auto"/>
        <w:jc w:val="both"/>
        <w:rPr>
          <w:rFonts w:ascii="Times New Roman" w:hAnsi="Times New Roman" w:cs="Times New Roman"/>
          <w:lang w:val="es-AR"/>
        </w:rPr>
      </w:pPr>
    </w:p>
    <w:p w14:paraId="4A42511F"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La comparación entre los distintos indicadores permite observar que la continuidad de la dimensión internacional de la carrera científica no depende exclusivamente de nuevos desplazamientos al exterior. Las publicaciones y los proyectos muestran que una parte importante de la colaboración científica puede sostenerse a partir de vínculos construidos durante la experiencia internacional previa. En este sentido, las redes desarrolladas durante la migración y/o movilidad parecen constituir un capital relacional que continúa siendo movilizado después del retorno, permitiendo sostener procesos de producción y circulación de conocimiento aun cuando las oportunidades de movilidad presencial sean más limitadas.</w:t>
      </w:r>
    </w:p>
    <w:p w14:paraId="3A782663"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Esta interpretación adquiere particular interés si se considera que, durante los últimos años, las restricciones presupuestarias para la movilidad internacional y la expansión de modalidades virtuales de colaboración —aceleradas a partir de la pandemia de COVID-19— modificaron las formas de interacción entre investigadores. Sin reemplazar completamente la movilidad presencial, estos cambios ampliaron las posibilidades de desarrollar proyectos, reuniones de investigación, congresos e incluso estancias virtuales. La fase cualitativa permitirá explorar en qué medida estas transformaciones contribuyeron a sostener la dimensión internacional de las carreras científicas de los investigadores retornados.</w:t>
      </w:r>
    </w:p>
    <w:p w14:paraId="2E657DA8" w14:textId="77777777" w:rsidR="00F451B5" w:rsidRPr="00F451B5" w:rsidRDefault="00F451B5" w:rsidP="00F451B5">
      <w:pPr>
        <w:spacing w:line="276" w:lineRule="auto"/>
        <w:jc w:val="both"/>
        <w:rPr>
          <w:rFonts w:ascii="Times New Roman" w:hAnsi="Times New Roman" w:cs="Times New Roman"/>
          <w:lang w:val="es-AR"/>
        </w:rPr>
      </w:pPr>
    </w:p>
    <w:p w14:paraId="069259C5" w14:textId="60A4A192" w:rsidR="00F451B5" w:rsidRPr="00F451B5" w:rsidRDefault="00F451B5" w:rsidP="00F451B5">
      <w:pPr>
        <w:spacing w:line="276" w:lineRule="auto"/>
        <w:jc w:val="both"/>
        <w:rPr>
          <w:rFonts w:ascii="Times New Roman" w:hAnsi="Times New Roman" w:cs="Times New Roman"/>
          <w:b/>
          <w:bCs/>
          <w:lang w:val="es-AR"/>
        </w:rPr>
      </w:pPr>
      <w:r w:rsidRPr="00F451B5">
        <w:rPr>
          <w:rFonts w:ascii="Times New Roman" w:hAnsi="Times New Roman" w:cs="Times New Roman"/>
          <w:b/>
          <w:bCs/>
          <w:lang w:val="es-AR"/>
        </w:rPr>
        <w:t xml:space="preserve">5. </w:t>
      </w:r>
      <w:r w:rsidR="001935DB">
        <w:rPr>
          <w:rFonts w:ascii="Times New Roman" w:hAnsi="Times New Roman" w:cs="Times New Roman"/>
          <w:b/>
          <w:bCs/>
          <w:lang w:val="es-AR"/>
        </w:rPr>
        <w:t>A modo de cierre</w:t>
      </w:r>
      <w:r w:rsidRPr="00F451B5">
        <w:rPr>
          <w:rFonts w:ascii="Times New Roman" w:hAnsi="Times New Roman" w:cs="Times New Roman"/>
          <w:b/>
          <w:bCs/>
          <w:lang w:val="es-AR"/>
        </w:rPr>
        <w:t xml:space="preserve"> </w:t>
      </w:r>
    </w:p>
    <w:p w14:paraId="5AA30037"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 xml:space="preserve">Esta ponencia propuso desplazar el foco de análisis desde el retorno hacia las carreras científicas de investigadores que atravesaron experiencias de movilidad internacional. </w:t>
      </w:r>
      <w:r w:rsidRPr="00F451B5">
        <w:rPr>
          <w:rFonts w:ascii="Times New Roman" w:hAnsi="Times New Roman" w:cs="Times New Roman"/>
          <w:lang w:val="es-AR"/>
        </w:rPr>
        <w:lastRenderedPageBreak/>
        <w:t>Desde esta perspectiva, el retorno deja de ser el objeto de estudio para ser comprendido como un hito dentro de trayectorias científicas de carácter longitudinal. El interés ya no reside en explicar el regreso al país en sí mismo, sino en comprender cómo evolucionan las distintas dimensiones de la carrera científica una vez producido ese evento.</w:t>
      </w:r>
    </w:p>
    <w:p w14:paraId="3A4C3724"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La incorporación del esquema tripartito de Gläser y Laudel permitió organizar esta lectura distinguiendo las dimensiones organizativa, comunitaria y cognitiva de la carrera científica. Los resultados presentados muestran, en particular, que la dimensión comunitaria puede mantener una proyección internacional después del retorno mediante publicaciones, proyectos de investigación y otras formas de colaboración científica. En este sentido, la evidencia sugiere que el regreso al país no implica necesariamente el cierre de la experiencia internacional ni una reorientación exclusivamente nacional de las trayectorias científicas.</w:t>
      </w:r>
    </w:p>
    <w:p w14:paraId="18EC2EE8"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Más allá de estos resultados, el principal aporte del trabajo reside en la perspectiva analítica que propone. Hasta donde alcanza nuestro conocimiento, los estudios sobre retorno de investigadores en Argentina y América Latina no han analizado este fenómeno desde el esquema tripartito desarrollado por Gläser y Laudel. Este enfoque permite comprender que las distintas dimensiones de la carrera científica pueden evolucionar con ritmos diferentes y que el retorno constituye uno de los múltiples acontecimientos que organizan una trayectoria profesional, pero no su punto de llegada ni su explicación.</w:t>
      </w:r>
    </w:p>
    <w:p w14:paraId="37D0310E"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Esta perspectiva también abre nuevas preguntas para el estudio de las políticas de repatriación. Si la internacionalización de las carreras científicas continúa después del retorno mediante publicaciones, proyectos y redes internacionales de colaboración, el análisis de estas políticas no debería limitarse a evaluar la reinserción institucional de los investigadores. Incorporar una perspectiva de carreras permite considerar, además, cómo esas políticas favorecen —o limitan— la continuidad de los vínculos científicos internacionales y la inserción de los investigadores en comunidades académicas transnacionales a lo largo del tiempo.</w:t>
      </w:r>
    </w:p>
    <w:p w14:paraId="48F6B775" w14:textId="77777777" w:rsidR="00F451B5" w:rsidRPr="00F451B5" w:rsidRDefault="00F451B5" w:rsidP="00F451B5">
      <w:pPr>
        <w:spacing w:line="276" w:lineRule="auto"/>
        <w:jc w:val="both"/>
        <w:rPr>
          <w:rFonts w:ascii="Times New Roman" w:hAnsi="Times New Roman" w:cs="Times New Roman"/>
          <w:lang w:val="es-AR"/>
        </w:rPr>
      </w:pPr>
      <w:r w:rsidRPr="00F451B5">
        <w:rPr>
          <w:rFonts w:ascii="Times New Roman" w:hAnsi="Times New Roman" w:cs="Times New Roman"/>
          <w:lang w:val="es-AR"/>
        </w:rPr>
        <w:t xml:space="preserve">Finalmente, los resultados presentados corresponden a la primera fase de un diseño metodológico mixto secuencial. La encuesta fue realizada en 2020, mientras que la etapa cualitativa se desarrolla en 2026. Esta distancia temporal constituye una oportunidad analítica para reconstruir retrospectivamente la evolución de las carreras científicas e indagar cómo se transformaron las dimensiones organizativa, comunitaria y cognitiva durante los años posteriores al relevamiento cuantitativo. Las entrevistas en profundidad permitirán comprender procesos que una encuesta sólo puede identificar parcialmente, como la evolución de las agendas de investigación, la reconfiguración de las redes internacionales, las trayectorias institucionales y las decisiones que fueron configurando las carreras científicas a lo largo del tiempo. En este sentido, la fase cualitativa no sólo </w:t>
      </w:r>
      <w:r w:rsidRPr="00F451B5">
        <w:rPr>
          <w:rFonts w:ascii="Times New Roman" w:hAnsi="Times New Roman" w:cs="Times New Roman"/>
          <w:lang w:val="es-AR"/>
        </w:rPr>
        <w:lastRenderedPageBreak/>
        <w:t>profundizará los resultados aquí presentados, sino que permitirá comprender con mayor precisión los desacoples, continuidades y transformaciones que caracterizan las carreras científicas de investigadores retornados.</w:t>
      </w:r>
    </w:p>
    <w:p w14:paraId="3BE8E762" w14:textId="77777777" w:rsidR="00F451B5" w:rsidRPr="00F451B5" w:rsidRDefault="00F451B5" w:rsidP="00F451B5">
      <w:pPr>
        <w:spacing w:line="276" w:lineRule="auto"/>
        <w:jc w:val="both"/>
        <w:rPr>
          <w:rFonts w:ascii="Times New Roman" w:hAnsi="Times New Roman" w:cs="Times New Roman"/>
          <w:lang w:val="es-AR"/>
        </w:rPr>
      </w:pPr>
    </w:p>
    <w:p w14:paraId="2B452FA8" w14:textId="77777777" w:rsidR="001935DB" w:rsidRDefault="00F451B5" w:rsidP="00F451B5">
      <w:pPr>
        <w:spacing w:line="276" w:lineRule="auto"/>
        <w:jc w:val="both"/>
        <w:rPr>
          <w:rFonts w:ascii="Times New Roman" w:hAnsi="Times New Roman" w:cs="Times New Roman"/>
          <w:b/>
          <w:bCs/>
          <w:lang w:val="es-AR"/>
        </w:rPr>
      </w:pPr>
      <w:r w:rsidRPr="00F451B5">
        <w:rPr>
          <w:rFonts w:ascii="Times New Roman" w:hAnsi="Times New Roman" w:cs="Times New Roman"/>
          <w:b/>
          <w:bCs/>
          <w:lang w:val="es-AR"/>
        </w:rPr>
        <w:t>Referencias bibliográficas</w:t>
      </w:r>
    </w:p>
    <w:p w14:paraId="38204991" w14:textId="148772A0" w:rsidR="00F451B5" w:rsidRPr="001935DB" w:rsidRDefault="00F451B5" w:rsidP="001935DB">
      <w:pPr>
        <w:spacing w:after="120" w:line="276" w:lineRule="auto"/>
        <w:ind w:left="709" w:hanging="709"/>
        <w:jc w:val="both"/>
        <w:rPr>
          <w:rFonts w:ascii="Times New Roman" w:hAnsi="Times New Roman" w:cs="Times New Roman"/>
          <w:b/>
          <w:bCs/>
          <w:lang w:val="es-AR"/>
        </w:rPr>
      </w:pPr>
      <w:r w:rsidRPr="00F451B5">
        <w:rPr>
          <w:rFonts w:ascii="Times New Roman" w:hAnsi="Times New Roman" w:cs="Times New Roman"/>
          <w:lang w:val="es-AR"/>
        </w:rPr>
        <w:t>Bertaux, D. (2011). El enfoque biográfico: su validez metodológica, sus potencialidades. </w:t>
      </w:r>
      <w:r w:rsidRPr="00F451B5">
        <w:rPr>
          <w:rFonts w:ascii="Times New Roman" w:hAnsi="Times New Roman" w:cs="Times New Roman"/>
          <w:i/>
          <w:iCs/>
          <w:lang w:val="es-AR"/>
        </w:rPr>
        <w:t>Acta Sociológica</w:t>
      </w:r>
      <w:r w:rsidRPr="00F451B5">
        <w:rPr>
          <w:rFonts w:ascii="Times New Roman" w:hAnsi="Times New Roman" w:cs="Times New Roman"/>
          <w:lang w:val="es-AR"/>
        </w:rPr>
        <w:t>, </w:t>
      </w:r>
      <w:r w:rsidRPr="00F451B5">
        <w:rPr>
          <w:rFonts w:ascii="Times New Roman" w:hAnsi="Times New Roman" w:cs="Times New Roman"/>
          <w:i/>
          <w:iCs/>
          <w:lang w:val="es-AR"/>
        </w:rPr>
        <w:t>1</w:t>
      </w:r>
      <w:r w:rsidRPr="00F451B5">
        <w:rPr>
          <w:rFonts w:ascii="Times New Roman" w:hAnsi="Times New Roman" w:cs="Times New Roman"/>
          <w:lang w:val="es-AR"/>
        </w:rPr>
        <w:t>(56), 61-93. </w:t>
      </w:r>
      <w:hyperlink r:id="rId8" w:tgtFrame="_blank" w:history="1">
        <w:r w:rsidRPr="00F451B5">
          <w:rPr>
            <w:rStyle w:val="Hipervnculo"/>
            <w:rFonts w:ascii="Times New Roman" w:hAnsi="Times New Roman" w:cs="Times New Roman"/>
            <w:lang w:val="es-AR"/>
          </w:rPr>
          <w:t>https://doi.org/10.22201/fcpys.24484938e.2011.56.29458</w:t>
        </w:r>
      </w:hyperlink>
    </w:p>
    <w:p w14:paraId="49B306DB" w14:textId="77777777" w:rsidR="00F451B5" w:rsidRPr="00F451B5" w:rsidRDefault="00F451B5" w:rsidP="001935DB">
      <w:pPr>
        <w:spacing w:after="120" w:line="276" w:lineRule="auto"/>
        <w:ind w:left="709" w:hanging="709"/>
        <w:jc w:val="both"/>
        <w:rPr>
          <w:rFonts w:ascii="Times New Roman" w:hAnsi="Times New Roman" w:cs="Times New Roman"/>
          <w:lang w:val="es-AR"/>
        </w:rPr>
      </w:pPr>
      <w:r w:rsidRPr="00F451B5">
        <w:rPr>
          <w:rFonts w:ascii="Times New Roman" w:hAnsi="Times New Roman" w:cs="Times New Roman"/>
          <w:lang w:val="es-AR"/>
        </w:rPr>
        <w:t>Broitman Rojas, C., y Rivero, P. J. (2022). La movilidad científica y los significados en torno a la utilidad en la producción y circulación de conocimientos: un análisis a partir del programa Becas Chile. </w:t>
      </w:r>
      <w:r w:rsidRPr="00F451B5">
        <w:rPr>
          <w:rFonts w:ascii="Times New Roman" w:hAnsi="Times New Roman" w:cs="Times New Roman"/>
          <w:i/>
          <w:iCs/>
          <w:lang w:val="es-AR"/>
        </w:rPr>
        <w:t>Universum. Revista de Humanidades y Ciencias Sociales</w:t>
      </w:r>
      <w:r w:rsidRPr="00F451B5">
        <w:rPr>
          <w:rFonts w:ascii="Times New Roman" w:hAnsi="Times New Roman" w:cs="Times New Roman"/>
          <w:lang w:val="es-AR"/>
        </w:rPr>
        <w:t>, </w:t>
      </w:r>
      <w:r w:rsidRPr="00F451B5">
        <w:rPr>
          <w:rFonts w:ascii="Times New Roman" w:hAnsi="Times New Roman" w:cs="Times New Roman"/>
          <w:i/>
          <w:iCs/>
          <w:lang w:val="es-AR"/>
        </w:rPr>
        <w:t>37</w:t>
      </w:r>
      <w:r w:rsidRPr="00F451B5">
        <w:rPr>
          <w:rFonts w:ascii="Times New Roman" w:hAnsi="Times New Roman" w:cs="Times New Roman"/>
          <w:lang w:val="es-AR"/>
        </w:rPr>
        <w:t>(2), 457-478. </w:t>
      </w:r>
      <w:hyperlink r:id="rId9" w:tgtFrame="_blank" w:history="1">
        <w:r w:rsidRPr="00F451B5">
          <w:rPr>
            <w:rStyle w:val="Hipervnculo"/>
            <w:rFonts w:ascii="Times New Roman" w:hAnsi="Times New Roman" w:cs="Times New Roman"/>
            <w:lang w:val="es-AR"/>
          </w:rPr>
          <w:t>https://doi.org/10.4067/S0718-23762022000200457</w:t>
        </w:r>
      </w:hyperlink>
    </w:p>
    <w:p w14:paraId="741AEED3" w14:textId="77777777" w:rsidR="00F451B5" w:rsidRPr="00F451B5" w:rsidRDefault="00F451B5" w:rsidP="001935DB">
      <w:pPr>
        <w:spacing w:after="120" w:line="276" w:lineRule="auto"/>
        <w:ind w:left="709" w:hanging="709"/>
        <w:jc w:val="both"/>
        <w:rPr>
          <w:rFonts w:ascii="Times New Roman" w:hAnsi="Times New Roman" w:cs="Times New Roman"/>
          <w:lang w:val="en-GB"/>
        </w:rPr>
      </w:pPr>
      <w:r w:rsidRPr="00F451B5">
        <w:rPr>
          <w:rFonts w:ascii="Times New Roman" w:hAnsi="Times New Roman" w:cs="Times New Roman"/>
          <w:lang w:val="es-AR"/>
        </w:rPr>
        <w:t>Dany, Françoise, Severine Louvel y Annick Velette. 2011. “Academic Careers: The Limits of the ‘Boundaryless Approach’ and the Power of Promotion Scripts”. Human Relations 64 (7): 971-996. </w:t>
      </w:r>
      <w:hyperlink r:id="rId10" w:history="1">
        <w:r w:rsidRPr="00F451B5">
          <w:rPr>
            <w:rStyle w:val="Hipervnculo"/>
            <w:rFonts w:ascii="Times New Roman" w:hAnsi="Times New Roman" w:cs="Times New Roman"/>
            <w:lang w:val="es-AR"/>
          </w:rPr>
          <w:t>https://doi.org/10.1177/0018726710393537</w:t>
        </w:r>
      </w:hyperlink>
    </w:p>
    <w:p w14:paraId="48490ABD" w14:textId="77777777" w:rsidR="00F451B5" w:rsidRPr="00F451B5" w:rsidRDefault="00F451B5" w:rsidP="001935DB">
      <w:pPr>
        <w:spacing w:after="120" w:line="276" w:lineRule="auto"/>
        <w:ind w:left="709" w:hanging="709"/>
        <w:jc w:val="both"/>
        <w:rPr>
          <w:rFonts w:ascii="Times New Roman" w:hAnsi="Times New Roman" w:cs="Times New Roman"/>
          <w:lang w:val="en-GB"/>
        </w:rPr>
      </w:pPr>
      <w:r w:rsidRPr="00F451B5">
        <w:rPr>
          <w:rFonts w:ascii="Times New Roman" w:hAnsi="Times New Roman" w:cs="Times New Roman"/>
          <w:lang w:val="en-GB"/>
        </w:rPr>
        <w:t>Gläser, Jochen y Grit Laudel (2015). “The Three Careers of an Academic. Discussion Paper”. Berlín: TU Berlin, Center for Technology and Society. hps://</w:t>
      </w:r>
      <w:hyperlink r:id="rId11" w:history="1">
        <w:r w:rsidRPr="00F451B5">
          <w:rPr>
            <w:rStyle w:val="Hipervnculo"/>
            <w:rFonts w:ascii="Times New Roman" w:hAnsi="Times New Roman" w:cs="Times New Roman"/>
            <w:lang w:val="en-GB"/>
          </w:rPr>
          <w:t>irp.cdn-website.com/a4711d47/files/uploaded/35_2015discussion_paper_Nr_35</w:t>
        </w:r>
      </w:hyperlink>
      <w:hyperlink r:id="rId12" w:history="1">
        <w:r w:rsidRPr="00F451B5">
          <w:rPr>
            <w:rStyle w:val="Hipervnculo"/>
            <w:rFonts w:ascii="Times New Roman" w:hAnsi="Times New Roman" w:cs="Times New Roman"/>
            <w:lang w:val="en-GB"/>
          </w:rPr>
          <w:t>_Glaeser_Laudel.pdf</w:t>
        </w:r>
      </w:hyperlink>
      <w:r w:rsidRPr="00F451B5">
        <w:rPr>
          <w:rFonts w:ascii="Times New Roman" w:hAnsi="Times New Roman" w:cs="Times New Roman"/>
          <w:lang w:val="en-GB"/>
        </w:rPr>
        <w:t xml:space="preserve"> </w:t>
      </w:r>
    </w:p>
    <w:p w14:paraId="352DD8B1" w14:textId="77777777" w:rsidR="00F451B5" w:rsidRPr="00F451B5" w:rsidRDefault="00F451B5" w:rsidP="001935DB">
      <w:pPr>
        <w:spacing w:after="120" w:line="276" w:lineRule="auto"/>
        <w:ind w:left="709" w:hanging="709"/>
        <w:jc w:val="both"/>
        <w:rPr>
          <w:rFonts w:ascii="Times New Roman" w:hAnsi="Times New Roman" w:cs="Times New Roman"/>
          <w:lang w:val="es-AR"/>
        </w:rPr>
      </w:pPr>
      <w:r w:rsidRPr="00F451B5">
        <w:rPr>
          <w:rFonts w:ascii="Times New Roman" w:hAnsi="Times New Roman" w:cs="Times New Roman"/>
          <w:lang w:val="es-AR"/>
        </w:rPr>
        <w:t>Laudel, Grit y Jochen Gläser. 2008. “From Apprentice to Colleague: The Metamorphosis of Early Career Researchers”. Higher Education 55 (3): 387-406. </w:t>
      </w:r>
      <w:hyperlink r:id="rId13" w:history="1">
        <w:r w:rsidRPr="00F451B5">
          <w:rPr>
            <w:rStyle w:val="Hipervnculo"/>
            <w:rFonts w:ascii="Times New Roman" w:hAnsi="Times New Roman" w:cs="Times New Roman"/>
            <w:lang w:val="es-AR"/>
          </w:rPr>
          <w:t>https://doi.org/10.1007/s10734-007-9063-7</w:t>
        </w:r>
      </w:hyperlink>
    </w:p>
    <w:p w14:paraId="3ADEC496" w14:textId="77777777" w:rsidR="00F451B5" w:rsidRPr="00F451B5" w:rsidRDefault="00F451B5" w:rsidP="001935DB">
      <w:pPr>
        <w:spacing w:after="120" w:line="276" w:lineRule="auto"/>
        <w:ind w:left="709" w:hanging="709"/>
        <w:jc w:val="both"/>
        <w:rPr>
          <w:rFonts w:ascii="Times New Roman" w:hAnsi="Times New Roman" w:cs="Times New Roman"/>
          <w:lang w:val="en-GB"/>
        </w:rPr>
      </w:pPr>
      <w:r w:rsidRPr="00F451B5">
        <w:rPr>
          <w:rFonts w:ascii="Times New Roman" w:hAnsi="Times New Roman" w:cs="Times New Roman"/>
          <w:lang w:val="es-AR"/>
        </w:rPr>
        <w:t>Luchilo, L. (ed.). (2011). Más allá de la fuga de cerebros: movilidad, migración y diásporas de argentinos calificados. Eudeba.</w:t>
      </w:r>
    </w:p>
    <w:p w14:paraId="0F287082" w14:textId="77777777" w:rsidR="00F451B5" w:rsidRPr="00F451B5" w:rsidRDefault="00F451B5" w:rsidP="001935DB">
      <w:pPr>
        <w:spacing w:after="120" w:line="276" w:lineRule="auto"/>
        <w:ind w:left="709" w:hanging="709"/>
        <w:jc w:val="both"/>
        <w:rPr>
          <w:rFonts w:ascii="Times New Roman" w:hAnsi="Times New Roman" w:cs="Times New Roman"/>
          <w:lang w:val="es-AR"/>
        </w:rPr>
      </w:pPr>
      <w:r w:rsidRPr="00F451B5">
        <w:rPr>
          <w:rFonts w:ascii="Times New Roman" w:hAnsi="Times New Roman" w:cs="Times New Roman"/>
          <w:lang w:val="es-AR"/>
        </w:rPr>
        <w:t>Luchilo, L. (2015). Políticas argentinas de retorno y de vinculación: rupturas y continuidades. En J. Meyer (ed.), Diáspora: hacia la nueva frontera (pp. 159-186). Institut de Recherche pour le Développement y Universidad de la República.</w:t>
      </w:r>
    </w:p>
    <w:p w14:paraId="1D70DFAE" w14:textId="77777777" w:rsidR="00F451B5" w:rsidRPr="00F451B5" w:rsidRDefault="00F451B5" w:rsidP="001935DB">
      <w:pPr>
        <w:spacing w:after="120" w:line="276" w:lineRule="auto"/>
        <w:ind w:left="709" w:hanging="709"/>
        <w:jc w:val="both"/>
        <w:rPr>
          <w:rFonts w:ascii="Times New Roman" w:hAnsi="Times New Roman" w:cs="Times New Roman"/>
          <w:lang w:val="es-AR"/>
        </w:rPr>
      </w:pPr>
      <w:r w:rsidRPr="00F451B5">
        <w:rPr>
          <w:rFonts w:ascii="Times New Roman" w:hAnsi="Times New Roman" w:cs="Times New Roman"/>
          <w:lang w:val="es-AR"/>
        </w:rPr>
        <w:t xml:space="preserve">Luchilo, L., Moreno, M. V., y D’Onofrio, M. G. (2019). Patrones de movilidad científica y oportunidades laborales en el mercado académico: efectos de estudiar un posgrado en Estados Unidos entre investigadores argentinos de ciencias exactas y naturales. </w:t>
      </w:r>
      <w:r w:rsidRPr="00F451B5">
        <w:rPr>
          <w:rFonts w:ascii="Times New Roman" w:hAnsi="Times New Roman" w:cs="Times New Roman"/>
          <w:i/>
          <w:iCs/>
          <w:lang w:val="es-AR"/>
        </w:rPr>
        <w:t>Norteamérica</w:t>
      </w:r>
      <w:r w:rsidRPr="00F451B5">
        <w:rPr>
          <w:rFonts w:ascii="Times New Roman" w:hAnsi="Times New Roman" w:cs="Times New Roman"/>
          <w:lang w:val="es-AR"/>
        </w:rPr>
        <w:t xml:space="preserve">, Revista Académica del CISAN-UNAM, 14(1), 283-311. </w:t>
      </w:r>
      <w:hyperlink r:id="rId14" w:history="1">
        <w:r w:rsidRPr="00F451B5">
          <w:rPr>
            <w:rStyle w:val="Hipervnculo"/>
            <w:rFonts w:ascii="Times New Roman" w:hAnsi="Times New Roman" w:cs="Times New Roman"/>
            <w:lang w:val="es-AR"/>
          </w:rPr>
          <w:t>https://doi.org/10.22201/cisan.24487228e.2019.1.361</w:t>
        </w:r>
      </w:hyperlink>
    </w:p>
    <w:p w14:paraId="0E41CF62" w14:textId="77777777" w:rsidR="00F451B5" w:rsidRPr="00F451B5" w:rsidRDefault="00F451B5" w:rsidP="001935DB">
      <w:pPr>
        <w:spacing w:after="120" w:line="276" w:lineRule="auto"/>
        <w:ind w:left="709" w:hanging="709"/>
        <w:jc w:val="both"/>
        <w:rPr>
          <w:rFonts w:ascii="Times New Roman" w:hAnsi="Times New Roman" w:cs="Times New Roman"/>
          <w:lang w:val="es-AR"/>
        </w:rPr>
      </w:pPr>
      <w:r w:rsidRPr="00F451B5">
        <w:rPr>
          <w:rFonts w:ascii="Times New Roman" w:hAnsi="Times New Roman" w:cs="Times New Roman"/>
          <w:lang w:val="es-AR"/>
        </w:rPr>
        <w:t xml:space="preserve">Musselin. Christine. 2009. “Profession, Market and Organization: How is Academia Regulated?”. En The Changing Face of Academic Life: Analytical and </w:t>
      </w:r>
      <w:r w:rsidRPr="00F451B5">
        <w:rPr>
          <w:rFonts w:ascii="Times New Roman" w:hAnsi="Times New Roman" w:cs="Times New Roman"/>
          <w:lang w:val="es-AR"/>
        </w:rPr>
        <w:lastRenderedPageBreak/>
        <w:t>Comparative Perspectives, editado por Egbert Weert y Jürgen Enders, 117-133. Nueva York: Palgrave Macmillan.</w:t>
      </w:r>
    </w:p>
    <w:p w14:paraId="0DBDACC9" w14:textId="77777777" w:rsidR="00F451B5" w:rsidRPr="00F451B5" w:rsidRDefault="00F451B5" w:rsidP="001935DB">
      <w:pPr>
        <w:spacing w:after="120" w:line="276" w:lineRule="auto"/>
        <w:ind w:left="709" w:hanging="709"/>
        <w:jc w:val="both"/>
        <w:rPr>
          <w:rFonts w:ascii="Times New Roman" w:hAnsi="Times New Roman" w:cs="Times New Roman"/>
          <w:lang w:val="es-AR"/>
        </w:rPr>
      </w:pPr>
      <w:r w:rsidRPr="00F451B5">
        <w:rPr>
          <w:rFonts w:ascii="Times New Roman" w:hAnsi="Times New Roman" w:cs="Times New Roman"/>
          <w:lang w:val="es-AR"/>
        </w:rPr>
        <w:t>Rivero, Patricia J. (2023). “Dimensiones, categorías e indicadores para el análisis de carreras científicas”. Ponencia presentada en el V Congreso Argentino de Estudios Sociales de la Ciencia y la Tecnología, 27-29 de noviembre, Bariloche, Argentina.</w:t>
      </w:r>
    </w:p>
    <w:p w14:paraId="409A47C1" w14:textId="77777777" w:rsidR="00F451B5" w:rsidRPr="00F451B5" w:rsidRDefault="00F451B5" w:rsidP="001935DB">
      <w:pPr>
        <w:spacing w:after="120" w:line="276" w:lineRule="auto"/>
        <w:ind w:left="709" w:hanging="709"/>
        <w:jc w:val="both"/>
        <w:rPr>
          <w:rFonts w:ascii="Times New Roman" w:hAnsi="Times New Roman" w:cs="Times New Roman"/>
          <w:lang w:val="es-ES"/>
        </w:rPr>
      </w:pPr>
      <w:r w:rsidRPr="00F451B5">
        <w:rPr>
          <w:rFonts w:ascii="Times New Roman" w:hAnsi="Times New Roman" w:cs="Times New Roman"/>
          <w:lang w:val="es-AR"/>
        </w:rPr>
        <w:t>Rivero, P. J. (2024). Migración de retorno de argentinos en España: una propuesta tipológica basada en las motivaciones sobre por qué volver a casa. Revista Española de Sociología, 33(3), art. a235. </w:t>
      </w:r>
      <w:hyperlink r:id="rId15" w:tgtFrame="_blank" w:history="1">
        <w:r w:rsidRPr="00F451B5">
          <w:rPr>
            <w:rStyle w:val="Hipervnculo"/>
            <w:rFonts w:ascii="Times New Roman" w:hAnsi="Times New Roman" w:cs="Times New Roman"/>
            <w:lang w:val="es-AR"/>
          </w:rPr>
          <w:t>https://doi.org/10.22325/fes/res.2024.235</w:t>
        </w:r>
      </w:hyperlink>
    </w:p>
    <w:p w14:paraId="79BF7B72" w14:textId="77777777" w:rsidR="00F451B5" w:rsidRPr="00F451B5" w:rsidRDefault="00F451B5" w:rsidP="001935DB">
      <w:pPr>
        <w:spacing w:after="120" w:line="276" w:lineRule="auto"/>
        <w:ind w:left="709" w:hanging="709"/>
        <w:jc w:val="both"/>
        <w:rPr>
          <w:rFonts w:ascii="Times New Roman" w:hAnsi="Times New Roman" w:cs="Times New Roman"/>
          <w:lang w:val="es-AR"/>
        </w:rPr>
      </w:pPr>
      <w:r w:rsidRPr="00F451B5">
        <w:rPr>
          <w:rFonts w:ascii="Times New Roman" w:hAnsi="Times New Roman" w:cs="Times New Roman"/>
          <w:lang w:val="es-AR"/>
        </w:rPr>
        <w:t>Rivero, P. J. (2025). Migración y movilidad de los recursos humanos en ciencia y tecnología: claves analíticas para su estudio. </w:t>
      </w:r>
      <w:r w:rsidRPr="00F451B5">
        <w:rPr>
          <w:rFonts w:ascii="Times New Roman" w:hAnsi="Times New Roman" w:cs="Times New Roman"/>
          <w:i/>
          <w:iCs/>
          <w:lang w:val="es-AR"/>
        </w:rPr>
        <w:t>Trilogía Ciencia Tecnología Sociedad</w:t>
      </w:r>
      <w:r w:rsidRPr="00F451B5">
        <w:rPr>
          <w:rFonts w:ascii="Times New Roman" w:hAnsi="Times New Roman" w:cs="Times New Roman"/>
          <w:lang w:val="es-AR"/>
        </w:rPr>
        <w:t>, 17(37), e3663. </w:t>
      </w:r>
      <w:hyperlink r:id="rId16" w:tgtFrame="_blank" w:history="1">
        <w:r w:rsidRPr="00F451B5">
          <w:rPr>
            <w:rStyle w:val="Hipervnculo"/>
            <w:rFonts w:ascii="Times New Roman" w:hAnsi="Times New Roman" w:cs="Times New Roman"/>
            <w:lang w:val="es-AR"/>
          </w:rPr>
          <w:t>https://doi.org/10.22430/21457778.3663</w:t>
        </w:r>
      </w:hyperlink>
    </w:p>
    <w:p w14:paraId="41EFB76E" w14:textId="77777777" w:rsidR="00F451B5" w:rsidRPr="00F451B5" w:rsidRDefault="00F451B5" w:rsidP="001935DB">
      <w:pPr>
        <w:spacing w:after="120" w:line="276" w:lineRule="auto"/>
        <w:ind w:left="709" w:hanging="709"/>
        <w:jc w:val="both"/>
        <w:rPr>
          <w:rFonts w:ascii="Times New Roman" w:hAnsi="Times New Roman" w:cs="Times New Roman"/>
          <w:lang w:val="es-AR"/>
        </w:rPr>
      </w:pPr>
      <w:r w:rsidRPr="00F451B5">
        <w:rPr>
          <w:rFonts w:ascii="Times New Roman" w:hAnsi="Times New Roman" w:cs="Times New Roman"/>
          <w:lang w:val="es-AR"/>
        </w:rPr>
        <w:t>Rivero, P. J., y Trejo Peña, A. P. (2020). Los programas de repatriación de investigadores de Argentina y México. Controversias y Concurrencias Latinoamericanas, 12(21), 79-105. </w:t>
      </w:r>
      <w:hyperlink r:id="rId17" w:tgtFrame="_blank" w:history="1">
        <w:r w:rsidRPr="00F451B5">
          <w:rPr>
            <w:rStyle w:val="Hipervnculo"/>
            <w:rFonts w:ascii="Times New Roman" w:hAnsi="Times New Roman" w:cs="Times New Roman"/>
            <w:lang w:val="es-AR"/>
          </w:rPr>
          <w:t>https://ojs.sociologia-alas.org/index.php/CyC/article/view/208</w:t>
        </w:r>
      </w:hyperlink>
    </w:p>
    <w:p w14:paraId="245CC9E9" w14:textId="77777777" w:rsidR="00F451B5" w:rsidRPr="00F451B5" w:rsidRDefault="00F451B5" w:rsidP="001935DB">
      <w:pPr>
        <w:spacing w:after="120" w:line="276" w:lineRule="auto"/>
        <w:ind w:left="709" w:hanging="709"/>
        <w:jc w:val="both"/>
        <w:rPr>
          <w:rFonts w:ascii="Times New Roman" w:hAnsi="Times New Roman" w:cs="Times New Roman"/>
          <w:lang w:val="es-AR"/>
        </w:rPr>
      </w:pPr>
      <w:r w:rsidRPr="00F451B5">
        <w:rPr>
          <w:rFonts w:ascii="Times New Roman" w:hAnsi="Times New Roman" w:cs="Times New Roman"/>
          <w:lang w:val="es-AR"/>
        </w:rPr>
        <w:t>Rivero, P. J., y Navarro-Conticello, J. (2021). Migraciones y movilidades de argentinos y argentinas: revisión crítica de un campo de estudios en desarrollo (1960-2020). Revista Paginas, 13(31). </w:t>
      </w:r>
      <w:hyperlink r:id="rId18" w:tgtFrame="_blank" w:history="1">
        <w:r w:rsidRPr="00F451B5">
          <w:rPr>
            <w:rStyle w:val="Hipervnculo"/>
            <w:rFonts w:ascii="Times New Roman" w:hAnsi="Times New Roman" w:cs="Times New Roman"/>
            <w:lang w:val="es-AR"/>
          </w:rPr>
          <w:t>https://doi.org/10.35305/rp.v13i31.474</w:t>
        </w:r>
      </w:hyperlink>
    </w:p>
    <w:p w14:paraId="16BAA60C" w14:textId="77777777" w:rsidR="00F451B5" w:rsidRPr="00F451B5" w:rsidRDefault="00F451B5" w:rsidP="001935DB">
      <w:pPr>
        <w:spacing w:after="120" w:line="276" w:lineRule="auto"/>
        <w:ind w:left="709" w:hanging="709"/>
        <w:jc w:val="both"/>
        <w:rPr>
          <w:rFonts w:ascii="Times New Roman" w:hAnsi="Times New Roman" w:cs="Times New Roman"/>
          <w:lang w:val="es-AR"/>
        </w:rPr>
      </w:pPr>
      <w:r w:rsidRPr="00F451B5">
        <w:rPr>
          <w:rFonts w:ascii="Times New Roman" w:hAnsi="Times New Roman" w:cs="Times New Roman"/>
          <w:lang w:val="es-AR"/>
        </w:rPr>
        <w:t xml:space="preserve">Stehli, Melania y Patricia Jimena Rivero (2025). “Investigadores en etapa temprana de la carrera (early career researchers): características y dilemas de la fase inicial de la carrera de investigación”. </w:t>
      </w:r>
      <w:r w:rsidRPr="00F451B5">
        <w:rPr>
          <w:rFonts w:ascii="Times New Roman" w:hAnsi="Times New Roman" w:cs="Times New Roman"/>
          <w:i/>
          <w:iCs/>
          <w:lang w:val="es-AR"/>
        </w:rPr>
        <w:t>Revista de Estudios Sociales</w:t>
      </w:r>
      <w:r w:rsidRPr="00F451B5">
        <w:rPr>
          <w:rFonts w:ascii="Times New Roman" w:hAnsi="Times New Roman" w:cs="Times New Roman"/>
          <w:lang w:val="es-AR"/>
        </w:rPr>
        <w:t xml:space="preserve"> 92: 59-76. </w:t>
      </w:r>
      <w:hyperlink r:id="rId19" w:history="1">
        <w:r w:rsidRPr="00F451B5">
          <w:rPr>
            <w:rStyle w:val="Hipervnculo"/>
            <w:rFonts w:ascii="Times New Roman" w:hAnsi="Times New Roman" w:cs="Times New Roman"/>
            <w:lang w:val="es-AR"/>
          </w:rPr>
          <w:t>https://doi.org/10.7440/res92.2025.04</w:t>
        </w:r>
      </w:hyperlink>
      <w:r w:rsidRPr="00F451B5">
        <w:rPr>
          <w:rFonts w:ascii="Times New Roman" w:hAnsi="Times New Roman" w:cs="Times New Roman"/>
          <w:lang w:val="es-AR"/>
        </w:rPr>
        <w:t xml:space="preserve"> </w:t>
      </w:r>
    </w:p>
    <w:p w14:paraId="1180C8E5" w14:textId="77777777" w:rsidR="00F451B5" w:rsidRPr="00F451B5" w:rsidRDefault="00F451B5" w:rsidP="00F451B5">
      <w:pPr>
        <w:spacing w:line="276" w:lineRule="auto"/>
        <w:jc w:val="both"/>
        <w:rPr>
          <w:rFonts w:ascii="Times New Roman" w:hAnsi="Times New Roman" w:cs="Times New Roman"/>
          <w:lang w:val="es-AR"/>
        </w:rPr>
      </w:pPr>
    </w:p>
    <w:p w14:paraId="14A7A4F4" w14:textId="77777777" w:rsidR="00F451B5" w:rsidRPr="00F451B5" w:rsidRDefault="00F451B5" w:rsidP="00F451B5">
      <w:pPr>
        <w:spacing w:line="276" w:lineRule="auto"/>
        <w:jc w:val="both"/>
        <w:rPr>
          <w:rFonts w:ascii="Times New Roman" w:hAnsi="Times New Roman" w:cs="Times New Roman"/>
          <w:lang w:val="es-AR"/>
        </w:rPr>
      </w:pPr>
    </w:p>
    <w:p w14:paraId="7E6FDB1C" w14:textId="77777777" w:rsidR="00F451B5" w:rsidRPr="00F451B5" w:rsidRDefault="00F451B5" w:rsidP="00F451B5">
      <w:pPr>
        <w:spacing w:line="276" w:lineRule="auto"/>
        <w:jc w:val="both"/>
        <w:rPr>
          <w:rFonts w:ascii="Times New Roman" w:hAnsi="Times New Roman" w:cs="Times New Roman"/>
          <w:lang w:val="es-AR"/>
        </w:rPr>
      </w:pPr>
    </w:p>
    <w:p w14:paraId="2435C366" w14:textId="77777777" w:rsidR="00F451B5" w:rsidRPr="00F451B5" w:rsidRDefault="00F451B5" w:rsidP="00F451B5">
      <w:pPr>
        <w:spacing w:line="276" w:lineRule="auto"/>
        <w:jc w:val="both"/>
        <w:rPr>
          <w:rFonts w:ascii="Times New Roman" w:hAnsi="Times New Roman" w:cs="Times New Roman"/>
          <w:lang w:val="es-AR"/>
        </w:rPr>
      </w:pPr>
    </w:p>
    <w:p w14:paraId="3D95EE35" w14:textId="77777777" w:rsidR="00F451B5" w:rsidRPr="00F451B5" w:rsidRDefault="00F451B5" w:rsidP="00F451B5">
      <w:pPr>
        <w:spacing w:line="276" w:lineRule="auto"/>
        <w:jc w:val="both"/>
        <w:rPr>
          <w:rFonts w:ascii="Times New Roman" w:hAnsi="Times New Roman" w:cs="Times New Roman"/>
          <w:lang w:val="es-AR"/>
        </w:rPr>
      </w:pPr>
    </w:p>
    <w:p w14:paraId="1FA0F857" w14:textId="77777777" w:rsidR="005F3B2E" w:rsidRPr="00BA642E" w:rsidRDefault="005F3B2E" w:rsidP="00F451B5">
      <w:pPr>
        <w:spacing w:line="276" w:lineRule="auto"/>
        <w:jc w:val="both"/>
        <w:rPr>
          <w:rFonts w:ascii="Times New Roman" w:hAnsi="Times New Roman" w:cs="Times New Roman"/>
        </w:rPr>
      </w:pPr>
    </w:p>
    <w:p w14:paraId="23CA62C6" w14:textId="77777777" w:rsidR="00C802F5" w:rsidRPr="00BA642E" w:rsidRDefault="00C802F5" w:rsidP="00F451B5">
      <w:pPr>
        <w:spacing w:line="276" w:lineRule="auto"/>
        <w:jc w:val="both"/>
        <w:rPr>
          <w:rFonts w:ascii="Times New Roman" w:hAnsi="Times New Roman" w:cs="Times New Roman"/>
        </w:rPr>
      </w:pPr>
    </w:p>
    <w:p w14:paraId="7E83515B" w14:textId="2C32CF99" w:rsidR="001923DC" w:rsidRPr="00BA642E" w:rsidRDefault="001923DC" w:rsidP="00F451B5">
      <w:pPr>
        <w:spacing w:line="276" w:lineRule="auto"/>
        <w:jc w:val="both"/>
        <w:rPr>
          <w:rFonts w:ascii="Times New Roman" w:hAnsi="Times New Roman" w:cs="Times New Roman"/>
          <w:lang w:val="pt-BR"/>
        </w:rPr>
      </w:pPr>
    </w:p>
    <w:sectPr w:rsidR="001923DC" w:rsidRPr="00BA642E" w:rsidSect="00701F64">
      <w:headerReference w:type="default" r:id="rId20"/>
      <w:footerReference w:type="default" r:id="rId2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CF685" w14:textId="77777777" w:rsidR="007E1112" w:rsidRPr="00BA642E" w:rsidRDefault="007E1112" w:rsidP="00C802F5">
      <w:pPr>
        <w:spacing w:after="0" w:line="240" w:lineRule="auto"/>
      </w:pPr>
      <w:r w:rsidRPr="00BA642E">
        <w:separator/>
      </w:r>
    </w:p>
  </w:endnote>
  <w:endnote w:type="continuationSeparator" w:id="0">
    <w:p w14:paraId="674509DC" w14:textId="77777777" w:rsidR="007E1112" w:rsidRPr="00BA642E" w:rsidRDefault="007E1112"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ED8E2" w14:textId="77777777" w:rsidR="007E1112" w:rsidRPr="00BA642E" w:rsidRDefault="007E1112" w:rsidP="00C802F5">
      <w:pPr>
        <w:spacing w:after="0" w:line="240" w:lineRule="auto"/>
      </w:pPr>
      <w:r w:rsidRPr="00BA642E">
        <w:separator/>
      </w:r>
    </w:p>
  </w:footnote>
  <w:footnote w:type="continuationSeparator" w:id="0">
    <w:p w14:paraId="7FCE7D73" w14:textId="77777777" w:rsidR="007E1112" w:rsidRPr="00BA642E" w:rsidRDefault="007E1112"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E93BED"/>
    <w:multiLevelType w:val="hybridMultilevel"/>
    <w:tmpl w:val="4BC2E622"/>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16cid:durableId="6800908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1935DB"/>
    <w:rsid w:val="002327C3"/>
    <w:rsid w:val="00312392"/>
    <w:rsid w:val="003F4640"/>
    <w:rsid w:val="004040C0"/>
    <w:rsid w:val="00437E9C"/>
    <w:rsid w:val="00550766"/>
    <w:rsid w:val="00560A7B"/>
    <w:rsid w:val="005F3B2E"/>
    <w:rsid w:val="00701F64"/>
    <w:rsid w:val="007B5B5F"/>
    <w:rsid w:val="007D233B"/>
    <w:rsid w:val="007E1112"/>
    <w:rsid w:val="0085070B"/>
    <w:rsid w:val="0089158C"/>
    <w:rsid w:val="00A17247"/>
    <w:rsid w:val="00B9294C"/>
    <w:rsid w:val="00BA642E"/>
    <w:rsid w:val="00BC236F"/>
    <w:rsid w:val="00C5433C"/>
    <w:rsid w:val="00C802F5"/>
    <w:rsid w:val="00C96B2C"/>
    <w:rsid w:val="00CC04C1"/>
    <w:rsid w:val="00D843EC"/>
    <w:rsid w:val="00F451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39"/>
    <w:rsid w:val="00F45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201/fcpys.24484938e.2011.56.29458" TargetMode="External"/><Relationship Id="rId13" Type="http://schemas.openxmlformats.org/officeDocument/2006/relationships/hyperlink" Target="https://doi.org/10.1007/s10734-007-9063-7" TargetMode="External"/><Relationship Id="rId18" Type="http://schemas.openxmlformats.org/officeDocument/2006/relationships/hyperlink" Target="https://doi.org/10.35305/rp.v13i31.474"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patricia.rivero@ucc.edu.ar" TargetMode="External"/><Relationship Id="rId12" Type="http://schemas.openxmlformats.org/officeDocument/2006/relationships/hyperlink" Target="http://irp.cdn-website.com/a4711d47/files/uploaded/35_2015discussion_paper_Nr_35_Glaeser_Laudel.pdf" TargetMode="External"/><Relationship Id="rId17" Type="http://schemas.openxmlformats.org/officeDocument/2006/relationships/hyperlink" Target="https://ojs.sociologia-alas.org/index.php/CyC/article/view/208" TargetMode="External"/><Relationship Id="rId2" Type="http://schemas.openxmlformats.org/officeDocument/2006/relationships/styles" Target="styles.xml"/><Relationship Id="rId16" Type="http://schemas.openxmlformats.org/officeDocument/2006/relationships/hyperlink" Target="https://doi.org/10.22430/21457778.3663"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rp.cdn-website.com/a4711d47/files/uploaded/35_2015discussion_paper_Nr_35_Glaeser_Laudel.pdf" TargetMode="External"/><Relationship Id="rId5" Type="http://schemas.openxmlformats.org/officeDocument/2006/relationships/footnotes" Target="footnotes.xml"/><Relationship Id="rId15" Type="http://schemas.openxmlformats.org/officeDocument/2006/relationships/hyperlink" Target="https://doi.org/10.22325/fes/res.2024.235" TargetMode="External"/><Relationship Id="rId23" Type="http://schemas.openxmlformats.org/officeDocument/2006/relationships/theme" Target="theme/theme1.xml"/><Relationship Id="rId10" Type="http://schemas.openxmlformats.org/officeDocument/2006/relationships/hyperlink" Target="https://doi.org/10.1177/0018726710393537" TargetMode="External"/><Relationship Id="rId19" Type="http://schemas.openxmlformats.org/officeDocument/2006/relationships/hyperlink" Target="https://doi.org/10.7440/res92.2025.04" TargetMode="External"/><Relationship Id="rId4" Type="http://schemas.openxmlformats.org/officeDocument/2006/relationships/webSettings" Target="webSettings.xml"/><Relationship Id="rId9" Type="http://schemas.openxmlformats.org/officeDocument/2006/relationships/hyperlink" Target="https://doi.org/10.4067/S0718-23762022000200457" TargetMode="External"/><Relationship Id="rId14" Type="http://schemas.openxmlformats.org/officeDocument/2006/relationships/hyperlink" Target="https://doi.org/10.22201/cisan.24487228e.2019.1.361"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14</Pages>
  <Words>5512</Words>
  <Characters>30321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Patri</cp:lastModifiedBy>
  <cp:revision>7</cp:revision>
  <dcterms:created xsi:type="dcterms:W3CDTF">2026-03-14T03:50:00Z</dcterms:created>
  <dcterms:modified xsi:type="dcterms:W3CDTF">2026-07-13T01:10:00Z</dcterms:modified>
</cp:coreProperties>
</file>