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519AF" w:rsidRDefault="003519AF">
      <w:pPr>
        <w:jc w:val="center"/>
        <w:rPr>
          <w:rFonts w:ascii="Times New Roman" w:eastAsia="Times New Roman" w:hAnsi="Times New Roman" w:cs="Times New Roman"/>
        </w:rPr>
      </w:pPr>
    </w:p>
    <w:p w14:paraId="00000002" w14:textId="55A86C68" w:rsidR="003519AF" w:rsidRDefault="00000000">
      <w:pPr>
        <w:jc w:val="center"/>
        <w:rPr>
          <w:rFonts w:ascii="Times New Roman" w:eastAsia="Times New Roman" w:hAnsi="Times New Roman" w:cs="Times New Roman"/>
          <w:b/>
          <w:bCs/>
        </w:rPr>
      </w:pPr>
      <w:sdt>
        <w:sdtPr>
          <w:tag w:val="goog_rdk_0"/>
          <w:id w:val="1337259113"/>
        </w:sdtPr>
        <w:sdtContent/>
      </w:sdt>
      <w:sdt>
        <w:sdtPr>
          <w:tag w:val="goog_rdk_1"/>
          <w:id w:val="1434828144"/>
        </w:sdtPr>
        <w:sdtContent/>
      </w:sdt>
      <w:sdt>
        <w:sdtPr>
          <w:tag w:val="goog_rdk_2"/>
          <w:id w:val="301448227"/>
          <w:showingPlcHdr/>
        </w:sdtPr>
        <w:sdtContent>
          <w:r w:rsidR="00B9616F">
            <w:t xml:space="preserve">     </w:t>
          </w:r>
        </w:sdtContent>
      </w:sdt>
      <w:r>
        <w:rPr>
          <w:rFonts w:ascii="Times New Roman" w:eastAsia="Times New Roman" w:hAnsi="Times New Roman" w:cs="Times New Roman"/>
          <w:b/>
          <w:bCs/>
        </w:rPr>
        <w:t>Investigación orientada y formación de investigadores: nuevas dinámicas de incorporación al sistema científico y universitario</w:t>
      </w:r>
    </w:p>
    <w:p w14:paraId="00000003" w14:textId="77777777" w:rsidR="003519AF" w:rsidRDefault="003519AF">
      <w:pPr>
        <w:jc w:val="center"/>
        <w:rPr>
          <w:rFonts w:ascii="Times New Roman" w:eastAsia="Times New Roman" w:hAnsi="Times New Roman" w:cs="Times New Roman"/>
        </w:rPr>
      </w:pPr>
    </w:p>
    <w:p w14:paraId="00000004" w14:textId="77777777" w:rsidR="003519AF" w:rsidRPr="00D97B83" w:rsidRDefault="00000000">
      <w:pPr>
        <w:spacing w:after="0" w:line="240" w:lineRule="auto"/>
        <w:jc w:val="right"/>
        <w:rPr>
          <w:rFonts w:ascii="Times New Roman" w:eastAsia="Times New Roman" w:hAnsi="Times New Roman" w:cs="Times New Roman"/>
          <w:lang w:val="en-GB"/>
        </w:rPr>
      </w:pPr>
      <w:r w:rsidRPr="00D97B83">
        <w:rPr>
          <w:rFonts w:ascii="Times New Roman" w:eastAsia="Times New Roman" w:hAnsi="Times New Roman" w:cs="Times New Roman"/>
          <w:lang w:val="en-GB"/>
        </w:rPr>
        <w:t>Fischer Melina</w:t>
      </w:r>
    </w:p>
    <w:p w14:paraId="00000005" w14:textId="77777777" w:rsidR="003519AF" w:rsidRPr="00D97B83" w:rsidRDefault="00000000">
      <w:pPr>
        <w:spacing w:after="0" w:line="240" w:lineRule="auto"/>
        <w:jc w:val="right"/>
        <w:rPr>
          <w:rFonts w:ascii="Times New Roman" w:eastAsia="Times New Roman" w:hAnsi="Times New Roman" w:cs="Times New Roman"/>
          <w:lang w:val="en-GB"/>
        </w:rPr>
      </w:pPr>
      <w:r w:rsidRPr="00D97B83">
        <w:rPr>
          <w:rFonts w:ascii="Times New Roman" w:eastAsia="Times New Roman" w:hAnsi="Times New Roman" w:cs="Times New Roman"/>
          <w:lang w:val="en-GB"/>
        </w:rPr>
        <w:t>CENIT-</w:t>
      </w:r>
      <w:proofErr w:type="spellStart"/>
      <w:r w:rsidRPr="00D97B83">
        <w:rPr>
          <w:rFonts w:ascii="Times New Roman" w:eastAsia="Times New Roman" w:hAnsi="Times New Roman" w:cs="Times New Roman"/>
          <w:lang w:val="en-GB"/>
        </w:rPr>
        <w:t>EEyN</w:t>
      </w:r>
      <w:proofErr w:type="spellEnd"/>
      <w:r w:rsidRPr="00D97B83">
        <w:rPr>
          <w:rFonts w:ascii="Times New Roman" w:eastAsia="Times New Roman" w:hAnsi="Times New Roman" w:cs="Times New Roman"/>
          <w:lang w:val="en-GB"/>
        </w:rPr>
        <w:t>-UNSAM/CONICET</w:t>
      </w:r>
    </w:p>
    <w:p w14:paraId="00000006" w14:textId="77777777" w:rsidR="003519AF" w:rsidRPr="00D97B83" w:rsidRDefault="00000000">
      <w:pPr>
        <w:spacing w:after="0" w:line="240" w:lineRule="auto"/>
        <w:jc w:val="right"/>
        <w:rPr>
          <w:rFonts w:ascii="Times New Roman" w:eastAsia="Times New Roman" w:hAnsi="Times New Roman" w:cs="Times New Roman"/>
          <w:lang w:val="en-GB"/>
        </w:rPr>
      </w:pPr>
      <w:r w:rsidRPr="00D97B83">
        <w:rPr>
          <w:rFonts w:ascii="Times New Roman" w:eastAsia="Times New Roman" w:hAnsi="Times New Roman" w:cs="Times New Roman"/>
          <w:lang w:val="en-GB"/>
        </w:rPr>
        <w:t>fischer.melina@gmail.com</w:t>
      </w:r>
    </w:p>
    <w:p w14:paraId="00000007" w14:textId="77777777" w:rsidR="003519AF" w:rsidRPr="00D97B83" w:rsidRDefault="003519AF">
      <w:pPr>
        <w:rPr>
          <w:rFonts w:ascii="Times New Roman" w:eastAsia="Times New Roman" w:hAnsi="Times New Roman" w:cs="Times New Roman"/>
          <w:lang w:val="en-GB"/>
        </w:rPr>
      </w:pPr>
    </w:p>
    <w:p w14:paraId="00000008" w14:textId="77777777" w:rsidR="003519AF" w:rsidRPr="00D97B83" w:rsidRDefault="00000000">
      <w:pPr>
        <w:spacing w:after="0" w:line="240" w:lineRule="auto"/>
        <w:jc w:val="right"/>
        <w:rPr>
          <w:rFonts w:ascii="Times New Roman" w:eastAsia="Times New Roman" w:hAnsi="Times New Roman" w:cs="Times New Roman"/>
          <w:lang w:val="en-GB"/>
        </w:rPr>
      </w:pPr>
      <w:proofErr w:type="spellStart"/>
      <w:r w:rsidRPr="00D97B83">
        <w:rPr>
          <w:rFonts w:ascii="Times New Roman" w:eastAsia="Times New Roman" w:hAnsi="Times New Roman" w:cs="Times New Roman"/>
          <w:lang w:val="en-GB"/>
        </w:rPr>
        <w:t>Sarthou</w:t>
      </w:r>
      <w:proofErr w:type="spellEnd"/>
      <w:r w:rsidRPr="00D97B83">
        <w:rPr>
          <w:rFonts w:ascii="Times New Roman" w:eastAsia="Times New Roman" w:hAnsi="Times New Roman" w:cs="Times New Roman"/>
          <w:lang w:val="en-GB"/>
        </w:rPr>
        <w:t xml:space="preserve"> Nerina</w:t>
      </w:r>
    </w:p>
    <w:p w14:paraId="00000009" w14:textId="77777777" w:rsidR="003519AF" w:rsidRPr="00D97B83" w:rsidRDefault="00000000">
      <w:pPr>
        <w:spacing w:after="0" w:line="240" w:lineRule="auto"/>
        <w:jc w:val="right"/>
        <w:rPr>
          <w:rFonts w:ascii="Times New Roman" w:eastAsia="Times New Roman" w:hAnsi="Times New Roman" w:cs="Times New Roman"/>
          <w:lang w:val="en-GB"/>
        </w:rPr>
      </w:pPr>
      <w:r w:rsidRPr="00D97B83">
        <w:rPr>
          <w:rFonts w:ascii="Times New Roman" w:eastAsia="Times New Roman" w:hAnsi="Times New Roman" w:cs="Times New Roman"/>
          <w:lang w:val="en-GB"/>
        </w:rPr>
        <w:t>CEIPIL-FCH-UNCPBA/CONICET</w:t>
      </w:r>
    </w:p>
    <w:p w14:paraId="0000000A" w14:textId="77777777" w:rsidR="003519AF"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nsarthou@fch.unicen.edu.ar</w:t>
      </w:r>
    </w:p>
    <w:p w14:paraId="0000000B" w14:textId="77777777" w:rsidR="003519AF" w:rsidRDefault="003519AF">
      <w:pPr>
        <w:spacing w:after="0" w:line="240" w:lineRule="auto"/>
        <w:jc w:val="right"/>
        <w:rPr>
          <w:rFonts w:ascii="Times New Roman" w:eastAsia="Times New Roman" w:hAnsi="Times New Roman" w:cs="Times New Roman"/>
        </w:rPr>
      </w:pPr>
    </w:p>
    <w:p w14:paraId="0000000C" w14:textId="77777777" w:rsidR="003519AF" w:rsidRDefault="00000000">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0000000D" w14:textId="77777777" w:rsidR="003519AF" w:rsidRDefault="003519AF">
      <w:pPr>
        <w:jc w:val="center"/>
        <w:rPr>
          <w:rFonts w:ascii="Times New Roman" w:eastAsia="Times New Roman" w:hAnsi="Times New Roman" w:cs="Times New Roman"/>
        </w:rPr>
      </w:pPr>
    </w:p>
    <w:p w14:paraId="0000000E" w14:textId="77777777" w:rsidR="003519AF" w:rsidRDefault="003519AF">
      <w:pPr>
        <w:rPr>
          <w:rFonts w:ascii="Times New Roman" w:eastAsia="Times New Roman" w:hAnsi="Times New Roman" w:cs="Times New Roman"/>
          <w:b/>
          <w:bCs/>
        </w:rPr>
      </w:pPr>
    </w:p>
    <w:p w14:paraId="0000000F" w14:textId="77777777" w:rsidR="003519AF"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r>
        <w:rPr>
          <w:rFonts w:ascii="Times New Roman" w:eastAsia="Times New Roman" w:hAnsi="Times New Roman" w:cs="Times New Roman"/>
        </w:rPr>
        <w:t xml:space="preserve"> Desde inicios del siglo XXI se identifica en las políticas de ciencia, tecnología e innovación una tendencia global hacia la promoción de la investigación orientada a la resolución de problemas (</w:t>
      </w:r>
      <w:proofErr w:type="spellStart"/>
      <w:r>
        <w:rPr>
          <w:rFonts w:ascii="Times New Roman" w:eastAsia="Times New Roman" w:hAnsi="Times New Roman" w:cs="Times New Roman"/>
        </w:rPr>
        <w:t>Mazzucato</w:t>
      </w:r>
      <w:proofErr w:type="spellEnd"/>
      <w:r>
        <w:rPr>
          <w:rFonts w:ascii="Times New Roman" w:eastAsia="Times New Roman" w:hAnsi="Times New Roman" w:cs="Times New Roman"/>
        </w:rPr>
        <w:t xml:space="preserve">, 2018; </w:t>
      </w:r>
      <w:proofErr w:type="spellStart"/>
      <w:r>
        <w:rPr>
          <w:rFonts w:ascii="Times New Roman" w:eastAsia="Times New Roman" w:hAnsi="Times New Roman" w:cs="Times New Roman"/>
        </w:rPr>
        <w:t>Sarthou</w:t>
      </w:r>
      <w:proofErr w:type="spellEnd"/>
      <w:r>
        <w:rPr>
          <w:rFonts w:ascii="Times New Roman" w:eastAsia="Times New Roman" w:hAnsi="Times New Roman" w:cs="Times New Roman"/>
        </w:rPr>
        <w:t xml:space="preserve">, 2023), es decir, un tipo de investigación en la que cobran relevancia las soluciones a demandas y problemas específicos de la sociedad, así como el vínculo con diversos actores sociales, incluyendo a los posibles adoptantes o demandantes de los resultados de la investigación (Norn </w:t>
      </w:r>
      <w:r>
        <w:rPr>
          <w:rFonts w:ascii="Times New Roman" w:eastAsia="Times New Roman" w:hAnsi="Times New Roman" w:cs="Times New Roman"/>
          <w:i/>
          <w:iCs/>
        </w:rPr>
        <w:t>et al</w:t>
      </w:r>
      <w:r>
        <w:rPr>
          <w:rFonts w:ascii="Times New Roman" w:eastAsia="Times New Roman" w:hAnsi="Times New Roman" w:cs="Times New Roman"/>
        </w:rPr>
        <w:t xml:space="preserve">., 2024; </w:t>
      </w:r>
      <w:proofErr w:type="spellStart"/>
      <w:r>
        <w:rPr>
          <w:rFonts w:ascii="Times New Roman" w:eastAsia="Times New Roman" w:hAnsi="Times New Roman" w:cs="Times New Roman"/>
        </w:rPr>
        <w:t>Cuschnir</w:t>
      </w:r>
      <w:proofErr w:type="spellEnd"/>
      <w:r>
        <w:rPr>
          <w:rFonts w:ascii="Times New Roman" w:eastAsia="Times New Roman" w:hAnsi="Times New Roman" w:cs="Times New Roman"/>
        </w:rPr>
        <w:t xml:space="preserve">, 2021; </w:t>
      </w:r>
      <w:proofErr w:type="spellStart"/>
      <w:r>
        <w:rPr>
          <w:rFonts w:ascii="Times New Roman" w:eastAsia="Times New Roman" w:hAnsi="Times New Roman" w:cs="Times New Roman"/>
        </w:rPr>
        <w:t>Mazzucato</w:t>
      </w:r>
      <w:proofErr w:type="spellEnd"/>
      <w:r>
        <w:rPr>
          <w:rFonts w:ascii="Times New Roman" w:eastAsia="Times New Roman" w:hAnsi="Times New Roman" w:cs="Times New Roman"/>
        </w:rPr>
        <w:t>, 2018). En el caso del CONICET, este tipo de políticas se tradujo a partir del Plan Argentina Innovadora 2020, en la apertura de convocatorias en Temas Estratégicos (TE) para becas doctorales y posdoctorales en 2012, y para el ingreso a la Carrera del Investigador Científico y Tecnológico (</w:t>
      </w:r>
      <w:proofErr w:type="spellStart"/>
      <w:r>
        <w:rPr>
          <w:rFonts w:ascii="Times New Roman" w:eastAsia="Times New Roman" w:hAnsi="Times New Roman" w:cs="Times New Roman"/>
        </w:rPr>
        <w:t>CICyT</w:t>
      </w:r>
      <w:proofErr w:type="spellEnd"/>
      <w:r>
        <w:rPr>
          <w:rFonts w:ascii="Times New Roman" w:eastAsia="Times New Roman" w:hAnsi="Times New Roman" w:cs="Times New Roman"/>
        </w:rPr>
        <w:t xml:space="preserve">) en 2013. El ingreso a la </w:t>
      </w:r>
      <w:proofErr w:type="spellStart"/>
      <w:r>
        <w:rPr>
          <w:rFonts w:ascii="Times New Roman" w:eastAsia="Times New Roman" w:hAnsi="Times New Roman" w:cs="Times New Roman"/>
        </w:rPr>
        <w:t>CICyT</w:t>
      </w:r>
      <w:proofErr w:type="spellEnd"/>
      <w:r>
        <w:rPr>
          <w:rFonts w:ascii="Times New Roman" w:eastAsia="Times New Roman" w:hAnsi="Times New Roman" w:cs="Times New Roman"/>
        </w:rPr>
        <w:t xml:space="preserve"> implica un puesto permanente en investigación, en la mayoría de los casos con lugar de trabajo en la universidad. Este tipo de políticas ha implicado por ello, profundas transformaciones, tanto en el desarrollo de las trayectorias académicas como en los espacios de formación e inserción universitarios. El desarrollo de las carreras implica analizar múltiples dimensiones: aspectos cognitivos, de la comunidad académica y de las instituciones en las que se insertan (</w:t>
      </w:r>
      <w:proofErr w:type="spellStart"/>
      <w:r>
        <w:rPr>
          <w:rFonts w:ascii="Times New Roman" w:eastAsia="Times New Roman" w:hAnsi="Times New Roman" w:cs="Times New Roman"/>
        </w:rPr>
        <w:t>Laudel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Bielick</w:t>
      </w:r>
      <w:proofErr w:type="spellEnd"/>
      <w:r>
        <w:rPr>
          <w:rFonts w:ascii="Times New Roman" w:eastAsia="Times New Roman" w:hAnsi="Times New Roman" w:cs="Times New Roman"/>
        </w:rPr>
        <w:t xml:space="preserve"> y Gläser, 2019). Asimismo, los procedimientos y criterios de evaluación son performativos de las agendas y trayectorias de los/las investigadores, aspecto de fundamental importancia en aquellos instrumentos que buscan promover la investigación orientada hacia la resolución de problemas. Siguiendo a Bianco, Mazzitelli y Tomassini (2014, p. 159), podemos entender a los criterios de evaluación “como señales que ejercen influencia y generan tensiones en las decisiones cotidianas de investigadores”. Invernizzi (2022), por su parte, sostiene que los procedimientos de evaluación inciden en las agendas científicas y que, en la actualidad, los países latinoamericanos, a través del predominio de los indicadores bibliométricos cuantitativos, promueven agendas internacionalizadas y una ciencia poco aplicable. En este marco, este trabajo se propone aportar a la reflexión sobre los desafíos </w:t>
      </w:r>
      <w:r>
        <w:rPr>
          <w:rFonts w:ascii="Times New Roman" w:eastAsia="Times New Roman" w:hAnsi="Times New Roman" w:cs="Times New Roman"/>
        </w:rPr>
        <w:lastRenderedPageBreak/>
        <w:t>de la formación e inserción de investigadores/as con perfiles de investigación orientados hacia la resolución de problemas situados en la universidad. Más específicamente, tomando el caso de los/las investigadores en Temas Estratégicos del CONICET que ingresaron a partir de la convocatoria de 2017 (año en el que la evaluación para el ingreso se organiza en subcomisiones para cada TE con criterios de evaluación específicos de este llamado) y, a partir del trabajo con documentos institucionales, nos proponemos analizar sus trayectorias en cuanto a la permanencia y la promoción, indagando particularmente en los cambios introducidos en la misma desde la implementación de los TE hasta la actualidad. Asimismo, a partir del análisis de entrevistas a investigadores/as en TE, el trabajo se propone incorporar las percepciones de los actores sobre este tipo especial de política científica y la evaluación de sus trayectorias.</w:t>
      </w:r>
    </w:p>
    <w:p w14:paraId="00000010" w14:textId="77777777" w:rsidR="003519AF"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Palabras clave:</w:t>
      </w:r>
      <w:r>
        <w:rPr>
          <w:rFonts w:ascii="Times New Roman" w:eastAsia="Times New Roman" w:hAnsi="Times New Roman" w:cs="Times New Roman"/>
        </w:rPr>
        <w:t xml:space="preserve"> investigación orientada, carrera científica, CONICET, evaluación. </w:t>
      </w:r>
    </w:p>
    <w:p w14:paraId="00000011" w14:textId="77777777" w:rsidR="003519AF" w:rsidRPr="003C689E" w:rsidRDefault="00000000" w:rsidP="003C689E">
      <w:pPr>
        <w:spacing w:line="240" w:lineRule="auto"/>
        <w:rPr>
          <w:rFonts w:ascii="Times New Roman" w:eastAsia="Times New Roman" w:hAnsi="Times New Roman" w:cs="Times New Roman"/>
          <w:b/>
          <w:bCs/>
        </w:rPr>
      </w:pPr>
      <w:r w:rsidRPr="003C689E">
        <w:rPr>
          <w:rFonts w:ascii="Times New Roman" w:eastAsia="Times New Roman" w:hAnsi="Times New Roman" w:cs="Times New Roman"/>
          <w:b/>
          <w:bCs/>
        </w:rPr>
        <w:t>Introducción</w:t>
      </w:r>
    </w:p>
    <w:p w14:paraId="00000012"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En las últimas dos décadas, los instrumentos de financiamiento público de la ciencia, la tecnología y la innovación (CTI) han experimentado transformaciones significativas. Estos cambios responden, en gran medida, a la intención de los responsables de política científica de fortalecer el impacto social de la investigación. En este marco, las agencias de financiamiento han adoptado diversas estrategias, entre ellas: la apertura de convocatorias focalizadas en problemas socialmente relevantes; la incorporación explícita de criterios vinculados a la generación de impactos en los resultados de los proyectos financiados; y la promoción de enfoques interdisciplinarios o transdisciplinarios que involucren a usuarios externos y actores sociales, bajo el supuesto de que la interacción favorece la resolución de problemas complejos (Norn </w:t>
      </w:r>
      <w:r w:rsidRPr="003C689E">
        <w:rPr>
          <w:rFonts w:ascii="Times New Roman" w:eastAsia="Times New Roman" w:hAnsi="Times New Roman" w:cs="Times New Roman"/>
          <w:i/>
          <w:iCs/>
        </w:rPr>
        <w:t>et al</w:t>
      </w:r>
      <w:r w:rsidRPr="003C689E">
        <w:rPr>
          <w:rFonts w:ascii="Times New Roman" w:eastAsia="Times New Roman" w:hAnsi="Times New Roman" w:cs="Times New Roman"/>
        </w:rPr>
        <w:t>. 2024).</w:t>
      </w:r>
    </w:p>
    <w:p w14:paraId="00000013"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En América Latina, un estudio reciente en diez países mostró que la mitad de los instrumentos de política de I+D se orientan a misiones u Objetivos de Desarrollo Sostenible (Vélez Cuartas y Torres Arroyave, 2022), lo que evidencia la creciente centralidad de los enfoques orientados en la región. En Argentina, esta tendencia se ha vinculado con el avance de la planificación en el sector mediante los Planes Nacionales de CTI y en la incorporación progresiva de prioridades temáticas en los instrumentos de financiamiento desde 2003, atravesando distintas etapas de institucionalización (Rovelli, 2017). En este proceso, los organismos públicos adaptaron los instrumentos tradicionales o crearon convocatorias específicas dirigidas a sectores estratégicos (</w:t>
      </w:r>
      <w:proofErr w:type="spellStart"/>
      <w:r w:rsidRPr="003C689E">
        <w:rPr>
          <w:rFonts w:ascii="Times New Roman" w:eastAsia="Times New Roman" w:hAnsi="Times New Roman" w:cs="Times New Roman"/>
        </w:rPr>
        <w:t>Sarthou</w:t>
      </w:r>
      <w:proofErr w:type="spellEnd"/>
      <w:r w:rsidRPr="003C689E">
        <w:rPr>
          <w:rFonts w:ascii="Times New Roman" w:eastAsia="Times New Roman" w:hAnsi="Times New Roman" w:cs="Times New Roman"/>
        </w:rPr>
        <w:t xml:space="preserve"> y Castiglione, 2023; </w:t>
      </w:r>
      <w:proofErr w:type="spellStart"/>
      <w:r w:rsidRPr="003C689E">
        <w:rPr>
          <w:rFonts w:ascii="Times New Roman" w:eastAsia="Times New Roman" w:hAnsi="Times New Roman" w:cs="Times New Roman"/>
        </w:rPr>
        <w:t>Sarthou</w:t>
      </w:r>
      <w:proofErr w:type="spellEnd"/>
      <w:r w:rsidRPr="003C689E">
        <w:rPr>
          <w:rFonts w:ascii="Times New Roman" w:eastAsia="Times New Roman" w:hAnsi="Times New Roman" w:cs="Times New Roman"/>
        </w:rPr>
        <w:t>, 2024). No obstante, si bien la literatura internacional avanzó en el análisis de estas políticas, existe aún escasa evidencia sobre el contexto argentino, lo cual limita la comprensión de los alcances reales de estos instrumentos y de los desafíos organizacionales que enfrentan los organismos responsables de su gestión.</w:t>
      </w:r>
    </w:p>
    <w:p w14:paraId="00000014"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En este sentido, la presente propuesta se orienta a analizar convocatorias estructuradas en torno a temáticas prioritarias, misiones o desafíos globales. Estos instrumentos son diseñados e implementados por una diversidad de organismos públicos de CTI que pueden tener carácter sectorial o estar específicamente dedicados a la promoción de la CTI, así como por agencias con misiones más amplias relacionadas con el desarrollo económico o sectores estratégicos como energía, salud o agricultura. Examinar la </w:t>
      </w:r>
      <w:r w:rsidRPr="003C689E">
        <w:rPr>
          <w:rFonts w:ascii="Times New Roman" w:eastAsia="Times New Roman" w:hAnsi="Times New Roman" w:cs="Times New Roman"/>
        </w:rPr>
        <w:lastRenderedPageBreak/>
        <w:t>efectividad de estas políticas orientadas a la resolución de problemas del desarrollo resulta fundamental tanto para la academia como para los responsables de la formulación de políticas públicas.</w:t>
      </w:r>
    </w:p>
    <w:p w14:paraId="00000015"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En el caso de Argentina, el Consejo Nacional de Investigaciones Científicas y Técnicas (CONICET) implementa desde su creación una carrera del investigador que se </w:t>
      </w:r>
      <w:proofErr w:type="spellStart"/>
      <w:r w:rsidRPr="003C689E">
        <w:rPr>
          <w:rFonts w:ascii="Times New Roman" w:eastAsia="Times New Roman" w:hAnsi="Times New Roman" w:cs="Times New Roman"/>
        </w:rPr>
        <w:t>vió</w:t>
      </w:r>
      <w:proofErr w:type="spellEnd"/>
      <w:r w:rsidRPr="003C689E">
        <w:rPr>
          <w:rFonts w:ascii="Times New Roman" w:eastAsia="Times New Roman" w:hAnsi="Times New Roman" w:cs="Times New Roman"/>
        </w:rPr>
        <w:t xml:space="preserve"> transformada producto de estas nuevas políticas orientadas a la resolución de problemas. Este consejo, comenzó a implementar políticas orientadas a partir de la definición del Plan Argentina Innovadora 2020, concretamente, el llamado en Temas Estratégicos (TE) para becas doctorales en 2012, y luego el ingreso a la Carrera del Investigador Científico y Tecnológico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xml:space="preserve">) en 2013. Desde entonces, hubo once convocatorias para Temas Estratégicos, cuyos temas fueron organizados en seis sectores productivos (Agroindustria; Ambiente y Desarrollo Sustentable; Desarrollo Social; Energía; Industria; y Salud). En diciembre de 2025, el CONICET publicó una nueva convocatoria para el ingreso a la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esta ocasión dividiendo los cupos de la “modalidad general”, en un 70% para Temas Priorizados y un 30% para Temas Abiertos. Al analizar el listado de Temas Priorizados se observa que los mismos se desprenden de los Temas Estratégicos, conservando algunos de los sectores/subcomisiones de años anteriores, a la vez que modifica otros e incorpora nuevos temas y áreas del conocimiento.</w:t>
      </w:r>
    </w:p>
    <w:p w14:paraId="00000016"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Asimismo, dentro de la diversificación de modalidades para el ingreso a al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xml:space="preserve"> cabe mencionar el llamado en Fortalecimiento I+D+i implementado en 2018 y los Proyectos Especiales en 2020. El primero, busca “favorecer el ingreso de investigadores en universidades públicas (mayoritariamente nacionales) y organismos nacionales de </w:t>
      </w:r>
      <w:proofErr w:type="spellStart"/>
      <w:r w:rsidRPr="003C689E">
        <w:rPr>
          <w:rFonts w:ascii="Times New Roman" w:eastAsia="Times New Roman" w:hAnsi="Times New Roman" w:cs="Times New Roman"/>
        </w:rPr>
        <w:t>CyT</w:t>
      </w:r>
      <w:proofErr w:type="spellEnd"/>
      <w:r w:rsidRPr="003C689E">
        <w:rPr>
          <w:rFonts w:ascii="Times New Roman" w:eastAsia="Times New Roman" w:hAnsi="Times New Roman" w:cs="Times New Roman"/>
        </w:rPr>
        <w:t xml:space="preserve"> con menor inserción de Investigadores para fortalecer sus capacidades en investigación, desarrollo e innovación” (CONICET, 2024). Por su parte, los Proyectos Especiales se han subdivido en dos líneas: por un lado, como parte de la política de federalización del organismo, se encuentran los Proyectos Especiales con Provincias,; y, por el otro, los Proyectos Especiales Temáticos en temas o disciplinas identificados como prioritarios o estratégicos. </w:t>
      </w:r>
    </w:p>
    <w:p w14:paraId="00000017"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La introducción de diversos instrumentos de orientación de la investigación complejiza la dimensión de la evaluación, ya que como señala Invernizzi (2022) el poder orientador de las prácticas de evaluación puede volver inocuos los objetivos de las políticas de CTI orientados a enfrentar problemas nacionales. Como señalan diversos trabajos, los procedimientos y criterios de evaluación científica son performativos de las agendas de investigación y de las trayectorias de los/las investigadores/as. Siguiendo a Bianco, Mazzitelli y Tomassini (2014, p. 159), podemos entender a los criterios de evaluación “como señales que ejercen influencia y generan tensiones en las decisiones cotidianas de investigadores”. Invernizzi (2022), por su parte, sostiene que los procedimientos de evaluación inciden en las agendas científicas y que, en la actualidad, los países latinoamericanos, a través del predominio de los indicadores bibliométricos cuantitativos, promueven agendas internacionalizadas y una ciencia poco aplicable. De igual manera, trabajos sobre diversos instrumentos y latitudes muestran las tensiones que experimentan los/las investigadores/as entre la realización de actividades de vinculación y transferencia y la publicación en revistas académicas, a partir de lo que entienden que es valorado en </w:t>
      </w:r>
      <w:r w:rsidRPr="003C689E">
        <w:rPr>
          <w:rFonts w:ascii="Times New Roman" w:eastAsia="Times New Roman" w:hAnsi="Times New Roman" w:cs="Times New Roman"/>
        </w:rPr>
        <w:lastRenderedPageBreak/>
        <w:t xml:space="preserve">los criterios de evaluación predominantes (Bianco, Mazzitelli y Tomassini 2014; </w:t>
      </w:r>
      <w:proofErr w:type="spellStart"/>
      <w:r w:rsidRPr="003C689E">
        <w:rPr>
          <w:rFonts w:ascii="Times New Roman" w:eastAsia="Times New Roman" w:hAnsi="Times New Roman" w:cs="Times New Roman"/>
        </w:rPr>
        <w:t>Naidorf</w:t>
      </w:r>
      <w:proofErr w:type="spellEnd"/>
      <w:r w:rsidRPr="003C689E">
        <w:rPr>
          <w:rFonts w:ascii="Times New Roman" w:eastAsia="Times New Roman" w:hAnsi="Times New Roman" w:cs="Times New Roman"/>
        </w:rPr>
        <w:t xml:space="preserve"> </w:t>
      </w:r>
      <w:r w:rsidRPr="003C689E">
        <w:rPr>
          <w:rFonts w:ascii="Times New Roman" w:eastAsia="Times New Roman" w:hAnsi="Times New Roman" w:cs="Times New Roman"/>
          <w:i/>
          <w:iCs/>
        </w:rPr>
        <w:t>et al</w:t>
      </w:r>
      <w:r w:rsidRPr="003C689E">
        <w:rPr>
          <w:rFonts w:ascii="Times New Roman" w:eastAsia="Times New Roman" w:hAnsi="Times New Roman" w:cs="Times New Roman"/>
        </w:rPr>
        <w:t xml:space="preserve">.; 2020; Sigl, Felt y Fochler, 2020; </w:t>
      </w:r>
      <w:proofErr w:type="spellStart"/>
      <w:r w:rsidRPr="003C689E">
        <w:rPr>
          <w:rFonts w:ascii="Times New Roman" w:eastAsia="Times New Roman" w:hAnsi="Times New Roman" w:cs="Times New Roman"/>
        </w:rPr>
        <w:t>Vasen</w:t>
      </w:r>
      <w:proofErr w:type="spellEnd"/>
      <w:r w:rsidRPr="003C689E">
        <w:rPr>
          <w:rFonts w:ascii="Times New Roman" w:eastAsia="Times New Roman" w:hAnsi="Times New Roman" w:cs="Times New Roman"/>
        </w:rPr>
        <w:t xml:space="preserve">, 2018). </w:t>
      </w:r>
    </w:p>
    <w:p w14:paraId="00000018"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En este marco, este trabajo se propone aportar a la reflexión sobre los desafíos de la evaluación de trayectorias de investigadores/as con perfiles de investigación orientados hacia la resolución de problemas. Más específicamente, tomando el caso de los/las investigadores en Temas Estratégicos del CONICET, nos proponemos analizar la normativa y documentación disponible sobre la evaluación de sus trayectorias en cuanto a la permanencia y la promoción, indagando particularmente en los cambios introducidos en la misma desde la implementación de los TE hasta la actualidad.</w:t>
      </w:r>
    </w:p>
    <w:p w14:paraId="00000019"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Resulta relevante destacar que, a nivel internacional, el financiamiento para la promoción de la investigación orientada a la resolución de problemas se ha canalizado a través de proyectos (Vélez Cuartas y Torres Arroyave, 2022; Gras </w:t>
      </w:r>
      <w:r w:rsidRPr="003C689E">
        <w:rPr>
          <w:rFonts w:ascii="Times New Roman" w:eastAsia="Times New Roman" w:hAnsi="Times New Roman" w:cs="Times New Roman"/>
          <w:i/>
          <w:iCs/>
        </w:rPr>
        <w:t>et al</w:t>
      </w:r>
      <w:r w:rsidRPr="003C689E">
        <w:rPr>
          <w:rFonts w:ascii="Times New Roman" w:eastAsia="Times New Roman" w:hAnsi="Times New Roman" w:cs="Times New Roman"/>
        </w:rPr>
        <w:t xml:space="preserve">., 2024; Rovelli y González, 2024). En este sentido, la particularidad del caso analizado (miembros de la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xml:space="preserve"> en TE) consiste en que el financiamiento se dirige a las carreras de los científicos/as, quienes ingresan al organismo en un puesto de investigación permanente. Considerando el extenso plazo temporal de las carreras, resulta relevante explorar si existe a nivel normativo procedimientos o criterios de evaluación que valoren y promuevan la producción de conocimiento orientada hacia la resolución de problemas, así como las percepciones de los propios evaluados en torno a ello. Asimismo, la importancia de analizar la CICYT de CONICET reside que este organismo concentra gran parte de los recursos humanos más altamente capacitados del país, su asignación anual para becas e ingresos marca en gran medida el rumbo y las perspectivas de desarrollo científico y tecnológico del país, ya sean en lo temático como en lo geográfico.</w:t>
      </w:r>
    </w:p>
    <w:p w14:paraId="0000001A"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El trabajo se basa en un abordaje cualitativo que incluye, en primer lugar, el análisis de documentación institucional referida a los procesos, normativas y criterios de evaluación para los informes reglamentarios y las solicitudes de promoción en el marco de la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xml:space="preserve">, indagando si los mismos han sido modificados para dar cuenta de las particularidades de los perfiles orientados hacia la resolución de problemas. Asimismo, nos encontramos realizando entrevistas semiestructuradas a investigadores/as que ingresaron a la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xml:space="preserve"> por Temas Estratégicos en las convocatorias 2017 a 2019 por las subcomisiones de agroindustria (2 casos), salud (3 casos) y desarrollo y tecnología social (1 caso). Al tratarse de un trabajo en curso, aquí se presentan algunos emergentes incipientes a partir de las seis entrevistas realizadas hasta la fecha, sobre los que será necesario seguir profundizando o problematizando a partir de la ampliación de la muestra.</w:t>
      </w:r>
    </w:p>
    <w:p w14:paraId="0000001B" w14:textId="77777777" w:rsidR="003519AF" w:rsidRPr="003C689E" w:rsidRDefault="003519AF" w:rsidP="003C689E">
      <w:pPr>
        <w:spacing w:line="240" w:lineRule="auto"/>
        <w:jc w:val="both"/>
        <w:rPr>
          <w:rFonts w:ascii="Times New Roman" w:eastAsia="Times New Roman" w:hAnsi="Times New Roman" w:cs="Times New Roman"/>
        </w:rPr>
      </w:pPr>
    </w:p>
    <w:p w14:paraId="0000001C"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b/>
          <w:bCs/>
        </w:rPr>
        <w:t>E</w:t>
      </w:r>
      <w:r w:rsidRPr="003C689E">
        <w:rPr>
          <w:rFonts w:ascii="Times New Roman" w:eastAsia="Times New Roman" w:hAnsi="Times New Roman" w:cs="Times New Roman"/>
          <w:b/>
          <w:bCs/>
          <w:color w:val="000000"/>
        </w:rPr>
        <w:t>valuación de</w:t>
      </w:r>
      <w:r w:rsidRPr="003C689E">
        <w:rPr>
          <w:rFonts w:ascii="Times New Roman" w:eastAsia="Times New Roman" w:hAnsi="Times New Roman" w:cs="Times New Roman"/>
          <w:b/>
          <w:bCs/>
        </w:rPr>
        <w:t xml:space="preserve"> la investigación y políticas de CTI </w:t>
      </w:r>
      <w:r w:rsidRPr="003C689E">
        <w:rPr>
          <w:rFonts w:ascii="Times New Roman" w:eastAsia="Times New Roman" w:hAnsi="Times New Roman" w:cs="Times New Roman"/>
          <w:b/>
          <w:bCs/>
          <w:color w:val="000000"/>
        </w:rPr>
        <w:t>orientadas a la resolución de problemas </w:t>
      </w:r>
    </w:p>
    <w:p w14:paraId="0000001D"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Los aportes de la bibliografía para el presente análisis se pueden clasificar en dos líneas de trabajo que, aunque es posible distinguirlas, se encuentran estrechamente relacionadas: por un lado, trabajos que indagan sobre la evaluación de proyectos orientados a la resolución de problemas; y, por el otro, las discusiones sobre la evaluación responsable de la ciencia.</w:t>
      </w:r>
    </w:p>
    <w:p w14:paraId="0000001E"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lastRenderedPageBreak/>
        <w:t xml:space="preserve">Una parte de los aportes sobre la evaluación de la investigación orientada a la resolución de problemas se centró en la evaluación de las propuestas de investigación (Gras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xml:space="preserve">., 2024; Rovelli y González, 2024; </w:t>
      </w:r>
      <w:proofErr w:type="spellStart"/>
      <w:r w:rsidRPr="003C689E">
        <w:rPr>
          <w:rFonts w:ascii="Times New Roman" w:eastAsia="Times New Roman" w:hAnsi="Times New Roman" w:cs="Times New Roman"/>
          <w:color w:val="000000"/>
        </w:rPr>
        <w:t>Sarthou</w:t>
      </w:r>
      <w:proofErr w:type="spellEnd"/>
      <w:r w:rsidRPr="003C689E">
        <w:rPr>
          <w:rFonts w:ascii="Times New Roman" w:eastAsia="Times New Roman" w:hAnsi="Times New Roman" w:cs="Times New Roman"/>
          <w:color w:val="000000"/>
        </w:rPr>
        <w:t xml:space="preserve">, 2024), es decir en la evaluación </w:t>
      </w:r>
      <w:r w:rsidRPr="003C689E">
        <w:rPr>
          <w:rFonts w:ascii="Times New Roman" w:eastAsia="Times New Roman" w:hAnsi="Times New Roman" w:cs="Times New Roman"/>
          <w:i/>
          <w:iCs/>
          <w:color w:val="000000"/>
        </w:rPr>
        <w:t>ex ante</w:t>
      </w:r>
      <w:r w:rsidRPr="003C689E">
        <w:rPr>
          <w:rFonts w:ascii="Times New Roman" w:eastAsia="Times New Roman" w:hAnsi="Times New Roman" w:cs="Times New Roman"/>
          <w:color w:val="000000"/>
        </w:rPr>
        <w:t xml:space="preserve"> de los proyectos de investigación. Como señala Gras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(2024) la evaluación de la calidad de la investigación orientada encierra una doble complejidad ya que involucra la apreciación de los méritos académicos intrínsecos de las propuestas de investigación (aspecto que ponen en práctica todas las organizaciones científicas), así como de una evaluación sobre la capacidad de las propuestas para contribuir potencialmente con una solución específica al problema abordado. En esta misma línea, Rovelli y González (2024) mencionan el potencial impacto y la factibilidad como dimensiones consideradas en la evaluación de proyectos orientados. </w:t>
      </w:r>
    </w:p>
    <w:p w14:paraId="0000001F"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Para evaluar estas propuestas considerando su potencial impacto o solución a demandas concretas, la literatura resalta algunas prácticas que llevan adelante (o que podrían implementar) las instituciones científicas. Entre ellas se encuentra la combinación de métodos cualitativos y cuantitativos que permitan valorar adecuadamente las propuestas (Gras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xml:space="preserve">, 2024), la </w:t>
      </w:r>
      <w:r w:rsidRPr="003C689E">
        <w:rPr>
          <w:rFonts w:ascii="Times New Roman" w:eastAsia="Times New Roman" w:hAnsi="Times New Roman" w:cs="Times New Roman"/>
        </w:rPr>
        <w:t xml:space="preserve">incorporación </w:t>
      </w:r>
      <w:r w:rsidRPr="003C689E">
        <w:rPr>
          <w:rFonts w:ascii="Times New Roman" w:eastAsia="Times New Roman" w:hAnsi="Times New Roman" w:cs="Times New Roman"/>
          <w:color w:val="000000"/>
        </w:rPr>
        <w:t xml:space="preserve">de actores no académicos en el proceso de investigación (Gras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xml:space="preserve">., 2024; </w:t>
      </w:r>
      <w:proofErr w:type="spellStart"/>
      <w:r w:rsidRPr="003C689E">
        <w:rPr>
          <w:rFonts w:ascii="Times New Roman" w:eastAsia="Times New Roman" w:hAnsi="Times New Roman" w:cs="Times New Roman"/>
          <w:color w:val="000000"/>
        </w:rPr>
        <w:t>Naidorf</w:t>
      </w:r>
      <w:proofErr w:type="spellEnd"/>
      <w:r w:rsidRPr="003C689E">
        <w:rPr>
          <w:rFonts w:ascii="Times New Roman" w:eastAsia="Times New Roman" w:hAnsi="Times New Roman" w:cs="Times New Roman"/>
          <w:color w:val="000000"/>
        </w:rPr>
        <w:t xml:space="preserve">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2016). </w:t>
      </w:r>
    </w:p>
    <w:p w14:paraId="00000020"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Otros trabajos también destacan entre los desafíos de la evaluación del impacto social de la investigación (entendido como las contribuciones evidenciadas de la investigación para mejoras sociales, más allá de la academia) la falta de una definición unificada del impacto social, el hecho de que el mismo es un proceso no lineal que involucra tiempos extensos, múltiples actores, escalas  (</w:t>
      </w:r>
      <w:proofErr w:type="spellStart"/>
      <w:r w:rsidRPr="003C689E">
        <w:rPr>
          <w:rFonts w:ascii="Times New Roman" w:eastAsia="Times New Roman" w:hAnsi="Times New Roman" w:cs="Times New Roman"/>
          <w:color w:val="000000"/>
        </w:rPr>
        <w:t>Bleischwitz</w:t>
      </w:r>
      <w:proofErr w:type="spellEnd"/>
      <w:r w:rsidRPr="003C689E">
        <w:rPr>
          <w:rFonts w:ascii="Times New Roman" w:eastAsia="Times New Roman" w:hAnsi="Times New Roman" w:cs="Times New Roman"/>
          <w:color w:val="000000"/>
        </w:rPr>
        <w:t xml:space="preserve">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2025)</w:t>
      </w:r>
    </w:p>
    <w:p w14:paraId="00000021"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Por otra parte, como destaca </w:t>
      </w:r>
      <w:proofErr w:type="spellStart"/>
      <w:r w:rsidRPr="003C689E">
        <w:rPr>
          <w:rFonts w:ascii="Times New Roman" w:eastAsia="Times New Roman" w:hAnsi="Times New Roman" w:cs="Times New Roman"/>
          <w:color w:val="000000"/>
        </w:rPr>
        <w:t>Cañibano</w:t>
      </w:r>
      <w:proofErr w:type="spellEnd"/>
      <w:r w:rsidRPr="003C689E">
        <w:rPr>
          <w:rFonts w:ascii="Times New Roman" w:eastAsia="Times New Roman" w:hAnsi="Times New Roman" w:cs="Times New Roman"/>
          <w:color w:val="000000"/>
        </w:rPr>
        <w:t xml:space="preserve">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xml:space="preserve">. (2024) las carreras científicas se han visto afectadas por el crecimiento de la “agenda de impacto” que demanda a los investigadores a demostrar la contribución social de su trabajo. Estas demandas influencian a los regímenes de evaluación que gobiernan a las carreras científicas. En ese marco, algunas iniciativas como la </w:t>
      </w:r>
      <w:proofErr w:type="spellStart"/>
      <w:r w:rsidRPr="003C689E">
        <w:rPr>
          <w:rFonts w:ascii="Times New Roman" w:eastAsia="Times New Roman" w:hAnsi="Times New Roman" w:cs="Times New Roman"/>
          <w:color w:val="000000"/>
        </w:rPr>
        <w:t>Declaration</w:t>
      </w:r>
      <w:proofErr w:type="spellEnd"/>
      <w:r w:rsidRPr="003C689E">
        <w:rPr>
          <w:rFonts w:ascii="Times New Roman" w:eastAsia="Times New Roman" w:hAnsi="Times New Roman" w:cs="Times New Roman"/>
          <w:color w:val="000000"/>
        </w:rPr>
        <w:t xml:space="preserve"> </w:t>
      </w:r>
      <w:proofErr w:type="spellStart"/>
      <w:r w:rsidRPr="003C689E">
        <w:rPr>
          <w:rFonts w:ascii="Times New Roman" w:eastAsia="Times New Roman" w:hAnsi="Times New Roman" w:cs="Times New Roman"/>
          <w:color w:val="000000"/>
        </w:rPr>
        <w:t>on</w:t>
      </w:r>
      <w:proofErr w:type="spellEnd"/>
      <w:r w:rsidRPr="003C689E">
        <w:rPr>
          <w:rFonts w:ascii="Times New Roman" w:eastAsia="Times New Roman" w:hAnsi="Times New Roman" w:cs="Times New Roman"/>
          <w:color w:val="000000"/>
        </w:rPr>
        <w:t xml:space="preserve"> </w:t>
      </w:r>
      <w:proofErr w:type="spellStart"/>
      <w:r w:rsidRPr="003C689E">
        <w:rPr>
          <w:rFonts w:ascii="Times New Roman" w:eastAsia="Times New Roman" w:hAnsi="Times New Roman" w:cs="Times New Roman"/>
          <w:color w:val="000000"/>
        </w:rPr>
        <w:t>Research</w:t>
      </w:r>
      <w:proofErr w:type="spellEnd"/>
      <w:r w:rsidRPr="003C689E">
        <w:rPr>
          <w:rFonts w:ascii="Times New Roman" w:eastAsia="Times New Roman" w:hAnsi="Times New Roman" w:cs="Times New Roman"/>
          <w:color w:val="000000"/>
        </w:rPr>
        <w:t xml:space="preserve"> </w:t>
      </w:r>
      <w:proofErr w:type="spellStart"/>
      <w:r w:rsidRPr="003C689E">
        <w:rPr>
          <w:rFonts w:ascii="Times New Roman" w:eastAsia="Times New Roman" w:hAnsi="Times New Roman" w:cs="Times New Roman"/>
          <w:color w:val="000000"/>
        </w:rPr>
        <w:t>Assessment</w:t>
      </w:r>
      <w:proofErr w:type="spellEnd"/>
      <w:r w:rsidRPr="003C689E">
        <w:rPr>
          <w:rFonts w:ascii="Times New Roman" w:eastAsia="Times New Roman" w:hAnsi="Times New Roman" w:cs="Times New Roman"/>
          <w:color w:val="000000"/>
        </w:rPr>
        <w:t xml:space="preserve"> (DORA) han resaltado la tensión entre las expectativas en torno a la contribución que los investigadores deberían aportar a las demandas sociales y los sistema de incentivos y recompensas de las carreras fuertemente basado en el desempeño científico. </w:t>
      </w:r>
    </w:p>
    <w:p w14:paraId="00000022"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DORA y otras declaraciones con recomendaciones para la reforma de la evaluación de las trayectorias académicas y científico-tecnológicas forman parte de los que se conoce como evaluación responsable de la investigación -RRA, por sus siglas en inglés- (Porta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xml:space="preserve">., 2025; Rovelli y González, 2024). Este concepto paraguas y aún no estabilizado da cuenta de perspectivas de evaluación que incentivan y premian características plurales de la investigación de alta calidad, apoyando culturas de investigación diversas e inclusivas (Curry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xml:space="preserve">., 2020; Rovelli y González, 2024). Entre las principales dimensiones de la RRA se destaca la evaluación cualitativa realizada por pares expertos; el uso subsidiario y responsable de los indicadores bibliométricos (interpretados según su contexto de aplicación); la incorporación de grupos tradicionalmente excluidos de la evaluación que promuevan mayor justicia, equidad, diversidad e inclusión; la inclusión de lineamientos y prácticas éticas y de integridad; la promoción de la transparencia y la confiabilidad; y, en el marco de los principios de la ciencia abierta, la valorización de un amplio abanico </w:t>
      </w:r>
      <w:r w:rsidRPr="003C689E">
        <w:rPr>
          <w:rFonts w:ascii="Times New Roman" w:eastAsia="Times New Roman" w:hAnsi="Times New Roman" w:cs="Times New Roman"/>
          <w:color w:val="000000"/>
        </w:rPr>
        <w:lastRenderedPageBreak/>
        <w:t>de misiones y prácticas involucradas en la producción de conocimiento (Rovelli y González, 2024).</w:t>
      </w:r>
    </w:p>
    <w:p w14:paraId="00000023" w14:textId="77777777" w:rsidR="003519AF" w:rsidRPr="003C689E" w:rsidRDefault="003519AF" w:rsidP="003C689E">
      <w:pPr>
        <w:spacing w:line="240" w:lineRule="auto"/>
        <w:rPr>
          <w:rFonts w:ascii="Times New Roman" w:eastAsia="Times New Roman" w:hAnsi="Times New Roman" w:cs="Times New Roman"/>
        </w:rPr>
      </w:pPr>
    </w:p>
    <w:p w14:paraId="00000024"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b/>
          <w:bCs/>
          <w:color w:val="000000"/>
        </w:rPr>
        <w:t xml:space="preserve">La implementación de la </w:t>
      </w:r>
      <w:r w:rsidRPr="003C689E">
        <w:rPr>
          <w:rFonts w:ascii="Times New Roman" w:eastAsia="Times New Roman" w:hAnsi="Times New Roman" w:cs="Times New Roman"/>
          <w:b/>
          <w:bCs/>
        </w:rPr>
        <w:t xml:space="preserve">orientación hacia </w:t>
      </w:r>
      <w:r w:rsidRPr="003C689E">
        <w:rPr>
          <w:rFonts w:ascii="Times New Roman" w:eastAsia="Times New Roman" w:hAnsi="Times New Roman" w:cs="Times New Roman"/>
          <w:b/>
          <w:bCs/>
          <w:color w:val="000000"/>
        </w:rPr>
        <w:t>TE en la Carrera del Investigador Científico y Tecnológico de CONICET</w:t>
      </w:r>
    </w:p>
    <w:p w14:paraId="00000025"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Como puede observarse en el siguiente gráfico, a los largo de los primeros cuatro años de implementación de los Temas Estratégicos, los ingresos a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xml:space="preserve"> aprobados para esta modalidad ocuparon una posición marginal en comparación con los ingresos para los Temas Generales. El año 2017 muestra un cambio significativo, en tanto los ingresos para Temas Generales y Temas Estratégicos se distribuyen en igual número. A partir de 2018 los ingresos por Temas Generales vuelven a ser los más numerosos en comparación no sólo con los Temas Estratégicos, sino también con las nuevas convocatorias de Fortalecimiento I+D+i (2018) y Proyectos Especiales (2020).</w:t>
      </w:r>
    </w:p>
    <w:p w14:paraId="00000026" w14:textId="77777777" w:rsidR="003519AF" w:rsidRPr="003C689E" w:rsidRDefault="003519AF" w:rsidP="003C689E">
      <w:pPr>
        <w:spacing w:line="240" w:lineRule="auto"/>
        <w:rPr>
          <w:rFonts w:ascii="Times New Roman" w:eastAsia="Times New Roman" w:hAnsi="Times New Roman" w:cs="Times New Roman"/>
        </w:rPr>
      </w:pPr>
    </w:p>
    <w:p w14:paraId="00000027"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Gráfico 1. Evolución de los ingresos a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xml:space="preserve"> del CONICET según modalidad. Convocatorias 2013 a 2023.</w:t>
      </w:r>
    </w:p>
    <w:p w14:paraId="00000028"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noProof/>
          <w:color w:val="000000"/>
        </w:rPr>
        <w:drawing>
          <wp:inline distT="0" distB="0" distL="0" distR="0">
            <wp:extent cx="5143500" cy="3086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143500" cy="3086100"/>
                    </a:xfrm>
                    <a:prstGeom prst="rect">
                      <a:avLst/>
                    </a:prstGeom>
                    <a:ln/>
                  </pic:spPr>
                </pic:pic>
              </a:graphicData>
            </a:graphic>
          </wp:inline>
        </w:drawing>
      </w:r>
    </w:p>
    <w:p w14:paraId="00000029"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sz w:val="22"/>
          <w:szCs w:val="22"/>
        </w:rPr>
        <w:t>Fuente: elaboración propia a partir de datos publicados por CONICET con los resultados de cada convocatoria</w:t>
      </w:r>
    </w:p>
    <w:p w14:paraId="0000002A" w14:textId="77777777" w:rsidR="003519AF" w:rsidRPr="003C689E" w:rsidRDefault="003519AF" w:rsidP="003C689E">
      <w:pPr>
        <w:spacing w:line="240" w:lineRule="auto"/>
        <w:rPr>
          <w:rFonts w:ascii="Times New Roman" w:eastAsia="Times New Roman" w:hAnsi="Times New Roman" w:cs="Times New Roman"/>
        </w:rPr>
      </w:pPr>
    </w:p>
    <w:p w14:paraId="0000002B"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De acuerdo a datos de 2024 publicados por el CONICET, el organismo cuenta con una planta de 11.849 investigadores/as (CONICET en Cifras, 2026). Ahora bien, no es posible distinguir cuántos corresponden a investigadores/as en TE o perfiles ingresados por otras </w:t>
      </w:r>
      <w:r w:rsidRPr="003C689E">
        <w:rPr>
          <w:rFonts w:ascii="Times New Roman" w:eastAsia="Times New Roman" w:hAnsi="Times New Roman" w:cs="Times New Roman"/>
          <w:color w:val="000000"/>
        </w:rPr>
        <w:lastRenderedPageBreak/>
        <w:t xml:space="preserve">modalidades. De esta manera, solo es posible inferir una cifra de investigadores/as en TE a partir de la </w:t>
      </w:r>
      <w:r w:rsidRPr="003C689E">
        <w:rPr>
          <w:rFonts w:ascii="Times New Roman" w:eastAsia="Times New Roman" w:hAnsi="Times New Roman" w:cs="Times New Roman"/>
        </w:rPr>
        <w:t xml:space="preserve">publicación de </w:t>
      </w:r>
      <w:r w:rsidRPr="003C689E">
        <w:rPr>
          <w:rFonts w:ascii="Times New Roman" w:eastAsia="Times New Roman" w:hAnsi="Times New Roman" w:cs="Times New Roman"/>
          <w:color w:val="000000"/>
        </w:rPr>
        <w:t>los resultados de la convocatoria para el ingreso a la carrera, aunque ello no implique que ese número esté efectivamente activo (ya sea por no haber tomado el cargo, tener el alta demorada, bajas por renuncia u otros motivos). De esta forma, el total de postulaciones aprobadas para TE a lo largo de las once convocatorias arroja una cifra de 1390 investigadores.</w:t>
      </w:r>
    </w:p>
    <w:p w14:paraId="0000002C"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La diversificación de convocatorias para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xml:space="preserve"> provocó una conformación distinta de los órganos de evaluación (</w:t>
      </w:r>
      <w:proofErr w:type="spellStart"/>
      <w:r w:rsidRPr="003C689E">
        <w:rPr>
          <w:rFonts w:ascii="Times New Roman" w:eastAsia="Times New Roman" w:hAnsi="Times New Roman" w:cs="Times New Roman"/>
          <w:color w:val="000000"/>
        </w:rPr>
        <w:t>Sarthou</w:t>
      </w:r>
      <w:proofErr w:type="spellEnd"/>
      <w:r w:rsidRPr="003C689E">
        <w:rPr>
          <w:rFonts w:ascii="Times New Roman" w:eastAsia="Times New Roman" w:hAnsi="Times New Roman" w:cs="Times New Roman"/>
          <w:color w:val="000000"/>
        </w:rPr>
        <w:t xml:space="preserve">, 2024). Particularmente, para el caso de los TE, los primeros años de la convocatoria la evaluación estuvo a cargo de una única comisión multidisciplinar, aunque siguiendo patrones de evaluación tradicionales. En el año 2017 se crean subcomisiones para cada TE para la evaluación de los ingresos a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xml:space="preserve"> y criterios de evaluación específicos de este llamado, en los que hay una mayor valoración del Plan de Trabajo en comparación con otras convocatorias, al tiempo que buscan dar mayor ponderación a la orientación a la resolución de problemas y a las actividades de vinculación (Fischer, Goldberg y Jeppesen, 2023; </w:t>
      </w:r>
      <w:proofErr w:type="spellStart"/>
      <w:r w:rsidRPr="003C689E">
        <w:rPr>
          <w:rFonts w:ascii="Times New Roman" w:eastAsia="Times New Roman" w:hAnsi="Times New Roman" w:cs="Times New Roman"/>
          <w:color w:val="000000"/>
        </w:rPr>
        <w:t>Sarthou</w:t>
      </w:r>
      <w:proofErr w:type="spellEnd"/>
      <w:r w:rsidRPr="003C689E">
        <w:rPr>
          <w:rFonts w:ascii="Times New Roman" w:eastAsia="Times New Roman" w:hAnsi="Times New Roman" w:cs="Times New Roman"/>
          <w:color w:val="000000"/>
        </w:rPr>
        <w:t>, 2024). A continuación, analizaremos cómo ha sido la evaluación en las etapas posteriores al ingreso.</w:t>
      </w:r>
    </w:p>
    <w:p w14:paraId="0000002D" w14:textId="77777777" w:rsidR="003519AF" w:rsidRPr="003C689E" w:rsidRDefault="003519AF" w:rsidP="003C689E">
      <w:pPr>
        <w:spacing w:line="240" w:lineRule="auto"/>
        <w:rPr>
          <w:rFonts w:ascii="Times New Roman" w:eastAsia="Times New Roman" w:hAnsi="Times New Roman" w:cs="Times New Roman"/>
        </w:rPr>
      </w:pPr>
    </w:p>
    <w:p w14:paraId="0000002E"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b/>
          <w:bCs/>
          <w:color w:val="000000"/>
        </w:rPr>
        <w:t>La evaluación de trayectorias en TE en CONICET</w:t>
      </w:r>
    </w:p>
    <w:p w14:paraId="0000002F"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El ingreso a la carrera puede realizarse en cualquiera de las categorías (Asistente, Adjunto, Independiente, Principal y Superior) de acuerdo exclusivamente con los méritos y antecedentes del/de la postulante y de los demás requisitos que establece el Estatuto y resoluciones de CONICET. En la actualidad son 11.849 sus miembros distribuidos en cinco grandes áreas del conocimiento: Ciencias agrarias, de la ingeniería y de materiales (25%), Ciencias sociales y humanidades (25%), Ciencias biológicas y de la salud (27%), Ciencias exactas y naturales (21%), y Tecnología (3%) (CONICET en Cifras, 2026).</w:t>
      </w:r>
    </w:p>
    <w:p w14:paraId="00000030"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A partir de la revisión de la documentación institucional, es posible distinguir tres etapas en los procedimientos, normativas y prácticas de evaluación de las trayectorias en TE en CONICET, es decir, en lo referido a la evaluación de los informes reglamentarios y las solicitudes de promoción. </w:t>
      </w:r>
    </w:p>
    <w:p w14:paraId="00000031"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En la primera etapa (desde el inicio de los TE hasta 2018), las trayectorias de investigadores/es en TE fueron evaluadas de la misma manera que los perfiles no orientados, es decir, se evaluaron a través de las comisiones asesoras disciplinares, con los mismos criterios comunes a la disciplina. De esta manera, no hubo en este período una adaptación en la normativa que considere las particularidades de quienes ingresaron a la carrera por convocatorias en TE.</w:t>
      </w:r>
    </w:p>
    <w:p w14:paraId="00000032"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En una segunda etapa (entre 2019 y 2021), la evaluación se empieza a llevar adelante por las comisiones de TE, a la vez, que los instructivos de las presentaciones solicitan información específica para quienes ingresaron por TE (aspecto que se mantiene en la etapa posterior). Particularmente, en el año 2019, el Directorio resuelve que la Comisión Asesora de Temas Estratégicos y Tecnología para Ingresos evalúe, también, las presentaciones de Informes y Promociones remitidas por los miembros de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xml:space="preserve"> que </w:t>
      </w:r>
      <w:r w:rsidRPr="003C689E">
        <w:rPr>
          <w:rFonts w:ascii="Times New Roman" w:eastAsia="Times New Roman" w:hAnsi="Times New Roman" w:cs="Times New Roman"/>
          <w:color w:val="000000"/>
        </w:rPr>
        <w:lastRenderedPageBreak/>
        <w:t xml:space="preserve">fueron seleccionados e incorporados a partir de la postulación en TE. De esta manera, después de dos años de la modificación en las formas y criterios de evaluación de los ingresos a la carrera para TE, se evidencia una preocupación del organismo por evaluar también el desarrollo de la trayectoria de manera consistente con esos </w:t>
      </w:r>
      <w:r w:rsidRPr="003C689E">
        <w:rPr>
          <w:rFonts w:ascii="Times New Roman" w:eastAsia="Times New Roman" w:hAnsi="Times New Roman" w:cs="Times New Roman"/>
        </w:rPr>
        <w:t>criterios</w:t>
      </w:r>
      <w:r w:rsidRPr="003C689E">
        <w:rPr>
          <w:rFonts w:ascii="Times New Roman" w:eastAsia="Times New Roman" w:hAnsi="Times New Roman" w:cs="Times New Roman"/>
          <w:color w:val="000000"/>
        </w:rPr>
        <w:t>. </w:t>
      </w:r>
    </w:p>
    <w:p w14:paraId="00000033" w14:textId="77777777" w:rsidR="003519AF" w:rsidRPr="003C689E" w:rsidRDefault="00000000" w:rsidP="003C689E">
      <w:pPr>
        <w:spacing w:line="240" w:lineRule="auto"/>
        <w:jc w:val="both"/>
        <w:rPr>
          <w:rFonts w:ascii="Times New Roman" w:eastAsia="Times New Roman" w:hAnsi="Times New Roman" w:cs="Times New Roman"/>
          <w:color w:val="000000"/>
        </w:rPr>
      </w:pPr>
      <w:r w:rsidRPr="003C689E">
        <w:rPr>
          <w:rFonts w:ascii="Times New Roman" w:eastAsia="Times New Roman" w:hAnsi="Times New Roman" w:cs="Times New Roman"/>
          <w:color w:val="000000"/>
        </w:rPr>
        <w:t xml:space="preserve">Asimismo, en el año 2021, los instructivos para la presentación de informes reglamentarios incluyeron por primera vez una sección específica para quienes ingresaron a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xml:space="preserve"> en Temas Estratégicos a partir de la Convocatoria 2017. Allí se establece una serie de puntos adicionales sobre los que estos/as investigadores/as deberán informar, tanto en lo referido a la labor realizada en el periodo correspondiente al informe como en relación al plan a realizar en el próximo periodo. Así, en cuanto a la labor realizada se destaca especialmente la solicitud de detallar “en qué medida la producción científica y tecnológica se enmarca en el Tema Estratégico correspondiente al plan de trabajo y realiza contribuciones relevantes”, e indicar las vinculaciones formales e informales establecidas con adoptantes o actores del medio socio productivo (tanto aquellos identificados en el plan de trabajo como los que no fueron definidos previamente) y si dichas vinculaciones se canalizaron por instrumentos de vinculación y transferencia. </w:t>
      </w:r>
    </w:p>
    <w:p w14:paraId="00000034"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Por su parte, sobre el plan de trabajo para el siguiente periodo se solicita que expliciten “si el plan de trabajo propuesto para el siguiente período muestra una continuidad respecto al presentado en el período anterior (y) aclarar si en este nuevo plan se explorarán nuevas soluciones a los problemas enunciados en el proyecto original”. También indaga “si se han modificado o ampliado o se han desvinculado del proyecto los adoptantes, los demandantes y los promotores”. De estos instructivos sobresalen dos aspectos. Por un lado, un tratamiento diferencial para investigadores/as ingresantes por TE según el año de la convocatoria por la que ingresaron, de manera que quienes lo hicieron durante las cuatro primeras convocatorias (2013 a 2016) no informan sus actividades de la misma manera que quienes lo hicieron a partir de 2017. Esta distinción se vincula con los mencionados cambios en 2017 en la conformación de las comisiones asesoras para TE y en los criterios de evaluación. La otra cuestión sobresaliente de los instructivos para informes, es la necesidad de explicitar no solo sobre la relación de la producción del periodo con el tema estratégico, sino también sobre las relaciones establecidas con actores del medio socio productivo. Esta especificidad de los informes para TE puede comprenderse al tener en cuenta que un aspecto clave de la evaluación de la investigación orientada se vincula con los insumos informacionales que, además de los méritos académicos, permita dar cuenta de la capacidad de dar respuesta a problemas y demandas, teniendo en cuenta el rol de los actores no académicos (Gras </w:t>
      </w:r>
      <w:r w:rsidRPr="003C689E">
        <w:rPr>
          <w:rFonts w:ascii="Times New Roman" w:eastAsia="Times New Roman" w:hAnsi="Times New Roman" w:cs="Times New Roman"/>
          <w:i/>
          <w:iCs/>
          <w:color w:val="000000"/>
        </w:rPr>
        <w:t>et al</w:t>
      </w:r>
      <w:r w:rsidRPr="003C689E">
        <w:rPr>
          <w:rFonts w:ascii="Times New Roman" w:eastAsia="Times New Roman" w:hAnsi="Times New Roman" w:cs="Times New Roman"/>
          <w:color w:val="000000"/>
        </w:rPr>
        <w:t>., 2024). </w:t>
      </w:r>
    </w:p>
    <w:p w14:paraId="00000035"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En este misma línea, en julio de 2021 el Directorio resuelve notificar “a las/os investigadoras/es seleccionadas/os a partir del año 2017 en la Convocatoria a Ingresos CIC - Modalidad Temas Estratégicos que sus pedidos de promoción presentados en 2021 serán evaluados por la comisión de Temas Estratégicos”, abriendo, a su vez, la posibilidad de presentar información adicional, siguiendo los criterios enunciados para la Convocatoria de Informes Reglamentarios 2021. De esta forma, si bien las promociones de ingresantes por TE se había comenzado a evaluar por las comisiones de TE en 2019, lo que se destaca en esta ocasión es que se busca dar mayor información a los </w:t>
      </w:r>
      <w:r w:rsidRPr="003C689E">
        <w:rPr>
          <w:rFonts w:ascii="Times New Roman" w:eastAsia="Times New Roman" w:hAnsi="Times New Roman" w:cs="Times New Roman"/>
          <w:color w:val="000000"/>
        </w:rPr>
        <w:lastRenderedPageBreak/>
        <w:t>investigadores evaluados sobre este procedimiento, así como la posibilidad de adicionar información específica para TE, de manera similar a las especificaciones de los informes reglamentarios</w:t>
      </w:r>
      <w:r w:rsidRPr="003C689E">
        <w:rPr>
          <w:rFonts w:ascii="Times New Roman" w:eastAsia="Times New Roman" w:hAnsi="Times New Roman" w:cs="Times New Roman"/>
          <w:color w:val="000000"/>
          <w:vertAlign w:val="superscript"/>
        </w:rPr>
        <w:footnoteReference w:id="1"/>
      </w:r>
      <w:r w:rsidRPr="003C689E">
        <w:rPr>
          <w:rFonts w:ascii="Times New Roman" w:eastAsia="Times New Roman" w:hAnsi="Times New Roman" w:cs="Times New Roman"/>
          <w:color w:val="000000"/>
        </w:rPr>
        <w:t>.</w:t>
      </w:r>
    </w:p>
    <w:p w14:paraId="00000036"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La tercera etapa (a partir de 2022), se vincula con la inclusión progresiva de los principios de la evaluación responsable de la investigación. El primer antecedente relevante es la aprobación a la adhesión a la Declaración de San Francisco DORA "</w:t>
      </w:r>
      <w:proofErr w:type="spellStart"/>
      <w:r w:rsidRPr="003C689E">
        <w:rPr>
          <w:rFonts w:ascii="Times New Roman" w:eastAsia="Times New Roman" w:hAnsi="Times New Roman" w:cs="Times New Roman"/>
          <w:color w:val="000000"/>
        </w:rPr>
        <w:t>Declaration</w:t>
      </w:r>
      <w:proofErr w:type="spellEnd"/>
      <w:r w:rsidRPr="003C689E">
        <w:rPr>
          <w:rFonts w:ascii="Times New Roman" w:eastAsia="Times New Roman" w:hAnsi="Times New Roman" w:cs="Times New Roman"/>
          <w:color w:val="000000"/>
        </w:rPr>
        <w:t xml:space="preserve"> </w:t>
      </w:r>
      <w:proofErr w:type="spellStart"/>
      <w:r w:rsidRPr="003C689E">
        <w:rPr>
          <w:rFonts w:ascii="Times New Roman" w:eastAsia="Times New Roman" w:hAnsi="Times New Roman" w:cs="Times New Roman"/>
          <w:color w:val="000000"/>
        </w:rPr>
        <w:t>on</w:t>
      </w:r>
      <w:proofErr w:type="spellEnd"/>
      <w:r w:rsidRPr="003C689E">
        <w:rPr>
          <w:rFonts w:ascii="Times New Roman" w:eastAsia="Times New Roman" w:hAnsi="Times New Roman" w:cs="Times New Roman"/>
          <w:color w:val="000000"/>
        </w:rPr>
        <w:t xml:space="preserve"> </w:t>
      </w:r>
      <w:proofErr w:type="spellStart"/>
      <w:r w:rsidRPr="003C689E">
        <w:rPr>
          <w:rFonts w:ascii="Times New Roman" w:eastAsia="Times New Roman" w:hAnsi="Times New Roman" w:cs="Times New Roman"/>
          <w:color w:val="000000"/>
        </w:rPr>
        <w:t>Research</w:t>
      </w:r>
      <w:proofErr w:type="spellEnd"/>
      <w:r w:rsidRPr="003C689E">
        <w:rPr>
          <w:rFonts w:ascii="Times New Roman" w:eastAsia="Times New Roman" w:hAnsi="Times New Roman" w:cs="Times New Roman"/>
          <w:color w:val="000000"/>
        </w:rPr>
        <w:t xml:space="preserve"> </w:t>
      </w:r>
      <w:proofErr w:type="spellStart"/>
      <w:r w:rsidRPr="003C689E">
        <w:rPr>
          <w:rFonts w:ascii="Times New Roman" w:eastAsia="Times New Roman" w:hAnsi="Times New Roman" w:cs="Times New Roman"/>
          <w:color w:val="000000"/>
        </w:rPr>
        <w:t>Assessment</w:t>
      </w:r>
      <w:proofErr w:type="spellEnd"/>
      <w:r w:rsidRPr="003C689E">
        <w:rPr>
          <w:rFonts w:ascii="Times New Roman" w:eastAsia="Times New Roman" w:hAnsi="Times New Roman" w:cs="Times New Roman"/>
          <w:color w:val="000000"/>
        </w:rPr>
        <w:t>" por parte del Directorio aprueba del CONICET en diciembre de 2021. </w:t>
      </w:r>
    </w:p>
    <w:p w14:paraId="00000037"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Ese mismo año, los principios propios de la RRA comenzaron a verse reflejados en una serie de documentos del CONICET con reglamentos, procedimientos y criterios para la evaluación, particularmente en un texto introductorio común a todos ellos denominado “Consideraciones generales sobre la evaluación de trayectorias de investigadores e investigadoras”. Allí se hace referencia a los manifiestos de DORA y Leiden y se menciona la importancia de la evaluación cualitativa e integral de las trayectorias de investigadores/as. En esa misma línea, se destaca que además de la calidad de las publicaciones “es necesario e ineludible considerar los valores de equidad, diversidad, pertinencia, relevancia, inclusión y posible impacto </w:t>
      </w:r>
      <w:proofErr w:type="spellStart"/>
      <w:r w:rsidRPr="003C689E">
        <w:rPr>
          <w:rFonts w:ascii="Times New Roman" w:eastAsia="Times New Roman" w:hAnsi="Times New Roman" w:cs="Times New Roman"/>
          <w:color w:val="000000"/>
        </w:rPr>
        <w:t>socioproductivo</w:t>
      </w:r>
      <w:proofErr w:type="spellEnd"/>
      <w:r w:rsidRPr="003C689E">
        <w:rPr>
          <w:rFonts w:ascii="Times New Roman" w:eastAsia="Times New Roman" w:hAnsi="Times New Roman" w:cs="Times New Roman"/>
          <w:color w:val="000000"/>
        </w:rPr>
        <w:t>”. De esta manera, se alienta la valorización de la diversidad de trayectorias, entendiendo el rol performativo de los criterios de evaluación:</w:t>
      </w:r>
    </w:p>
    <w:p w14:paraId="00000038" w14:textId="77777777" w:rsidR="003519AF" w:rsidRPr="003C689E" w:rsidRDefault="00000000" w:rsidP="003C689E">
      <w:pPr>
        <w:spacing w:line="240" w:lineRule="auto"/>
        <w:ind w:left="567"/>
        <w:jc w:val="both"/>
        <w:rPr>
          <w:rFonts w:ascii="Times New Roman" w:eastAsia="Times New Roman" w:hAnsi="Times New Roman" w:cs="Times New Roman"/>
        </w:rPr>
      </w:pPr>
      <w:r w:rsidRPr="003C689E">
        <w:rPr>
          <w:rFonts w:ascii="Times New Roman" w:eastAsia="Times New Roman" w:hAnsi="Times New Roman" w:cs="Times New Roman"/>
          <w:color w:val="000000"/>
          <w:sz w:val="22"/>
          <w:szCs w:val="22"/>
        </w:rPr>
        <w:t>Una visión restringida en los criterios de evaluación reduce la variedad que las trayectorias pueden presentar potencialmente. Con un enfoque de este tipo, las y los investigadores/as terminan adoptando estrategias similares, corriendo el riesgo de no aprovechar oportunidades para explorar nuevos horizontes en I&amp;D. Se entiende que una mirada amplia permite, incluso incentiva, el desarrollo de diversidad de perfiles, apoyando la innovación en la elección de temas y proyectos. Y los pone en un pie de equidad con los perfiles más tradicionales.</w:t>
      </w:r>
    </w:p>
    <w:p w14:paraId="00000039"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Asimismo, se enfatiza que el mérito académico contempla “la relevancia respecto del contexto en el que se desarrolla la actividad de investigación y sus implicancias para la sociedad y las políticas de </w:t>
      </w:r>
      <w:proofErr w:type="spellStart"/>
      <w:r w:rsidRPr="003C689E">
        <w:rPr>
          <w:rFonts w:ascii="Times New Roman" w:eastAsia="Times New Roman" w:hAnsi="Times New Roman" w:cs="Times New Roman"/>
          <w:color w:val="000000"/>
        </w:rPr>
        <w:t>CyT</w:t>
      </w:r>
      <w:proofErr w:type="spellEnd"/>
      <w:r w:rsidRPr="003C689E">
        <w:rPr>
          <w:rFonts w:ascii="Times New Roman" w:eastAsia="Times New Roman" w:hAnsi="Times New Roman" w:cs="Times New Roman"/>
          <w:color w:val="000000"/>
        </w:rPr>
        <w:t>”, y se destaca el valor de las investigaciones de alcance local que buscan dar respuesta a problemas o demandas concretas:</w:t>
      </w:r>
    </w:p>
    <w:p w14:paraId="0000003A" w14:textId="77777777" w:rsidR="003519AF" w:rsidRPr="003C689E" w:rsidRDefault="00000000" w:rsidP="003C689E">
      <w:pPr>
        <w:spacing w:line="240" w:lineRule="auto"/>
        <w:ind w:left="567"/>
        <w:jc w:val="both"/>
        <w:rPr>
          <w:rFonts w:ascii="Times New Roman" w:eastAsia="Times New Roman" w:hAnsi="Times New Roman" w:cs="Times New Roman"/>
        </w:rPr>
      </w:pPr>
      <w:r w:rsidRPr="003C689E">
        <w:rPr>
          <w:rFonts w:ascii="Times New Roman" w:eastAsia="Times New Roman" w:hAnsi="Times New Roman" w:cs="Times New Roman"/>
          <w:color w:val="000000"/>
          <w:sz w:val="22"/>
          <w:szCs w:val="22"/>
        </w:rPr>
        <w:t>La investigación de buena calidad puede tener tanto alcance internacional como nacional o regional. Es posible tener resultados de valor, aun cuando la escala de los proyectos sea local. Esto sucede especialmente cuando la I&amp;D se relaciona con problemas y/</w:t>
      </w:r>
      <w:proofErr w:type="spellStart"/>
      <w:r w:rsidRPr="003C689E">
        <w:rPr>
          <w:rFonts w:ascii="Times New Roman" w:eastAsia="Times New Roman" w:hAnsi="Times New Roman" w:cs="Times New Roman"/>
          <w:color w:val="000000"/>
          <w:sz w:val="22"/>
          <w:szCs w:val="22"/>
        </w:rPr>
        <w:t>o</w:t>
      </w:r>
      <w:proofErr w:type="spellEnd"/>
      <w:r w:rsidRPr="003C689E">
        <w:rPr>
          <w:rFonts w:ascii="Times New Roman" w:eastAsia="Times New Roman" w:hAnsi="Times New Roman" w:cs="Times New Roman"/>
          <w:color w:val="000000"/>
          <w:sz w:val="22"/>
          <w:szCs w:val="22"/>
        </w:rPr>
        <w:t xml:space="preserve"> oportunidades locales/regionales o que requieren soluciones particulares (muy común en la ciencia aplicada, la resolución de problemas y el desarrollo tecnológico), o presenta relevancia socio cultural y posible diálogo con políticas públicas, cuerpos normativos, entre otras posibilidades.</w:t>
      </w:r>
    </w:p>
    <w:p w14:paraId="0000003B"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lastRenderedPageBreak/>
        <w:t>Finalmente, y en línea con los postulados en torno a la evaluación cualitativa, la valorización de las diversas trayectorias y el valor de las investigaciones que abordan problemas de alcance local, también se destaca la importancia de considerar los distintos productos y actividades en la evaluación de trayectorias en I+D:</w:t>
      </w:r>
    </w:p>
    <w:p w14:paraId="0000003C" w14:textId="77777777" w:rsidR="003519AF" w:rsidRPr="003C689E" w:rsidRDefault="00000000" w:rsidP="003C689E">
      <w:pPr>
        <w:spacing w:line="240" w:lineRule="auto"/>
        <w:ind w:left="567"/>
        <w:jc w:val="both"/>
        <w:rPr>
          <w:rFonts w:ascii="Times New Roman" w:eastAsia="Times New Roman" w:hAnsi="Times New Roman" w:cs="Times New Roman"/>
        </w:rPr>
      </w:pPr>
      <w:r w:rsidRPr="003C689E">
        <w:rPr>
          <w:rFonts w:ascii="Times New Roman" w:eastAsia="Times New Roman" w:hAnsi="Times New Roman" w:cs="Times New Roman"/>
          <w:color w:val="000000"/>
          <w:sz w:val="22"/>
          <w:szCs w:val="22"/>
        </w:rPr>
        <w:t xml:space="preserve">La evaluación también debe ser multidimensional: a las publicaciones, se suman otros atributos que permiten apreciar la diversidad de trayectorias (actividades y desarrollos tecnológicos, docencia, formación de discípulos, gestión, comunicación pública de la </w:t>
      </w:r>
      <w:proofErr w:type="spellStart"/>
      <w:r w:rsidRPr="003C689E">
        <w:rPr>
          <w:rFonts w:ascii="Times New Roman" w:eastAsia="Times New Roman" w:hAnsi="Times New Roman" w:cs="Times New Roman"/>
          <w:color w:val="000000"/>
          <w:sz w:val="22"/>
          <w:szCs w:val="22"/>
        </w:rPr>
        <w:t>CyT</w:t>
      </w:r>
      <w:proofErr w:type="spellEnd"/>
      <w:r w:rsidRPr="003C689E">
        <w:rPr>
          <w:rFonts w:ascii="Times New Roman" w:eastAsia="Times New Roman" w:hAnsi="Times New Roman" w:cs="Times New Roman"/>
          <w:color w:val="000000"/>
          <w:sz w:val="22"/>
          <w:szCs w:val="22"/>
        </w:rPr>
        <w:t>, entre otros). No resulta pertinente aplicar criterios de evaluación propios de la investigación básica cuando la investigación es aplicada y/u orientada al desarrollo tecnológico y social o a la resolución de problemas, ni viceversa. El desarrollo de tecnología no necesariamente conlleva a publicaciones. Tampoco es esperable que las investigaciones que están muy lejos de posibles aplicaciones concluyan rápidamente en un producto tecnológico concreto. </w:t>
      </w:r>
    </w:p>
    <w:p w14:paraId="0000003D"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 xml:space="preserve">El mencionado texto, que aparece por primera vez en los criterios de evaluación para la convocatoria de ingreso a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xml:space="preserve"> de 2021, se va incorporando progresivamente entre 2022 y 2023 a los criterios de evaluación de informes reglamentarios y promociones. Asimismo, en abril de 2023 se aprueba el documento “La Evaluación de Trayectorias de Investigadoras e Investigadores: Informes Reglamentarios y Promociones en la </w:t>
      </w:r>
      <w:proofErr w:type="spellStart"/>
      <w:r w:rsidRPr="003C689E">
        <w:rPr>
          <w:rFonts w:ascii="Times New Roman" w:eastAsia="Times New Roman" w:hAnsi="Times New Roman" w:cs="Times New Roman"/>
          <w:color w:val="000000"/>
        </w:rPr>
        <w:t>CICyT</w:t>
      </w:r>
      <w:proofErr w:type="spellEnd"/>
      <w:r w:rsidRPr="003C689E">
        <w:rPr>
          <w:rFonts w:ascii="Times New Roman" w:eastAsia="Times New Roman" w:hAnsi="Times New Roman" w:cs="Times New Roman"/>
          <w:color w:val="000000"/>
        </w:rPr>
        <w:t>”, que además de incorporar los fragmentos analizados, enmarca estas consideraciones en la diversificación de los formatos de las convocatorias introducidos con los llamados tanto de Temas Estratégicos, como de Fortalecimiento I+D+i y Proyectos Especiales. También en 2023 se modifica el Reglamento de Evaluación y se menciona explícitamente entre los objetivos de la evaluación el respeto a los principios de la Evaluación Responsable. </w:t>
      </w:r>
    </w:p>
    <w:p w14:paraId="0000003E"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Ahora bien, más allá del preámbulo introductorio de los criterios de evaluación para los informes reglamentarios, los criterios de evaluación no distinguen especificidades para los TE, sino que se basan en cinco dimensiones transversales a todos los casos evaluados: Actividades y producción científica y tecnológica realizada durante el período; Aspectos académicos. Adquisición de nuevas capacidades formativas para llevar adelante su trabajo; Plan de trabajo para el próximo período; Formación de recursos humanos, docencia y participación en grupos de investigación; y Gestión y evaluación en Ciencia y Tecnología. </w:t>
      </w:r>
    </w:p>
    <w:p w14:paraId="0000003F"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color w:val="000000"/>
        </w:rPr>
        <w:t>A partir de 2023, los informes y las solicitudes de promoción vuelven a ser evaluadas por las comisiones asesoras disciplinares, ahora con un marco normativo que promueve la valorización de las distintas trayectorias.</w:t>
      </w:r>
    </w:p>
    <w:p w14:paraId="00000040" w14:textId="77777777" w:rsidR="003519AF" w:rsidRPr="003C689E" w:rsidRDefault="003519AF" w:rsidP="003C689E">
      <w:pPr>
        <w:spacing w:line="240" w:lineRule="auto"/>
        <w:rPr>
          <w:rFonts w:ascii="Times New Roman" w:eastAsia="Times New Roman" w:hAnsi="Times New Roman" w:cs="Times New Roman"/>
        </w:rPr>
      </w:pPr>
    </w:p>
    <w:p w14:paraId="00000041" w14:textId="77777777" w:rsidR="003519AF" w:rsidRPr="003C689E" w:rsidRDefault="00000000" w:rsidP="003C689E">
      <w:pPr>
        <w:spacing w:line="240" w:lineRule="auto"/>
        <w:jc w:val="both"/>
        <w:rPr>
          <w:rFonts w:ascii="Times New Roman" w:eastAsia="Times New Roman" w:hAnsi="Times New Roman" w:cs="Times New Roman"/>
          <w:b/>
          <w:bCs/>
        </w:rPr>
      </w:pPr>
      <w:r w:rsidRPr="003C689E">
        <w:rPr>
          <w:rFonts w:ascii="Times New Roman" w:eastAsia="Times New Roman" w:hAnsi="Times New Roman" w:cs="Times New Roman"/>
          <w:b/>
          <w:bCs/>
        </w:rPr>
        <w:t xml:space="preserve">5. Trayectorias en Temas Estratégicos desde la perspectiva de los investigadores </w:t>
      </w:r>
    </w:p>
    <w:p w14:paraId="00000042"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En este apartado nos proponemos sintetizar los principales hallazgos en torno a la percepción de los investigadores en TE sobre el instrumento, sus expectativas respecto a sus carreras y la evaluación de sus trayectorias, a partir de tres ejes. En primer lugar, recuperamos cómo se adopta la decisión de presentarse a una convocatoria orientada en términos temáticos. Luego, analizamos cuáles son las expectativas profesionales de los investigadores en TE. Y finalmente, las tensiones que observan entre cómo se concibe el </w:t>
      </w:r>
      <w:r w:rsidRPr="003C689E">
        <w:rPr>
          <w:rFonts w:ascii="Times New Roman" w:eastAsia="Times New Roman" w:hAnsi="Times New Roman" w:cs="Times New Roman"/>
        </w:rPr>
        <w:lastRenderedPageBreak/>
        <w:t>puesto de investigador en TE y los criterios de evaluación en instancias de informe (permanencia) y de promoción.</w:t>
      </w:r>
    </w:p>
    <w:p w14:paraId="00000043"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Sobre el primer eje, vinculado con la decisión de los actores de presentarse para el ingreso a la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xml:space="preserve"> por la modalidad de TE (y no por otros llamados), en todos los casos, mencionan que la convocatoria se adaptaba a sus perfiles y/o líneas temáticas. De forma, pudieron elaborar una postulación que se adecuaba bien al llamado, continuando con la línea de investigación iniciada en la etapa doctoral y postdoctoral:</w:t>
      </w:r>
    </w:p>
    <w:p w14:paraId="00000044" w14:textId="77777777" w:rsidR="003519AF" w:rsidRPr="003C689E" w:rsidRDefault="00000000" w:rsidP="003C689E">
      <w:pPr>
        <w:spacing w:line="240" w:lineRule="auto"/>
        <w:ind w:left="566"/>
        <w:jc w:val="both"/>
        <w:rPr>
          <w:rFonts w:ascii="Times New Roman" w:eastAsia="Times New Roman" w:hAnsi="Times New Roman" w:cs="Times New Roman"/>
          <w:sz w:val="22"/>
          <w:szCs w:val="22"/>
        </w:rPr>
      </w:pPr>
      <w:r w:rsidRPr="003C689E">
        <w:rPr>
          <w:rFonts w:ascii="Times New Roman" w:eastAsia="Times New Roman" w:hAnsi="Times New Roman" w:cs="Times New Roman"/>
          <w:sz w:val="22"/>
          <w:szCs w:val="22"/>
        </w:rPr>
        <w:t>[...] nuestro tema estaba contemplado dentro de uno de los de esos temas más prioritarios (Josefina, investigadora adjunta, agroindustria)</w:t>
      </w:r>
    </w:p>
    <w:p w14:paraId="00000045" w14:textId="77777777" w:rsidR="003519AF" w:rsidRPr="003C689E" w:rsidRDefault="00000000" w:rsidP="003C689E">
      <w:pPr>
        <w:spacing w:line="240" w:lineRule="auto"/>
        <w:ind w:left="566"/>
        <w:jc w:val="both"/>
        <w:rPr>
          <w:rFonts w:ascii="Times New Roman" w:eastAsia="Times New Roman" w:hAnsi="Times New Roman" w:cs="Times New Roman"/>
        </w:rPr>
      </w:pPr>
      <w:r w:rsidRPr="003C689E">
        <w:rPr>
          <w:rFonts w:ascii="Times New Roman" w:eastAsia="Times New Roman" w:hAnsi="Times New Roman" w:cs="Times New Roman"/>
          <w:sz w:val="22"/>
          <w:szCs w:val="22"/>
        </w:rPr>
        <w:t xml:space="preserve">[...] toda la estructura de la convocatoria era perfecta para mi perfil [...] el espacio natural para lo que yo hacía era la convocatoria de temas estratégicos [...] esta era la ventanilla que era más adecuada para mí y todo el perfil era perfectamente coherente (Ingrid, investigadora adjunta, desarrollo y tecnología social) </w:t>
      </w:r>
    </w:p>
    <w:p w14:paraId="00000046"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El caso de Ingrid aporta una interpretación adicional que no estaba tan presente en las otras entrevistas: la idea de que los TE permitieron la incorporación de perfiles que tenían dificultades para encontrar encuadre dentro de las estructuras disciplinares tradicionales. Describe los TE como una suerte de "</w:t>
      </w:r>
      <w:proofErr w:type="spellStart"/>
      <w:r w:rsidRPr="003C689E">
        <w:rPr>
          <w:rFonts w:ascii="Times New Roman" w:eastAsia="Times New Roman" w:hAnsi="Times New Roman" w:cs="Times New Roman"/>
          <w:i/>
          <w:iCs/>
        </w:rPr>
        <w:t>pathway</w:t>
      </w:r>
      <w:proofErr w:type="spellEnd"/>
      <w:r w:rsidRPr="003C689E">
        <w:rPr>
          <w:rFonts w:ascii="Times New Roman" w:eastAsia="Times New Roman" w:hAnsi="Times New Roman" w:cs="Times New Roman"/>
        </w:rPr>
        <w:t xml:space="preserve"> habilitante" para trayectorias interdisciplinarias y orientadas a problemas:</w:t>
      </w:r>
    </w:p>
    <w:p w14:paraId="00000047" w14:textId="77777777" w:rsidR="003519AF" w:rsidRPr="003C689E" w:rsidRDefault="00000000" w:rsidP="003C689E">
      <w:pPr>
        <w:spacing w:line="240" w:lineRule="auto"/>
        <w:ind w:left="566"/>
        <w:jc w:val="both"/>
        <w:rPr>
          <w:rFonts w:ascii="Times New Roman" w:eastAsia="Times New Roman" w:hAnsi="Times New Roman" w:cs="Times New Roman"/>
        </w:rPr>
      </w:pPr>
      <w:r w:rsidRPr="003C689E">
        <w:rPr>
          <w:rFonts w:ascii="Times New Roman" w:eastAsia="Times New Roman" w:hAnsi="Times New Roman" w:cs="Times New Roman"/>
          <w:sz w:val="22"/>
          <w:szCs w:val="22"/>
        </w:rPr>
        <w:t xml:space="preserve">Para mí los temas estratégicos son un </w:t>
      </w:r>
      <w:proofErr w:type="spellStart"/>
      <w:r w:rsidRPr="003C689E">
        <w:rPr>
          <w:rFonts w:ascii="Times New Roman" w:eastAsia="Times New Roman" w:hAnsi="Times New Roman" w:cs="Times New Roman"/>
          <w:i/>
          <w:iCs/>
          <w:sz w:val="22"/>
          <w:szCs w:val="22"/>
        </w:rPr>
        <w:t>track</w:t>
      </w:r>
      <w:proofErr w:type="spellEnd"/>
      <w:r w:rsidRPr="003C689E">
        <w:rPr>
          <w:rFonts w:ascii="Times New Roman" w:eastAsia="Times New Roman" w:hAnsi="Times New Roman" w:cs="Times New Roman"/>
          <w:i/>
          <w:iCs/>
          <w:sz w:val="22"/>
          <w:szCs w:val="22"/>
        </w:rPr>
        <w:t xml:space="preserve"> </w:t>
      </w:r>
      <w:r w:rsidRPr="003C689E">
        <w:rPr>
          <w:rFonts w:ascii="Times New Roman" w:eastAsia="Times New Roman" w:hAnsi="Times New Roman" w:cs="Times New Roman"/>
          <w:sz w:val="22"/>
          <w:szCs w:val="22"/>
        </w:rPr>
        <w:t xml:space="preserve">que te habilita a poder hacer ciertas cosas que tal vez los temas generales no [...]. [Es] un </w:t>
      </w:r>
      <w:proofErr w:type="spellStart"/>
      <w:r w:rsidRPr="003C689E">
        <w:rPr>
          <w:rFonts w:ascii="Times New Roman" w:eastAsia="Times New Roman" w:hAnsi="Times New Roman" w:cs="Times New Roman"/>
          <w:i/>
          <w:iCs/>
          <w:sz w:val="22"/>
          <w:szCs w:val="22"/>
        </w:rPr>
        <w:t>pathway</w:t>
      </w:r>
      <w:proofErr w:type="spellEnd"/>
      <w:r w:rsidRPr="003C689E">
        <w:rPr>
          <w:rFonts w:ascii="Times New Roman" w:eastAsia="Times New Roman" w:hAnsi="Times New Roman" w:cs="Times New Roman"/>
          <w:i/>
          <w:iCs/>
          <w:sz w:val="22"/>
          <w:szCs w:val="22"/>
        </w:rPr>
        <w:t xml:space="preserve"> </w:t>
      </w:r>
      <w:r w:rsidRPr="003C689E">
        <w:rPr>
          <w:rFonts w:ascii="Times New Roman" w:eastAsia="Times New Roman" w:hAnsi="Times New Roman" w:cs="Times New Roman"/>
          <w:sz w:val="22"/>
          <w:szCs w:val="22"/>
        </w:rPr>
        <w:t>habilitante para poder desenvolverse en estos espacios que quizás son liminales, que no te entran dentro de la cajita de lo disciplinar de un tema y en donde esta variedad de las cosas que uno puede hacer desde redes, transferencia, formación de capacidades, además de investigación, es bienvenido (Ingrid, investigadora adjunta, desarrollo y tecnología social)</w:t>
      </w:r>
    </w:p>
    <w:p w14:paraId="00000048"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También cabe resaltar que los entrevistados reconocen que al momento de postular se trataba de una ventanilla que tenía menor competitividad, con lo cual la postulación por este llamado se vincula con una ponderación de sus chances de éxito en el proceso de evaluación.</w:t>
      </w:r>
    </w:p>
    <w:p w14:paraId="00000049"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Sobre el segundo eje, centrado en las expectativas profesionales de investigadores en TE, se destaca que estos investigadores manifiestan un interés por realizar cierto tipo de actividades y productos que van más allá de las publicaciones científicas y que, justamente, tienen que ver con una preocupación de brindar soluciones a los problemas que orientan sus investigaciones y/o que implican una vinculación con los usuarios del conocimiento. Sin embargo, los entrevistados también mencionan las distintas dificultades que enfrentan para que los resultados o productos de sus investigaciones logren transferirse.</w:t>
      </w:r>
    </w:p>
    <w:p w14:paraId="0000004A"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Por ejemplo, Mariano cuenta haber desarrollado un hidrogel y que inició los trámites para patentarlo ante CONICET. En ese marco tuvo varias reuniones, pero que no lograron avanzar, ya que el organismo promovía la creación de una empresa de base tecnológica en lugar del patentamiento. Como puede verse en el relato del investigador, esto excedería sus intenciones: </w:t>
      </w:r>
    </w:p>
    <w:p w14:paraId="0000004B" w14:textId="77777777" w:rsidR="003519AF" w:rsidRPr="003C689E" w:rsidRDefault="00000000" w:rsidP="003C689E">
      <w:pPr>
        <w:spacing w:line="240" w:lineRule="auto"/>
        <w:ind w:left="566"/>
        <w:jc w:val="both"/>
        <w:rPr>
          <w:rFonts w:ascii="Times New Roman" w:eastAsia="Times New Roman" w:hAnsi="Times New Roman" w:cs="Times New Roman"/>
          <w:sz w:val="22"/>
          <w:szCs w:val="22"/>
        </w:rPr>
      </w:pPr>
      <w:r w:rsidRPr="003C689E">
        <w:rPr>
          <w:rFonts w:ascii="Times New Roman" w:eastAsia="Times New Roman" w:hAnsi="Times New Roman" w:cs="Times New Roman"/>
          <w:sz w:val="22"/>
          <w:szCs w:val="22"/>
        </w:rPr>
        <w:lastRenderedPageBreak/>
        <w:t>[...] tres reuniones hemos tenido. Yo ya la última ya estaba enojadísimo, ya no ni hablaba porque me estaban pidiendo que haga una empresa de base tecnológica… que ellos no iban a patentar, entonces me querían obligar a que salga de la zona de confort. [...] yo tenía hace 3 años mi doctorando, etcétera, no me puedo ir y colgar todo y hacer una empresa [...] pasó el tiempo, CONICET me dijo que no lo va a patentar. [...] La universidad sí lo quiere patentar. [...] tomó cartas en el asunto [...] Para esto perdimos 2 años porque CONICET iba y venía. (Mariano, Investigador Adjunto, Salud)</w:t>
      </w:r>
    </w:p>
    <w:p w14:paraId="0000004C"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Un relato similar encontramos en el caso de Josefina, quien llegó a desarrollar un </w:t>
      </w:r>
      <w:proofErr w:type="spellStart"/>
      <w:r w:rsidRPr="003C689E">
        <w:rPr>
          <w:rFonts w:ascii="Times New Roman" w:eastAsia="Times New Roman" w:hAnsi="Times New Roman" w:cs="Times New Roman"/>
        </w:rPr>
        <w:t>bioinsumo</w:t>
      </w:r>
      <w:proofErr w:type="spellEnd"/>
      <w:r w:rsidRPr="003C689E">
        <w:rPr>
          <w:rFonts w:ascii="Times New Roman" w:eastAsia="Times New Roman" w:hAnsi="Times New Roman" w:cs="Times New Roman"/>
        </w:rPr>
        <w:t xml:space="preserve"> con aplicaciones para el agro. Nos cuenta que mientras el mismo se encuentra en un largo proceso de patentamiento, ha intentado encontrar empresas que puedan producirlo, pero sin tener éxito ya que su producción requiere introducir distintos procesos productivos e inversiones por parte de las empresas. En ese escenario, nuevamente, surge la propuesta de asumir el rol de “empresaria”:</w:t>
      </w:r>
    </w:p>
    <w:p w14:paraId="0000004D" w14:textId="77777777" w:rsidR="003519AF" w:rsidRPr="003C689E" w:rsidRDefault="00000000" w:rsidP="003C689E">
      <w:pPr>
        <w:spacing w:line="240" w:lineRule="auto"/>
        <w:ind w:left="566"/>
        <w:jc w:val="both"/>
        <w:rPr>
          <w:rFonts w:ascii="Times New Roman" w:eastAsia="Times New Roman" w:hAnsi="Times New Roman" w:cs="Times New Roman"/>
          <w:sz w:val="22"/>
          <w:szCs w:val="22"/>
        </w:rPr>
      </w:pPr>
      <w:r w:rsidRPr="003C689E">
        <w:rPr>
          <w:rFonts w:ascii="Times New Roman" w:eastAsia="Times New Roman" w:hAnsi="Times New Roman" w:cs="Times New Roman"/>
          <w:sz w:val="22"/>
          <w:szCs w:val="22"/>
        </w:rPr>
        <w:t xml:space="preserve">[...] muchos también nos han planteado la idea de armar un </w:t>
      </w:r>
      <w:r w:rsidRPr="003C689E">
        <w:rPr>
          <w:rFonts w:ascii="Times New Roman" w:eastAsia="Times New Roman" w:hAnsi="Times New Roman" w:cs="Times New Roman"/>
          <w:i/>
          <w:iCs/>
          <w:sz w:val="22"/>
          <w:szCs w:val="22"/>
        </w:rPr>
        <w:t>startup</w:t>
      </w:r>
      <w:r w:rsidRPr="003C689E">
        <w:rPr>
          <w:rFonts w:ascii="Times New Roman" w:eastAsia="Times New Roman" w:hAnsi="Times New Roman" w:cs="Times New Roman"/>
          <w:sz w:val="22"/>
          <w:szCs w:val="22"/>
        </w:rPr>
        <w:t xml:space="preserve">, de ir por la parte de </w:t>
      </w:r>
      <w:proofErr w:type="spellStart"/>
      <w:r w:rsidRPr="003C689E">
        <w:rPr>
          <w:rFonts w:ascii="Times New Roman" w:eastAsia="Times New Roman" w:hAnsi="Times New Roman" w:cs="Times New Roman"/>
          <w:sz w:val="22"/>
          <w:szCs w:val="22"/>
        </w:rPr>
        <w:t>de</w:t>
      </w:r>
      <w:proofErr w:type="spellEnd"/>
      <w:r w:rsidRPr="003C689E">
        <w:rPr>
          <w:rFonts w:ascii="Times New Roman" w:eastAsia="Times New Roman" w:hAnsi="Times New Roman" w:cs="Times New Roman"/>
          <w:sz w:val="22"/>
          <w:szCs w:val="22"/>
        </w:rPr>
        <w:t xml:space="preserve"> generar una empresa propia o un </w:t>
      </w:r>
      <w:r w:rsidRPr="003C689E">
        <w:rPr>
          <w:rFonts w:ascii="Times New Roman" w:eastAsia="Times New Roman" w:hAnsi="Times New Roman" w:cs="Times New Roman"/>
          <w:i/>
          <w:iCs/>
          <w:sz w:val="22"/>
          <w:szCs w:val="22"/>
        </w:rPr>
        <w:t>spin-off</w:t>
      </w:r>
      <w:r w:rsidRPr="003C689E">
        <w:rPr>
          <w:rFonts w:ascii="Times New Roman" w:eastAsia="Times New Roman" w:hAnsi="Times New Roman" w:cs="Times New Roman"/>
          <w:sz w:val="22"/>
          <w:szCs w:val="22"/>
        </w:rPr>
        <w:t xml:space="preserve"> también por parte de las universidades, pero nosotros no queremos porque no tenemos la cabeza de empresarios, porque nosotros queremos hacer ciencia, no queremos ponernos una empresa. [...] Mi intención es transferir y seguir con otro desarrollo o potenciar este desarrollo para el otro lado [...] Tenemos una visión distinta y tampoco creo que tengamos la capacidad para hacerlo. (Josefina, investigadora adjunta, agroindustria)</w:t>
      </w:r>
    </w:p>
    <w:p w14:paraId="0000004E"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Estos relatos nos permiten ver que hay en estos perfiles de investigación una intención o vocación por lograr dar soluciones a problemas, desarrollando por ejemplo, productos con aplicaciones concretas, pero que el éxito de los mismos depende de varios factores externos a ellos y que tiene que ver tanto con el acompañamiento de las instituciones en facilitar estos procesos, como de la propia industria para desarrollarlos. </w:t>
      </w:r>
    </w:p>
    <w:p w14:paraId="0000004F"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Pero no se trata solo de productos como los hasta aquí mencionados. Si tomamos nuevamente el ejemplo de Ingrid, da cuenta de los desafíos por demostrar las actividades de vinculación en ciencias sociales, que muchas veces adquieren un carácter informal que no se refleja en instrumentos o que no son fáciles de incorporar en los registros informáticos del organismo:</w:t>
      </w:r>
    </w:p>
    <w:p w14:paraId="00000050" w14:textId="77777777" w:rsidR="003519AF" w:rsidRPr="003C689E" w:rsidRDefault="00000000" w:rsidP="003C689E">
      <w:pPr>
        <w:spacing w:line="240" w:lineRule="auto"/>
        <w:ind w:left="566"/>
        <w:jc w:val="both"/>
        <w:rPr>
          <w:rFonts w:ascii="Times New Roman" w:eastAsia="Times New Roman" w:hAnsi="Times New Roman" w:cs="Times New Roman"/>
        </w:rPr>
      </w:pPr>
      <w:r w:rsidRPr="003C689E">
        <w:rPr>
          <w:rFonts w:ascii="Times New Roman" w:eastAsia="Times New Roman" w:hAnsi="Times New Roman" w:cs="Times New Roman"/>
          <w:sz w:val="22"/>
          <w:szCs w:val="22"/>
        </w:rPr>
        <w:t>En todos mis informes o mis dictámenes de carrera, se destaca en mis “otros”, como se destaca que hice transferencia  [...] que hice cosas en el entorno, comilla a comilla. Sobre todo que además en las ciencias sociales es tan difícil de asir esa interacción con el entorno, que no es que yo tengo un servicio técnico de alto nivel que te estoy transfiriendo, no hago un STAN, no hay convenios de transferencia per se, en general hay vinculaciones más laxas, más informales [...] no sé, ahora estoy acompañando [...] un proyecto audiovisual  [...]. Bueno, o sea, para mí forma parte de mi transferencia. Pero no es un convenio [...] Y en los informes  [...] si bien se destacan las otras cosas que hago, no sé cuánto realmente la Comisión evalúa como ese "otros" o no.  [...] que además no se puede mostrar del todo bien en el SIGEVA, o sea, los cargo de maneras creativas  [...] tengo que ir buscándole los espacios y los resquicios dentro del SIGEVA para poder cargarlo. (Ingrid, investigadora adjunta, desarrollo y tecnología social)</w:t>
      </w:r>
    </w:p>
    <w:p w14:paraId="00000051"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En esta última cita también puede verse que la investigadora plantea la inquietud acerca de qué tanto se valoran estas actividades de vinculación con el entorno, lo que nos </w:t>
      </w:r>
      <w:r w:rsidRPr="003C689E">
        <w:rPr>
          <w:rFonts w:ascii="Times New Roman" w:eastAsia="Times New Roman" w:hAnsi="Times New Roman" w:cs="Times New Roman"/>
        </w:rPr>
        <w:lastRenderedPageBreak/>
        <w:t xml:space="preserve">conduce al tercer eje, centrado en cómo los investigadores perciben las formas de evaluación de sus trayectorias y qué tensiones identifican entre estos últimos y las formas de orientar sus modos de producir y difundir conocimiento. Mientras que en los relatos de los entrevistados se evidencia que los TE tuvieron mucha importancia al momento de la postulación, señalan que luego del ingreso y a medida que avanzan en la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 xml:space="preserve">, esa orientación se va diluyendo, en tanto no perciben un seguimiento en el marco de los TE y una evaluación que atienda a sus particularidades. </w:t>
      </w:r>
    </w:p>
    <w:p w14:paraId="00000052"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Más allá de los cambios mencionados en la sección previa sobre la organización de las evaluaciones de los perfiles en TE, los entrevistados muestran no tener claro cuáles han sido las comisiones que llevaron adelante la evaluación de sus informes y solicitudes de promoción, aunque algunos sí rescatan que los informes debían responder algunos ítems específicos sobre el avance en TE. La percepción generalizada de los investigadores sobre la evaluación es que priman los criterios bibliométricos, centrados en la publicación de artículos científicos. Hay quienes logran adaptarse de mejor manera a estas exigencias y quienes, al contrario, lo identifican como una dificultad para el avance al interior de la </w:t>
      </w:r>
      <w:proofErr w:type="spellStart"/>
      <w:r w:rsidRPr="003C689E">
        <w:rPr>
          <w:rFonts w:ascii="Times New Roman" w:eastAsia="Times New Roman" w:hAnsi="Times New Roman" w:cs="Times New Roman"/>
        </w:rPr>
        <w:t>CICyT</w:t>
      </w:r>
      <w:proofErr w:type="spellEnd"/>
      <w:r w:rsidRPr="003C689E">
        <w:rPr>
          <w:rFonts w:ascii="Times New Roman" w:eastAsia="Times New Roman" w:hAnsi="Times New Roman" w:cs="Times New Roman"/>
        </w:rPr>
        <w:t>:</w:t>
      </w:r>
    </w:p>
    <w:p w14:paraId="00000053" w14:textId="77777777" w:rsidR="003519AF" w:rsidRPr="003C689E" w:rsidRDefault="00000000" w:rsidP="00DB4FF7">
      <w:pPr>
        <w:spacing w:line="240" w:lineRule="auto"/>
        <w:ind w:left="720" w:hanging="154"/>
        <w:jc w:val="both"/>
        <w:rPr>
          <w:rFonts w:ascii="Times New Roman" w:eastAsia="Times New Roman" w:hAnsi="Times New Roman" w:cs="Times New Roman"/>
          <w:sz w:val="22"/>
          <w:szCs w:val="22"/>
        </w:rPr>
      </w:pPr>
      <w:r w:rsidRPr="003C689E">
        <w:rPr>
          <w:rFonts w:ascii="Times New Roman" w:eastAsia="Times New Roman" w:hAnsi="Times New Roman" w:cs="Times New Roman"/>
          <w:sz w:val="22"/>
          <w:szCs w:val="22"/>
        </w:rPr>
        <w:t xml:space="preserve">Siempre tuve buenas evaluaciones de CONICET, salvo cuando pedí promoción que me dijeron que no me alcanzaban los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xml:space="preserve">, con lo cual al final de cuentas digo, me encontraron los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xml:space="preserve">, ¿no? Me faltaba un </w:t>
      </w:r>
      <w:proofErr w:type="spellStart"/>
      <w:r w:rsidRPr="00DB4FF7">
        <w:rPr>
          <w:rFonts w:ascii="Times New Roman" w:eastAsia="Times New Roman" w:hAnsi="Times New Roman" w:cs="Times New Roman"/>
          <w:i/>
          <w:iCs/>
          <w:sz w:val="22"/>
          <w:szCs w:val="22"/>
        </w:rPr>
        <w:t>paper</w:t>
      </w:r>
      <w:proofErr w:type="spellEnd"/>
      <w:r w:rsidRPr="003C689E">
        <w:rPr>
          <w:rFonts w:ascii="Times New Roman" w:eastAsia="Times New Roman" w:hAnsi="Times New Roman" w:cs="Times New Roman"/>
          <w:sz w:val="22"/>
          <w:szCs w:val="22"/>
        </w:rPr>
        <w:t xml:space="preserve"> de primer autor, era lo único que me quedó en claro de la evaluación de CONICET. Después dijeron un montón de cosas bellas los pares evaluadores diciendo que hacía un montón de cosas que iban más allá de la tarea de un investigador asistente, pero bueno, no importaba cuánta gente hubiera formado, que formaba parte de comisiones en la universidad, que ya tenía financiamiento a mi nombre, [...] no hice la cantidad de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xml:space="preserve"> que tenía que hacer un investigador asistente, entonces no alcanzó. (Silvia, Investigadora Asistente, Salud)</w:t>
      </w:r>
    </w:p>
    <w:p w14:paraId="00000054" w14:textId="77777777" w:rsidR="003519AF" w:rsidRPr="003C689E" w:rsidRDefault="00000000" w:rsidP="003C689E">
      <w:pPr>
        <w:spacing w:line="240" w:lineRule="auto"/>
        <w:ind w:left="566"/>
        <w:jc w:val="both"/>
        <w:rPr>
          <w:rFonts w:ascii="Times New Roman" w:eastAsia="Times New Roman" w:hAnsi="Times New Roman" w:cs="Times New Roman"/>
          <w:sz w:val="22"/>
          <w:szCs w:val="22"/>
        </w:rPr>
      </w:pPr>
      <w:r w:rsidRPr="003C689E">
        <w:rPr>
          <w:rFonts w:ascii="Times New Roman" w:eastAsia="Times New Roman" w:hAnsi="Times New Roman" w:cs="Times New Roman"/>
          <w:sz w:val="22"/>
          <w:szCs w:val="22"/>
        </w:rPr>
        <w:t xml:space="preserve">¿Por qué hice aplicada? Porque me exigen. E hice básica porque me miden con la regla de los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xml:space="preserve">. [...] Entonces yo la parte de transferencia, es muy linda espiritualmente, pero no te da los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Entonces la parte de investigación básica tampoco la tenés que abandonar. [...] si la regla es una y es clara, yo voy con esa regla. Lo otro lo hago como para decir que también lo hago. Eh, voy tratando de direccionar las dos cosas, pero yo tengo clara una regla y la otra es está ahí en una nube… (Mariano, Investigador Adjunto, Salud)</w:t>
      </w:r>
    </w:p>
    <w:p w14:paraId="00000055"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Como se desprende del relato de Mariano, la percepción de una mayor ponderación de los artículos académicos en la evaluación tiene consecuencias para los investigadores al momento de priorizar su producción: la aplicabilidad (que sería deseable en las investigaciones orientadas a la resolución de problemas) aparece como algo adicional que puede hacer el investigador después de haber cumplido con las publicaciones científicas que priorizaría la evaluación. </w:t>
      </w:r>
    </w:p>
    <w:p w14:paraId="00000056"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En esta misma línea, Sebastián plantea una discusión en torno al peso que deberían tener las patentes en las evaluaciones de los investigadores, debido a los amplios periodos temporales que insume y la imposibilidad de publicar los resultados hasta que se concrete el patentamiento:</w:t>
      </w:r>
    </w:p>
    <w:p w14:paraId="00000057" w14:textId="77777777" w:rsidR="003519AF" w:rsidRPr="003C689E" w:rsidRDefault="00000000" w:rsidP="003C689E">
      <w:pPr>
        <w:spacing w:line="240" w:lineRule="auto"/>
        <w:ind w:left="566"/>
        <w:jc w:val="both"/>
        <w:rPr>
          <w:rFonts w:ascii="Times New Roman" w:eastAsia="Times New Roman" w:hAnsi="Times New Roman" w:cs="Times New Roman"/>
        </w:rPr>
      </w:pPr>
      <w:r w:rsidRPr="003C689E">
        <w:rPr>
          <w:rFonts w:ascii="Times New Roman" w:eastAsia="Times New Roman" w:hAnsi="Times New Roman" w:cs="Times New Roman"/>
          <w:sz w:val="22"/>
          <w:szCs w:val="22"/>
        </w:rPr>
        <w:t xml:space="preserve">[...] te evalúan por publicar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xml:space="preserve">. [...] tengo una compañera que está en estratégicos también y que [...] estuvo haciendo desarrollo de un fármaco para patentamiento. Eso hizo </w:t>
      </w:r>
      <w:r w:rsidRPr="003C689E">
        <w:rPr>
          <w:rFonts w:ascii="Times New Roman" w:eastAsia="Times New Roman" w:hAnsi="Times New Roman" w:cs="Times New Roman"/>
          <w:sz w:val="22"/>
          <w:szCs w:val="22"/>
        </w:rPr>
        <w:lastRenderedPageBreak/>
        <w:t xml:space="preserve">que no pueda publicar, porque vos cuando estás desarrollando para patente no podés publicar nada. ¿Qué te dice CONICET? Bueno, la patente cuenta igual que un </w:t>
      </w:r>
      <w:proofErr w:type="spellStart"/>
      <w:r w:rsidRPr="00DB4FF7">
        <w:rPr>
          <w:rFonts w:ascii="Times New Roman" w:eastAsia="Times New Roman" w:hAnsi="Times New Roman" w:cs="Times New Roman"/>
          <w:i/>
          <w:iCs/>
          <w:sz w:val="22"/>
          <w:szCs w:val="22"/>
        </w:rPr>
        <w:t>paper</w:t>
      </w:r>
      <w:proofErr w:type="spellEnd"/>
      <w:r w:rsidRPr="003C689E">
        <w:rPr>
          <w:rFonts w:ascii="Times New Roman" w:eastAsia="Times New Roman" w:hAnsi="Times New Roman" w:cs="Times New Roman"/>
          <w:sz w:val="22"/>
          <w:szCs w:val="22"/>
        </w:rPr>
        <w:t xml:space="preserve">. Y una patente lleva mucho más tiempo que un </w:t>
      </w:r>
      <w:proofErr w:type="spellStart"/>
      <w:r w:rsidRPr="00DB4FF7">
        <w:rPr>
          <w:rFonts w:ascii="Times New Roman" w:eastAsia="Times New Roman" w:hAnsi="Times New Roman" w:cs="Times New Roman"/>
          <w:i/>
          <w:iCs/>
          <w:sz w:val="22"/>
          <w:szCs w:val="22"/>
        </w:rPr>
        <w:t>paper</w:t>
      </w:r>
      <w:proofErr w:type="spellEnd"/>
      <w:r w:rsidRPr="003C689E">
        <w:rPr>
          <w:rFonts w:ascii="Times New Roman" w:eastAsia="Times New Roman" w:hAnsi="Times New Roman" w:cs="Times New Roman"/>
          <w:sz w:val="22"/>
          <w:szCs w:val="22"/>
        </w:rPr>
        <w:t xml:space="preserve">. Entonces vos por ahí estás cinco años sin publicar porque estás desarrollando una patente y después cuando pedís seguir en la carrera científica, [...] te lo niegan porque no publicaste nada. [...] Entonces, si a alguien que trabaja en temas estratégicos en desarrollo de fármacos no se lo incentiva adecuadamente a realizar patentes, es obvio que va a publicar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xml:space="preserve">, porque vos lo estás premiando por publicar </w:t>
      </w:r>
      <w:proofErr w:type="spellStart"/>
      <w:r w:rsidRPr="00DB4FF7">
        <w:rPr>
          <w:rFonts w:ascii="Times New Roman" w:eastAsia="Times New Roman" w:hAnsi="Times New Roman" w:cs="Times New Roman"/>
          <w:i/>
          <w:iCs/>
          <w:sz w:val="22"/>
          <w:szCs w:val="22"/>
        </w:rPr>
        <w:t>papers</w:t>
      </w:r>
      <w:proofErr w:type="spellEnd"/>
      <w:r w:rsidRPr="003C689E">
        <w:rPr>
          <w:rFonts w:ascii="Times New Roman" w:eastAsia="Times New Roman" w:hAnsi="Times New Roman" w:cs="Times New Roman"/>
          <w:sz w:val="22"/>
          <w:szCs w:val="22"/>
        </w:rPr>
        <w:t>. (Sebastián, Investigador Adjunto, Salud).</w:t>
      </w:r>
    </w:p>
    <w:p w14:paraId="00000058" w14:textId="77777777" w:rsidR="003519AF" w:rsidRPr="003C689E" w:rsidRDefault="00000000" w:rsidP="003C689E">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De esta manera, se evidencia una clara tensión entre el desarrollo de la investigación aplicada y una evaluación de las trayectorias que otorga primacía a las publicaciones en revistas científicas.</w:t>
      </w:r>
    </w:p>
    <w:p w14:paraId="00000059" w14:textId="77777777" w:rsidR="003519AF"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0000005A" w14:textId="77777777" w:rsidR="003519AF" w:rsidRDefault="00000000" w:rsidP="00D97B8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Aunque en la política de ingreso a la </w:t>
      </w:r>
      <w:proofErr w:type="spellStart"/>
      <w:r>
        <w:rPr>
          <w:rFonts w:ascii="Times New Roman" w:eastAsia="Times New Roman" w:hAnsi="Times New Roman" w:cs="Times New Roman"/>
        </w:rPr>
        <w:t>CICyT</w:t>
      </w:r>
      <w:proofErr w:type="spellEnd"/>
      <w:r>
        <w:rPr>
          <w:rFonts w:ascii="Times New Roman" w:eastAsia="Times New Roman" w:hAnsi="Times New Roman" w:cs="Times New Roman"/>
        </w:rPr>
        <w:t xml:space="preserve"> en Temas Estratégicos se observan transformaciones en el sistema de evaluación, ya sea en el discurso mediante las bases de las convocatorias, en la definición de criterios específicos que ponderan resultados, productos y actividades diversas, y en la introducción de modificaciones al mecanismo de evaluación -como la conformación de comisiones evaluadoras multidisciplinarias-, en la evaluación de las trayectorias, tanto a través de los informes reglamentarios como de las solicitudes de promoción, la percepción de quienes desarrollan su carrera por esta modalidad es que las principales señales del sistema continúan siendo las tradicionales: la publicación de artículos en revistas científicas indexadas.</w:t>
      </w:r>
    </w:p>
    <w:p w14:paraId="0000005B" w14:textId="77777777" w:rsidR="003519AF" w:rsidRDefault="00000000" w:rsidP="00D97B8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del análisis de la normativa y documentación institucional, complementado con entrevistas a investigadores/as que ingresaron a la </w:t>
      </w:r>
      <w:proofErr w:type="spellStart"/>
      <w:r>
        <w:rPr>
          <w:rFonts w:ascii="Times New Roman" w:eastAsia="Times New Roman" w:hAnsi="Times New Roman" w:cs="Times New Roman"/>
        </w:rPr>
        <w:t>CICyT</w:t>
      </w:r>
      <w:proofErr w:type="spellEnd"/>
      <w:r>
        <w:rPr>
          <w:rFonts w:ascii="Times New Roman" w:eastAsia="Times New Roman" w:hAnsi="Times New Roman" w:cs="Times New Roman"/>
        </w:rPr>
        <w:t xml:space="preserve"> por TE, este trabajo buscó analizar en qué medida la orientación hacia la resolución de problemas incorporada por esta política se refleja en la evaluación de las trayectorias científicas una vez producido el ingreso a la carrera.</w:t>
      </w:r>
    </w:p>
    <w:p w14:paraId="0000005C" w14:textId="77777777" w:rsidR="003519AF" w:rsidRDefault="00000000" w:rsidP="00D97B83">
      <w:pPr>
        <w:spacing w:line="240" w:lineRule="auto"/>
        <w:jc w:val="both"/>
        <w:rPr>
          <w:rFonts w:ascii="Times New Roman" w:eastAsia="Times New Roman" w:hAnsi="Times New Roman" w:cs="Times New Roman"/>
        </w:rPr>
      </w:pPr>
      <w:r>
        <w:rPr>
          <w:rFonts w:ascii="Times New Roman" w:eastAsia="Times New Roman" w:hAnsi="Times New Roman" w:cs="Times New Roman"/>
        </w:rPr>
        <w:t>El análisis de la documentación institucional permitió identificar un proceso de cambios progresivos en la evaluación de las trayectorias de estos perfiles. En una primera etapa, los investigadores ingresados por TE fueron evaluados con los mismos procedimientos y criterios que el resto de la carrera. Posteriormente se incorporaron mecanismos específicos, tanto en la conformación de las comisiones evaluadoras como en los instructivos de presentación de informes, que buscaron recuperar aspectos propios de la investigación orientada hacia la resolución de problemas. Finalmente, la incorporación de los principios de la evaluación responsable amplió, desde el plano normativo, el reconocimiento de la diversidad de trayectorias.</w:t>
      </w:r>
    </w:p>
    <w:p w14:paraId="0000005D" w14:textId="77777777" w:rsidR="003519AF" w:rsidRDefault="00000000" w:rsidP="00D97B8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embargo, los resultados preliminares de las entrevistas muestran que estas transformaciones no parecen haberse traducido plenamente en la experiencia de los investigadores. Los entrevistados reconocen que los TE constituyeron una vía de ingreso adecuada para perfiles interdisciplinarios y orientados a la resolución de problemas, además de habilitar expectativas de desarrollar actividades de vinculación, transferencia y producción de resultados distintos de las publicaciones científicas. No obstante, al avanzar en la carrera, perciben que los criterios valorados en las instancias de evaluación </w:t>
      </w:r>
      <w:r>
        <w:rPr>
          <w:rFonts w:ascii="Times New Roman" w:eastAsia="Times New Roman" w:hAnsi="Times New Roman" w:cs="Times New Roman"/>
        </w:rPr>
        <w:lastRenderedPageBreak/>
        <w:t xml:space="preserve">continúan privilegiando la producción de </w:t>
      </w:r>
      <w:proofErr w:type="spellStart"/>
      <w:r>
        <w:rPr>
          <w:rFonts w:ascii="Times New Roman" w:eastAsia="Times New Roman" w:hAnsi="Times New Roman" w:cs="Times New Roman"/>
        </w:rPr>
        <w:t>papers</w:t>
      </w:r>
      <w:proofErr w:type="spellEnd"/>
      <w:r>
        <w:rPr>
          <w:rFonts w:ascii="Times New Roman" w:eastAsia="Times New Roman" w:hAnsi="Times New Roman" w:cs="Times New Roman"/>
        </w:rPr>
        <w:t xml:space="preserve">, lo que genera tensiones entre las actividades que la política busca promover y aquellas que consideran necesarias para asegurar su permanencia y promoción en la </w:t>
      </w:r>
      <w:proofErr w:type="spellStart"/>
      <w:r>
        <w:rPr>
          <w:rFonts w:ascii="Times New Roman" w:eastAsia="Times New Roman" w:hAnsi="Times New Roman" w:cs="Times New Roman"/>
        </w:rPr>
        <w:t>CICyT</w:t>
      </w:r>
      <w:proofErr w:type="spellEnd"/>
      <w:r>
        <w:rPr>
          <w:rFonts w:ascii="Times New Roman" w:eastAsia="Times New Roman" w:hAnsi="Times New Roman" w:cs="Times New Roman"/>
        </w:rPr>
        <w:t>.</w:t>
      </w:r>
    </w:p>
    <w:p w14:paraId="0000005E" w14:textId="77777777" w:rsidR="003519AF" w:rsidRDefault="00000000" w:rsidP="00D97B8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Así, estos resultados permiten señalar que, si bien en los últimos años se observan avances en la incorporación de criterios y procedimientos que reconocen las particularidades de las trayectorias orientadas a la resolución de problemas, persiste una distancia entre estos cambios normativos y las percepciones de quienes son evaluados. Queda por delante profundizar la línea de investigación iniciada en esta ponencia para conocer la opinión de una porción significativa de miembros de la CICYT de CONICET que ingresaron por TE, para poder identificar las reformas necesarias al sistema de evaluación para que se puedan sostener trayectorias de carrera científica aplicadas, alcanzando así el objetivo de la política pública. </w:t>
      </w:r>
    </w:p>
    <w:p w14:paraId="0000005F" w14:textId="77777777" w:rsidR="003519AF" w:rsidRDefault="003519AF">
      <w:pPr>
        <w:spacing w:line="240" w:lineRule="auto"/>
        <w:jc w:val="both"/>
        <w:rPr>
          <w:rFonts w:ascii="Times New Roman" w:eastAsia="Times New Roman" w:hAnsi="Times New Roman" w:cs="Times New Roman"/>
        </w:rPr>
      </w:pPr>
    </w:p>
    <w:p w14:paraId="00000060" w14:textId="77777777" w:rsidR="003519AF"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00000062" w14:textId="5D02E1D2" w:rsidR="003519AF" w:rsidRPr="00D97B83" w:rsidRDefault="00000000" w:rsidP="00D97B83">
      <w:pPr>
        <w:spacing w:line="240" w:lineRule="auto"/>
        <w:jc w:val="both"/>
        <w:rPr>
          <w:rFonts w:ascii="Times New Roman" w:eastAsia="Times New Roman" w:hAnsi="Times New Roman" w:cs="Times New Roman"/>
          <w:lang w:val="en-GB"/>
        </w:rPr>
      </w:pPr>
      <w:proofErr w:type="spellStart"/>
      <w:r w:rsidRPr="00D97B83">
        <w:rPr>
          <w:rFonts w:ascii="Times New Roman" w:eastAsia="Times New Roman" w:hAnsi="Times New Roman" w:cs="Times New Roman"/>
        </w:rPr>
        <w:t>Bleischwitz</w:t>
      </w:r>
      <w:proofErr w:type="spellEnd"/>
      <w:r w:rsidRPr="00D97B83">
        <w:rPr>
          <w:rFonts w:ascii="Times New Roman" w:eastAsia="Times New Roman" w:hAnsi="Times New Roman" w:cs="Times New Roman"/>
        </w:rPr>
        <w:t xml:space="preserve"> R., </w:t>
      </w:r>
      <w:proofErr w:type="spellStart"/>
      <w:r w:rsidRPr="00D97B83">
        <w:rPr>
          <w:rFonts w:ascii="Times New Roman" w:eastAsia="Times New Roman" w:hAnsi="Times New Roman" w:cs="Times New Roman"/>
        </w:rPr>
        <w:t>Sordé</w:t>
      </w:r>
      <w:proofErr w:type="spellEnd"/>
      <w:r w:rsidRPr="00D97B83">
        <w:rPr>
          <w:rFonts w:ascii="Times New Roman" w:eastAsia="Times New Roman" w:hAnsi="Times New Roman" w:cs="Times New Roman"/>
        </w:rPr>
        <w:t xml:space="preserve"> Martí T., Ciarli T., Ferré M., </w:t>
      </w:r>
      <w:proofErr w:type="spellStart"/>
      <w:r w:rsidRPr="00D97B83">
        <w:rPr>
          <w:rFonts w:ascii="Times New Roman" w:eastAsia="Times New Roman" w:hAnsi="Times New Roman" w:cs="Times New Roman"/>
        </w:rPr>
        <w:t>Estradivari</w:t>
      </w:r>
      <w:proofErr w:type="spellEnd"/>
      <w:r w:rsidRPr="00D97B83">
        <w:rPr>
          <w:rFonts w:ascii="Times New Roman" w:eastAsia="Times New Roman" w:hAnsi="Times New Roman" w:cs="Times New Roman"/>
        </w:rPr>
        <w:t xml:space="preserve">, Matt M., </w:t>
      </w:r>
      <w:proofErr w:type="spellStart"/>
      <w:r w:rsidRPr="00D97B83">
        <w:rPr>
          <w:rFonts w:ascii="Times New Roman" w:eastAsia="Times New Roman" w:hAnsi="Times New Roman" w:cs="Times New Roman"/>
        </w:rPr>
        <w:t>Binot</w:t>
      </w:r>
      <w:proofErr w:type="spellEnd"/>
      <w:r w:rsidRPr="00D97B83">
        <w:rPr>
          <w:rFonts w:ascii="Times New Roman" w:eastAsia="Times New Roman" w:hAnsi="Times New Roman" w:cs="Times New Roman"/>
        </w:rPr>
        <w:t xml:space="preserve"> A., Soler-Gallart M., Chavarro D. (2025). </w:t>
      </w:r>
      <w:r w:rsidRPr="00DB4FF7">
        <w:rPr>
          <w:rFonts w:ascii="Times New Roman" w:eastAsia="Times New Roman" w:hAnsi="Times New Roman" w:cs="Times New Roman"/>
          <w:i/>
          <w:iCs/>
          <w:lang w:val="en-GB"/>
        </w:rPr>
        <w:t>Transformative Research Assessment: Integrating Societal Impacts into Evaluation Frameworks</w:t>
      </w:r>
      <w:r w:rsidRPr="00D97B83">
        <w:rPr>
          <w:rFonts w:ascii="Times New Roman" w:eastAsia="Times New Roman" w:hAnsi="Times New Roman" w:cs="Times New Roman"/>
          <w:lang w:val="en-GB"/>
        </w:rPr>
        <w:t>. DOI: https://doi.org/10.5281/zenodo.17722382</w:t>
      </w:r>
    </w:p>
    <w:p w14:paraId="00000063" w14:textId="77777777"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rPr>
        <w:t xml:space="preserve">Bianco, M., Mazzitelli, M. G. &amp; Tomassini, C. (2014). Señales transmitidas por el sistema de fomento a la investigación. Tensiones en la orientación de la producción de conocimiento y las carreras académicas en Uruguay. </w:t>
      </w:r>
      <w:r w:rsidRPr="00DB4FF7">
        <w:rPr>
          <w:rFonts w:ascii="Times New Roman" w:eastAsia="Times New Roman" w:hAnsi="Times New Roman" w:cs="Times New Roman"/>
          <w:i/>
          <w:iCs/>
        </w:rPr>
        <w:t>Redes</w:t>
      </w:r>
      <w:r w:rsidRPr="00D97B83">
        <w:rPr>
          <w:rFonts w:ascii="Times New Roman" w:eastAsia="Times New Roman" w:hAnsi="Times New Roman" w:cs="Times New Roman"/>
        </w:rPr>
        <w:t xml:space="preserve">, </w:t>
      </w:r>
      <w:r w:rsidRPr="00DB4FF7">
        <w:rPr>
          <w:rFonts w:ascii="Times New Roman" w:eastAsia="Times New Roman" w:hAnsi="Times New Roman" w:cs="Times New Roman"/>
          <w:i/>
          <w:iCs/>
        </w:rPr>
        <w:t>20</w:t>
      </w:r>
      <w:r w:rsidRPr="00D97B83">
        <w:rPr>
          <w:rFonts w:ascii="Times New Roman" w:eastAsia="Times New Roman" w:hAnsi="Times New Roman" w:cs="Times New Roman"/>
        </w:rPr>
        <w:t>(39), 159-182.</w:t>
      </w:r>
    </w:p>
    <w:p w14:paraId="00000064" w14:textId="165E4269" w:rsidR="003519AF" w:rsidRPr="00D97B83" w:rsidRDefault="00000000" w:rsidP="00D97B83">
      <w:pPr>
        <w:spacing w:line="240" w:lineRule="auto"/>
        <w:jc w:val="both"/>
        <w:rPr>
          <w:rFonts w:ascii="Times New Roman" w:eastAsia="Times New Roman" w:hAnsi="Times New Roman" w:cs="Times New Roman"/>
          <w:lang w:val="en-GB"/>
        </w:rPr>
      </w:pPr>
      <w:proofErr w:type="spellStart"/>
      <w:r w:rsidRPr="00D97B83">
        <w:rPr>
          <w:rFonts w:ascii="Times New Roman" w:eastAsia="Times New Roman" w:hAnsi="Times New Roman" w:cs="Times New Roman"/>
        </w:rPr>
        <w:t>Cañibano</w:t>
      </w:r>
      <w:proofErr w:type="spellEnd"/>
      <w:r w:rsidRPr="00D97B83">
        <w:rPr>
          <w:rFonts w:ascii="Times New Roman" w:eastAsia="Times New Roman" w:hAnsi="Times New Roman" w:cs="Times New Roman"/>
        </w:rPr>
        <w:t xml:space="preserve">, C., Woolley, R., Iversen, E. J., &amp; Corona-Sobrino, C. (2024). </w:t>
      </w:r>
      <w:r w:rsidRPr="00D97B83">
        <w:rPr>
          <w:rFonts w:ascii="Times New Roman" w:eastAsia="Times New Roman" w:hAnsi="Times New Roman" w:cs="Times New Roman"/>
          <w:lang w:val="en-GB"/>
        </w:rPr>
        <w:t xml:space="preserve">The state-of-the-art of research on science research careers. </w:t>
      </w:r>
      <w:r w:rsidR="00EF62BA">
        <w:rPr>
          <w:rFonts w:ascii="Times New Roman" w:eastAsia="Times New Roman" w:hAnsi="Times New Roman" w:cs="Times New Roman"/>
          <w:lang w:val="en-GB"/>
        </w:rPr>
        <w:t>E</w:t>
      </w:r>
      <w:r w:rsidRPr="00D97B83">
        <w:rPr>
          <w:rFonts w:ascii="Times New Roman" w:eastAsia="Times New Roman" w:hAnsi="Times New Roman" w:cs="Times New Roman"/>
          <w:lang w:val="en-GB"/>
        </w:rPr>
        <w:t>n</w:t>
      </w:r>
      <w:r w:rsidR="00EF62BA">
        <w:rPr>
          <w:rFonts w:ascii="Times New Roman" w:eastAsia="Times New Roman" w:hAnsi="Times New Roman" w:cs="Times New Roman"/>
          <w:lang w:val="en-GB"/>
        </w:rPr>
        <w:t xml:space="preserve"> </w:t>
      </w:r>
      <w:r w:rsidR="00EF62BA" w:rsidRPr="00EF62BA">
        <w:rPr>
          <w:rFonts w:ascii="Times New Roman" w:eastAsia="Times New Roman" w:hAnsi="Times New Roman" w:cs="Times New Roman"/>
          <w:lang w:val="en-GB"/>
        </w:rPr>
        <w:t xml:space="preserve">A. Oancea, G. E. Derrick, N. </w:t>
      </w:r>
      <w:proofErr w:type="spellStart"/>
      <w:r w:rsidR="00EF62BA" w:rsidRPr="00EF62BA">
        <w:rPr>
          <w:rFonts w:ascii="Times New Roman" w:eastAsia="Times New Roman" w:hAnsi="Times New Roman" w:cs="Times New Roman"/>
          <w:lang w:val="en-GB"/>
        </w:rPr>
        <w:t>Nuseibeh</w:t>
      </w:r>
      <w:proofErr w:type="spellEnd"/>
      <w:r w:rsidR="00EF62BA" w:rsidRPr="00EF62BA">
        <w:rPr>
          <w:rFonts w:ascii="Times New Roman" w:eastAsia="Times New Roman" w:hAnsi="Times New Roman" w:cs="Times New Roman"/>
          <w:lang w:val="en-GB"/>
        </w:rPr>
        <w:t>, &amp; X. Xu (Eds.)</w:t>
      </w:r>
      <w:r w:rsidRPr="00D97B83">
        <w:rPr>
          <w:rFonts w:ascii="Times New Roman" w:eastAsia="Times New Roman" w:hAnsi="Times New Roman" w:cs="Times New Roman"/>
          <w:lang w:val="en-GB"/>
        </w:rPr>
        <w:t xml:space="preserve"> </w:t>
      </w:r>
      <w:r w:rsidRPr="00D97B83">
        <w:rPr>
          <w:rFonts w:ascii="Times New Roman" w:eastAsia="Times New Roman" w:hAnsi="Times New Roman" w:cs="Times New Roman"/>
          <w:i/>
          <w:iCs/>
          <w:lang w:val="en-GB"/>
        </w:rPr>
        <w:t>Handbook of Meta-Research</w:t>
      </w:r>
      <w:r w:rsidRPr="00D97B83">
        <w:rPr>
          <w:rFonts w:ascii="Times New Roman" w:eastAsia="Times New Roman" w:hAnsi="Times New Roman" w:cs="Times New Roman"/>
          <w:lang w:val="en-GB"/>
        </w:rPr>
        <w:t xml:space="preserve"> (pp. 293-308). Edward Elgar Publishing. </w:t>
      </w:r>
    </w:p>
    <w:p w14:paraId="00000065" w14:textId="2D54FF1F"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lang w:val="en-GB"/>
        </w:rPr>
        <w:t xml:space="preserve">CONICET (2024). </w:t>
      </w:r>
      <w:r w:rsidRPr="00EF62BA">
        <w:rPr>
          <w:rFonts w:ascii="Times New Roman" w:eastAsia="Times New Roman" w:hAnsi="Times New Roman" w:cs="Times New Roman"/>
          <w:i/>
          <w:iCs/>
        </w:rPr>
        <w:t xml:space="preserve">Informe - Evaluación de la iniciativa ‘Convocatoria para el ingreso a la </w:t>
      </w:r>
      <w:proofErr w:type="spellStart"/>
      <w:r w:rsidRPr="00EF62BA">
        <w:rPr>
          <w:rFonts w:ascii="Times New Roman" w:eastAsia="Times New Roman" w:hAnsi="Times New Roman" w:cs="Times New Roman"/>
          <w:i/>
          <w:iCs/>
        </w:rPr>
        <w:t>CICyT</w:t>
      </w:r>
      <w:proofErr w:type="spellEnd"/>
      <w:r w:rsidRPr="00EF62BA">
        <w:rPr>
          <w:rFonts w:ascii="Times New Roman" w:eastAsia="Times New Roman" w:hAnsi="Times New Roman" w:cs="Times New Roman"/>
          <w:i/>
          <w:iCs/>
        </w:rPr>
        <w:t xml:space="preserve"> Modalidad Fortalecimiento I+D+i’</w:t>
      </w:r>
      <w:r w:rsidRPr="00D97B83">
        <w:rPr>
          <w:rFonts w:ascii="Times New Roman" w:eastAsia="Times New Roman" w:hAnsi="Times New Roman" w:cs="Times New Roman"/>
        </w:rPr>
        <w:t>.</w:t>
      </w:r>
      <w:r w:rsidR="00EF62BA">
        <w:rPr>
          <w:rFonts w:ascii="Times New Roman" w:eastAsia="Times New Roman" w:hAnsi="Times New Roman" w:cs="Times New Roman"/>
        </w:rPr>
        <w:t xml:space="preserve"> </w:t>
      </w:r>
      <w:r w:rsidRPr="00D97B83">
        <w:rPr>
          <w:rFonts w:ascii="Times New Roman" w:eastAsia="Times New Roman" w:hAnsi="Times New Roman" w:cs="Times New Roman"/>
        </w:rPr>
        <w:t>https://evaluacion.conicet.gov.ar/wp-content/uploads/sites/4/IF-2024-38976252-APN-DPEICONICET.pdf</w:t>
      </w:r>
    </w:p>
    <w:p w14:paraId="019A2E9A" w14:textId="0EF7DF78" w:rsidR="003C689E" w:rsidRDefault="003C689E" w:rsidP="00D97B83">
      <w:pPr>
        <w:spacing w:line="240" w:lineRule="auto"/>
        <w:jc w:val="both"/>
        <w:rPr>
          <w:rFonts w:ascii="Times New Roman" w:eastAsia="Times New Roman" w:hAnsi="Times New Roman" w:cs="Times New Roman"/>
        </w:rPr>
      </w:pPr>
      <w:r w:rsidRPr="003C689E">
        <w:rPr>
          <w:rFonts w:ascii="Times New Roman" w:eastAsia="Times New Roman" w:hAnsi="Times New Roman" w:cs="Times New Roman"/>
        </w:rPr>
        <w:t xml:space="preserve">CONICET (2021). </w:t>
      </w:r>
      <w:r w:rsidRPr="00EF62BA">
        <w:rPr>
          <w:rFonts w:ascii="Times New Roman" w:eastAsia="Times New Roman" w:hAnsi="Times New Roman" w:cs="Times New Roman"/>
          <w:i/>
          <w:iCs/>
        </w:rPr>
        <w:t>Informe Relevamiento sobre actividades de I+D y de vinculación en Temas Estratégicos</w:t>
      </w:r>
      <w:r w:rsidRPr="003C689E">
        <w:rPr>
          <w:rFonts w:ascii="Times New Roman" w:eastAsia="Times New Roman" w:hAnsi="Times New Roman" w:cs="Times New Roman"/>
        </w:rPr>
        <w:t>.</w:t>
      </w:r>
      <w:r w:rsidR="00EF62BA">
        <w:rPr>
          <w:rFonts w:ascii="Times New Roman" w:eastAsia="Times New Roman" w:hAnsi="Times New Roman" w:cs="Times New Roman"/>
        </w:rPr>
        <w:t xml:space="preserve"> </w:t>
      </w:r>
      <w:r w:rsidR="00EF62BA" w:rsidRPr="00EF62BA">
        <w:rPr>
          <w:rFonts w:ascii="Times New Roman" w:eastAsia="Times New Roman" w:hAnsi="Times New Roman" w:cs="Times New Roman"/>
        </w:rPr>
        <w:t>https://evaluacion.conicet.gov.ar/wp-content/uploads/sites/4/Informe_Trayectorias_en_temas_estrategicos.pdf</w:t>
      </w:r>
    </w:p>
    <w:p w14:paraId="00000066" w14:textId="73E5C6FB" w:rsidR="003519AF" w:rsidRPr="008B347B" w:rsidRDefault="00000000" w:rsidP="00D97B83">
      <w:pPr>
        <w:spacing w:line="240" w:lineRule="auto"/>
        <w:jc w:val="both"/>
        <w:rPr>
          <w:rFonts w:ascii="Times New Roman" w:eastAsia="Times New Roman" w:hAnsi="Times New Roman" w:cs="Times New Roman"/>
          <w:color w:val="1155CC"/>
          <w:u w:val="single"/>
          <w:lang w:val="en-GB"/>
        </w:rPr>
      </w:pPr>
      <w:r w:rsidRPr="003C689E">
        <w:rPr>
          <w:rFonts w:ascii="Times New Roman" w:eastAsia="Times New Roman" w:hAnsi="Times New Roman" w:cs="Times New Roman"/>
          <w:lang w:val="en-GB"/>
        </w:rPr>
        <w:t>Curry S</w:t>
      </w:r>
      <w:r w:rsidR="008B347B">
        <w:rPr>
          <w:rFonts w:ascii="Times New Roman" w:eastAsia="Times New Roman" w:hAnsi="Times New Roman" w:cs="Times New Roman"/>
          <w:lang w:val="en-GB"/>
        </w:rPr>
        <w:t>.,</w:t>
      </w:r>
      <w:r w:rsidRPr="003C689E">
        <w:rPr>
          <w:rFonts w:ascii="Times New Roman" w:eastAsia="Times New Roman" w:hAnsi="Times New Roman" w:cs="Times New Roman"/>
          <w:lang w:val="en-GB"/>
        </w:rPr>
        <w:t xml:space="preserve"> de Rijcke, </w:t>
      </w:r>
      <w:r w:rsidR="008B347B" w:rsidRPr="003C689E">
        <w:rPr>
          <w:rFonts w:ascii="Times New Roman" w:eastAsia="Times New Roman" w:hAnsi="Times New Roman" w:cs="Times New Roman"/>
          <w:lang w:val="en-GB"/>
        </w:rPr>
        <w:t>S</w:t>
      </w:r>
      <w:r w:rsidR="008B347B">
        <w:rPr>
          <w:rFonts w:ascii="Times New Roman" w:eastAsia="Times New Roman" w:hAnsi="Times New Roman" w:cs="Times New Roman"/>
          <w:lang w:val="en-GB"/>
        </w:rPr>
        <w:t>.,</w:t>
      </w:r>
      <w:r w:rsidR="008B347B" w:rsidRPr="003C689E">
        <w:rPr>
          <w:rFonts w:ascii="Times New Roman" w:eastAsia="Times New Roman" w:hAnsi="Times New Roman" w:cs="Times New Roman"/>
          <w:lang w:val="en-GB"/>
        </w:rPr>
        <w:t xml:space="preserve"> </w:t>
      </w:r>
      <w:r w:rsidRPr="003C689E">
        <w:rPr>
          <w:rFonts w:ascii="Times New Roman" w:eastAsia="Times New Roman" w:hAnsi="Times New Roman" w:cs="Times New Roman"/>
          <w:lang w:val="en-GB"/>
        </w:rPr>
        <w:t xml:space="preserve">Hatch, </w:t>
      </w:r>
      <w:r w:rsidR="008B347B" w:rsidRPr="003C689E">
        <w:rPr>
          <w:rFonts w:ascii="Times New Roman" w:eastAsia="Times New Roman" w:hAnsi="Times New Roman" w:cs="Times New Roman"/>
          <w:lang w:val="en-GB"/>
        </w:rPr>
        <w:t>A</w:t>
      </w:r>
      <w:r w:rsidR="008B347B">
        <w:rPr>
          <w:rFonts w:ascii="Times New Roman" w:eastAsia="Times New Roman" w:hAnsi="Times New Roman" w:cs="Times New Roman"/>
          <w:lang w:val="en-GB"/>
        </w:rPr>
        <w:t xml:space="preserve">. </w:t>
      </w:r>
      <w:r w:rsidRPr="003C689E">
        <w:rPr>
          <w:rFonts w:ascii="Times New Roman" w:eastAsia="Times New Roman" w:hAnsi="Times New Roman" w:cs="Times New Roman"/>
          <w:lang w:val="en-GB"/>
        </w:rPr>
        <w:t xml:space="preserve">Pillay, </w:t>
      </w:r>
      <w:r w:rsidR="008B347B" w:rsidRPr="003C689E">
        <w:rPr>
          <w:rFonts w:ascii="Times New Roman" w:eastAsia="Times New Roman" w:hAnsi="Times New Roman" w:cs="Times New Roman"/>
          <w:lang w:val="en-GB"/>
        </w:rPr>
        <w:t>D</w:t>
      </w:r>
      <w:r w:rsidR="008B347B">
        <w:rPr>
          <w:rFonts w:ascii="Times New Roman" w:eastAsia="Times New Roman" w:hAnsi="Times New Roman" w:cs="Times New Roman"/>
          <w:lang w:val="en-GB"/>
        </w:rPr>
        <w:t xml:space="preserve">., </w:t>
      </w:r>
      <w:r w:rsidRPr="003C689E">
        <w:rPr>
          <w:rFonts w:ascii="Times New Roman" w:eastAsia="Times New Roman" w:hAnsi="Times New Roman" w:cs="Times New Roman"/>
          <w:lang w:val="en-GB"/>
        </w:rPr>
        <w:t>van der Weijden</w:t>
      </w:r>
      <w:r w:rsidR="008B347B">
        <w:rPr>
          <w:rFonts w:ascii="Times New Roman" w:eastAsia="Times New Roman" w:hAnsi="Times New Roman" w:cs="Times New Roman"/>
          <w:lang w:val="en-GB"/>
        </w:rPr>
        <w:t>,</w:t>
      </w:r>
      <w:r w:rsidRPr="003C689E">
        <w:rPr>
          <w:rFonts w:ascii="Times New Roman" w:eastAsia="Times New Roman" w:hAnsi="Times New Roman" w:cs="Times New Roman"/>
          <w:lang w:val="en-GB"/>
        </w:rPr>
        <w:t xml:space="preserve"> </w:t>
      </w:r>
      <w:r w:rsidR="008B347B" w:rsidRPr="003C689E">
        <w:rPr>
          <w:rFonts w:ascii="Times New Roman" w:eastAsia="Times New Roman" w:hAnsi="Times New Roman" w:cs="Times New Roman"/>
          <w:lang w:val="en-GB"/>
        </w:rPr>
        <w:t>I</w:t>
      </w:r>
      <w:r w:rsidR="008B347B">
        <w:rPr>
          <w:rFonts w:ascii="Times New Roman" w:eastAsia="Times New Roman" w:hAnsi="Times New Roman" w:cs="Times New Roman"/>
          <w:lang w:val="en-GB"/>
        </w:rPr>
        <w:t>.</w:t>
      </w:r>
      <w:r w:rsidR="008B347B" w:rsidRPr="003C689E">
        <w:rPr>
          <w:rFonts w:ascii="Times New Roman" w:eastAsia="Times New Roman" w:hAnsi="Times New Roman" w:cs="Times New Roman"/>
          <w:lang w:val="en-GB"/>
        </w:rPr>
        <w:t xml:space="preserve"> </w:t>
      </w:r>
      <w:r w:rsidR="008B347B">
        <w:rPr>
          <w:rFonts w:ascii="Times New Roman" w:eastAsia="Times New Roman" w:hAnsi="Times New Roman" w:cs="Times New Roman"/>
          <w:lang w:val="en-GB"/>
        </w:rPr>
        <w:t>&amp;</w:t>
      </w:r>
      <w:r w:rsidRPr="003C689E">
        <w:rPr>
          <w:rFonts w:ascii="Times New Roman" w:eastAsia="Times New Roman" w:hAnsi="Times New Roman" w:cs="Times New Roman"/>
          <w:lang w:val="en-GB"/>
        </w:rPr>
        <w:t xml:space="preserve"> Wilsdon</w:t>
      </w:r>
      <w:r w:rsidR="008B347B">
        <w:rPr>
          <w:rFonts w:ascii="Times New Roman" w:eastAsia="Times New Roman" w:hAnsi="Times New Roman" w:cs="Times New Roman"/>
          <w:lang w:val="en-GB"/>
        </w:rPr>
        <w:t>,</w:t>
      </w:r>
      <w:r w:rsidRPr="003C689E">
        <w:rPr>
          <w:rFonts w:ascii="Times New Roman" w:eastAsia="Times New Roman" w:hAnsi="Times New Roman" w:cs="Times New Roman"/>
          <w:lang w:val="en-GB"/>
        </w:rPr>
        <w:t xml:space="preserve"> </w:t>
      </w:r>
      <w:r w:rsidR="008B347B" w:rsidRPr="003C689E">
        <w:rPr>
          <w:rFonts w:ascii="Times New Roman" w:eastAsia="Times New Roman" w:hAnsi="Times New Roman" w:cs="Times New Roman"/>
          <w:lang w:val="en-GB"/>
        </w:rPr>
        <w:t>J</w:t>
      </w:r>
      <w:r w:rsidR="008B347B">
        <w:rPr>
          <w:rFonts w:ascii="Times New Roman" w:eastAsia="Times New Roman" w:hAnsi="Times New Roman" w:cs="Times New Roman"/>
          <w:lang w:val="en-GB"/>
        </w:rPr>
        <w:t>.</w:t>
      </w:r>
      <w:r w:rsidR="008B347B" w:rsidRPr="003C689E">
        <w:rPr>
          <w:rFonts w:ascii="Times New Roman" w:eastAsia="Times New Roman" w:hAnsi="Times New Roman" w:cs="Times New Roman"/>
          <w:lang w:val="en-GB"/>
        </w:rPr>
        <w:t xml:space="preserve"> </w:t>
      </w:r>
      <w:r w:rsidR="008B347B">
        <w:rPr>
          <w:rFonts w:ascii="Times New Roman" w:eastAsia="Times New Roman" w:hAnsi="Times New Roman" w:cs="Times New Roman"/>
          <w:lang w:val="en-GB"/>
        </w:rPr>
        <w:t>(</w:t>
      </w:r>
      <w:r w:rsidRPr="00D97B83">
        <w:rPr>
          <w:rFonts w:ascii="Times New Roman" w:eastAsia="Times New Roman" w:hAnsi="Times New Roman" w:cs="Times New Roman"/>
          <w:lang w:val="en-GB"/>
        </w:rPr>
        <w:t>2020</w:t>
      </w:r>
      <w:r w:rsidR="008B347B">
        <w:rPr>
          <w:rFonts w:ascii="Times New Roman" w:eastAsia="Times New Roman" w:hAnsi="Times New Roman" w:cs="Times New Roman"/>
          <w:lang w:val="en-GB"/>
        </w:rPr>
        <w:t>)</w:t>
      </w:r>
      <w:r w:rsidRPr="00D97B83">
        <w:rPr>
          <w:rFonts w:ascii="Times New Roman" w:eastAsia="Times New Roman" w:hAnsi="Times New Roman" w:cs="Times New Roman"/>
          <w:lang w:val="en-GB"/>
        </w:rPr>
        <w:t xml:space="preserve">. </w:t>
      </w:r>
      <w:r w:rsidRPr="00D97B83">
        <w:rPr>
          <w:rFonts w:ascii="Times New Roman" w:eastAsia="Times New Roman" w:hAnsi="Times New Roman" w:cs="Times New Roman"/>
          <w:i/>
          <w:iCs/>
          <w:lang w:val="en-GB"/>
        </w:rPr>
        <w:t>The changing role of funders in responsible research assessment: progress, obstacles and the way ahead.</w:t>
      </w:r>
      <w:r w:rsidR="008B347B">
        <w:rPr>
          <w:rFonts w:ascii="Times New Roman" w:eastAsia="Times New Roman" w:hAnsi="Times New Roman" w:cs="Times New Roman"/>
          <w:i/>
          <w:iCs/>
          <w:lang w:val="en-GB"/>
        </w:rPr>
        <w:t xml:space="preserve"> </w:t>
      </w:r>
      <w:proofErr w:type="spellStart"/>
      <w:r w:rsidR="008B347B" w:rsidRPr="008B347B">
        <w:rPr>
          <w:rFonts w:ascii="Times New Roman" w:eastAsia="Times New Roman" w:hAnsi="Times New Roman" w:cs="Times New Roman"/>
          <w:lang w:val="en-GB"/>
        </w:rPr>
        <w:t>RoRI</w:t>
      </w:r>
      <w:proofErr w:type="spellEnd"/>
      <w:r w:rsidR="008B347B" w:rsidRPr="008B347B">
        <w:rPr>
          <w:rFonts w:ascii="Times New Roman" w:eastAsia="Times New Roman" w:hAnsi="Times New Roman" w:cs="Times New Roman"/>
          <w:lang w:val="en-GB"/>
        </w:rPr>
        <w:t> Working Paper No. 3</w:t>
      </w:r>
      <w:r w:rsidR="008B347B">
        <w:rPr>
          <w:rFonts w:ascii="Times New Roman" w:eastAsia="Times New Roman" w:hAnsi="Times New Roman" w:cs="Times New Roman"/>
          <w:i/>
          <w:iCs/>
          <w:lang w:val="en-GB"/>
        </w:rPr>
        <w:t>.</w:t>
      </w:r>
      <w:hyperlink r:id="rId8" w:history="1">
        <w:r w:rsidR="008B347B" w:rsidRPr="007751F4">
          <w:rPr>
            <w:rStyle w:val="Hipervnculo"/>
            <w:rFonts w:ascii="Times New Roman" w:eastAsia="Times New Roman" w:hAnsi="Times New Roman" w:cs="Times New Roman"/>
            <w:lang w:val="en-GB"/>
          </w:rPr>
          <w:t xml:space="preserve"> https://doi.org/10.6084/m9.figshare.13227914.v1</w:t>
        </w:r>
      </w:hyperlink>
    </w:p>
    <w:p w14:paraId="00000067" w14:textId="77777777"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rPr>
        <w:t xml:space="preserve">Gras, Cohanoff, C. y </w:t>
      </w:r>
      <w:proofErr w:type="spellStart"/>
      <w:r w:rsidRPr="00D97B83">
        <w:rPr>
          <w:rFonts w:ascii="Times New Roman" w:eastAsia="Times New Roman" w:hAnsi="Times New Roman" w:cs="Times New Roman"/>
        </w:rPr>
        <w:t>Ardanche</w:t>
      </w:r>
      <w:proofErr w:type="spellEnd"/>
      <w:r w:rsidRPr="00D97B83">
        <w:rPr>
          <w:rFonts w:ascii="Times New Roman" w:eastAsia="Times New Roman" w:hAnsi="Times New Roman" w:cs="Times New Roman"/>
        </w:rPr>
        <w:t xml:space="preserve">, M. (2024) Evaluación responsable de la investigación orientada a problemas del desarrollo. El caso de dos programas de la Universidad de la República (Uruguay) en diálogo con algunas tendencias regionales. En Rovelli, L. y </w:t>
      </w:r>
      <w:proofErr w:type="spellStart"/>
      <w:r w:rsidRPr="00D97B83">
        <w:rPr>
          <w:rFonts w:ascii="Times New Roman" w:eastAsia="Times New Roman" w:hAnsi="Times New Roman" w:cs="Times New Roman"/>
        </w:rPr>
        <w:t>Vommaro</w:t>
      </w:r>
      <w:proofErr w:type="spellEnd"/>
      <w:r w:rsidRPr="00D97B83">
        <w:rPr>
          <w:rFonts w:ascii="Times New Roman" w:eastAsia="Times New Roman" w:hAnsi="Times New Roman" w:cs="Times New Roman"/>
        </w:rPr>
        <w:t>, P. (</w:t>
      </w:r>
      <w:proofErr w:type="spellStart"/>
      <w:r w:rsidRPr="00D97B83">
        <w:rPr>
          <w:rFonts w:ascii="Times New Roman" w:eastAsia="Times New Roman" w:hAnsi="Times New Roman" w:cs="Times New Roman"/>
        </w:rPr>
        <w:t>Coords</w:t>
      </w:r>
      <w:proofErr w:type="spellEnd"/>
      <w:r w:rsidRPr="00D97B83">
        <w:rPr>
          <w:rFonts w:ascii="Times New Roman" w:eastAsia="Times New Roman" w:hAnsi="Times New Roman" w:cs="Times New Roman"/>
        </w:rPr>
        <w:t xml:space="preserve">.) </w:t>
      </w:r>
      <w:r w:rsidRPr="008B347B">
        <w:rPr>
          <w:rFonts w:ascii="Times New Roman" w:eastAsia="Times New Roman" w:hAnsi="Times New Roman" w:cs="Times New Roman"/>
          <w:i/>
          <w:iCs/>
        </w:rPr>
        <w:t xml:space="preserve">Evaluación académica situada y relevante: Aportes y desafíos en </w:t>
      </w:r>
      <w:r w:rsidRPr="008B347B">
        <w:rPr>
          <w:rFonts w:ascii="Times New Roman" w:eastAsia="Times New Roman" w:hAnsi="Times New Roman" w:cs="Times New Roman"/>
          <w:i/>
          <w:iCs/>
        </w:rPr>
        <w:lastRenderedPageBreak/>
        <w:t>América Latina y el Caribe</w:t>
      </w:r>
      <w:r w:rsidRPr="00D97B83">
        <w:rPr>
          <w:rFonts w:ascii="Times New Roman" w:eastAsia="Times New Roman" w:hAnsi="Times New Roman" w:cs="Times New Roman"/>
        </w:rPr>
        <w:t xml:space="preserve"> (89-126). CLACSO. Recuperado de:</w:t>
      </w:r>
      <w:hyperlink r:id="rId9">
        <w:r w:rsidRPr="00D97B83">
          <w:rPr>
            <w:rFonts w:ascii="Times New Roman" w:eastAsia="Times New Roman" w:hAnsi="Times New Roman" w:cs="Times New Roman"/>
          </w:rPr>
          <w:t xml:space="preserve"> </w:t>
        </w:r>
      </w:hyperlink>
      <w:hyperlink r:id="rId10">
        <w:r w:rsidRPr="00D97B83">
          <w:rPr>
            <w:rFonts w:ascii="Times New Roman" w:eastAsia="Times New Roman" w:hAnsi="Times New Roman" w:cs="Times New Roman"/>
            <w:color w:val="1155CC"/>
            <w:u w:val="single"/>
          </w:rPr>
          <w:t>https://unesdoc.unesco.org/ark:/48223/pf0000388985</w:t>
        </w:r>
      </w:hyperlink>
      <w:r w:rsidRPr="00D97B83">
        <w:rPr>
          <w:rFonts w:ascii="Times New Roman" w:eastAsia="Times New Roman" w:hAnsi="Times New Roman" w:cs="Times New Roman"/>
        </w:rPr>
        <w:t xml:space="preserve">. </w:t>
      </w:r>
    </w:p>
    <w:p w14:paraId="00000068" w14:textId="06825AE9" w:rsidR="003519AF" w:rsidRPr="00D97B83" w:rsidRDefault="00000000" w:rsidP="00D97B83">
      <w:pPr>
        <w:spacing w:line="240" w:lineRule="auto"/>
        <w:jc w:val="both"/>
        <w:rPr>
          <w:rFonts w:ascii="Times New Roman" w:eastAsia="Times New Roman" w:hAnsi="Times New Roman" w:cs="Times New Roman"/>
          <w:u w:val="single"/>
        </w:rPr>
      </w:pPr>
      <w:r w:rsidRPr="00D97B83">
        <w:rPr>
          <w:rFonts w:ascii="Times New Roman" w:eastAsia="Times New Roman" w:hAnsi="Times New Roman" w:cs="Times New Roman"/>
        </w:rPr>
        <w:t xml:space="preserve">Fischer, M., Goldberg, M. </w:t>
      </w:r>
      <w:r w:rsidR="008B347B">
        <w:rPr>
          <w:rFonts w:ascii="Times New Roman" w:eastAsia="Times New Roman" w:hAnsi="Times New Roman" w:cs="Times New Roman"/>
        </w:rPr>
        <w:t>y</w:t>
      </w:r>
      <w:r w:rsidRPr="00D97B83">
        <w:rPr>
          <w:rFonts w:ascii="Times New Roman" w:eastAsia="Times New Roman" w:hAnsi="Times New Roman" w:cs="Times New Roman"/>
        </w:rPr>
        <w:t xml:space="preserve"> Jeppesen, C. (2023) Trayectorias en investigación orientada a la resolución de problemas. El caso de los temas estratégicos del CONICET, Argentina. </w:t>
      </w:r>
      <w:r w:rsidRPr="00D97B83">
        <w:rPr>
          <w:rFonts w:ascii="Times New Roman" w:eastAsia="Times New Roman" w:hAnsi="Times New Roman" w:cs="Times New Roman"/>
          <w:i/>
          <w:iCs/>
        </w:rPr>
        <w:t>Revista CTS</w:t>
      </w:r>
      <w:r w:rsidR="008B347B">
        <w:rPr>
          <w:rFonts w:ascii="Times New Roman" w:eastAsia="Times New Roman" w:hAnsi="Times New Roman" w:cs="Times New Roman"/>
          <w:i/>
          <w:iCs/>
        </w:rPr>
        <w:t>,</w:t>
      </w:r>
      <w:r w:rsidRPr="00D97B83">
        <w:rPr>
          <w:rFonts w:ascii="Times New Roman" w:eastAsia="Times New Roman" w:hAnsi="Times New Roman" w:cs="Times New Roman"/>
        </w:rPr>
        <w:t xml:space="preserve"> </w:t>
      </w:r>
      <w:r w:rsidRPr="008B347B">
        <w:rPr>
          <w:rFonts w:ascii="Times New Roman" w:eastAsia="Times New Roman" w:hAnsi="Times New Roman" w:cs="Times New Roman"/>
          <w:i/>
          <w:iCs/>
        </w:rPr>
        <w:t>18</w:t>
      </w:r>
      <w:r w:rsidRPr="00D97B83">
        <w:rPr>
          <w:rFonts w:ascii="Times New Roman" w:eastAsia="Times New Roman" w:hAnsi="Times New Roman" w:cs="Times New Roman"/>
        </w:rPr>
        <w:t>(54), 199–224.</w:t>
      </w:r>
      <w:r w:rsidRPr="00D97B83">
        <w:rPr>
          <w:rFonts w:ascii="Times New Roman" w:eastAsia="Times New Roman" w:hAnsi="Times New Roman" w:cs="Times New Roman"/>
          <w:u w:val="single"/>
        </w:rPr>
        <w:t xml:space="preserve"> DOI: https://doi.org/10.52712/issn.1850-0013-388.</w:t>
      </w:r>
    </w:p>
    <w:p w14:paraId="00000069" w14:textId="77777777"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rPr>
        <w:t xml:space="preserve">Invernizzi, N. (2022). Los sistemas de evaluación como conformadores de agendas científicas. </w:t>
      </w:r>
      <w:r w:rsidRPr="008B347B">
        <w:rPr>
          <w:rFonts w:ascii="Times New Roman" w:eastAsia="Times New Roman" w:hAnsi="Times New Roman" w:cs="Times New Roman"/>
          <w:i/>
          <w:iCs/>
        </w:rPr>
        <w:t>Ciencia, Tecnología y Política</w:t>
      </w:r>
      <w:r w:rsidRPr="00D97B83">
        <w:rPr>
          <w:rFonts w:ascii="Times New Roman" w:eastAsia="Times New Roman" w:hAnsi="Times New Roman" w:cs="Times New Roman"/>
        </w:rPr>
        <w:t xml:space="preserve">, </w:t>
      </w:r>
      <w:r w:rsidRPr="008B347B">
        <w:rPr>
          <w:rFonts w:ascii="Times New Roman" w:eastAsia="Times New Roman" w:hAnsi="Times New Roman" w:cs="Times New Roman"/>
          <w:i/>
          <w:iCs/>
        </w:rPr>
        <w:t>5</w:t>
      </w:r>
      <w:r w:rsidRPr="00D97B83">
        <w:rPr>
          <w:rFonts w:ascii="Times New Roman" w:eastAsia="Times New Roman" w:hAnsi="Times New Roman" w:cs="Times New Roman"/>
        </w:rPr>
        <w:t>(9).</w:t>
      </w:r>
    </w:p>
    <w:p w14:paraId="2F542C5F" w14:textId="0D573305" w:rsidR="00D97B83" w:rsidRPr="00D97B83" w:rsidRDefault="00D97B83" w:rsidP="00D97B83">
      <w:pPr>
        <w:spacing w:line="240" w:lineRule="auto"/>
        <w:jc w:val="both"/>
        <w:rPr>
          <w:rFonts w:ascii="Times New Roman" w:eastAsia="Times New Roman" w:hAnsi="Times New Roman" w:cs="Times New Roman"/>
        </w:rPr>
      </w:pPr>
      <w:proofErr w:type="spellStart"/>
      <w:r w:rsidRPr="00D97B83">
        <w:rPr>
          <w:rFonts w:ascii="Times New Roman" w:eastAsia="Times New Roman" w:hAnsi="Times New Roman" w:cs="Times New Roman"/>
        </w:rPr>
        <w:t>Laudel</w:t>
      </w:r>
      <w:proofErr w:type="spellEnd"/>
      <w:r w:rsidRPr="00D97B83">
        <w:rPr>
          <w:rFonts w:ascii="Times New Roman" w:eastAsia="Times New Roman" w:hAnsi="Times New Roman" w:cs="Times New Roman"/>
        </w:rPr>
        <w:t xml:space="preserve">, G, J. </w:t>
      </w:r>
      <w:proofErr w:type="spellStart"/>
      <w:r w:rsidRPr="00D97B83">
        <w:rPr>
          <w:rFonts w:ascii="Times New Roman" w:eastAsia="Times New Roman" w:hAnsi="Times New Roman" w:cs="Times New Roman"/>
        </w:rPr>
        <w:t>Bielick</w:t>
      </w:r>
      <w:proofErr w:type="spellEnd"/>
      <w:r w:rsidRPr="00D97B83">
        <w:rPr>
          <w:rFonts w:ascii="Times New Roman" w:eastAsia="Times New Roman" w:hAnsi="Times New Roman" w:cs="Times New Roman"/>
        </w:rPr>
        <w:t xml:space="preserve"> </w:t>
      </w:r>
      <w:r w:rsidR="008B347B">
        <w:rPr>
          <w:rFonts w:ascii="Times New Roman" w:eastAsia="Times New Roman" w:hAnsi="Times New Roman" w:cs="Times New Roman"/>
        </w:rPr>
        <w:t>&amp;</w:t>
      </w:r>
      <w:r w:rsidRPr="00D97B83">
        <w:rPr>
          <w:rFonts w:ascii="Times New Roman" w:eastAsia="Times New Roman" w:hAnsi="Times New Roman" w:cs="Times New Roman"/>
        </w:rPr>
        <w:t xml:space="preserve"> J. Gläser (2019). </w:t>
      </w:r>
      <w:r w:rsidRPr="00D97B83">
        <w:rPr>
          <w:rFonts w:ascii="Times New Roman" w:eastAsia="Times New Roman" w:hAnsi="Times New Roman" w:cs="Times New Roman"/>
          <w:lang w:val="en-GB"/>
        </w:rPr>
        <w:t xml:space="preserve">Ultimately the question always is: “What do I have to do to do it right?” Scripts as explanatory factors of career decisions. Human Relations, 72(5), 932-961.Mazzucato, M. (2018). Mission-oriented innovation policies: challenges and opportunities. </w:t>
      </w:r>
      <w:r w:rsidRPr="00D97B83">
        <w:rPr>
          <w:rFonts w:ascii="Times New Roman" w:eastAsia="Times New Roman" w:hAnsi="Times New Roman" w:cs="Times New Roman"/>
        </w:rPr>
        <w:t xml:space="preserve">Industrial and </w:t>
      </w:r>
      <w:proofErr w:type="spellStart"/>
      <w:r w:rsidRPr="00D97B83">
        <w:rPr>
          <w:rFonts w:ascii="Times New Roman" w:eastAsia="Times New Roman" w:hAnsi="Times New Roman" w:cs="Times New Roman"/>
        </w:rPr>
        <w:t>Corporate</w:t>
      </w:r>
      <w:proofErr w:type="spellEnd"/>
      <w:r w:rsidRPr="00D97B83">
        <w:rPr>
          <w:rFonts w:ascii="Times New Roman" w:eastAsia="Times New Roman" w:hAnsi="Times New Roman" w:cs="Times New Roman"/>
        </w:rPr>
        <w:t xml:space="preserve"> Change, 27(5), 803–815.</w:t>
      </w:r>
    </w:p>
    <w:p w14:paraId="0000006A" w14:textId="164D0BA4" w:rsidR="003519AF" w:rsidRPr="00D97B83" w:rsidRDefault="00000000" w:rsidP="00D97B83">
      <w:pPr>
        <w:spacing w:line="240" w:lineRule="auto"/>
        <w:jc w:val="both"/>
        <w:rPr>
          <w:rFonts w:ascii="Times New Roman" w:eastAsia="Times New Roman" w:hAnsi="Times New Roman" w:cs="Times New Roman"/>
        </w:rPr>
      </w:pPr>
      <w:proofErr w:type="spellStart"/>
      <w:r w:rsidRPr="00D97B83">
        <w:rPr>
          <w:rFonts w:ascii="Times New Roman" w:eastAsia="Times New Roman" w:hAnsi="Times New Roman" w:cs="Times New Roman"/>
        </w:rPr>
        <w:t>Naidorf</w:t>
      </w:r>
      <w:proofErr w:type="spellEnd"/>
      <w:r w:rsidRPr="00D97B83">
        <w:rPr>
          <w:rFonts w:ascii="Times New Roman" w:eastAsia="Times New Roman" w:hAnsi="Times New Roman" w:cs="Times New Roman"/>
        </w:rPr>
        <w:t xml:space="preserve">, J., Vasen, F. </w:t>
      </w:r>
      <w:r w:rsidR="008B347B">
        <w:rPr>
          <w:rFonts w:ascii="Times New Roman" w:eastAsia="Times New Roman" w:hAnsi="Times New Roman" w:cs="Times New Roman"/>
        </w:rPr>
        <w:t>y</w:t>
      </w:r>
      <w:r w:rsidRPr="00D97B83">
        <w:rPr>
          <w:rFonts w:ascii="Times New Roman" w:eastAsia="Times New Roman" w:hAnsi="Times New Roman" w:cs="Times New Roman"/>
        </w:rPr>
        <w:t xml:space="preserve"> Alonso, M. (2016)</w:t>
      </w:r>
      <w:r w:rsidR="008B347B">
        <w:rPr>
          <w:rFonts w:ascii="Times New Roman" w:eastAsia="Times New Roman" w:hAnsi="Times New Roman" w:cs="Times New Roman"/>
        </w:rPr>
        <w:t>.</w:t>
      </w:r>
      <w:r w:rsidRPr="00D97B83">
        <w:rPr>
          <w:rFonts w:ascii="Times New Roman" w:eastAsia="Times New Roman" w:hAnsi="Times New Roman" w:cs="Times New Roman"/>
        </w:rPr>
        <w:t xml:space="preserve"> Evaluación académica y relevancia </w:t>
      </w:r>
      <w:proofErr w:type="spellStart"/>
      <w:r w:rsidRPr="00D97B83">
        <w:rPr>
          <w:rFonts w:ascii="Times New Roman" w:eastAsia="Times New Roman" w:hAnsi="Times New Roman" w:cs="Times New Roman"/>
        </w:rPr>
        <w:t>socioproductiva</w:t>
      </w:r>
      <w:proofErr w:type="spellEnd"/>
      <w:r w:rsidRPr="00D97B83">
        <w:rPr>
          <w:rFonts w:ascii="Times New Roman" w:eastAsia="Times New Roman" w:hAnsi="Times New Roman" w:cs="Times New Roman"/>
        </w:rPr>
        <w:t>: los Proyectos de Desarrollo Tecnológico y Social como política científica</w:t>
      </w:r>
      <w:r w:rsidR="000E6644">
        <w:rPr>
          <w:rFonts w:ascii="Times New Roman" w:eastAsia="Times New Roman" w:hAnsi="Times New Roman" w:cs="Times New Roman"/>
        </w:rPr>
        <w:t>.</w:t>
      </w:r>
      <w:r w:rsidRPr="00D97B83">
        <w:rPr>
          <w:rFonts w:ascii="Times New Roman" w:eastAsia="Times New Roman" w:hAnsi="Times New Roman" w:cs="Times New Roman"/>
        </w:rPr>
        <w:t xml:space="preserve"> </w:t>
      </w:r>
      <w:proofErr w:type="spellStart"/>
      <w:r w:rsidRPr="000E6644">
        <w:rPr>
          <w:rFonts w:ascii="Times New Roman" w:eastAsia="Times New Roman" w:hAnsi="Times New Roman" w:cs="Times New Roman"/>
          <w:i/>
          <w:iCs/>
        </w:rPr>
        <w:t>Cadernos</w:t>
      </w:r>
      <w:proofErr w:type="spellEnd"/>
      <w:r w:rsidRPr="000E6644">
        <w:rPr>
          <w:rFonts w:ascii="Times New Roman" w:eastAsia="Times New Roman" w:hAnsi="Times New Roman" w:cs="Times New Roman"/>
          <w:i/>
          <w:iCs/>
        </w:rPr>
        <w:t xml:space="preserve"> PROLAM/USP, 14</w:t>
      </w:r>
      <w:r w:rsidRPr="00D97B83">
        <w:rPr>
          <w:rFonts w:ascii="Times New Roman" w:eastAsia="Times New Roman" w:hAnsi="Times New Roman" w:cs="Times New Roman"/>
        </w:rPr>
        <w:t>(27), 43-63.</w:t>
      </w:r>
    </w:p>
    <w:p w14:paraId="0000006B" w14:textId="0F68C937" w:rsidR="003519AF" w:rsidRPr="00D97B83" w:rsidRDefault="00000000" w:rsidP="00D97B83">
      <w:pPr>
        <w:spacing w:line="240" w:lineRule="auto"/>
        <w:jc w:val="both"/>
        <w:rPr>
          <w:rFonts w:ascii="Times New Roman" w:eastAsia="Times New Roman" w:hAnsi="Times New Roman" w:cs="Times New Roman"/>
        </w:rPr>
      </w:pPr>
      <w:proofErr w:type="spellStart"/>
      <w:r w:rsidRPr="00D97B83">
        <w:rPr>
          <w:rFonts w:ascii="Times New Roman" w:eastAsia="Times New Roman" w:hAnsi="Times New Roman" w:cs="Times New Roman"/>
        </w:rPr>
        <w:t>Naidorf</w:t>
      </w:r>
      <w:proofErr w:type="spellEnd"/>
      <w:r w:rsidRPr="00D97B83">
        <w:rPr>
          <w:rFonts w:ascii="Times New Roman" w:eastAsia="Times New Roman" w:hAnsi="Times New Roman" w:cs="Times New Roman"/>
        </w:rPr>
        <w:t xml:space="preserve">, J., Vasen, F., Alonso, M. </w:t>
      </w:r>
      <w:r w:rsidR="003D4915">
        <w:rPr>
          <w:rFonts w:ascii="Times New Roman" w:eastAsia="Times New Roman" w:hAnsi="Times New Roman" w:cs="Times New Roman"/>
        </w:rPr>
        <w:t>y</w:t>
      </w:r>
      <w:r w:rsidRPr="00D97B83">
        <w:rPr>
          <w:rFonts w:ascii="Times New Roman" w:eastAsia="Times New Roman" w:hAnsi="Times New Roman" w:cs="Times New Roman"/>
        </w:rPr>
        <w:t xml:space="preserve"> </w:t>
      </w:r>
      <w:proofErr w:type="spellStart"/>
      <w:r w:rsidRPr="00D97B83">
        <w:rPr>
          <w:rFonts w:ascii="Times New Roman" w:eastAsia="Times New Roman" w:hAnsi="Times New Roman" w:cs="Times New Roman"/>
        </w:rPr>
        <w:t>Cuschnir</w:t>
      </w:r>
      <w:proofErr w:type="spellEnd"/>
      <w:r w:rsidRPr="00D97B83">
        <w:rPr>
          <w:rFonts w:ascii="Times New Roman" w:eastAsia="Times New Roman" w:hAnsi="Times New Roman" w:cs="Times New Roman"/>
        </w:rPr>
        <w:t xml:space="preserve">, M. (2020). De evaluar diferente a orientar como siempre. Burocratización e inercias institucionales en la implementación de una política científica orientada al desarrollo tecnológico y social. </w:t>
      </w:r>
      <w:r w:rsidRPr="003D4915">
        <w:rPr>
          <w:rFonts w:ascii="Times New Roman" w:eastAsia="Times New Roman" w:hAnsi="Times New Roman" w:cs="Times New Roman"/>
          <w:i/>
          <w:iCs/>
        </w:rPr>
        <w:t>Revista Iberoamericana de Ciencia, Tecnología y Sociedad, 15</w:t>
      </w:r>
      <w:r w:rsidRPr="00D97B83">
        <w:rPr>
          <w:rFonts w:ascii="Times New Roman" w:eastAsia="Times New Roman" w:hAnsi="Times New Roman" w:cs="Times New Roman"/>
        </w:rPr>
        <w:t>(45), 163-182. Recuperado de:</w:t>
      </w:r>
      <w:hyperlink r:id="rId11">
        <w:r w:rsidRPr="00D97B83">
          <w:rPr>
            <w:rFonts w:ascii="Times New Roman" w:eastAsia="Times New Roman" w:hAnsi="Times New Roman" w:cs="Times New Roman"/>
          </w:rPr>
          <w:t xml:space="preserve"> </w:t>
        </w:r>
      </w:hyperlink>
      <w:hyperlink r:id="rId12">
        <w:r w:rsidRPr="00D97B83">
          <w:rPr>
            <w:rFonts w:ascii="Times New Roman" w:eastAsia="Times New Roman" w:hAnsi="Times New Roman" w:cs="Times New Roman"/>
            <w:color w:val="1155CC"/>
            <w:u w:val="single"/>
          </w:rPr>
          <w:t>https://ojs.revistacts.net/index.php/CTS/article/view/178</w:t>
        </w:r>
      </w:hyperlink>
      <w:r w:rsidRPr="00D97B83">
        <w:rPr>
          <w:rFonts w:ascii="Times New Roman" w:eastAsia="Times New Roman" w:hAnsi="Times New Roman" w:cs="Times New Roman"/>
        </w:rPr>
        <w:t>.</w:t>
      </w:r>
    </w:p>
    <w:p w14:paraId="0000006C" w14:textId="77777777"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lang w:val="en-GB"/>
        </w:rPr>
        <w:t xml:space="preserve">Norn, M. T., Aagaard, K., Bjørnholm, J., &amp; Stage, A. K. (2024). Funder strategies for promoting research addressing societal challenges: thematic, impact, and collaboration targeting. </w:t>
      </w:r>
      <w:proofErr w:type="spellStart"/>
      <w:r w:rsidRPr="00D97B83">
        <w:rPr>
          <w:rFonts w:ascii="Times New Roman" w:eastAsia="Times New Roman" w:hAnsi="Times New Roman" w:cs="Times New Roman"/>
          <w:i/>
          <w:iCs/>
        </w:rPr>
        <w:t>Science</w:t>
      </w:r>
      <w:proofErr w:type="spellEnd"/>
      <w:r w:rsidRPr="00D97B83">
        <w:rPr>
          <w:rFonts w:ascii="Times New Roman" w:eastAsia="Times New Roman" w:hAnsi="Times New Roman" w:cs="Times New Roman"/>
          <w:i/>
          <w:iCs/>
        </w:rPr>
        <w:t xml:space="preserve"> and Public Policy</w:t>
      </w:r>
      <w:r w:rsidRPr="00D97B83">
        <w:rPr>
          <w:rFonts w:ascii="Times New Roman" w:eastAsia="Times New Roman" w:hAnsi="Times New Roman" w:cs="Times New Roman"/>
        </w:rPr>
        <w:t xml:space="preserve">, </w:t>
      </w:r>
      <w:r w:rsidRPr="00D97B83">
        <w:rPr>
          <w:rFonts w:ascii="Times New Roman" w:eastAsia="Times New Roman" w:hAnsi="Times New Roman" w:cs="Times New Roman"/>
          <w:i/>
          <w:iCs/>
        </w:rPr>
        <w:t>51</w:t>
      </w:r>
      <w:r w:rsidRPr="00D97B83">
        <w:rPr>
          <w:rFonts w:ascii="Times New Roman" w:eastAsia="Times New Roman" w:hAnsi="Times New Roman" w:cs="Times New Roman"/>
        </w:rPr>
        <w:t>(5), 910-922.</w:t>
      </w:r>
    </w:p>
    <w:p w14:paraId="0000006D" w14:textId="36E49AC5"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rPr>
        <w:t xml:space="preserve">Porta, L. </w:t>
      </w:r>
      <w:proofErr w:type="spellStart"/>
      <w:r w:rsidRPr="00D97B83">
        <w:rPr>
          <w:rFonts w:ascii="Times New Roman" w:eastAsia="Times New Roman" w:hAnsi="Times New Roman" w:cs="Times New Roman"/>
        </w:rPr>
        <w:t>Foutel</w:t>
      </w:r>
      <w:proofErr w:type="spellEnd"/>
      <w:r w:rsidRPr="00D97B83">
        <w:rPr>
          <w:rFonts w:ascii="Times New Roman" w:eastAsia="Times New Roman" w:hAnsi="Times New Roman" w:cs="Times New Roman"/>
        </w:rPr>
        <w:t xml:space="preserve">, M., Aguirre, J. y L. </w:t>
      </w:r>
      <w:proofErr w:type="spellStart"/>
      <w:r w:rsidRPr="00D97B83">
        <w:rPr>
          <w:rFonts w:ascii="Times New Roman" w:eastAsia="Times New Roman" w:hAnsi="Times New Roman" w:cs="Times New Roman"/>
        </w:rPr>
        <w:t>Proasi</w:t>
      </w:r>
      <w:proofErr w:type="spellEnd"/>
      <w:r w:rsidRPr="00D97B83">
        <w:rPr>
          <w:rFonts w:ascii="Times New Roman" w:eastAsia="Times New Roman" w:hAnsi="Times New Roman" w:cs="Times New Roman"/>
        </w:rPr>
        <w:t xml:space="preserve"> (2025). La experiencia biográfica de evaluar y ser evaluado en los sistemas de evaluación científica, tecnológica y académica en Argentina. Contribuciones narrativas al diseño de políticas y reformas del sistema. En Rovelli</w:t>
      </w:r>
      <w:r w:rsidR="003D4915">
        <w:rPr>
          <w:rFonts w:ascii="Times New Roman" w:eastAsia="Times New Roman" w:hAnsi="Times New Roman" w:cs="Times New Roman"/>
        </w:rPr>
        <w:t>, L. I.</w:t>
      </w:r>
      <w:r w:rsidRPr="00D97B83">
        <w:rPr>
          <w:rFonts w:ascii="Times New Roman" w:eastAsia="Times New Roman" w:hAnsi="Times New Roman" w:cs="Times New Roman"/>
        </w:rPr>
        <w:t xml:space="preserve"> </w:t>
      </w:r>
      <w:r w:rsidR="003D4915">
        <w:rPr>
          <w:rFonts w:ascii="Times New Roman" w:eastAsia="Times New Roman" w:hAnsi="Times New Roman" w:cs="Times New Roman"/>
        </w:rPr>
        <w:t>y</w:t>
      </w:r>
      <w:r w:rsidRPr="00D97B83">
        <w:rPr>
          <w:rFonts w:ascii="Times New Roman" w:eastAsia="Times New Roman" w:hAnsi="Times New Roman" w:cs="Times New Roman"/>
        </w:rPr>
        <w:t xml:space="preserve"> P. </w:t>
      </w:r>
      <w:proofErr w:type="spellStart"/>
      <w:r w:rsidRPr="00D97B83">
        <w:rPr>
          <w:rFonts w:ascii="Times New Roman" w:eastAsia="Times New Roman" w:hAnsi="Times New Roman" w:cs="Times New Roman"/>
        </w:rPr>
        <w:t>Vommaro</w:t>
      </w:r>
      <w:proofErr w:type="spellEnd"/>
      <w:r w:rsidRPr="00D97B83">
        <w:rPr>
          <w:rFonts w:ascii="Times New Roman" w:eastAsia="Times New Roman" w:hAnsi="Times New Roman" w:cs="Times New Roman"/>
        </w:rPr>
        <w:t xml:space="preserve"> (Eds.) </w:t>
      </w:r>
      <w:r w:rsidRPr="003D4915">
        <w:rPr>
          <w:rFonts w:ascii="Times New Roman" w:eastAsia="Times New Roman" w:hAnsi="Times New Roman" w:cs="Times New Roman"/>
          <w:i/>
          <w:iCs/>
        </w:rPr>
        <w:t>Evaluación académica y científica en transición: configuraciones institucionales, prácticas evaluativas y lineamientos de cambio en Argentina</w:t>
      </w:r>
      <w:r w:rsidRPr="00D97B83">
        <w:rPr>
          <w:rFonts w:ascii="Times New Roman" w:eastAsia="Times New Roman" w:hAnsi="Times New Roman" w:cs="Times New Roman"/>
        </w:rPr>
        <w:t xml:space="preserve"> (</w:t>
      </w:r>
      <w:r w:rsidR="003D4915">
        <w:rPr>
          <w:rFonts w:ascii="Times New Roman" w:eastAsia="Times New Roman" w:hAnsi="Times New Roman" w:cs="Times New Roman"/>
        </w:rPr>
        <w:t xml:space="preserve">pp. </w:t>
      </w:r>
      <w:r w:rsidRPr="00D97B83">
        <w:rPr>
          <w:rFonts w:ascii="Times New Roman" w:eastAsia="Times New Roman" w:hAnsi="Times New Roman" w:cs="Times New Roman"/>
        </w:rPr>
        <w:t>321-361)</w:t>
      </w:r>
      <w:r w:rsidR="003D4915">
        <w:rPr>
          <w:rFonts w:ascii="Times New Roman" w:eastAsia="Times New Roman" w:hAnsi="Times New Roman" w:cs="Times New Roman"/>
        </w:rPr>
        <w:t>. CLACSO.</w:t>
      </w:r>
    </w:p>
    <w:p w14:paraId="0000006E" w14:textId="0AF98079"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rPr>
        <w:t xml:space="preserve">Rovelli, L. I. </w:t>
      </w:r>
      <w:r w:rsidR="003D4915">
        <w:rPr>
          <w:rFonts w:ascii="Times New Roman" w:eastAsia="Times New Roman" w:hAnsi="Times New Roman" w:cs="Times New Roman"/>
        </w:rPr>
        <w:t>y</w:t>
      </w:r>
      <w:r w:rsidRPr="00D97B83">
        <w:rPr>
          <w:rFonts w:ascii="Times New Roman" w:eastAsia="Times New Roman" w:hAnsi="Times New Roman" w:cs="Times New Roman"/>
        </w:rPr>
        <w:t xml:space="preserve"> </w:t>
      </w:r>
      <w:proofErr w:type="spellStart"/>
      <w:r w:rsidRPr="00D97B83">
        <w:rPr>
          <w:rFonts w:ascii="Times New Roman" w:eastAsia="Times New Roman" w:hAnsi="Times New Roman" w:cs="Times New Roman"/>
        </w:rPr>
        <w:t>Gonzalez</w:t>
      </w:r>
      <w:proofErr w:type="spellEnd"/>
      <w:r w:rsidRPr="00D97B83">
        <w:rPr>
          <w:rFonts w:ascii="Times New Roman" w:eastAsia="Times New Roman" w:hAnsi="Times New Roman" w:cs="Times New Roman"/>
        </w:rPr>
        <w:t>, A. L. (2024). Reformas en la evaluación responsable de la investigación: Un estudio de tres casos de programas de I+ D+ i orientados a problemas de desarrollo en Argentina. En Rovelli</w:t>
      </w:r>
      <w:r w:rsidR="003D4915">
        <w:rPr>
          <w:rFonts w:ascii="Times New Roman" w:eastAsia="Times New Roman" w:hAnsi="Times New Roman" w:cs="Times New Roman"/>
        </w:rPr>
        <w:t>,</w:t>
      </w:r>
      <w:r w:rsidRPr="00D97B83">
        <w:rPr>
          <w:rFonts w:ascii="Times New Roman" w:eastAsia="Times New Roman" w:hAnsi="Times New Roman" w:cs="Times New Roman"/>
        </w:rPr>
        <w:t xml:space="preserve"> </w:t>
      </w:r>
      <w:r w:rsidR="003D4915" w:rsidRPr="00D97B83">
        <w:rPr>
          <w:rFonts w:ascii="Times New Roman" w:eastAsia="Times New Roman" w:hAnsi="Times New Roman" w:cs="Times New Roman"/>
        </w:rPr>
        <w:t>L. I</w:t>
      </w:r>
      <w:r w:rsidR="003D4915">
        <w:rPr>
          <w:rFonts w:ascii="Times New Roman" w:eastAsia="Times New Roman" w:hAnsi="Times New Roman" w:cs="Times New Roman"/>
        </w:rPr>
        <w:t>. y</w:t>
      </w:r>
      <w:r w:rsidRPr="00D97B83">
        <w:rPr>
          <w:rFonts w:ascii="Times New Roman" w:eastAsia="Times New Roman" w:hAnsi="Times New Roman" w:cs="Times New Roman"/>
        </w:rPr>
        <w:t xml:space="preserve"> P. </w:t>
      </w:r>
      <w:proofErr w:type="spellStart"/>
      <w:r w:rsidRPr="00D97B83">
        <w:rPr>
          <w:rFonts w:ascii="Times New Roman" w:eastAsia="Times New Roman" w:hAnsi="Times New Roman" w:cs="Times New Roman"/>
        </w:rPr>
        <w:t>Vommaro</w:t>
      </w:r>
      <w:proofErr w:type="spellEnd"/>
      <w:r w:rsidRPr="00D97B83">
        <w:rPr>
          <w:rFonts w:ascii="Times New Roman" w:eastAsia="Times New Roman" w:hAnsi="Times New Roman" w:cs="Times New Roman"/>
        </w:rPr>
        <w:t xml:space="preserve"> (Eds.)</w:t>
      </w:r>
      <w:r w:rsidR="003D4915">
        <w:rPr>
          <w:rFonts w:ascii="Times New Roman" w:eastAsia="Times New Roman" w:hAnsi="Times New Roman" w:cs="Times New Roman"/>
        </w:rPr>
        <w:t>.</w:t>
      </w:r>
      <w:r w:rsidRPr="00D97B83">
        <w:rPr>
          <w:rFonts w:ascii="Times New Roman" w:eastAsia="Times New Roman" w:hAnsi="Times New Roman" w:cs="Times New Roman"/>
        </w:rPr>
        <w:t xml:space="preserve"> </w:t>
      </w:r>
      <w:r w:rsidRPr="003D4915">
        <w:rPr>
          <w:rFonts w:ascii="Times New Roman" w:eastAsia="Times New Roman" w:hAnsi="Times New Roman" w:cs="Times New Roman"/>
          <w:i/>
          <w:iCs/>
        </w:rPr>
        <w:t>Evaluación académica situada y relevante Aportes y desafíos en América Latina y el Caribe</w:t>
      </w:r>
      <w:r w:rsidR="003D4915">
        <w:rPr>
          <w:rFonts w:ascii="Times New Roman" w:eastAsia="Times New Roman" w:hAnsi="Times New Roman" w:cs="Times New Roman"/>
          <w:i/>
          <w:iCs/>
        </w:rPr>
        <w:t xml:space="preserve"> </w:t>
      </w:r>
      <w:r w:rsidR="003D4915" w:rsidRPr="00D97B83">
        <w:rPr>
          <w:rFonts w:ascii="Times New Roman" w:eastAsia="Times New Roman" w:hAnsi="Times New Roman" w:cs="Times New Roman"/>
        </w:rPr>
        <w:t>(</w:t>
      </w:r>
      <w:r w:rsidR="003D4915">
        <w:rPr>
          <w:rFonts w:ascii="Times New Roman" w:eastAsia="Times New Roman" w:hAnsi="Times New Roman" w:cs="Times New Roman"/>
        </w:rPr>
        <w:t xml:space="preserve">pp. </w:t>
      </w:r>
      <w:r w:rsidR="003D4915" w:rsidRPr="00D97B83">
        <w:rPr>
          <w:rFonts w:ascii="Times New Roman" w:eastAsia="Times New Roman" w:hAnsi="Times New Roman" w:cs="Times New Roman"/>
        </w:rPr>
        <w:t>89-125).</w:t>
      </w:r>
      <w:r w:rsidRPr="00D97B83">
        <w:rPr>
          <w:rFonts w:ascii="Times New Roman" w:eastAsia="Times New Roman" w:hAnsi="Times New Roman" w:cs="Times New Roman"/>
        </w:rPr>
        <w:t xml:space="preserve"> CLACSO</w:t>
      </w:r>
      <w:r w:rsidR="003D4915">
        <w:rPr>
          <w:rFonts w:ascii="Times New Roman" w:eastAsia="Times New Roman" w:hAnsi="Times New Roman" w:cs="Times New Roman"/>
        </w:rPr>
        <w:t>.</w:t>
      </w:r>
      <w:r w:rsidRPr="00D97B83">
        <w:rPr>
          <w:rFonts w:ascii="Times New Roman" w:eastAsia="Times New Roman" w:hAnsi="Times New Roman" w:cs="Times New Roman"/>
        </w:rPr>
        <w:t xml:space="preserve"> Recuperado de:</w:t>
      </w:r>
      <w:hyperlink r:id="rId13">
        <w:r w:rsidRPr="00D97B83">
          <w:rPr>
            <w:rFonts w:ascii="Times New Roman" w:eastAsia="Times New Roman" w:hAnsi="Times New Roman" w:cs="Times New Roman"/>
          </w:rPr>
          <w:t xml:space="preserve"> </w:t>
        </w:r>
      </w:hyperlink>
      <w:hyperlink r:id="rId14">
        <w:r w:rsidRPr="00D97B83">
          <w:rPr>
            <w:rFonts w:ascii="Times New Roman" w:eastAsia="Times New Roman" w:hAnsi="Times New Roman" w:cs="Times New Roman"/>
            <w:color w:val="1155CC"/>
            <w:u w:val="single"/>
          </w:rPr>
          <w:t>https://unesdoc.unesco.org/ark:/48223/pf0000388985</w:t>
        </w:r>
      </w:hyperlink>
      <w:r w:rsidRPr="00D97B83">
        <w:rPr>
          <w:rFonts w:ascii="Times New Roman" w:eastAsia="Times New Roman" w:hAnsi="Times New Roman" w:cs="Times New Roman"/>
        </w:rPr>
        <w:t xml:space="preserve">. </w:t>
      </w:r>
    </w:p>
    <w:p w14:paraId="0000006F" w14:textId="77777777"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rPr>
        <w:t xml:space="preserve">Rovelli, L. I. (2015). Un modelo para armar: áreas prioritarias e investigación en universidades nacionales. </w:t>
      </w:r>
      <w:r w:rsidRPr="00D97B83">
        <w:rPr>
          <w:rFonts w:ascii="Times New Roman" w:eastAsia="Times New Roman" w:hAnsi="Times New Roman" w:cs="Times New Roman"/>
          <w:i/>
          <w:iCs/>
        </w:rPr>
        <w:t xml:space="preserve">Ciencia, docencia y tecnología, </w:t>
      </w:r>
      <w:r w:rsidRPr="003D4915">
        <w:rPr>
          <w:rFonts w:ascii="Times New Roman" w:eastAsia="Times New Roman" w:hAnsi="Times New Roman" w:cs="Times New Roman"/>
          <w:i/>
          <w:iCs/>
        </w:rPr>
        <w:t>26</w:t>
      </w:r>
      <w:r w:rsidRPr="00D97B83">
        <w:rPr>
          <w:rFonts w:ascii="Times New Roman" w:eastAsia="Times New Roman" w:hAnsi="Times New Roman" w:cs="Times New Roman"/>
        </w:rPr>
        <w:t>(51), 26-53.</w:t>
      </w:r>
    </w:p>
    <w:p w14:paraId="00000070" w14:textId="77777777"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rPr>
        <w:t xml:space="preserve">Rovelli, L. I. (2017). Expansión reciente de la política de priorización en la investigación científica de las universidades públicas de Argentina. </w:t>
      </w:r>
      <w:r w:rsidRPr="003D4915">
        <w:rPr>
          <w:rFonts w:ascii="Times New Roman" w:eastAsia="Times New Roman" w:hAnsi="Times New Roman" w:cs="Times New Roman"/>
          <w:i/>
          <w:iCs/>
        </w:rPr>
        <w:t>Revista iberoamericana de educación superior, 8</w:t>
      </w:r>
      <w:r w:rsidRPr="00D97B83">
        <w:rPr>
          <w:rFonts w:ascii="Times New Roman" w:eastAsia="Times New Roman" w:hAnsi="Times New Roman" w:cs="Times New Roman"/>
        </w:rPr>
        <w:t>(22), 103-121. Recuperado de:</w:t>
      </w:r>
      <w:hyperlink r:id="rId15">
        <w:r w:rsidRPr="00D97B83">
          <w:rPr>
            <w:rFonts w:ascii="Times New Roman" w:eastAsia="Times New Roman" w:hAnsi="Times New Roman" w:cs="Times New Roman"/>
          </w:rPr>
          <w:t xml:space="preserve"> </w:t>
        </w:r>
      </w:hyperlink>
      <w:hyperlink r:id="rId16">
        <w:r w:rsidRPr="00D97B83">
          <w:rPr>
            <w:rFonts w:ascii="Times New Roman" w:eastAsia="Times New Roman" w:hAnsi="Times New Roman" w:cs="Times New Roman"/>
            <w:color w:val="1155CC"/>
            <w:u w:val="single"/>
          </w:rPr>
          <w:t>https://www.redalyc.org/articulo.oa?id=299151245006</w:t>
        </w:r>
      </w:hyperlink>
      <w:r w:rsidRPr="00D97B83">
        <w:rPr>
          <w:rFonts w:ascii="Times New Roman" w:eastAsia="Times New Roman" w:hAnsi="Times New Roman" w:cs="Times New Roman"/>
        </w:rPr>
        <w:t>.</w:t>
      </w:r>
    </w:p>
    <w:p w14:paraId="00000071" w14:textId="164F6768" w:rsidR="003519AF" w:rsidRPr="00D97B83" w:rsidRDefault="00000000" w:rsidP="00D97B83">
      <w:pPr>
        <w:spacing w:line="240" w:lineRule="auto"/>
        <w:jc w:val="both"/>
        <w:rPr>
          <w:rFonts w:ascii="Times New Roman" w:eastAsia="Times New Roman" w:hAnsi="Times New Roman" w:cs="Times New Roman"/>
        </w:rPr>
      </w:pPr>
      <w:proofErr w:type="spellStart"/>
      <w:r w:rsidRPr="00D97B83">
        <w:rPr>
          <w:rFonts w:ascii="Times New Roman" w:eastAsia="Times New Roman" w:hAnsi="Times New Roman" w:cs="Times New Roman"/>
        </w:rPr>
        <w:lastRenderedPageBreak/>
        <w:t>Sarthou</w:t>
      </w:r>
      <w:proofErr w:type="spellEnd"/>
      <w:r w:rsidRPr="00D97B83">
        <w:rPr>
          <w:rFonts w:ascii="Times New Roman" w:eastAsia="Times New Roman" w:hAnsi="Times New Roman" w:cs="Times New Roman"/>
        </w:rPr>
        <w:t xml:space="preserve">, N. </w:t>
      </w:r>
      <w:r w:rsidR="003D4915">
        <w:rPr>
          <w:rFonts w:ascii="Times New Roman" w:eastAsia="Times New Roman" w:hAnsi="Times New Roman" w:cs="Times New Roman"/>
        </w:rPr>
        <w:t>y</w:t>
      </w:r>
      <w:r w:rsidRPr="00D97B83">
        <w:rPr>
          <w:rFonts w:ascii="Times New Roman" w:eastAsia="Times New Roman" w:hAnsi="Times New Roman" w:cs="Times New Roman"/>
        </w:rPr>
        <w:t xml:space="preserve"> Castiglione, P. (2023)</w:t>
      </w:r>
      <w:r w:rsidR="003D4915">
        <w:rPr>
          <w:rFonts w:ascii="Times New Roman" w:eastAsia="Times New Roman" w:hAnsi="Times New Roman" w:cs="Times New Roman"/>
        </w:rPr>
        <w:t>.</w:t>
      </w:r>
      <w:r w:rsidRPr="00D97B83">
        <w:rPr>
          <w:rFonts w:ascii="Times New Roman" w:eastAsia="Times New Roman" w:hAnsi="Times New Roman" w:cs="Times New Roman"/>
        </w:rPr>
        <w:t xml:space="preserve"> Entre el dirigismo y el laissez faire en política científica: Alcances de la implementación de las Becas de CONICET en Temas Estratégicos en una universidad argentina (2015- 2021</w:t>
      </w:r>
      <w:r w:rsidRPr="003D4915">
        <w:rPr>
          <w:rFonts w:ascii="Times New Roman" w:eastAsia="Times New Roman" w:hAnsi="Times New Roman" w:cs="Times New Roman"/>
          <w:i/>
          <w:iCs/>
        </w:rPr>
        <w:t>)</w:t>
      </w:r>
      <w:r w:rsidR="003D4915" w:rsidRPr="003D4915">
        <w:rPr>
          <w:rFonts w:ascii="Times New Roman" w:eastAsia="Times New Roman" w:hAnsi="Times New Roman" w:cs="Times New Roman"/>
          <w:i/>
          <w:iCs/>
        </w:rPr>
        <w:t>.</w:t>
      </w:r>
      <w:r w:rsidRPr="003D4915">
        <w:rPr>
          <w:rFonts w:ascii="Times New Roman" w:eastAsia="Times New Roman" w:hAnsi="Times New Roman" w:cs="Times New Roman"/>
          <w:i/>
          <w:iCs/>
        </w:rPr>
        <w:t xml:space="preserve"> Revista Estado y Políticas Públicas</w:t>
      </w:r>
      <w:r w:rsidR="003D4915">
        <w:rPr>
          <w:rFonts w:ascii="Times New Roman" w:eastAsia="Times New Roman" w:hAnsi="Times New Roman" w:cs="Times New Roman"/>
          <w:i/>
          <w:iCs/>
        </w:rPr>
        <w:t>,</w:t>
      </w:r>
      <w:r w:rsidRPr="00D97B83">
        <w:rPr>
          <w:rFonts w:ascii="Times New Roman" w:eastAsia="Times New Roman" w:hAnsi="Times New Roman" w:cs="Times New Roman"/>
        </w:rPr>
        <w:t xml:space="preserve"> 21, 153-180.</w:t>
      </w:r>
    </w:p>
    <w:p w14:paraId="00000072" w14:textId="60699FBC" w:rsidR="003519AF" w:rsidRPr="00D97B83" w:rsidRDefault="00000000" w:rsidP="00D97B83">
      <w:pPr>
        <w:spacing w:line="240" w:lineRule="auto"/>
        <w:jc w:val="both"/>
        <w:rPr>
          <w:rFonts w:ascii="Times New Roman" w:eastAsia="Times New Roman" w:hAnsi="Times New Roman" w:cs="Times New Roman"/>
          <w:lang w:val="en-GB"/>
        </w:rPr>
      </w:pPr>
      <w:proofErr w:type="spellStart"/>
      <w:r w:rsidRPr="00D97B83">
        <w:rPr>
          <w:rFonts w:ascii="Times New Roman" w:eastAsia="Times New Roman" w:hAnsi="Times New Roman" w:cs="Times New Roman"/>
        </w:rPr>
        <w:t>Sarthou</w:t>
      </w:r>
      <w:proofErr w:type="spellEnd"/>
      <w:r w:rsidRPr="00D97B83">
        <w:rPr>
          <w:rFonts w:ascii="Times New Roman" w:eastAsia="Times New Roman" w:hAnsi="Times New Roman" w:cs="Times New Roman"/>
        </w:rPr>
        <w:t>, N. (2024)</w:t>
      </w:r>
      <w:r w:rsidR="003D4915">
        <w:rPr>
          <w:rFonts w:ascii="Times New Roman" w:eastAsia="Times New Roman" w:hAnsi="Times New Roman" w:cs="Times New Roman"/>
        </w:rPr>
        <w:t>.</w:t>
      </w:r>
      <w:r w:rsidRPr="00D97B83">
        <w:rPr>
          <w:rFonts w:ascii="Times New Roman" w:eastAsia="Times New Roman" w:hAnsi="Times New Roman" w:cs="Times New Roman"/>
        </w:rPr>
        <w:t xml:space="preserve"> Promoción y evaluación de carreras científicas orientadas a la resolución de problemas en Argentina. </w:t>
      </w:r>
      <w:r w:rsidR="003D4915" w:rsidRPr="003D4915">
        <w:rPr>
          <w:rFonts w:ascii="Times New Roman" w:eastAsia="Times New Roman" w:hAnsi="Times New Roman" w:cs="Times New Roman"/>
          <w:i/>
          <w:iCs/>
        </w:rPr>
        <w:t>Revista</w:t>
      </w:r>
      <w:r w:rsidR="003D4915">
        <w:rPr>
          <w:rFonts w:ascii="Times New Roman" w:eastAsia="Times New Roman" w:hAnsi="Times New Roman" w:cs="Times New Roman"/>
        </w:rPr>
        <w:t xml:space="preserve"> </w:t>
      </w:r>
      <w:r w:rsidRPr="00D97B83">
        <w:rPr>
          <w:rFonts w:ascii="Times New Roman" w:eastAsia="Times New Roman" w:hAnsi="Times New Roman" w:cs="Times New Roman"/>
          <w:i/>
          <w:iCs/>
          <w:lang w:val="en-GB"/>
        </w:rPr>
        <w:t>CTS,</w:t>
      </w:r>
      <w:r w:rsidRPr="00D97B83">
        <w:rPr>
          <w:rFonts w:ascii="Times New Roman" w:eastAsia="Times New Roman" w:hAnsi="Times New Roman" w:cs="Times New Roman"/>
          <w:lang w:val="en-GB"/>
        </w:rPr>
        <w:t xml:space="preserve"> </w:t>
      </w:r>
      <w:r w:rsidRPr="00D97B83">
        <w:rPr>
          <w:rFonts w:ascii="Times New Roman" w:eastAsia="Times New Roman" w:hAnsi="Times New Roman" w:cs="Times New Roman"/>
          <w:i/>
          <w:iCs/>
          <w:lang w:val="en-GB"/>
        </w:rPr>
        <w:t>20</w:t>
      </w:r>
      <w:r w:rsidRPr="00D97B83">
        <w:rPr>
          <w:rFonts w:ascii="Times New Roman" w:eastAsia="Times New Roman" w:hAnsi="Times New Roman" w:cs="Times New Roman"/>
          <w:lang w:val="en-GB"/>
        </w:rPr>
        <w:t>(60), 81–108.</w:t>
      </w:r>
    </w:p>
    <w:p w14:paraId="00000073" w14:textId="77777777" w:rsidR="003519AF" w:rsidRPr="00D97B83" w:rsidRDefault="00000000" w:rsidP="00D97B83">
      <w:pPr>
        <w:spacing w:line="240" w:lineRule="auto"/>
        <w:jc w:val="both"/>
        <w:rPr>
          <w:rFonts w:ascii="Times New Roman" w:eastAsia="Times New Roman" w:hAnsi="Times New Roman" w:cs="Times New Roman"/>
        </w:rPr>
      </w:pPr>
      <w:r w:rsidRPr="00D97B83">
        <w:rPr>
          <w:rFonts w:ascii="Times New Roman" w:eastAsia="Times New Roman" w:hAnsi="Times New Roman" w:cs="Times New Roman"/>
          <w:lang w:val="en-GB"/>
        </w:rPr>
        <w:t xml:space="preserve">Sigl, L., Felt, U., &amp; Fochler, M. (2020). “I am primarily paid for publishing…”: The narrative framing of societal responsibilities in academic life science research. </w:t>
      </w:r>
      <w:proofErr w:type="spellStart"/>
      <w:r w:rsidRPr="00D97B83">
        <w:rPr>
          <w:rFonts w:ascii="Times New Roman" w:eastAsia="Times New Roman" w:hAnsi="Times New Roman" w:cs="Times New Roman"/>
          <w:i/>
          <w:iCs/>
        </w:rPr>
        <w:t>Science</w:t>
      </w:r>
      <w:proofErr w:type="spellEnd"/>
      <w:r w:rsidRPr="00D97B83">
        <w:rPr>
          <w:rFonts w:ascii="Times New Roman" w:eastAsia="Times New Roman" w:hAnsi="Times New Roman" w:cs="Times New Roman"/>
          <w:i/>
          <w:iCs/>
        </w:rPr>
        <w:t xml:space="preserve"> and </w:t>
      </w:r>
      <w:proofErr w:type="spellStart"/>
      <w:r w:rsidRPr="00D97B83">
        <w:rPr>
          <w:rFonts w:ascii="Times New Roman" w:eastAsia="Times New Roman" w:hAnsi="Times New Roman" w:cs="Times New Roman"/>
          <w:i/>
          <w:iCs/>
        </w:rPr>
        <w:t>Engineering</w:t>
      </w:r>
      <w:proofErr w:type="spellEnd"/>
      <w:r w:rsidRPr="00D97B83">
        <w:rPr>
          <w:rFonts w:ascii="Times New Roman" w:eastAsia="Times New Roman" w:hAnsi="Times New Roman" w:cs="Times New Roman"/>
          <w:i/>
          <w:iCs/>
        </w:rPr>
        <w:t xml:space="preserve"> </w:t>
      </w:r>
      <w:proofErr w:type="spellStart"/>
      <w:r w:rsidRPr="00D97B83">
        <w:rPr>
          <w:rFonts w:ascii="Times New Roman" w:eastAsia="Times New Roman" w:hAnsi="Times New Roman" w:cs="Times New Roman"/>
          <w:i/>
          <w:iCs/>
        </w:rPr>
        <w:t>Ethics</w:t>
      </w:r>
      <w:proofErr w:type="spellEnd"/>
      <w:r w:rsidRPr="00D97B83">
        <w:rPr>
          <w:rFonts w:ascii="Times New Roman" w:eastAsia="Times New Roman" w:hAnsi="Times New Roman" w:cs="Times New Roman"/>
        </w:rPr>
        <w:t xml:space="preserve">, </w:t>
      </w:r>
      <w:r w:rsidRPr="00D97B83">
        <w:rPr>
          <w:rFonts w:ascii="Times New Roman" w:eastAsia="Times New Roman" w:hAnsi="Times New Roman" w:cs="Times New Roman"/>
          <w:i/>
          <w:iCs/>
        </w:rPr>
        <w:t>26</w:t>
      </w:r>
      <w:r w:rsidRPr="00D97B83">
        <w:rPr>
          <w:rFonts w:ascii="Times New Roman" w:eastAsia="Times New Roman" w:hAnsi="Times New Roman" w:cs="Times New Roman"/>
        </w:rPr>
        <w:t xml:space="preserve">(3), 1569-1593. </w:t>
      </w:r>
    </w:p>
    <w:p w14:paraId="00000075" w14:textId="77777777" w:rsidR="003519AF" w:rsidRPr="00D97B83" w:rsidRDefault="00000000" w:rsidP="00D97B83">
      <w:pPr>
        <w:spacing w:line="240" w:lineRule="auto"/>
        <w:jc w:val="both"/>
        <w:rPr>
          <w:rFonts w:ascii="Times New Roman" w:eastAsia="Times New Roman" w:hAnsi="Times New Roman" w:cs="Times New Roman"/>
          <w:color w:val="1155CC"/>
          <w:u w:val="single"/>
          <w:lang w:val="en-GB"/>
        </w:rPr>
      </w:pPr>
      <w:r w:rsidRPr="00D97B83">
        <w:rPr>
          <w:rFonts w:ascii="Times New Roman" w:eastAsia="Times New Roman" w:hAnsi="Times New Roman" w:cs="Times New Roman"/>
          <w:lang w:val="en-GB"/>
        </w:rPr>
        <w:t xml:space="preserve">Vasen, F. (2018). The “Ivory Tower” as safe bet: Science policies and research evaluation in Mexico. </w:t>
      </w:r>
      <w:r w:rsidRPr="00D97B83">
        <w:rPr>
          <w:rFonts w:ascii="Times New Roman" w:eastAsia="Times New Roman" w:hAnsi="Times New Roman" w:cs="Times New Roman"/>
          <w:i/>
          <w:iCs/>
          <w:lang w:val="en-GB"/>
        </w:rPr>
        <w:t>Education Policy Analysis Archives, 26</w:t>
      </w:r>
      <w:r w:rsidRPr="00D97B83">
        <w:rPr>
          <w:rFonts w:ascii="Times New Roman" w:eastAsia="Times New Roman" w:hAnsi="Times New Roman" w:cs="Times New Roman"/>
          <w:lang w:val="en-GB"/>
        </w:rPr>
        <w:t>(95).</w:t>
      </w:r>
      <w:hyperlink r:id="rId17">
        <w:r w:rsidRPr="00D97B83">
          <w:rPr>
            <w:rFonts w:ascii="Times New Roman" w:eastAsia="Times New Roman" w:hAnsi="Times New Roman" w:cs="Times New Roman"/>
            <w:color w:val="1155CC"/>
            <w:u w:val="single"/>
            <w:lang w:val="en-GB"/>
          </w:rPr>
          <w:t xml:space="preserve"> https://doi.org/10.14507/epaa.26.3594</w:t>
        </w:r>
      </w:hyperlink>
    </w:p>
    <w:p w14:paraId="00000076" w14:textId="0D42DE77" w:rsidR="003519AF" w:rsidRPr="00D97B83" w:rsidRDefault="00000000" w:rsidP="00D97B83">
      <w:pPr>
        <w:spacing w:line="240" w:lineRule="auto"/>
        <w:jc w:val="both"/>
        <w:rPr>
          <w:rFonts w:ascii="Times New Roman" w:eastAsia="Times New Roman" w:hAnsi="Times New Roman" w:cs="Times New Roman"/>
        </w:rPr>
      </w:pPr>
      <w:r w:rsidRPr="003D4915">
        <w:rPr>
          <w:rFonts w:ascii="Times New Roman" w:eastAsia="Times New Roman" w:hAnsi="Times New Roman" w:cs="Times New Roman"/>
        </w:rPr>
        <w:t xml:space="preserve">Vélez Cuartas, G., </w:t>
      </w:r>
      <w:r w:rsidR="003D4915" w:rsidRPr="003D4915">
        <w:rPr>
          <w:rFonts w:ascii="Times New Roman" w:eastAsia="Times New Roman" w:hAnsi="Times New Roman" w:cs="Times New Roman"/>
        </w:rPr>
        <w:t>y</w:t>
      </w:r>
      <w:r w:rsidRPr="003D4915">
        <w:rPr>
          <w:rFonts w:ascii="Times New Roman" w:eastAsia="Times New Roman" w:hAnsi="Times New Roman" w:cs="Times New Roman"/>
        </w:rPr>
        <w:t xml:space="preserve"> Torres Arroyave, D. (2022). </w:t>
      </w:r>
      <w:r w:rsidRPr="00271632">
        <w:rPr>
          <w:rFonts w:ascii="Times New Roman" w:eastAsia="Times New Roman" w:hAnsi="Times New Roman" w:cs="Times New Roman"/>
          <w:i/>
          <w:iCs/>
        </w:rPr>
        <w:t>Perfiles latinoamericanos de instrumentos de política pública en investigación e innovación y el papel de los ODS</w:t>
      </w:r>
      <w:r w:rsidRPr="00D97B83">
        <w:rPr>
          <w:rFonts w:ascii="Times New Roman" w:eastAsia="Times New Roman" w:hAnsi="Times New Roman" w:cs="Times New Roman"/>
        </w:rPr>
        <w:t>. CLACSO. Recuperado de:</w:t>
      </w:r>
      <w:hyperlink r:id="rId18">
        <w:r w:rsidRPr="00D97B83">
          <w:rPr>
            <w:rFonts w:ascii="Times New Roman" w:eastAsia="Times New Roman" w:hAnsi="Times New Roman" w:cs="Times New Roman"/>
          </w:rPr>
          <w:t xml:space="preserve"> </w:t>
        </w:r>
      </w:hyperlink>
      <w:hyperlink r:id="rId19">
        <w:r w:rsidRPr="00D97B83">
          <w:rPr>
            <w:rFonts w:ascii="Times New Roman" w:eastAsia="Times New Roman" w:hAnsi="Times New Roman" w:cs="Times New Roman"/>
            <w:color w:val="1155CC"/>
            <w:u w:val="single"/>
          </w:rPr>
          <w:t>https://biblioteca-repositorio.c</w:t>
        </w:r>
        <w:r w:rsidRPr="00D97B83">
          <w:rPr>
            <w:rFonts w:ascii="Times New Roman" w:eastAsia="Times New Roman" w:hAnsi="Times New Roman" w:cs="Times New Roman"/>
            <w:color w:val="1155CC"/>
            <w:u w:val="single"/>
          </w:rPr>
          <w:t>l</w:t>
        </w:r>
        <w:r w:rsidRPr="00D97B83">
          <w:rPr>
            <w:rFonts w:ascii="Times New Roman" w:eastAsia="Times New Roman" w:hAnsi="Times New Roman" w:cs="Times New Roman"/>
            <w:color w:val="1155CC"/>
            <w:u w:val="single"/>
          </w:rPr>
          <w:t>acso.edu.ar/bitstream/CLACSO/16929/1/Informe-IDRC-FOLEC-ESP.Pdf</w:t>
        </w:r>
      </w:hyperlink>
      <w:r w:rsidRPr="00D97B83">
        <w:rPr>
          <w:rFonts w:ascii="Times New Roman" w:eastAsia="Times New Roman" w:hAnsi="Times New Roman" w:cs="Times New Roman"/>
        </w:rPr>
        <w:t xml:space="preserve">. </w:t>
      </w:r>
    </w:p>
    <w:p w14:paraId="00000077" w14:textId="77777777" w:rsidR="003519AF" w:rsidRPr="00D97B83" w:rsidRDefault="003519AF" w:rsidP="00D97B83">
      <w:pPr>
        <w:spacing w:line="240" w:lineRule="auto"/>
        <w:rPr>
          <w:rFonts w:ascii="Times New Roman" w:eastAsia="Times New Roman" w:hAnsi="Times New Roman" w:cs="Times New Roman"/>
        </w:rPr>
      </w:pPr>
    </w:p>
    <w:p w14:paraId="00000078" w14:textId="77777777" w:rsidR="003519AF" w:rsidRPr="00D97B83" w:rsidRDefault="003519AF" w:rsidP="00D97B83">
      <w:pPr>
        <w:spacing w:line="240" w:lineRule="auto"/>
        <w:jc w:val="center"/>
        <w:rPr>
          <w:rFonts w:ascii="Times New Roman" w:eastAsia="Times New Roman" w:hAnsi="Times New Roman" w:cs="Times New Roman"/>
        </w:rPr>
      </w:pPr>
    </w:p>
    <w:sectPr w:rsidR="003519AF" w:rsidRPr="00D97B83">
      <w:headerReference w:type="default" r:id="rId20"/>
      <w:footerReference w:type="default" r:id="rId21"/>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3C2A" w14:textId="77777777" w:rsidR="00AA542E" w:rsidRDefault="00AA542E">
      <w:pPr>
        <w:spacing w:after="0" w:line="240" w:lineRule="auto"/>
      </w:pPr>
      <w:r>
        <w:separator/>
      </w:r>
    </w:p>
  </w:endnote>
  <w:endnote w:type="continuationSeparator" w:id="0">
    <w:p w14:paraId="7F0B1A89" w14:textId="77777777" w:rsidR="00AA542E" w:rsidRDefault="00AA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C5DAC63-7FAD-41D0-B349-9B3E1EBCFE19}"/>
    <w:embedItalic r:id="rId2" w:fontKey="{2015F030-ADE0-4AEC-BD70-811BD587B8F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0E5BEAFE-76FA-466B-B8CE-C6BB46A86B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77777777" w:rsidR="003519AF"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7B" w14:textId="77777777" w:rsidR="003519AF" w:rsidRDefault="003519AF">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3C215" w14:textId="77777777" w:rsidR="00AA542E" w:rsidRDefault="00AA542E">
      <w:pPr>
        <w:spacing w:after="0" w:line="240" w:lineRule="auto"/>
      </w:pPr>
      <w:r>
        <w:separator/>
      </w:r>
    </w:p>
  </w:footnote>
  <w:footnote w:type="continuationSeparator" w:id="0">
    <w:p w14:paraId="0457017E" w14:textId="77777777" w:rsidR="00AA542E" w:rsidRDefault="00AA542E">
      <w:pPr>
        <w:spacing w:after="0" w:line="240" w:lineRule="auto"/>
      </w:pPr>
      <w:r>
        <w:continuationSeparator/>
      </w:r>
    </w:p>
  </w:footnote>
  <w:footnote w:id="1">
    <w:p w14:paraId="0000007C" w14:textId="77777777" w:rsidR="003519AF"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 preocupación del CONICET por la forma en que se desarrollan las tareas de investigación y los perfiles de investigadores/as en TE se evidencia también en el relevamiento realizado por la Gerencia de Evaluación y Planificación en 2021 sobre productos, actividades de investigación y desarrollo (I&amp;D) y de vinculación realizado a partir de investigadores/as que fueron seleccionados para la </w:t>
      </w:r>
      <w:proofErr w:type="spellStart"/>
      <w:r>
        <w:rPr>
          <w:rFonts w:ascii="Times New Roman" w:eastAsia="Times New Roman" w:hAnsi="Times New Roman" w:cs="Times New Roman"/>
          <w:sz w:val="20"/>
          <w:szCs w:val="20"/>
        </w:rPr>
        <w:t>CICyT</w:t>
      </w:r>
      <w:proofErr w:type="spellEnd"/>
      <w:r>
        <w:rPr>
          <w:rFonts w:ascii="Times New Roman" w:eastAsia="Times New Roman" w:hAnsi="Times New Roman" w:cs="Times New Roman"/>
          <w:sz w:val="20"/>
          <w:szCs w:val="20"/>
        </w:rPr>
        <w:t xml:space="preserve"> a través de la convocatoria del año 2017 por la modalidad de TE y que presentaron su informe reglamentario en 2020 (CONICET,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9" w14:textId="77777777" w:rsidR="003519AF"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9AF"/>
    <w:rsid w:val="000E6644"/>
    <w:rsid w:val="00140AC3"/>
    <w:rsid w:val="00271632"/>
    <w:rsid w:val="003519AF"/>
    <w:rsid w:val="003C689E"/>
    <w:rsid w:val="003D4915"/>
    <w:rsid w:val="008B347B"/>
    <w:rsid w:val="00AA542E"/>
    <w:rsid w:val="00B9616F"/>
    <w:rsid w:val="00D97B83"/>
    <w:rsid w:val="00DB4FF7"/>
    <w:rsid w:val="00EF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DE991"/>
  <w15:docId w15:val="{33DB85CD-4A01-4DAE-85C9-10D960DB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AR"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8B347B"/>
    <w:rPr>
      <w:color w:val="0000FF" w:themeColor="hyperlink"/>
      <w:u w:val="single"/>
    </w:rPr>
  </w:style>
  <w:style w:type="character" w:styleId="Mencinsinresolver">
    <w:name w:val="Unresolved Mention"/>
    <w:basedOn w:val="Fuentedeprrafopredeter"/>
    <w:uiPriority w:val="99"/>
    <w:semiHidden/>
    <w:unhideWhenUsed/>
    <w:rsid w:val="008B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20https://doi.org/10.6084/m9.figshare.13227914.v1" TargetMode="External"/><Relationship Id="rId13" Type="http://schemas.openxmlformats.org/officeDocument/2006/relationships/hyperlink" Target="https://unesdoc.unesco.org/ark:/48223/pf0000388985" TargetMode="External"/><Relationship Id="rId18" Type="http://schemas.openxmlformats.org/officeDocument/2006/relationships/hyperlink" Target="https://biblioteca-repositorio.clacso.edu.ar/bitstream/CLACSO/16929/1/Informe-IDRC-FOLEC-ESP.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ojs.revistacts.net/index.php/CTS/article/view/178" TargetMode="External"/><Relationship Id="rId17" Type="http://schemas.openxmlformats.org/officeDocument/2006/relationships/hyperlink" Target="https://doi.org/10.14507/epaa.26.3594" TargetMode="External"/><Relationship Id="rId2" Type="http://schemas.openxmlformats.org/officeDocument/2006/relationships/styles" Target="styles.xml"/><Relationship Id="rId16" Type="http://schemas.openxmlformats.org/officeDocument/2006/relationships/hyperlink" Target="https://www.redalyc.org/articulo.oa?id=29915124500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js.revistacts.net/index.php/CTS/article/view/178" TargetMode="External"/><Relationship Id="rId5" Type="http://schemas.openxmlformats.org/officeDocument/2006/relationships/footnotes" Target="footnotes.xml"/><Relationship Id="rId15" Type="http://schemas.openxmlformats.org/officeDocument/2006/relationships/hyperlink" Target="https://www.redalyc.org/articulo.oa?id=299151245006" TargetMode="External"/><Relationship Id="rId23" Type="http://schemas.openxmlformats.org/officeDocument/2006/relationships/theme" Target="theme/theme1.xml"/><Relationship Id="rId10" Type="http://schemas.openxmlformats.org/officeDocument/2006/relationships/hyperlink" Target="https://unesdoc.unesco.org/ark:/48223/pf0000388985" TargetMode="External"/><Relationship Id="rId19" Type="http://schemas.openxmlformats.org/officeDocument/2006/relationships/hyperlink" Target="https://biblioteca-repositorio.clacso.edu.ar/bitstream/CLACSO/16929/1/Informe-IDRC-FOLEC-ESP.Pdf" TargetMode="External"/><Relationship Id="rId4" Type="http://schemas.openxmlformats.org/officeDocument/2006/relationships/webSettings" Target="webSettings.xml"/><Relationship Id="rId9" Type="http://schemas.openxmlformats.org/officeDocument/2006/relationships/hyperlink" Target="https://unesdoc.unesco.org/ark:/48223/pf0000388985" TargetMode="External"/><Relationship Id="rId14" Type="http://schemas.openxmlformats.org/officeDocument/2006/relationships/hyperlink" Target="https://unesdoc.unesco.org/ark:/48223/pf0000388985"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jEd6956U+J880dtj393foa0uXw==">CgMxLjAaJwoBMBIiCiAIBCocCgtBQUFCX254aTFvRRAIGgtBQUFCX254aTFvRRonCgExEiIKIAgEKhwKC0FBQUJfbnhpMW9FEAgaC0FBQUJfcVZBcWI4GicKATISIgogCAQqHAoLQUFBQl9ueGkxb0UQCBoLQUFBQl9yaTI5aVEiuRYKC0FBQUJfbnhpMW9FEocWCgtBQUFCX254aTFvRRILQUFBQl9ueGkxb0UahwQKCXRleHQvaHRtbBL5A0A8YSBocmVmPSJtYWlsdG86bmVyaW5hLnNhcnRob3VAZ21haWwuY29tIiB0YXJnZXQ9Il9ibGFuayI+bmVyaW5hLnNhcnRob3VAZ21haWwuY29tPC9hPiBOZXJpLCB5YSB0ZXJtaW7DqSBkZSBjZXJyYXIgKGRlIGxhIG1lam9yIG1hbmVyYSBwb3NpYmxlIGVuIGxvcyB0aWVtcG9zIGFwcmV0YWRvcyBxdWUgdGVuZW1vcykgZWwgYXBhcnRhZG8gZGUgZW50cmV2aXN0YXMgeSBsYXMgY29uY2x1c2lvbmVzLsKgPGJyPlNpIHBvZGVzIGRhcmxlIHVuYSBtaXJhZGEsIGdlbmlhbC48YnI+PGJyPllvIGVudHJlIG1hw7FhbmEgeSBkb21pbmdvIGEgbGEgbWHDsWFuYSBhIG3DoXMgdGFyZGFyLCB0ZXJtaW5vIGRlIHJldmlzYXIgcXVlIGVzdMOpIHRvZG8gb2sgZW4gY3VhbnRvIGFsIGZvcm1hdG8geSBoYWdvIGVsIGVudsOtbyBwb3IgbGEgcGxhdGFmb3JtYS48YnI+PGJyPkN1YWxxdWllciBjb3NhLCBlc3RveSBkaXNwb25pYmxlISBBYnJhem8geSBwZXJkw7NuIHBvciBtb2xlc3RhciBlbCBmaW5kZSEiuwMKCnRleHQvcGxhaW4SrANAbmVyaW5hLnNhcnRob3VAZ21haWwuY29tIE5lcmksIHlhIHRlcm1pbsOpIGRlIGNlcnJhciAoZGUgbGEgbWVqb3IgbWFuZXJhIHBvc2libGUgZW4gbG9zIHRpZW1wb3MgYXByZXRhZG9zIHF1ZSB0ZW5lbW9zKSBlbCBhcGFydGFkbyBkZSBlbnRyZXZpc3RhcyB5IGxhcyBjb25jbHVzaW9uZXMuwqAKU2kgcG9kZXMgZGFybGUgdW5hIG1pcmFkYSwgZ2VuaWFsLgoKWW8gZW50cmUgbWHDsWFuYSB5IGRvbWluZ28gYSBsYSBtYcOxYW5hIGEgbcOhcyB0YXJkYXIsIHRlcm1pbm8gZGUgcmV2aXNhciBxdWUgZXN0w6kgdG9kbyBvayBlbiBjdWFudG8gYWwgZm9ybWF0byB5IGhhZ28gZWwgZW52w61vIHBvciBsYSBwbGF0YWZvcm1hLgoKQ3VhbHF1aWVyIGNvc2EsIGVzdG95IGRpc3BvbmlibGUhIEFicmF6byB5IHBlcmTDs24gcG9yIG1vbGVzdGFyIGVsIGZpbmRlISobIhUxMTIwNTAwMzMzMTA2OTgxOTM4NzMoADgAMOHE4u70Mzi1q+ew9TNC2AMKC0FBQUJfcVZBcWI4EgtBQUFCX254aTFvRRqPAQoJdGV4dC9odG1sEoEBQnVlbsOtc2ltbyBAPGEgaHJlZj0ibWFpbHRvOmZpc2NoZXIubWVsaW5hQGdtYWlsLmNvbSIgdGFyZ2V0PSJfYmxhbmsiPmZpc2NoZXIubWVsaW5hQGdtYWlsLmNvbTwvYT4gbG8gbWlybyBob3kgc2luIGZhbHRhISBHcmFjaWFzIlEKCnRleHQvcGxhaW4SQ0J1ZW7DrXNpbW8gQGZpc2NoZXIubWVsaW5hQGdtYWlsLmNvbSBsbyBtaXJvIGhveSBzaW4gZmFsdGEhIEdyYWNpYXMqGyIVMTE2MTg4MDk2OTU1MTQ2MjEyNjAzKAA4ADD76rSK9TM4++q0ivUzWgwyNGxmdTFkYnR3N2FyAiAAeACaAQYIABAAGACqAYQBEoEBQnVlbsOtc2ltbyBAPGEgaHJlZj0ibWFpbHRvOmZpc2NoZXIubWVsaW5hQGdtYWlsLmNvbSIgdGFyZ2V0PSJfYmxhbmsiPmZpc2NoZXIubWVsaW5hQGdtYWlsLmNvbTwvYT4gbG8gbWlybyBob3kgc2luIGZhbHRhISBHcmFjaWFzsAEAuAEAyAEAQuEECgtBQUFCX3JpMjlpURILQUFBQl9ueGkxb0UatgEKCXRleHQvaHRtbBKoAUA8YSBocmVmPSJtYWlsdG86ZmlzY2hlci5tZWxpbmFAZ21haWwuY29tIiB0YXJnZXQ9Il9ibGFuayI+ZmlzY2hlci5tZWxpbmFAZ21haWwuY29tPC9hPiB5YSBsbyBtaXJlISBDcmVvIHF1ZSBxdWVkw7MgdW4gYnVlbiBtYXRlcmlhbCBwYXJhIHByZXNlbnRhciB5IGRpc2N1dGlyLiBHcmFjaWFzISJ4Cgp0ZXh0L3BsYWluEmpAZmlzY2hlci5tZWxpbmFAZ21haWwuY29tIHlhIGxvIG1pcmUhIENyZW8gcXVlIHF1ZWTDsyB1biBidWVuIG1hdGVyaWFsIHBhcmEgcHJlc2VudGFyIHkgZGlzY3V0aXIuIEdyYWNpYXMhKhsiFTExNjE4ODA5Njk1NTE0NjIxMjYwMygAOAAwtavnsPUzOLWr57D1M1ogYmJkMDQ0ZDAyYTQwYjc3YjE2MTExMjA5ODFiMDA0OWVyAiAAeACaAQYIABAAGACqAasBEqgBQDxhIGhyZWY9Im1haWx0bzpmaXNjaGVyLm1lbGluYUBnbWFpbC5jb20iIHRhcmdldD0iX2JsYW5rIj5maXNjaGVyLm1lbGluYUBnbWFpbC5jb208L2E+IHlhIGxvIG1pcmUhIENyZW8gcXVlIHF1ZWTDsyB1biBidWVuIG1hdGVyaWFsIHBhcmEgcHJlc2VudGFyIHkgZGlzY3V0aXIuIEdyYWNpYXMhsAEAuAEAyAEASpIBCgp0ZXh0L3BsYWluEoMBSW52ZXN0aWdhY2nDs24gb3JpZW50YWRhIHkgZm9ybWFjacOzbiBkZSBpbnZlc3RpZ2Fkb3JlczogbnVldmFzIGRpbsOhbWljYXMgZGUgaW5jb3Jwb3JhY2nDs24gYWwgc2lzdGVtYSBjaWVudMOtZmljbyB5IHVuaXZlcnNpdGFyaW9aDHpmNG9wc3Z0eGIzZHICIAB4AJoBBggAEAAYAKoB/AMS+QNAPGEgaHJlZj0ibWFpbHRvOm5lcmluYS5zYXJ0aG91QGdtYWlsLmNvbSIgdGFyZ2V0PSJfYmxhbmsiPm5lcmluYS5zYXJ0aG91QGdtYWlsLmNvbTwvYT4gTmVyaSwgeWEgdGVybWluw6kgZGUgY2VycmFyIChkZSBsYSBtZWpvciBtYW5lcmEgcG9zaWJsZSBlbiBsb3MgdGllbXBvcyBhcHJldGFkb3MgcXVlIHRlbmVtb3MpIGVsIGFwYXJ0YWRvIGRlIGVudHJldmlzdGFzIHkgbGFzIGNvbmNsdXNpb25lcy7CoDxicj5TaSBwb2RlcyBkYXJsZSB1bmEgbWlyYWRhLCBnZW5pYWwuPGJyPjxicj5ZbyBlbnRyZSBtYcOxYW5hIHkgZG9taW5nbyBhIGxhIG1hw7FhbmEgYSBtw6FzIHRhcmRhciwgdGVybWlubyBkZSByZXZpc2FyIHF1ZSBlc3TDqSB0b2RvIG9rIGVuIGN1YW50byBhbCBmb3JtYXRvIHkgaGFnbyBlbCBlbnbDrW8gcG9yIGxhIHBsYXRhZm9ybWEuPGJyPjxicj5DdWFscXVpZXIgY29zYSwgZXN0b3kgZGlzcG9uaWJsZSEgQWJyYXpvIHkgcGVyZMOzbiBwb3IgbW9sZXN0YXIgZWwgZmluZGUhsAEAuAEAyAEAGOHE4u70MyC1q+ew9TMwAEIQa2l4LmJ6enhybjg3ODl6NTgAaiYKFHN1Z2dlc3QuZzB2Y201dGEzZnBiEg5NZWxpbmEgRmlzY2hlcmomChRzdWdnZXN0LmMwdjBqazg0NGdsNxIOTWVsaW5hIEZpc2NoZXJqJgoUc3VnZ2VzdC5taDJhcTVtd3NzbDESDk1lbGluYSBGaXNjaGVyaiYKFHN1Z2dlc3QueHRjeHIydGw2YnJ4Eg5NZWxpbmEgRmlzY2hlcmomChRzdWdnZXN0Ljl4Mnk4M2E0dW44aRIOTWVsaW5hIEZpc2NoZXJyITFMQVRBQXNuZ254eTFyWWg0LW8wVjJvRzhWcGhNNllf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7823</Words>
  <Characters>44593</Characters>
  <Application>Microsoft Office Word</Application>
  <DocSecurity>0</DocSecurity>
  <Lines>371</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Melina Fischer</cp:lastModifiedBy>
  <cp:revision>5</cp:revision>
  <dcterms:created xsi:type="dcterms:W3CDTF">2026-07-12T13:59:00Z</dcterms:created>
  <dcterms:modified xsi:type="dcterms:W3CDTF">2026-07-12T14:39:00Z</dcterms:modified>
</cp:coreProperties>
</file>