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DB3483" w14:textId="77777777" w:rsidR="00C802F5" w:rsidRPr="00BA642E" w:rsidRDefault="00C802F5" w:rsidP="001923DC">
      <w:pPr>
        <w:jc w:val="center"/>
        <w:rPr>
          <w:rFonts w:ascii="Times New Roman" w:hAnsi="Times New Roman" w:cs="Times New Roman"/>
        </w:rPr>
      </w:pPr>
    </w:p>
    <w:p w14:paraId="22AF9002" w14:textId="77777777" w:rsidR="00403485" w:rsidRPr="00403485" w:rsidRDefault="00403485" w:rsidP="00403485">
      <w:pPr>
        <w:jc w:val="center"/>
        <w:rPr>
          <w:rFonts w:ascii="Times New Roman" w:hAnsi="Times New Roman" w:cs="Times New Roman"/>
          <w:b/>
          <w:bCs/>
          <w:lang w:val="es-PE"/>
        </w:rPr>
      </w:pPr>
      <w:r w:rsidRPr="00403485">
        <w:rPr>
          <w:rFonts w:ascii="Times New Roman" w:hAnsi="Times New Roman" w:cs="Times New Roman"/>
          <w:b/>
          <w:bCs/>
          <w:lang w:val="es-PE"/>
        </w:rPr>
        <w:t xml:space="preserve">Publicar o perecer en el Sur: índices internacionales como dispositivos de </w:t>
      </w:r>
      <w:proofErr w:type="spellStart"/>
      <w:r w:rsidRPr="00403485">
        <w:rPr>
          <w:rFonts w:ascii="Times New Roman" w:hAnsi="Times New Roman" w:cs="Times New Roman"/>
          <w:b/>
          <w:bCs/>
          <w:lang w:val="es-PE"/>
        </w:rPr>
        <w:t>colonialidad</w:t>
      </w:r>
      <w:proofErr w:type="spellEnd"/>
      <w:r w:rsidRPr="00403485">
        <w:rPr>
          <w:rFonts w:ascii="Times New Roman" w:hAnsi="Times New Roman" w:cs="Times New Roman"/>
          <w:b/>
          <w:bCs/>
          <w:lang w:val="es-PE"/>
        </w:rPr>
        <w:t xml:space="preserve"> epistémica en universidades latinoamericanas</w:t>
      </w:r>
    </w:p>
    <w:p w14:paraId="43C49479" w14:textId="77777777" w:rsidR="005F3B2E" w:rsidRPr="00BA642E" w:rsidRDefault="005F3B2E" w:rsidP="001923DC">
      <w:pPr>
        <w:jc w:val="center"/>
        <w:rPr>
          <w:rFonts w:ascii="Times New Roman" w:hAnsi="Times New Roman" w:cs="Times New Roman"/>
        </w:rPr>
      </w:pPr>
    </w:p>
    <w:p w14:paraId="4E738780" w14:textId="1B4EB24B" w:rsidR="005F3B2E" w:rsidRPr="00BA642E" w:rsidRDefault="00403485" w:rsidP="005F3B2E">
      <w:pPr>
        <w:spacing w:after="0" w:line="240" w:lineRule="auto"/>
        <w:jc w:val="right"/>
        <w:rPr>
          <w:rFonts w:ascii="Times New Roman" w:hAnsi="Times New Roman" w:cs="Times New Roman"/>
        </w:rPr>
      </w:pPr>
      <w:r w:rsidRPr="00403485">
        <w:rPr>
          <w:rFonts w:ascii="Times New Roman" w:hAnsi="Times New Roman" w:cs="Times New Roman"/>
          <w:lang w:val="es-PE"/>
        </w:rPr>
        <w:t>Pérez Villafuerte</w:t>
      </w:r>
      <w:r>
        <w:rPr>
          <w:rFonts w:ascii="Times New Roman" w:hAnsi="Times New Roman" w:cs="Times New Roman"/>
          <w:lang w:val="es-PE"/>
        </w:rPr>
        <w:t xml:space="preserve"> </w:t>
      </w:r>
      <w:proofErr w:type="spellStart"/>
      <w:r>
        <w:rPr>
          <w:rFonts w:ascii="Times New Roman" w:hAnsi="Times New Roman" w:cs="Times New Roman"/>
          <w:lang w:val="es-PE"/>
        </w:rPr>
        <w:t>Reneé</w:t>
      </w:r>
      <w:proofErr w:type="spellEnd"/>
      <w:r>
        <w:rPr>
          <w:rFonts w:ascii="Times New Roman" w:hAnsi="Times New Roman" w:cs="Times New Roman"/>
          <w:lang w:val="es-PE"/>
        </w:rPr>
        <w:t xml:space="preserve"> Wilfredo</w:t>
      </w:r>
    </w:p>
    <w:p w14:paraId="6C2AECCA" w14:textId="3642CB65" w:rsidR="005F3B2E" w:rsidRPr="00BA642E" w:rsidRDefault="00403485" w:rsidP="005F3B2E">
      <w:pPr>
        <w:spacing w:after="0" w:line="240" w:lineRule="auto"/>
        <w:jc w:val="right"/>
        <w:rPr>
          <w:rFonts w:ascii="Times New Roman" w:hAnsi="Times New Roman" w:cs="Times New Roman"/>
        </w:rPr>
      </w:pPr>
      <w:r>
        <w:rPr>
          <w:rFonts w:ascii="Times New Roman" w:hAnsi="Times New Roman" w:cs="Times New Roman"/>
        </w:rPr>
        <w:t>Universidad Nacional San Antonio Abad del Cusco</w:t>
      </w:r>
    </w:p>
    <w:p w14:paraId="7D0026CD" w14:textId="3ADC83D8" w:rsidR="005F3B2E" w:rsidRPr="00BA642E" w:rsidRDefault="00403485" w:rsidP="005F3B2E">
      <w:pPr>
        <w:spacing w:after="0" w:line="240" w:lineRule="auto"/>
        <w:jc w:val="right"/>
        <w:rPr>
          <w:rFonts w:ascii="Times New Roman" w:hAnsi="Times New Roman" w:cs="Times New Roman"/>
        </w:rPr>
      </w:pPr>
      <w:r w:rsidRPr="00403485">
        <w:rPr>
          <w:rFonts w:ascii="Times New Roman" w:hAnsi="Times New Roman" w:cs="Times New Roman"/>
        </w:rPr>
        <w:t>dr.renneperez@gmail.com</w:t>
      </w:r>
    </w:p>
    <w:p w14:paraId="1FA0F857" w14:textId="77777777" w:rsidR="005F3B2E" w:rsidRPr="00BA642E" w:rsidRDefault="005F3B2E" w:rsidP="005F3B2E">
      <w:pPr>
        <w:rPr>
          <w:rFonts w:ascii="Times New Roman" w:hAnsi="Times New Roman" w:cs="Times New Roman"/>
        </w:rPr>
      </w:pPr>
    </w:p>
    <w:p w14:paraId="1275A9C7" w14:textId="333879CC" w:rsidR="005F3B2E" w:rsidRPr="00BA642E" w:rsidRDefault="005F3B2E" w:rsidP="005F3B2E">
      <w:pPr>
        <w:spacing w:after="0" w:line="240" w:lineRule="auto"/>
        <w:jc w:val="right"/>
        <w:rPr>
          <w:rFonts w:ascii="Times New Roman" w:hAnsi="Times New Roman" w:cs="Times New Roman"/>
        </w:rPr>
      </w:pPr>
      <w:proofErr w:type="spellStart"/>
      <w:r w:rsidRPr="00BA642E">
        <w:rPr>
          <w:rFonts w:ascii="Times New Roman" w:hAnsi="Times New Roman" w:cs="Times New Roman"/>
        </w:rPr>
        <w:t>A</w:t>
      </w:r>
      <w:r w:rsidR="00403485">
        <w:rPr>
          <w:rFonts w:ascii="Times New Roman" w:hAnsi="Times New Roman" w:cs="Times New Roman"/>
        </w:rPr>
        <w:t>chahuanco</w:t>
      </w:r>
      <w:proofErr w:type="spellEnd"/>
      <w:r w:rsidR="00403485">
        <w:rPr>
          <w:rFonts w:ascii="Times New Roman" w:hAnsi="Times New Roman" w:cs="Times New Roman"/>
        </w:rPr>
        <w:t xml:space="preserve"> Segovia Luis Abraham</w:t>
      </w:r>
    </w:p>
    <w:p w14:paraId="46FEEBE4" w14:textId="433D8B7E" w:rsidR="005F3B2E" w:rsidRPr="00BA642E" w:rsidRDefault="00403485" w:rsidP="005F3B2E">
      <w:pPr>
        <w:spacing w:after="0" w:line="240" w:lineRule="auto"/>
        <w:jc w:val="right"/>
        <w:rPr>
          <w:rFonts w:ascii="Times New Roman" w:hAnsi="Times New Roman" w:cs="Times New Roman"/>
        </w:rPr>
      </w:pPr>
      <w:r>
        <w:rPr>
          <w:rFonts w:ascii="Times New Roman" w:hAnsi="Times New Roman" w:cs="Times New Roman"/>
        </w:rPr>
        <w:t>Universidad Tecnológica de los Andes</w:t>
      </w:r>
    </w:p>
    <w:p w14:paraId="3CAC774D" w14:textId="686214EE" w:rsidR="005F3B2E" w:rsidRPr="00BA642E" w:rsidRDefault="00403485" w:rsidP="005F3B2E">
      <w:pPr>
        <w:spacing w:after="0" w:line="240" w:lineRule="auto"/>
        <w:jc w:val="right"/>
        <w:rPr>
          <w:rFonts w:ascii="Times New Roman" w:hAnsi="Times New Roman" w:cs="Times New Roman"/>
        </w:rPr>
      </w:pPr>
      <w:proofErr w:type="spellStart"/>
      <w:r>
        <w:rPr>
          <w:rFonts w:ascii="Times New Roman" w:hAnsi="Times New Roman" w:cs="Times New Roman"/>
        </w:rPr>
        <w:t>luisachahuanco@</w:t>
      </w:r>
      <w:proofErr w:type="gramStart"/>
      <w:r>
        <w:rPr>
          <w:rFonts w:ascii="Times New Roman" w:hAnsi="Times New Roman" w:cs="Times New Roman"/>
        </w:rPr>
        <w:t>gmail,com</w:t>
      </w:r>
      <w:proofErr w:type="spellEnd"/>
      <w:proofErr w:type="gramEnd"/>
    </w:p>
    <w:p w14:paraId="640847CC" w14:textId="77777777" w:rsidR="005F3B2E" w:rsidRPr="00BA642E" w:rsidRDefault="005F3B2E" w:rsidP="005F3B2E">
      <w:pPr>
        <w:spacing w:after="0" w:line="240" w:lineRule="auto"/>
        <w:jc w:val="right"/>
        <w:rPr>
          <w:rFonts w:ascii="Times New Roman" w:hAnsi="Times New Roman" w:cs="Times New Roman"/>
        </w:rPr>
      </w:pPr>
    </w:p>
    <w:p w14:paraId="1B43FD84" w14:textId="66833E43" w:rsidR="001923DC" w:rsidRPr="00BA642E" w:rsidRDefault="00C802F5" w:rsidP="00403485">
      <w:pPr>
        <w:tabs>
          <w:tab w:val="center" w:pos="4252"/>
          <w:tab w:val="right" w:pos="8504"/>
        </w:tabs>
        <w:spacing w:after="0" w:line="240" w:lineRule="auto"/>
        <w:rPr>
          <w:rFonts w:ascii="Times New Roman" w:hAnsi="Times New Roman" w:cs="Times New Roman"/>
        </w:rPr>
      </w:pPr>
      <w:r w:rsidRPr="00BA642E">
        <w:rPr>
          <w:rFonts w:ascii="Times New Roman" w:hAnsi="Times New Roman" w:cs="Times New Roman"/>
        </w:rPr>
        <w:tab/>
      </w:r>
      <w:r w:rsidRPr="00BA642E">
        <w:rPr>
          <w:rFonts w:ascii="Times New Roman" w:hAnsi="Times New Roman" w:cs="Times New Roman"/>
        </w:rPr>
        <w:tab/>
      </w:r>
    </w:p>
    <w:p w14:paraId="5D0841E7" w14:textId="77777777" w:rsidR="00403485" w:rsidRPr="00403485" w:rsidRDefault="00403485" w:rsidP="00403485">
      <w:pPr>
        <w:spacing w:after="0" w:line="240" w:lineRule="auto"/>
        <w:jc w:val="both"/>
        <w:outlineLvl w:val="1"/>
        <w:rPr>
          <w:rFonts w:ascii="Times New Roman" w:eastAsia="Times New Roman" w:hAnsi="Times New Roman" w:cs="Times New Roman"/>
          <w:b/>
          <w:bCs/>
          <w:kern w:val="0"/>
          <w:lang w:val="es-PE" w:eastAsia="es-PE"/>
          <w14:ligatures w14:val="none"/>
        </w:rPr>
      </w:pPr>
      <w:r w:rsidRPr="00403485">
        <w:rPr>
          <w:rFonts w:ascii="Times New Roman" w:eastAsia="Times New Roman" w:hAnsi="Times New Roman" w:cs="Times New Roman"/>
          <w:b/>
          <w:bCs/>
          <w:kern w:val="0"/>
          <w:lang w:val="es-PE" w:eastAsia="es-PE"/>
          <w14:ligatures w14:val="none"/>
        </w:rPr>
        <w:t>Resumen</w:t>
      </w:r>
    </w:p>
    <w:p w14:paraId="7F27474D" w14:textId="77777777" w:rsidR="00403485" w:rsidRDefault="00403485" w:rsidP="00403485">
      <w:pPr>
        <w:spacing w:after="0" w:line="240" w:lineRule="auto"/>
        <w:jc w:val="both"/>
        <w:rPr>
          <w:rFonts w:ascii="Times New Roman" w:eastAsia="Times New Roman" w:hAnsi="Times New Roman" w:cs="Times New Roman"/>
          <w:kern w:val="0"/>
          <w:lang w:val="es-PE" w:eastAsia="es-PE"/>
          <w14:ligatures w14:val="none"/>
        </w:rPr>
      </w:pPr>
    </w:p>
    <w:p w14:paraId="20D52791" w14:textId="58A64EBB" w:rsidR="00403485" w:rsidRPr="00403485" w:rsidRDefault="00403485" w:rsidP="00403485">
      <w:pPr>
        <w:spacing w:after="0" w:line="240" w:lineRule="auto"/>
        <w:jc w:val="both"/>
        <w:rPr>
          <w:rFonts w:ascii="Times New Roman" w:eastAsia="Times New Roman" w:hAnsi="Times New Roman" w:cs="Times New Roman"/>
          <w:kern w:val="0"/>
          <w:lang w:val="es-PE" w:eastAsia="es-PE"/>
          <w14:ligatures w14:val="none"/>
        </w:rPr>
      </w:pPr>
      <w:r w:rsidRPr="00403485">
        <w:rPr>
          <w:rFonts w:ascii="Times New Roman" w:eastAsia="Times New Roman" w:hAnsi="Times New Roman" w:cs="Times New Roman"/>
          <w:kern w:val="0"/>
          <w:lang w:val="es-PE" w:eastAsia="es-PE"/>
          <w14:ligatures w14:val="none"/>
        </w:rPr>
        <w:t xml:space="preserve">La frase “publicar o perecer” no es simplemente una presión laboral: es la síntesis más brutal de un sistema que determina qué conocimiento existe, qué preguntas merecen ser investigadas y qué voces tienen derecho a ser escuchadas en la conversación académica global. Esta discusión plantea una cuestión que la mayoría de los docentes latinoamericanos reconocen en su vida cotidiana, pero que rara vez, si es que alguna vez, articulan rigurosamente en espacios académicos formales: ¿en qué medida los sistemas de evaluación de la investigación basados en </w:t>
      </w:r>
      <w:proofErr w:type="spellStart"/>
      <w:r w:rsidRPr="00403485">
        <w:rPr>
          <w:rFonts w:ascii="Times New Roman" w:eastAsia="Times New Roman" w:hAnsi="Times New Roman" w:cs="Times New Roman"/>
          <w:kern w:val="0"/>
          <w:lang w:val="es-PE" w:eastAsia="es-PE"/>
          <w14:ligatures w14:val="none"/>
        </w:rPr>
        <w:t>Scopus</w:t>
      </w:r>
      <w:proofErr w:type="spellEnd"/>
      <w:r w:rsidRPr="00403485">
        <w:rPr>
          <w:rFonts w:ascii="Times New Roman" w:eastAsia="Times New Roman" w:hAnsi="Times New Roman" w:cs="Times New Roman"/>
          <w:kern w:val="0"/>
          <w:lang w:val="es-PE" w:eastAsia="es-PE"/>
          <w14:ligatures w14:val="none"/>
        </w:rPr>
        <w:t xml:space="preserve">, Web </w:t>
      </w:r>
      <w:proofErr w:type="spellStart"/>
      <w:r w:rsidRPr="00403485">
        <w:rPr>
          <w:rFonts w:ascii="Times New Roman" w:eastAsia="Times New Roman" w:hAnsi="Times New Roman" w:cs="Times New Roman"/>
          <w:kern w:val="0"/>
          <w:lang w:val="es-PE" w:eastAsia="es-PE"/>
          <w14:ligatures w14:val="none"/>
        </w:rPr>
        <w:t>of</w:t>
      </w:r>
      <w:proofErr w:type="spellEnd"/>
      <w:r w:rsidRPr="00403485">
        <w:rPr>
          <w:rFonts w:ascii="Times New Roman" w:eastAsia="Times New Roman" w:hAnsi="Times New Roman" w:cs="Times New Roman"/>
          <w:kern w:val="0"/>
          <w:lang w:val="es-PE" w:eastAsia="es-PE"/>
          <w14:ligatures w14:val="none"/>
        </w:rPr>
        <w:t xml:space="preserve"> </w:t>
      </w:r>
      <w:proofErr w:type="spellStart"/>
      <w:r w:rsidRPr="00403485">
        <w:rPr>
          <w:rFonts w:ascii="Times New Roman" w:eastAsia="Times New Roman" w:hAnsi="Times New Roman" w:cs="Times New Roman"/>
          <w:kern w:val="0"/>
          <w:lang w:val="es-PE" w:eastAsia="es-PE"/>
          <w14:ligatures w14:val="none"/>
        </w:rPr>
        <w:t>Science</w:t>
      </w:r>
      <w:proofErr w:type="spellEnd"/>
      <w:r w:rsidRPr="00403485">
        <w:rPr>
          <w:rFonts w:ascii="Times New Roman" w:eastAsia="Times New Roman" w:hAnsi="Times New Roman" w:cs="Times New Roman"/>
          <w:kern w:val="0"/>
          <w:lang w:val="es-PE" w:eastAsia="es-PE"/>
          <w14:ligatures w14:val="none"/>
        </w:rPr>
        <w:t xml:space="preserve"> y </w:t>
      </w:r>
      <w:proofErr w:type="spellStart"/>
      <w:r w:rsidRPr="00403485">
        <w:rPr>
          <w:rFonts w:ascii="Times New Roman" w:eastAsia="Times New Roman" w:hAnsi="Times New Roman" w:cs="Times New Roman"/>
          <w:kern w:val="0"/>
          <w:lang w:val="es-PE" w:eastAsia="es-PE"/>
          <w14:ligatures w14:val="none"/>
        </w:rPr>
        <w:t>SCImago</w:t>
      </w:r>
      <w:proofErr w:type="spellEnd"/>
      <w:r w:rsidRPr="00403485">
        <w:rPr>
          <w:rFonts w:ascii="Times New Roman" w:eastAsia="Times New Roman" w:hAnsi="Times New Roman" w:cs="Times New Roman"/>
          <w:kern w:val="0"/>
          <w:lang w:val="es-PE" w:eastAsia="es-PE"/>
          <w14:ligatures w14:val="none"/>
        </w:rPr>
        <w:t xml:space="preserve"> operan como dispositivos para reproducir la </w:t>
      </w:r>
      <w:proofErr w:type="spellStart"/>
      <w:r w:rsidRPr="00403485">
        <w:rPr>
          <w:rFonts w:ascii="Times New Roman" w:eastAsia="Times New Roman" w:hAnsi="Times New Roman" w:cs="Times New Roman"/>
          <w:kern w:val="0"/>
          <w:lang w:val="es-PE" w:eastAsia="es-PE"/>
          <w14:ligatures w14:val="none"/>
        </w:rPr>
        <w:t>colonialidad</w:t>
      </w:r>
      <w:proofErr w:type="spellEnd"/>
      <w:r w:rsidRPr="00403485">
        <w:rPr>
          <w:rFonts w:ascii="Times New Roman" w:eastAsia="Times New Roman" w:hAnsi="Times New Roman" w:cs="Times New Roman"/>
          <w:kern w:val="0"/>
          <w:lang w:val="es-PE" w:eastAsia="es-PE"/>
          <w14:ligatures w14:val="none"/>
        </w:rPr>
        <w:t xml:space="preserve"> epistémica en las universidades del Sur Global? Esto se realiza con la ayuda de una reflexión teórico-crítica de naturaleza cualitativa basada en el análisis documental de políticas científicas nacionales y comparativas en América Latina y el examen de datos sobre la asimetría de la producción científica indexada en América Latina, y una revisión sistemática de la literatura relacionada con la epistemología crítica, la geopolítica del conocimiento y la educación superior. El marco conceptual detalla la teoría de la </w:t>
      </w:r>
      <w:proofErr w:type="spellStart"/>
      <w:r w:rsidRPr="00403485">
        <w:rPr>
          <w:rFonts w:ascii="Times New Roman" w:eastAsia="Times New Roman" w:hAnsi="Times New Roman" w:cs="Times New Roman"/>
          <w:kern w:val="0"/>
          <w:lang w:val="es-PE" w:eastAsia="es-PE"/>
          <w14:ligatures w14:val="none"/>
        </w:rPr>
        <w:t>colonialidad</w:t>
      </w:r>
      <w:proofErr w:type="spellEnd"/>
      <w:r w:rsidRPr="00403485">
        <w:rPr>
          <w:rFonts w:ascii="Times New Roman" w:eastAsia="Times New Roman" w:hAnsi="Times New Roman" w:cs="Times New Roman"/>
          <w:kern w:val="0"/>
          <w:lang w:val="es-PE" w:eastAsia="es-PE"/>
          <w14:ligatures w14:val="none"/>
        </w:rPr>
        <w:t xml:space="preserve"> del conocimiento (Quijano, </w:t>
      </w:r>
      <w:proofErr w:type="spellStart"/>
      <w:r w:rsidRPr="00403485">
        <w:rPr>
          <w:rFonts w:ascii="Times New Roman" w:eastAsia="Times New Roman" w:hAnsi="Times New Roman" w:cs="Times New Roman"/>
          <w:kern w:val="0"/>
          <w:lang w:val="es-PE" w:eastAsia="es-PE"/>
          <w14:ligatures w14:val="none"/>
        </w:rPr>
        <w:t>Mignolo</w:t>
      </w:r>
      <w:proofErr w:type="spellEnd"/>
      <w:r w:rsidRPr="00403485">
        <w:rPr>
          <w:rFonts w:ascii="Times New Roman" w:eastAsia="Times New Roman" w:hAnsi="Times New Roman" w:cs="Times New Roman"/>
          <w:kern w:val="0"/>
          <w:lang w:val="es-PE" w:eastAsia="es-PE"/>
          <w14:ligatures w14:val="none"/>
        </w:rPr>
        <w:t xml:space="preserve">, De Sousa Santos), la sociología de las ausencias (De Sousa Santos, 2009), la </w:t>
      </w:r>
      <w:proofErr w:type="spellStart"/>
      <w:r w:rsidRPr="00403485">
        <w:rPr>
          <w:rFonts w:ascii="Times New Roman" w:eastAsia="Times New Roman" w:hAnsi="Times New Roman" w:cs="Times New Roman"/>
          <w:kern w:val="0"/>
          <w:lang w:val="es-PE" w:eastAsia="es-PE"/>
          <w14:ligatures w14:val="none"/>
        </w:rPr>
        <w:t>monocultura</w:t>
      </w:r>
      <w:proofErr w:type="spellEnd"/>
      <w:r w:rsidRPr="00403485">
        <w:rPr>
          <w:rFonts w:ascii="Times New Roman" w:eastAsia="Times New Roman" w:hAnsi="Times New Roman" w:cs="Times New Roman"/>
          <w:kern w:val="0"/>
          <w:lang w:val="es-PE" w:eastAsia="es-PE"/>
          <w14:ligatures w14:val="none"/>
        </w:rPr>
        <w:t xml:space="preserve"> del rigor científico como </w:t>
      </w:r>
      <w:proofErr w:type="spellStart"/>
      <w:r w:rsidRPr="00403485">
        <w:rPr>
          <w:rFonts w:ascii="Times New Roman" w:eastAsia="Times New Roman" w:hAnsi="Times New Roman" w:cs="Times New Roman"/>
          <w:kern w:val="0"/>
          <w:lang w:val="es-PE" w:eastAsia="es-PE"/>
          <w14:ligatures w14:val="none"/>
        </w:rPr>
        <w:t>epistemicidio</w:t>
      </w:r>
      <w:proofErr w:type="spellEnd"/>
      <w:r w:rsidRPr="00403485">
        <w:rPr>
          <w:rFonts w:ascii="Times New Roman" w:eastAsia="Times New Roman" w:hAnsi="Times New Roman" w:cs="Times New Roman"/>
          <w:kern w:val="0"/>
          <w:lang w:val="es-PE" w:eastAsia="es-PE"/>
          <w14:ligatures w14:val="none"/>
        </w:rPr>
        <w:t xml:space="preserve"> y la crítica de las métricas académicas y las infraestructuras de visibilidad científica. La presentación organiza el argumento a lo largo de tres ejes: el primero es que los criterios de indexación y los sistemas de incentivos asociados a la publicación no son instrumentos neutrales de medición de calidad, sino infraestructuras geopolíticas que disciplinan la agenda de investigación dentro de las universidades periféricas, transfiriendo problemas territorialmente relevantes a preguntas exportables al mercado académico del norte global; el segundo, la agenda de investigación asumiendo consecuencias institucionales y subjetivas de las universidades regionales con impacto local (la Universidad Tecnológica de los Andes (Apurímac) y la Universidad Nacional de San Antonio Abad del Cusco), donde la presión por escribir en revistas indexadas se encuentra con la falta de recursos, barreras idiomáticas y la irrelevancia local del formato requerido, y la tercera </w:t>
      </w:r>
      <w:r w:rsidRPr="00403485">
        <w:rPr>
          <w:rFonts w:ascii="Times New Roman" w:eastAsia="Times New Roman" w:hAnsi="Times New Roman" w:cs="Times New Roman"/>
          <w:kern w:val="0"/>
          <w:lang w:val="es-PE" w:eastAsia="es-PE"/>
          <w14:ligatures w14:val="none"/>
        </w:rPr>
        <w:lastRenderedPageBreak/>
        <w:t>exploración es donde la investigación territorialmente pertinente, como contrapeso epistemológico y político a la racionalidad del índice y las prácticas de producción de conocimiento, se recupera en el contexto de las comunidades andinas donde los límites de las instituciones de conocimiento establecidas y dominantes se han roto. Como describe la presentación, la controversia sobre el uso de la investigación no es simplemente una cuestión de toma de decisiones técnicas o administrativas: es una lucha política sobre qué se considera conocimiento, quién tiene el derecho de producir conocimiento y para qué sociedad es útil servir. Esta lucha emerge como uno de los desafíos más activos y no resueltos que enfrenta la universidad latinoamericana en tiempos de crisis global.</w:t>
      </w:r>
    </w:p>
    <w:p w14:paraId="2C5BA7B0" w14:textId="77777777" w:rsidR="00403485" w:rsidRPr="00403485" w:rsidRDefault="00403485" w:rsidP="00403485">
      <w:pPr>
        <w:spacing w:after="0" w:line="240" w:lineRule="auto"/>
        <w:jc w:val="both"/>
        <w:rPr>
          <w:rFonts w:ascii="Times New Roman" w:eastAsia="Times New Roman" w:hAnsi="Times New Roman" w:cs="Times New Roman"/>
          <w:kern w:val="0"/>
          <w:lang w:val="es-PE" w:eastAsia="es-PE"/>
          <w14:ligatures w14:val="none"/>
        </w:rPr>
      </w:pPr>
      <w:r w:rsidRPr="00403485">
        <w:rPr>
          <w:rFonts w:ascii="Times New Roman" w:eastAsia="Times New Roman" w:hAnsi="Times New Roman" w:cs="Times New Roman"/>
          <w:b/>
          <w:bCs/>
          <w:kern w:val="0"/>
          <w:lang w:val="es-PE" w:eastAsia="es-PE"/>
          <w14:ligatures w14:val="none"/>
        </w:rPr>
        <w:t>Palabras clave:</w:t>
      </w:r>
      <w:r w:rsidRPr="00403485">
        <w:rPr>
          <w:rFonts w:ascii="Times New Roman" w:eastAsia="Times New Roman" w:hAnsi="Times New Roman" w:cs="Times New Roman"/>
          <w:kern w:val="0"/>
          <w:lang w:val="es-PE" w:eastAsia="es-PE"/>
          <w14:ligatures w14:val="none"/>
        </w:rPr>
        <w:t xml:space="preserve"> </w:t>
      </w:r>
      <w:proofErr w:type="spellStart"/>
      <w:r w:rsidRPr="00403485">
        <w:rPr>
          <w:rFonts w:ascii="Times New Roman" w:eastAsia="Times New Roman" w:hAnsi="Times New Roman" w:cs="Times New Roman"/>
          <w:kern w:val="0"/>
          <w:lang w:val="es-PE" w:eastAsia="es-PE"/>
          <w14:ligatures w14:val="none"/>
        </w:rPr>
        <w:t>colonialidad</w:t>
      </w:r>
      <w:proofErr w:type="spellEnd"/>
      <w:r w:rsidRPr="00403485">
        <w:rPr>
          <w:rFonts w:ascii="Times New Roman" w:eastAsia="Times New Roman" w:hAnsi="Times New Roman" w:cs="Times New Roman"/>
          <w:kern w:val="0"/>
          <w:lang w:val="es-PE" w:eastAsia="es-PE"/>
          <w14:ligatures w14:val="none"/>
        </w:rPr>
        <w:t xml:space="preserve"> epistémica, índices de impacto académico, geopolítica del conocimiento, investigación territorialmente pertinente, universidad latinoamericana.</w:t>
      </w:r>
    </w:p>
    <w:p w14:paraId="17FE3E20" w14:textId="77777777" w:rsidR="00403485" w:rsidRDefault="00403485" w:rsidP="007B5B5F">
      <w:pPr>
        <w:spacing w:line="240" w:lineRule="auto"/>
        <w:rPr>
          <w:rFonts w:ascii="Times New Roman" w:hAnsi="Times New Roman" w:cs="Times New Roman"/>
          <w:b/>
          <w:bCs/>
        </w:rPr>
      </w:pPr>
    </w:p>
    <w:p w14:paraId="6A5547A1" w14:textId="529778B3" w:rsidR="00BA642E" w:rsidRPr="007B5B5F" w:rsidRDefault="00BA642E" w:rsidP="007B5B5F">
      <w:pPr>
        <w:spacing w:line="240" w:lineRule="auto"/>
        <w:rPr>
          <w:rFonts w:ascii="Times New Roman" w:hAnsi="Times New Roman" w:cs="Times New Roman"/>
          <w:b/>
          <w:bCs/>
        </w:rPr>
      </w:pPr>
      <w:r w:rsidRPr="007B5B5F">
        <w:rPr>
          <w:rFonts w:ascii="Times New Roman" w:hAnsi="Times New Roman" w:cs="Times New Roman"/>
          <w:b/>
          <w:bCs/>
        </w:rPr>
        <w:t>Introducción</w:t>
      </w:r>
    </w:p>
    <w:p w14:paraId="01FE19B1" w14:textId="77777777" w:rsidR="00403485" w:rsidRPr="00403485" w:rsidRDefault="00403485" w:rsidP="00403485">
      <w:pPr>
        <w:spacing w:after="0" w:line="240" w:lineRule="auto"/>
        <w:jc w:val="both"/>
        <w:rPr>
          <w:rFonts w:ascii="Times New Roman" w:eastAsia="Times New Roman" w:hAnsi="Times New Roman" w:cs="Times New Roman"/>
          <w:kern w:val="0"/>
          <w:lang w:val="es-PE" w:eastAsia="es-PE"/>
          <w14:ligatures w14:val="none"/>
        </w:rPr>
      </w:pPr>
      <w:r w:rsidRPr="00403485">
        <w:rPr>
          <w:rFonts w:ascii="Times New Roman" w:eastAsia="Times New Roman" w:hAnsi="Times New Roman" w:cs="Times New Roman"/>
          <w:kern w:val="0"/>
          <w:lang w:val="es-PE" w:eastAsia="es-PE"/>
          <w14:ligatures w14:val="none"/>
        </w:rPr>
        <w:t xml:space="preserve">La universidad latinoamericana enfrenta una de las tensiones más profundas de sus tiempos recientes: una que surge de la misión social para la cual la institución fue concebida — educar ciudadanos, proporcionarles conocimiento relevante y contribuir al desarrollo de sus sociedades — frente a las demandas de un sistema global de evaluación científica, cuyo valor se mide en publicaciones indexadas, tasas de citación y posición en rankings globales. Esta tensión no es nueva y se ha agudizado en los últimos 20 años a medida que los sistemas nacionales de ciencia y tecnología de la región han adoptado — ya sea por entusiasmo o coerción — los parámetros de medición del mercado académico anglosajón como referentes válidos de excelencia en la investigación. La expresión “publicar o perecer” cristaliza de manera efectiva esta dinámica. Originada en las universidades de investigación estadounidenses de mediados del siglo XX, la expresión se ha extendido como un cierto imperativo categórico de la vida académica global. Publicar en revistas indexadas en </w:t>
      </w:r>
      <w:proofErr w:type="spellStart"/>
      <w:r w:rsidRPr="00403485">
        <w:rPr>
          <w:rFonts w:ascii="Times New Roman" w:eastAsia="Times New Roman" w:hAnsi="Times New Roman" w:cs="Times New Roman"/>
          <w:kern w:val="0"/>
          <w:lang w:val="es-PE" w:eastAsia="es-PE"/>
          <w14:ligatures w14:val="none"/>
        </w:rPr>
        <w:t>Scopus</w:t>
      </w:r>
      <w:proofErr w:type="spellEnd"/>
      <w:r w:rsidRPr="00403485">
        <w:rPr>
          <w:rFonts w:ascii="Times New Roman" w:eastAsia="Times New Roman" w:hAnsi="Times New Roman" w:cs="Times New Roman"/>
          <w:kern w:val="0"/>
          <w:lang w:val="es-PE" w:eastAsia="es-PE"/>
          <w14:ligatures w14:val="none"/>
        </w:rPr>
        <w:t xml:space="preserve"> o Web </w:t>
      </w:r>
      <w:proofErr w:type="spellStart"/>
      <w:r w:rsidRPr="00403485">
        <w:rPr>
          <w:rFonts w:ascii="Times New Roman" w:eastAsia="Times New Roman" w:hAnsi="Times New Roman" w:cs="Times New Roman"/>
          <w:kern w:val="0"/>
          <w:lang w:val="es-PE" w:eastAsia="es-PE"/>
          <w14:ligatures w14:val="none"/>
        </w:rPr>
        <w:t>of</w:t>
      </w:r>
      <w:proofErr w:type="spellEnd"/>
      <w:r w:rsidRPr="00403485">
        <w:rPr>
          <w:rFonts w:ascii="Times New Roman" w:eastAsia="Times New Roman" w:hAnsi="Times New Roman" w:cs="Times New Roman"/>
          <w:kern w:val="0"/>
          <w:lang w:val="es-PE" w:eastAsia="es-PE"/>
          <w14:ligatures w14:val="none"/>
        </w:rPr>
        <w:t xml:space="preserve"> </w:t>
      </w:r>
      <w:proofErr w:type="spellStart"/>
      <w:r w:rsidRPr="00403485">
        <w:rPr>
          <w:rFonts w:ascii="Times New Roman" w:eastAsia="Times New Roman" w:hAnsi="Times New Roman" w:cs="Times New Roman"/>
          <w:kern w:val="0"/>
          <w:lang w:val="es-PE" w:eastAsia="es-PE"/>
          <w14:ligatures w14:val="none"/>
        </w:rPr>
        <w:t>Science</w:t>
      </w:r>
      <w:proofErr w:type="spellEnd"/>
      <w:r w:rsidRPr="00403485">
        <w:rPr>
          <w:rFonts w:ascii="Times New Roman" w:eastAsia="Times New Roman" w:hAnsi="Times New Roman" w:cs="Times New Roman"/>
          <w:kern w:val="0"/>
          <w:lang w:val="es-PE" w:eastAsia="es-PE"/>
          <w14:ligatures w14:val="none"/>
        </w:rPr>
        <w:t xml:space="preserve">, preferiblemente en los cuartiles Q1 o Q2, se ha convertido en una condición necesaria, aunque no siempre suficiente, para asegurar financiamiento, obtener categorías docentes, organizar trayectorias de investigación o incluso asegurar la continuidad laboral. Para los docentes-investigadores que trabajan en universidades periféricas de América Latina, este imperativo se convierte en un vector adicional de violencia simbólica: como si además de la necesidad de publicar, realmente debiera publicarse en inglés, sobre temas que son considerados importantes por el mercado académico global y que deben escribirse en formatos estandarizados que invisibilizan el conocimiento local, los métodos situados y los problemas territorialmente urgentes. Aquí consideraremos los índices de publicación de base internacional — </w:t>
      </w:r>
      <w:proofErr w:type="spellStart"/>
      <w:r w:rsidRPr="00403485">
        <w:rPr>
          <w:rFonts w:ascii="Times New Roman" w:eastAsia="Times New Roman" w:hAnsi="Times New Roman" w:cs="Times New Roman"/>
          <w:kern w:val="0"/>
          <w:lang w:val="es-PE" w:eastAsia="es-PE"/>
          <w14:ligatures w14:val="none"/>
        </w:rPr>
        <w:t>Scopus</w:t>
      </w:r>
      <w:proofErr w:type="spellEnd"/>
      <w:r w:rsidRPr="00403485">
        <w:rPr>
          <w:rFonts w:ascii="Times New Roman" w:eastAsia="Times New Roman" w:hAnsi="Times New Roman" w:cs="Times New Roman"/>
          <w:kern w:val="0"/>
          <w:lang w:val="es-PE" w:eastAsia="es-PE"/>
          <w14:ligatures w14:val="none"/>
        </w:rPr>
        <w:t xml:space="preserve">, Web </w:t>
      </w:r>
      <w:proofErr w:type="spellStart"/>
      <w:r w:rsidRPr="00403485">
        <w:rPr>
          <w:rFonts w:ascii="Times New Roman" w:eastAsia="Times New Roman" w:hAnsi="Times New Roman" w:cs="Times New Roman"/>
          <w:kern w:val="0"/>
          <w:lang w:val="es-PE" w:eastAsia="es-PE"/>
          <w14:ligatures w14:val="none"/>
        </w:rPr>
        <w:t>of</w:t>
      </w:r>
      <w:proofErr w:type="spellEnd"/>
      <w:r w:rsidRPr="00403485">
        <w:rPr>
          <w:rFonts w:ascii="Times New Roman" w:eastAsia="Times New Roman" w:hAnsi="Times New Roman" w:cs="Times New Roman"/>
          <w:kern w:val="0"/>
          <w:lang w:val="es-PE" w:eastAsia="es-PE"/>
          <w14:ligatures w14:val="none"/>
        </w:rPr>
        <w:t xml:space="preserve"> </w:t>
      </w:r>
      <w:proofErr w:type="spellStart"/>
      <w:r w:rsidRPr="00403485">
        <w:rPr>
          <w:rFonts w:ascii="Times New Roman" w:eastAsia="Times New Roman" w:hAnsi="Times New Roman" w:cs="Times New Roman"/>
          <w:kern w:val="0"/>
          <w:lang w:val="es-PE" w:eastAsia="es-PE"/>
          <w14:ligatures w14:val="none"/>
        </w:rPr>
        <w:t>Science</w:t>
      </w:r>
      <w:proofErr w:type="spellEnd"/>
      <w:r w:rsidRPr="00403485">
        <w:rPr>
          <w:rFonts w:ascii="Times New Roman" w:eastAsia="Times New Roman" w:hAnsi="Times New Roman" w:cs="Times New Roman"/>
          <w:kern w:val="0"/>
          <w:lang w:val="es-PE" w:eastAsia="es-PE"/>
          <w14:ligatures w14:val="none"/>
        </w:rPr>
        <w:t xml:space="preserve">, </w:t>
      </w:r>
      <w:proofErr w:type="spellStart"/>
      <w:r w:rsidRPr="00403485">
        <w:rPr>
          <w:rFonts w:ascii="Times New Roman" w:eastAsia="Times New Roman" w:hAnsi="Times New Roman" w:cs="Times New Roman"/>
          <w:kern w:val="0"/>
          <w:lang w:val="es-PE" w:eastAsia="es-PE"/>
          <w14:ligatures w14:val="none"/>
        </w:rPr>
        <w:t>SCImago</w:t>
      </w:r>
      <w:proofErr w:type="spellEnd"/>
      <w:r w:rsidRPr="00403485">
        <w:rPr>
          <w:rFonts w:ascii="Times New Roman" w:eastAsia="Times New Roman" w:hAnsi="Times New Roman" w:cs="Times New Roman"/>
          <w:kern w:val="0"/>
          <w:lang w:val="es-PE" w:eastAsia="es-PE"/>
          <w14:ligatures w14:val="none"/>
        </w:rPr>
        <w:t xml:space="preserve">, entre los más relevantes — y la producción y difusión del conocimiento científico en la academia latinoamericana. </w:t>
      </w:r>
    </w:p>
    <w:p w14:paraId="0C2C40EB" w14:textId="77777777" w:rsidR="00403485" w:rsidRPr="00403485" w:rsidRDefault="00403485" w:rsidP="00403485">
      <w:pPr>
        <w:spacing w:after="0" w:line="240" w:lineRule="auto"/>
        <w:jc w:val="both"/>
        <w:rPr>
          <w:rFonts w:ascii="Times New Roman" w:eastAsia="Times New Roman" w:hAnsi="Times New Roman" w:cs="Times New Roman"/>
          <w:kern w:val="0"/>
          <w:lang w:val="es-PE" w:eastAsia="es-PE"/>
          <w14:ligatures w14:val="none"/>
        </w:rPr>
      </w:pPr>
      <w:r w:rsidRPr="00403485">
        <w:rPr>
          <w:rFonts w:ascii="Times New Roman" w:eastAsia="Times New Roman" w:hAnsi="Times New Roman" w:cs="Times New Roman"/>
          <w:kern w:val="0"/>
          <w:lang w:val="es-PE" w:eastAsia="es-PE"/>
          <w14:ligatures w14:val="none"/>
        </w:rPr>
        <w:t xml:space="preserve">Este documento se ocupa de cómo estos índices influyen en las implicaciones epistemológicas, institucionales y subjetivas en el caso de alta vulnerabilidad académica, por ejemplo: universidades regionales como la Universidad Tecnológica de los Andes (UTEA, Apurímac) o la Universidad Nacional de San Antonio Abad del Cusco (UNSAAC). La idea central es que estos índices no son meros “músculos” inactivos por los cuales se mide la calidad científica, sino que de hecho reproducen una </w:t>
      </w:r>
      <w:proofErr w:type="spellStart"/>
      <w:r w:rsidRPr="00403485">
        <w:rPr>
          <w:rFonts w:ascii="Times New Roman" w:eastAsia="Times New Roman" w:hAnsi="Times New Roman" w:cs="Times New Roman"/>
          <w:kern w:val="0"/>
          <w:lang w:val="es-PE" w:eastAsia="es-PE"/>
          <w14:ligatures w14:val="none"/>
        </w:rPr>
        <w:t>colonialidad</w:t>
      </w:r>
      <w:proofErr w:type="spellEnd"/>
      <w:r w:rsidRPr="00403485">
        <w:rPr>
          <w:rFonts w:ascii="Times New Roman" w:eastAsia="Times New Roman" w:hAnsi="Times New Roman" w:cs="Times New Roman"/>
          <w:kern w:val="0"/>
          <w:lang w:val="es-PE" w:eastAsia="es-PE"/>
          <w14:ligatures w14:val="none"/>
        </w:rPr>
        <w:t xml:space="preserve"> </w:t>
      </w:r>
      <w:r w:rsidRPr="00403485">
        <w:rPr>
          <w:rFonts w:ascii="Times New Roman" w:eastAsia="Times New Roman" w:hAnsi="Times New Roman" w:cs="Times New Roman"/>
          <w:kern w:val="0"/>
          <w:lang w:val="es-PE" w:eastAsia="es-PE"/>
          <w14:ligatures w14:val="none"/>
        </w:rPr>
        <w:lastRenderedPageBreak/>
        <w:t>epistémica en la que formas de conocimiento que, al definir lo que es legítimo y lo que se oculta en las sombras, ayudan a construir sistemas de conocimiento y sistemas de dominación global basados en la geopolítica en la que el Sur Global es sistemáticamente oprimido. Hay tres modelos argumentativos principales sobre los cuales se basa esta investigación. En primer lugar, explora los procesos mediante los cuales los sistemas de clasificación e indexación se utilizan para construir y reinscribir jerarquías epistémicas globales que regulan los modos de investigación de las universidades periféricas. En segundo lugar, analiza las consecuencias materiales de esta lógica para las condiciones de producción científica en las universidades de las naciones latinoamericanas, con un enfoque en cómo la naturaleza de la inequidad estructural se manifiesta a través de las instituciones en los territorios andinos. Tercero, explora la investigación territorialmente relevante como un horizonte epistemológico y político alternativo a la racionalidad hegemónica del índice. El artículo concluye con una reflexión sobre la naturaleza eminentemente política de la controversia sobre los sistemas de evaluación científica en América Latina.</w:t>
      </w:r>
    </w:p>
    <w:p w14:paraId="45AB1245" w14:textId="77777777" w:rsidR="00403485" w:rsidRDefault="00403485" w:rsidP="007B5B5F">
      <w:pPr>
        <w:spacing w:line="240" w:lineRule="auto"/>
        <w:rPr>
          <w:rFonts w:ascii="Times New Roman" w:hAnsi="Times New Roman" w:cs="Times New Roman"/>
          <w:b/>
          <w:bCs/>
        </w:rPr>
      </w:pPr>
    </w:p>
    <w:p w14:paraId="2FD138AD" w14:textId="48B0E76D"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Desarrollo</w:t>
      </w:r>
    </w:p>
    <w:p w14:paraId="55519D57" w14:textId="77777777" w:rsidR="00F827D7" w:rsidRPr="00F827D7" w:rsidRDefault="00F827D7" w:rsidP="00F827D7">
      <w:pPr>
        <w:spacing w:line="240" w:lineRule="auto"/>
        <w:jc w:val="both"/>
        <w:rPr>
          <w:rFonts w:ascii="Times New Roman" w:hAnsi="Times New Roman" w:cs="Times New Roman"/>
          <w:b/>
          <w:bCs/>
          <w:lang w:val="es-PE"/>
        </w:rPr>
      </w:pPr>
      <w:r w:rsidRPr="00F827D7">
        <w:rPr>
          <w:rFonts w:ascii="Times New Roman" w:hAnsi="Times New Roman" w:cs="Times New Roman"/>
          <w:b/>
          <w:bCs/>
          <w:lang w:val="es-PE"/>
        </w:rPr>
        <w:t>Marco Teórico y Antecedentes</w:t>
      </w:r>
    </w:p>
    <w:p w14:paraId="370DEA7F"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b/>
          <w:bCs/>
          <w:lang w:val="es-PE"/>
        </w:rPr>
        <w:t xml:space="preserve">La </w:t>
      </w:r>
      <w:proofErr w:type="spellStart"/>
      <w:r w:rsidRPr="00F827D7">
        <w:rPr>
          <w:rFonts w:ascii="Times New Roman" w:hAnsi="Times New Roman" w:cs="Times New Roman"/>
          <w:b/>
          <w:bCs/>
          <w:lang w:val="es-PE"/>
        </w:rPr>
        <w:t>colonialidad</w:t>
      </w:r>
      <w:proofErr w:type="spellEnd"/>
      <w:r w:rsidRPr="00F827D7">
        <w:rPr>
          <w:rFonts w:ascii="Times New Roman" w:hAnsi="Times New Roman" w:cs="Times New Roman"/>
          <w:b/>
          <w:bCs/>
          <w:lang w:val="es-PE"/>
        </w:rPr>
        <w:t xml:space="preserve"> del saber y la geopolítica del conocimiento</w:t>
      </w:r>
    </w:p>
    <w:p w14:paraId="2BE9E673"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Al examinar la asociación entre los índices de publicación internacional y la producción científica en América Latina, se debe buscar una tradición teórica arraigada en una consideración exhaustiva del aspecto epistémico de la </w:t>
      </w:r>
      <w:proofErr w:type="spellStart"/>
      <w:r w:rsidRPr="00F827D7">
        <w:rPr>
          <w:rFonts w:ascii="Times New Roman" w:hAnsi="Times New Roman" w:cs="Times New Roman"/>
          <w:lang w:val="es-PE"/>
        </w:rPr>
        <w:t>colonialidad</w:t>
      </w:r>
      <w:proofErr w:type="spellEnd"/>
      <w:r w:rsidRPr="00F827D7">
        <w:rPr>
          <w:rFonts w:ascii="Times New Roman" w:hAnsi="Times New Roman" w:cs="Times New Roman"/>
          <w:lang w:val="es-PE"/>
        </w:rPr>
        <w:t xml:space="preserve">. Quijano (2000) describió lo que llamó la </w:t>
      </w:r>
      <w:proofErr w:type="spellStart"/>
      <w:r w:rsidRPr="00F827D7">
        <w:rPr>
          <w:rFonts w:ascii="Times New Roman" w:hAnsi="Times New Roman" w:cs="Times New Roman"/>
          <w:lang w:val="es-PE"/>
        </w:rPr>
        <w:t>colonialidad</w:t>
      </w:r>
      <w:proofErr w:type="spellEnd"/>
      <w:r w:rsidRPr="00F827D7">
        <w:rPr>
          <w:rFonts w:ascii="Times New Roman" w:hAnsi="Times New Roman" w:cs="Times New Roman"/>
          <w:lang w:val="es-PE"/>
        </w:rPr>
        <w:t xml:space="preserve"> del poder y, a partir de esto, llevó la noción al ámbito del conocimiento, a través de la lente de la </w:t>
      </w:r>
      <w:proofErr w:type="spellStart"/>
      <w:r w:rsidRPr="00F827D7">
        <w:rPr>
          <w:rFonts w:ascii="Times New Roman" w:hAnsi="Times New Roman" w:cs="Times New Roman"/>
          <w:lang w:val="es-PE"/>
        </w:rPr>
        <w:t>colonialidad</w:t>
      </w:r>
      <w:proofErr w:type="spellEnd"/>
      <w:r w:rsidRPr="00F827D7">
        <w:rPr>
          <w:rFonts w:ascii="Times New Roman" w:hAnsi="Times New Roman" w:cs="Times New Roman"/>
          <w:lang w:val="es-PE"/>
        </w:rPr>
        <w:t xml:space="preserve"> del saber (</w:t>
      </w:r>
      <w:proofErr w:type="spellStart"/>
      <w:r w:rsidRPr="00F827D7">
        <w:rPr>
          <w:rFonts w:ascii="Times New Roman" w:hAnsi="Times New Roman" w:cs="Times New Roman"/>
          <w:lang w:val="es-PE"/>
        </w:rPr>
        <w:t>Mignolo</w:t>
      </w:r>
      <w:proofErr w:type="spellEnd"/>
      <w:r w:rsidRPr="00F827D7">
        <w:rPr>
          <w:rFonts w:ascii="Times New Roman" w:hAnsi="Times New Roman" w:cs="Times New Roman"/>
          <w:lang w:val="es-PE"/>
        </w:rPr>
        <w:t xml:space="preserve">, 2009; De Sousa Santos, 2009), lo que nos muestra que las estructuras de dominación de la era colonial no desaparecieron con la independencia política de los países latinoamericanos, sino que se reprodujeron y mutaron en formas nuevas y distintivas de </w:t>
      </w:r>
      <w:proofErr w:type="spellStart"/>
      <w:r w:rsidRPr="00F827D7">
        <w:rPr>
          <w:rFonts w:ascii="Times New Roman" w:hAnsi="Times New Roman" w:cs="Times New Roman"/>
          <w:lang w:val="es-PE"/>
        </w:rPr>
        <w:t>subalternización</w:t>
      </w:r>
      <w:proofErr w:type="spellEnd"/>
      <w:r w:rsidRPr="00F827D7">
        <w:rPr>
          <w:rFonts w:ascii="Times New Roman" w:hAnsi="Times New Roman" w:cs="Times New Roman"/>
          <w:lang w:val="es-PE"/>
        </w:rPr>
        <w:t xml:space="preserve">, incluida la </w:t>
      </w:r>
      <w:proofErr w:type="spellStart"/>
      <w:r w:rsidRPr="00F827D7">
        <w:rPr>
          <w:rFonts w:ascii="Times New Roman" w:hAnsi="Times New Roman" w:cs="Times New Roman"/>
          <w:lang w:val="es-PE"/>
        </w:rPr>
        <w:t>subalternización</w:t>
      </w:r>
      <w:proofErr w:type="spellEnd"/>
      <w:r w:rsidRPr="00F827D7">
        <w:rPr>
          <w:rFonts w:ascii="Times New Roman" w:hAnsi="Times New Roman" w:cs="Times New Roman"/>
          <w:lang w:val="es-PE"/>
        </w:rPr>
        <w:t xml:space="preserve"> epistemológica.</w:t>
      </w:r>
    </w:p>
    <w:p w14:paraId="473A9B39"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La </w:t>
      </w:r>
      <w:proofErr w:type="spellStart"/>
      <w:r w:rsidRPr="00F827D7">
        <w:rPr>
          <w:rFonts w:ascii="Times New Roman" w:hAnsi="Times New Roman" w:cs="Times New Roman"/>
          <w:lang w:val="es-PE"/>
        </w:rPr>
        <w:t>colonialidad</w:t>
      </w:r>
      <w:proofErr w:type="spellEnd"/>
      <w:r w:rsidRPr="00F827D7">
        <w:rPr>
          <w:rFonts w:ascii="Times New Roman" w:hAnsi="Times New Roman" w:cs="Times New Roman"/>
          <w:lang w:val="es-PE"/>
        </w:rPr>
        <w:t xml:space="preserve"> del conocimiento se constituye al establecer una jerarquía: el conocimiento producido en el Norte Global, principalmente en Europa Occidental y los Estados Unidos, se reclama como universal, objetivo y científicamente válido; el conocimiento producido en el Sur Global es local, particular, </w:t>
      </w:r>
      <w:proofErr w:type="spellStart"/>
      <w:r w:rsidRPr="00F827D7">
        <w:rPr>
          <w:rFonts w:ascii="Times New Roman" w:hAnsi="Times New Roman" w:cs="Times New Roman"/>
          <w:lang w:val="es-PE"/>
        </w:rPr>
        <w:t>pre-científico</w:t>
      </w:r>
      <w:proofErr w:type="spellEnd"/>
      <w:r w:rsidRPr="00F827D7">
        <w:rPr>
          <w:rFonts w:ascii="Times New Roman" w:hAnsi="Times New Roman" w:cs="Times New Roman"/>
          <w:lang w:val="es-PE"/>
        </w:rPr>
        <w:t xml:space="preserve"> o no directamente relevante para el discurso académico global. Esta jerarquía no se debe a que seamos inherentemente más rigurosos o profundos o menos rigurosos en nuestros enfoques del conocimiento (sino porque las instituciones, revistas, idiomas y metodologías están en diferentes escalas en relación con el poder, lo que hace o deshace los circuitos de legitimación y difusión) (</w:t>
      </w:r>
      <w:proofErr w:type="spellStart"/>
      <w:r w:rsidRPr="00F827D7">
        <w:rPr>
          <w:rFonts w:ascii="Times New Roman" w:hAnsi="Times New Roman" w:cs="Times New Roman"/>
          <w:lang w:val="es-PE"/>
        </w:rPr>
        <w:t>Beigel</w:t>
      </w:r>
      <w:proofErr w:type="spellEnd"/>
      <w:r w:rsidRPr="00F827D7">
        <w:rPr>
          <w:rFonts w:ascii="Times New Roman" w:hAnsi="Times New Roman" w:cs="Times New Roman"/>
          <w:lang w:val="es-PE"/>
        </w:rPr>
        <w:t xml:space="preserve">, 2021). De Sousa Santos (2009) ha denominado a este fenómeno la sociología de las ausencias: la práctica mediante la cual el pensamiento moderno-occidental produce un gran número de ejemplos de ausencia del pensamiento actual que no encajan en su definición de ser válido. Uno de los tipos más poderosos de creación de ausencias es lo que el autor denomina la </w:t>
      </w:r>
      <w:proofErr w:type="spellStart"/>
      <w:r w:rsidRPr="00F827D7">
        <w:rPr>
          <w:rFonts w:ascii="Times New Roman" w:hAnsi="Times New Roman" w:cs="Times New Roman"/>
          <w:lang w:val="es-PE"/>
        </w:rPr>
        <w:t>monocultura</w:t>
      </w:r>
      <w:proofErr w:type="spellEnd"/>
      <w:r w:rsidRPr="00F827D7">
        <w:rPr>
          <w:rFonts w:ascii="Times New Roman" w:hAnsi="Times New Roman" w:cs="Times New Roman"/>
          <w:lang w:val="es-PE"/>
        </w:rPr>
        <w:t xml:space="preserve"> del rigor: la reducción de todas las demás formas de conocimiento legítimo al conocimiento </w:t>
      </w:r>
      <w:r w:rsidRPr="00F827D7">
        <w:rPr>
          <w:rFonts w:ascii="Times New Roman" w:hAnsi="Times New Roman" w:cs="Times New Roman"/>
          <w:lang w:val="es-PE"/>
        </w:rPr>
        <w:lastRenderedPageBreak/>
        <w:t xml:space="preserve">científico moderno, y sus requisitos de cuantificación, replicabilidad, publicación en inglés y validación por comunidades epistémicas del Norte Global. En este sentido, los índices de publicación internacional pueden leerse como la infraestructura física de la </w:t>
      </w:r>
      <w:proofErr w:type="spellStart"/>
      <w:r w:rsidRPr="00F827D7">
        <w:rPr>
          <w:rFonts w:ascii="Times New Roman" w:hAnsi="Times New Roman" w:cs="Times New Roman"/>
          <w:lang w:val="es-PE"/>
        </w:rPr>
        <w:t>monocultura</w:t>
      </w:r>
      <w:proofErr w:type="spellEnd"/>
      <w:r w:rsidRPr="00F827D7">
        <w:rPr>
          <w:rFonts w:ascii="Times New Roman" w:hAnsi="Times New Roman" w:cs="Times New Roman"/>
          <w:lang w:val="es-PE"/>
        </w:rPr>
        <w:t xml:space="preserve"> del rigor: los aparatos técnicos a través de los cuales la lógica metodológica de la jerarquía epistémica global se hace efectiva en la práctica para la experiencia cotidiana de los científicos.</w:t>
      </w:r>
    </w:p>
    <w:p w14:paraId="2E61C48E"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b/>
          <w:bCs/>
          <w:lang w:val="es-PE"/>
        </w:rPr>
        <w:t>Los índices internacionales como infraestructuras geopolíticas</w:t>
      </w:r>
    </w:p>
    <w:p w14:paraId="77BE562C"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La literatura especializada ha señalado cada vez más cómo los sistemas de clasificación y los índices de publicación reproducen y magnifican las asimetrías preexistentes de la producción científica entre el Norte y el Sur Global. Torres-Samuel et al. (2019), por ejemplo, realizaron una comparación de las 50 principales universidades latinoamericanas clasificadas por SIR, QS, ARWU y </w:t>
      </w:r>
      <w:proofErr w:type="spellStart"/>
      <w:r w:rsidRPr="00F827D7">
        <w:rPr>
          <w:rFonts w:ascii="Times New Roman" w:hAnsi="Times New Roman" w:cs="Times New Roman"/>
          <w:lang w:val="es-PE"/>
        </w:rPr>
        <w:t>Webometrics</w:t>
      </w:r>
      <w:proofErr w:type="spellEnd"/>
      <w:r w:rsidRPr="00F827D7">
        <w:rPr>
          <w:rFonts w:ascii="Times New Roman" w:hAnsi="Times New Roman" w:cs="Times New Roman"/>
          <w:lang w:val="es-PE"/>
        </w:rPr>
        <w:t xml:space="preserve">, y encontraron que la producción indexada se concentra en cinco países: Brasil, Chile, México, Argentina y Colombia, que en conjunto albergan al 90% de las universidades de mejor desempeño en la región. Además, existen disparidades significativas en la disponibilidad de recursos, políticas científicas nacionales e integración de las universidades en redes de colaboración académica global. </w:t>
      </w:r>
      <w:proofErr w:type="spellStart"/>
      <w:r w:rsidRPr="00F827D7">
        <w:rPr>
          <w:rFonts w:ascii="Times New Roman" w:hAnsi="Times New Roman" w:cs="Times New Roman"/>
          <w:lang w:val="es-PE"/>
        </w:rPr>
        <w:t>Stanescu</w:t>
      </w:r>
      <w:proofErr w:type="spellEnd"/>
      <w:r w:rsidRPr="00F827D7">
        <w:rPr>
          <w:rFonts w:ascii="Times New Roman" w:hAnsi="Times New Roman" w:cs="Times New Roman"/>
          <w:lang w:val="es-PE"/>
        </w:rPr>
        <w:t xml:space="preserve"> et al. (2020) encontraron que tales resultados son ciertos en cuanto a la producción científica y el posicionamiento de las universidades latinoamericanas según el ranking del SIR IBER entre 2013 y 2019, indicando un patrón paradójico: aunque los niveles de producción científica indexada crecen consistentemente en países que tienen más financiamiento para la investigación, los niveles de las universidades en aquellos países con menos inversión en ciencia y tecnología están estancados o en declive. El patrón también se amplifica por el hecho de que los criterios de indexación favorecen sistemáticamente a las instituciones que se integran más fuertemente en redes de colaboración internacional, produciendo un círculo vicioso en el que las universidades periféricas tienen menos acceso a los recursos necesarios para cumplir con los estándares requeridos para acceder a recursos.</w:t>
      </w:r>
    </w:p>
    <w:p w14:paraId="5BFCC6FA" w14:textId="77777777" w:rsidR="00F827D7" w:rsidRPr="00F827D7" w:rsidRDefault="00F827D7" w:rsidP="00F827D7">
      <w:pPr>
        <w:spacing w:line="240" w:lineRule="auto"/>
        <w:jc w:val="both"/>
        <w:rPr>
          <w:rFonts w:ascii="Times New Roman" w:hAnsi="Times New Roman" w:cs="Times New Roman"/>
          <w:lang w:val="es-PE"/>
        </w:rPr>
      </w:pPr>
      <w:proofErr w:type="spellStart"/>
      <w:r w:rsidRPr="00F827D7">
        <w:rPr>
          <w:rFonts w:ascii="Times New Roman" w:hAnsi="Times New Roman" w:cs="Times New Roman"/>
          <w:lang w:val="es-PE"/>
        </w:rPr>
        <w:t>Wandercil</w:t>
      </w:r>
      <w:proofErr w:type="spellEnd"/>
      <w:r w:rsidRPr="00F827D7">
        <w:rPr>
          <w:rFonts w:ascii="Times New Roman" w:hAnsi="Times New Roman" w:cs="Times New Roman"/>
          <w:lang w:val="es-PE"/>
        </w:rPr>
        <w:t xml:space="preserve"> et al. (2026) analizan la calidad de las universidades en gran parte de América Latina basándose en clasificaciones y encuentran que los métodos de clasificación tienen un sesgo sistemático que penaliza a esas instituciones en esas regiones. En particular, clasificaciones como ARWU favorecen puntuaciones como el número de Premios Nobel y artículos publicados en revistas de alto nivel —</w:t>
      </w:r>
      <w:proofErr w:type="spellStart"/>
      <w:r w:rsidRPr="00F827D7">
        <w:rPr>
          <w:rFonts w:ascii="Times New Roman" w:hAnsi="Times New Roman" w:cs="Times New Roman"/>
          <w:lang w:val="es-PE"/>
        </w:rPr>
        <w:t>Nature</w:t>
      </w:r>
      <w:proofErr w:type="spellEnd"/>
      <w:r w:rsidRPr="00F827D7">
        <w:rPr>
          <w:rFonts w:ascii="Times New Roman" w:hAnsi="Times New Roman" w:cs="Times New Roman"/>
          <w:lang w:val="es-PE"/>
        </w:rPr>
        <w:t xml:space="preserve"> y </w:t>
      </w:r>
      <w:proofErr w:type="spellStart"/>
      <w:r w:rsidRPr="00F827D7">
        <w:rPr>
          <w:rFonts w:ascii="Times New Roman" w:hAnsi="Times New Roman" w:cs="Times New Roman"/>
          <w:lang w:val="es-PE"/>
        </w:rPr>
        <w:t>Science</w:t>
      </w:r>
      <w:proofErr w:type="spellEnd"/>
      <w:r w:rsidRPr="00F827D7">
        <w:rPr>
          <w:rFonts w:ascii="Times New Roman" w:hAnsi="Times New Roman" w:cs="Times New Roman"/>
          <w:lang w:val="es-PE"/>
        </w:rPr>
        <w:t xml:space="preserve"> siendo de las más relevantes—, factores que están muy fuera del alcance para universidades con presupuestos de investigación extremadamente limitados y sin una tradición consolidada en ciencias naturales de vanguardia. El resultado es que la mayoría de las universidades latinoamericanas son, en términos estructurales, invisibles para estos sistemas de clasificación, lo que no significa que sean irrelevantes para sus sociedades, sino que los criterios de relevancia utilizados por los índices no coinciden con los de las comunidades a las que sirven.</w:t>
      </w:r>
    </w:p>
    <w:p w14:paraId="0B6A3B5E"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Ruiz-Toledo et al. (2022) han profundizado en esta problemática mediante un análisis estadístico multivariado del lugar de las universidades latinoamericanas en los rankings internacionales, identificando que las desventajas estructurales de estas instituciones —financiamiento insuficiente, barreras idiomáticas, escasa colaboración intrarregional, </w:t>
      </w:r>
      <w:r w:rsidRPr="00F827D7">
        <w:rPr>
          <w:rFonts w:ascii="Times New Roman" w:hAnsi="Times New Roman" w:cs="Times New Roman"/>
          <w:lang w:val="es-PE"/>
        </w:rPr>
        <w:lastRenderedPageBreak/>
        <w:t>limitado acceso a infraestructuras de investigación— se traducen directamente en posiciones bajas en las clasificaciones globales, con independencia de la calidad de la docencia o del impacto social de la investigación que realizan. Esta situación configura lo que los autores denominan una trampa de visibilidad: las universidades periféricas son invisibles para los rankings precisamente porque carecen de los recursos que les permitirían hacerse visibles, y carecen de recursos en parte porque su invisibilidad en los rankings dificulta el acceso a financiamiento competitivo.</w:t>
      </w:r>
    </w:p>
    <w:p w14:paraId="057430C3"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b/>
          <w:bCs/>
          <w:lang w:val="es-PE"/>
        </w:rPr>
        <w:t>El capitalismo académico y la mercantilización de la producción científica</w:t>
      </w:r>
    </w:p>
    <w:p w14:paraId="557F5160"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La expansión global de los sistemas de evaluación basados en índices de publicaciones no es un fenómeno autónomo, sino una expresión del proceso más amplio que la literatura ha denominado capitalismo académico (Bracho-Fuenmayor, 2025). Este concepto designa la transformación de las universidades en organizaciones orientadas por la lógica de mercado, en las que el conocimiento es tratado como una mercancía, la investigación es evaluada por su capacidad de generar ingresos o mejorar indicadores de competitividad, y los académicos son sometidos a regímenes de rendición de cuentas que priorizan la productividad cuantificable sobre la calidad reflexiva.</w:t>
      </w:r>
    </w:p>
    <w:p w14:paraId="1061B3FC"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El capitalismo académico adopta una forma particularmente perversa en América Latina. A diferencia de las universidades del Norte Global, que cuentan con recursos suficientes para competir en el ámbito académico global, la academia latinoamericana participa en este mercado bajo condiciones de extrema desventaja: deben cumplir con los mismos estándares de publicación que las principales universidades de investigación del mundo desarrollado, pero con una fracción de los recursos humanos, tecnológicos y financieros. Como ha dejado claro Merchán (2022), el estado del gasto público en investigación y desarrollo en América Latina y el Caribe es crítico: las inversiones en I+D en la región son solo una fracción del promedio de los países de la OCDE, y esta disparidad se ha mantenido, o incluso ha aumentado, en las últimas décadas. </w:t>
      </w:r>
    </w:p>
    <w:p w14:paraId="0F427170"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Esta asimetría estructural afecta directamente las condiciones laborales de los docentes-investigadores en las universidades regionales de América Latina. La presión por publicar en revistas internacionales indexadas choca, en la práctica diaria de estos profesionales, con la falta de tiempo—derivada de cargas docentes excesivas—la falta de acceso a laboratorios y bases de datos, las barreras lingüísticas asociadas con el requisito de publicar en inglés, y la irrelevancia que los formatos de publicación dominantes atribuyen a los problemas y metodologías de investigación específicos de los contextos locales. </w:t>
      </w:r>
      <w:proofErr w:type="spellStart"/>
      <w:r w:rsidRPr="00F827D7">
        <w:rPr>
          <w:rFonts w:ascii="Times New Roman" w:hAnsi="Times New Roman" w:cs="Times New Roman"/>
          <w:lang w:val="es-PE"/>
        </w:rPr>
        <w:t>Finardi</w:t>
      </w:r>
      <w:proofErr w:type="spellEnd"/>
      <w:r w:rsidRPr="00F827D7">
        <w:rPr>
          <w:rFonts w:ascii="Times New Roman" w:hAnsi="Times New Roman" w:cs="Times New Roman"/>
          <w:lang w:val="es-PE"/>
        </w:rPr>
        <w:t xml:space="preserve"> et al. (2022) han analizado la ecología del conocimiento y los idiomas en la producción académica latinoamericana, señalando que la hegemonía del inglés como lengua franca científica global no solo impone una barrera técnica a los investigadores de la región, sino que también opera como un mecanismo de filtrado epistémico que invisibiliza el conocimiento producido en otros idiomas y desde otras tradiciones intelectuales.</w:t>
      </w:r>
    </w:p>
    <w:p w14:paraId="03069395"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b/>
          <w:bCs/>
          <w:lang w:val="es-PE"/>
        </w:rPr>
        <w:t>Asimetría en la producción indexada y distribución regional del conocimiento</w:t>
      </w:r>
    </w:p>
    <w:p w14:paraId="2E586FF4"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Los datos disponibles sobre la distribución de la producción científica indexada en América Latina revelan un panorama de profunda desigualdad. Gaibor-Hinostroza et al. </w:t>
      </w:r>
      <w:r w:rsidRPr="00F827D7">
        <w:rPr>
          <w:rFonts w:ascii="Times New Roman" w:hAnsi="Times New Roman" w:cs="Times New Roman"/>
          <w:lang w:val="es-PE"/>
        </w:rPr>
        <w:lastRenderedPageBreak/>
        <w:t>(2026) han realizado un análisis bibliométrico de las brechas globales en educación superior, concluyendo que la internacionalización de las universidades latinoamericanas, lejos de reducir las desigualdades existentes, las reproduce y amplifica al incorporar a las instituciones periféricas a un sistema global que opera con criterios diseñados para favorecer a las instituciones del Norte. En este sentido, la participación en los índices internacionales no garantiza la reducción de la asimetría epistémica; puede, por el contrario, profundizarla al redirigir los esfuerzos de investigación de las universidades del Sur hacia temas y metodologías que responden a las agendas del Norte.</w:t>
      </w:r>
    </w:p>
    <w:p w14:paraId="11CBBFA8" w14:textId="77777777" w:rsidR="00F827D7" w:rsidRPr="00F827D7" w:rsidRDefault="00F827D7" w:rsidP="00F827D7">
      <w:pPr>
        <w:spacing w:line="240" w:lineRule="auto"/>
        <w:jc w:val="both"/>
        <w:rPr>
          <w:rFonts w:ascii="Times New Roman" w:hAnsi="Times New Roman" w:cs="Times New Roman"/>
          <w:lang w:val="es-PE"/>
        </w:rPr>
      </w:pPr>
      <w:proofErr w:type="spellStart"/>
      <w:r w:rsidRPr="00F827D7">
        <w:rPr>
          <w:rFonts w:ascii="Times New Roman" w:hAnsi="Times New Roman" w:cs="Times New Roman"/>
          <w:lang w:val="es-PE"/>
        </w:rPr>
        <w:t>Limaymanta</w:t>
      </w:r>
      <w:proofErr w:type="spellEnd"/>
      <w:r w:rsidRPr="00F827D7">
        <w:rPr>
          <w:rFonts w:ascii="Times New Roman" w:hAnsi="Times New Roman" w:cs="Times New Roman"/>
          <w:lang w:val="es-PE"/>
        </w:rPr>
        <w:t xml:space="preserve"> et al. (2022) han estudiado la relación entre la colaboración internacional y el impacto científico normalizado en las universidades públicas sudamericanas, encontrando que, si bien la coautoría internacional está positivamente asociada con mayores tasas de citación, esta relación no implica necesariamente una mayor relevancia local de la investigación producida. En muchos casos, la colaboración internacional supone una subordinación de los investigadores latinoamericanos a las agendas de investigación definidas por sus contrapartes del Norte, lo que configura lo que podría denominarse una forma de extracción epistémica: los recursos intelectuales y el conocimiento contextual de los investigadores locales son movilizados para producir artículos que se publican en revistas internacionales bajo condiciones de autoría asimétrica.</w:t>
      </w:r>
    </w:p>
    <w:p w14:paraId="50845C9B" w14:textId="77777777" w:rsidR="00F827D7" w:rsidRPr="00F827D7" w:rsidRDefault="00F827D7" w:rsidP="00F827D7">
      <w:pPr>
        <w:spacing w:line="240" w:lineRule="auto"/>
        <w:jc w:val="both"/>
        <w:rPr>
          <w:rFonts w:ascii="Times New Roman" w:hAnsi="Times New Roman" w:cs="Times New Roman"/>
          <w:lang w:val="es-PE"/>
        </w:rPr>
      </w:pPr>
      <w:proofErr w:type="spellStart"/>
      <w:r w:rsidRPr="00F827D7">
        <w:rPr>
          <w:rFonts w:ascii="Times New Roman" w:hAnsi="Times New Roman" w:cs="Times New Roman"/>
          <w:lang w:val="es-PE"/>
        </w:rPr>
        <w:t>Beigel</w:t>
      </w:r>
      <w:proofErr w:type="spellEnd"/>
      <w:r w:rsidRPr="00F827D7">
        <w:rPr>
          <w:rFonts w:ascii="Times New Roman" w:hAnsi="Times New Roman" w:cs="Times New Roman"/>
          <w:lang w:val="es-PE"/>
        </w:rPr>
        <w:t xml:space="preserve"> (2021) ha construido un marco de trabajo multietapa para explorar los circuitos editoriales en países no hegemónicos, mostrando que la producción científica latinoamericana existe en al menos tres circuitos: un circuito de revistas indexadas en las bases de datos </w:t>
      </w:r>
      <w:proofErr w:type="spellStart"/>
      <w:r w:rsidRPr="00F827D7">
        <w:rPr>
          <w:rFonts w:ascii="Times New Roman" w:hAnsi="Times New Roman" w:cs="Times New Roman"/>
          <w:lang w:val="es-PE"/>
        </w:rPr>
        <w:t>Scopus</w:t>
      </w:r>
      <w:proofErr w:type="spellEnd"/>
      <w:r w:rsidRPr="00F827D7">
        <w:rPr>
          <w:rFonts w:ascii="Times New Roman" w:hAnsi="Times New Roman" w:cs="Times New Roman"/>
          <w:lang w:val="es-PE"/>
        </w:rPr>
        <w:t xml:space="preserve"> y Web </w:t>
      </w:r>
      <w:proofErr w:type="spellStart"/>
      <w:r w:rsidRPr="00F827D7">
        <w:rPr>
          <w:rFonts w:ascii="Times New Roman" w:hAnsi="Times New Roman" w:cs="Times New Roman"/>
          <w:lang w:val="es-PE"/>
        </w:rPr>
        <w:t>of</w:t>
      </w:r>
      <w:proofErr w:type="spellEnd"/>
      <w:r w:rsidRPr="00F827D7">
        <w:rPr>
          <w:rFonts w:ascii="Times New Roman" w:hAnsi="Times New Roman" w:cs="Times New Roman"/>
          <w:lang w:val="es-PE"/>
        </w:rPr>
        <w:t xml:space="preserve"> </w:t>
      </w:r>
      <w:proofErr w:type="spellStart"/>
      <w:r w:rsidRPr="00F827D7">
        <w:rPr>
          <w:rFonts w:ascii="Times New Roman" w:hAnsi="Times New Roman" w:cs="Times New Roman"/>
          <w:lang w:val="es-PE"/>
        </w:rPr>
        <w:t>Science</w:t>
      </w:r>
      <w:proofErr w:type="spellEnd"/>
      <w:r w:rsidRPr="00F827D7">
        <w:rPr>
          <w:rFonts w:ascii="Times New Roman" w:hAnsi="Times New Roman" w:cs="Times New Roman"/>
          <w:lang w:val="es-PE"/>
        </w:rPr>
        <w:t>, principalmente en inglés y orientadas al mercado académico mundial; un circuito de plataformas regionales de acceso abierto—SciELO, Redalyc—que indexan revistas en español, portugués y otros idiomas regionales; y un circuito de producción local no indexada, compuesto por libros, informes técnicos, presentaciones y otros formatos que los sistemas de evaluación formal no aceptan como publicaciones científicas válidas. Los múltiples circuitos indican que la producción académica latinoamericana es mucho más variada, rica y matizada de lo que implican los rankings internacionales, pero esto sigue siendo invisible para los procesos evaluativos que regulan los recursos y el reconocimiento institucional. Por ejemplo, la plataforma OLIVA (</w:t>
      </w:r>
      <w:proofErr w:type="spellStart"/>
      <w:r w:rsidRPr="00F827D7">
        <w:rPr>
          <w:rFonts w:ascii="Times New Roman" w:hAnsi="Times New Roman" w:cs="Times New Roman"/>
          <w:lang w:val="es-PE"/>
        </w:rPr>
        <w:t>Beigel</w:t>
      </w:r>
      <w:proofErr w:type="spellEnd"/>
      <w:r w:rsidRPr="00F827D7">
        <w:rPr>
          <w:rFonts w:ascii="Times New Roman" w:hAnsi="Times New Roman" w:cs="Times New Roman"/>
          <w:lang w:val="es-PE"/>
        </w:rPr>
        <w:t xml:space="preserve"> et al., 2024), que analiza la producción científica en revistas editadas en América Latina con énfasis en la diversidad disciplinaria, la colaboración institucional y el multilingüismo en SciELO y Redalyc entre 1995 y 2018, informa que una buena parte de los resultados científicos regionales más relevantes para las sociedades latinoamericanas se circulan solo a través de estos circuitos alternativos sin acceso a índices internacionales relevantes, y por lo tanto excluidos de la evaluación institucional en términos de financiamiento y reconocimiento institucional recibido por las universidades.</w:t>
      </w:r>
    </w:p>
    <w:p w14:paraId="00E19894" w14:textId="77777777" w:rsidR="00F827D7" w:rsidRPr="00F827D7" w:rsidRDefault="00F827D7" w:rsidP="00F827D7">
      <w:pPr>
        <w:spacing w:line="240" w:lineRule="auto"/>
        <w:jc w:val="both"/>
        <w:rPr>
          <w:rFonts w:ascii="Times New Roman" w:hAnsi="Times New Roman" w:cs="Times New Roman"/>
          <w:b/>
          <w:bCs/>
          <w:lang w:val="es-PE"/>
        </w:rPr>
      </w:pPr>
      <w:r w:rsidRPr="00F827D7">
        <w:rPr>
          <w:rFonts w:ascii="Times New Roman" w:hAnsi="Times New Roman" w:cs="Times New Roman"/>
          <w:b/>
          <w:bCs/>
          <w:lang w:val="es-PE"/>
        </w:rPr>
        <w:t>Metodología</w:t>
      </w:r>
    </w:p>
    <w:p w14:paraId="69A71950"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Esta investigación acoge un enfoque teórico-crítico cuyo carácter es cualitativo, el mismo que es coherente con la tradición epistemológica inherente a los estudios críticos en el campo de la educación superior y así como de la sociología del conocimiento. La </w:t>
      </w:r>
      <w:r w:rsidRPr="00F827D7">
        <w:rPr>
          <w:rFonts w:ascii="Times New Roman" w:hAnsi="Times New Roman" w:cs="Times New Roman"/>
          <w:lang w:val="es-PE"/>
        </w:rPr>
        <w:lastRenderedPageBreak/>
        <w:t xml:space="preserve">estrategia metodológica combina el análisis documental sistemático con la revisión crítica de la literatura especializada, siguiendo los principios de la investigación bibliométrica crítica propuestos por autores como </w:t>
      </w:r>
      <w:proofErr w:type="spellStart"/>
      <w:r w:rsidRPr="00F827D7">
        <w:rPr>
          <w:rFonts w:ascii="Times New Roman" w:hAnsi="Times New Roman" w:cs="Times New Roman"/>
          <w:lang w:val="es-PE"/>
        </w:rPr>
        <w:t>Beigel</w:t>
      </w:r>
      <w:proofErr w:type="spellEnd"/>
      <w:r w:rsidRPr="00F827D7">
        <w:rPr>
          <w:rFonts w:ascii="Times New Roman" w:hAnsi="Times New Roman" w:cs="Times New Roman"/>
          <w:lang w:val="es-PE"/>
        </w:rPr>
        <w:t xml:space="preserve"> (2021) y </w:t>
      </w:r>
      <w:proofErr w:type="spellStart"/>
      <w:r w:rsidRPr="00F827D7">
        <w:rPr>
          <w:rFonts w:ascii="Times New Roman" w:hAnsi="Times New Roman" w:cs="Times New Roman"/>
          <w:lang w:val="es-PE"/>
        </w:rPr>
        <w:t>Finardi</w:t>
      </w:r>
      <w:proofErr w:type="spellEnd"/>
      <w:r w:rsidRPr="00F827D7">
        <w:rPr>
          <w:rFonts w:ascii="Times New Roman" w:hAnsi="Times New Roman" w:cs="Times New Roman"/>
          <w:lang w:val="es-PE"/>
        </w:rPr>
        <w:t xml:space="preserve"> et al. (2022).</w:t>
      </w:r>
    </w:p>
    <w:p w14:paraId="4A831111"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El análisis documental incluyó tres categorías de fuentes: estudios bibliométricos y </w:t>
      </w:r>
      <w:proofErr w:type="spellStart"/>
      <w:r w:rsidRPr="00F827D7">
        <w:rPr>
          <w:rFonts w:ascii="Times New Roman" w:hAnsi="Times New Roman" w:cs="Times New Roman"/>
          <w:lang w:val="es-PE"/>
        </w:rPr>
        <w:t>cienciométricos</w:t>
      </w:r>
      <w:proofErr w:type="spellEnd"/>
      <w:r w:rsidRPr="00F827D7">
        <w:rPr>
          <w:rFonts w:ascii="Times New Roman" w:hAnsi="Times New Roman" w:cs="Times New Roman"/>
          <w:lang w:val="es-PE"/>
        </w:rPr>
        <w:t xml:space="preserve"> sobre la producción científica de las universidades latinoamericanas, centrándose en aquellos publicados entre 2018 y 2026 en revistas indexadas y plataformas de acceso abierto; documentos de política científica y evaluación de la investigación por parte de organizaciones nacionales e internacionales relevantes para la región, incluyendo políticas universitarias de Argentina, Brasil, Chile, Colombia, México y Perú; y literatura teórica sobre la </w:t>
      </w:r>
      <w:proofErr w:type="spellStart"/>
      <w:r w:rsidRPr="00F827D7">
        <w:rPr>
          <w:rFonts w:ascii="Times New Roman" w:hAnsi="Times New Roman" w:cs="Times New Roman"/>
          <w:lang w:val="es-PE"/>
        </w:rPr>
        <w:t>colonialidad</w:t>
      </w:r>
      <w:proofErr w:type="spellEnd"/>
      <w:r w:rsidRPr="00F827D7">
        <w:rPr>
          <w:rFonts w:ascii="Times New Roman" w:hAnsi="Times New Roman" w:cs="Times New Roman"/>
          <w:lang w:val="es-PE"/>
        </w:rPr>
        <w:t xml:space="preserve"> epistémica, la geopolítica del conocimiento y el capitalismo académico.</w:t>
      </w:r>
    </w:p>
    <w:p w14:paraId="213299E9"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La revisión sistemática de la literatura se realizó con las bases de datos de </w:t>
      </w:r>
      <w:proofErr w:type="spellStart"/>
      <w:r w:rsidRPr="00F827D7">
        <w:rPr>
          <w:rFonts w:ascii="Times New Roman" w:hAnsi="Times New Roman" w:cs="Times New Roman"/>
          <w:lang w:val="es-PE"/>
        </w:rPr>
        <w:t>Scopus</w:t>
      </w:r>
      <w:proofErr w:type="spellEnd"/>
      <w:r w:rsidRPr="00F827D7">
        <w:rPr>
          <w:rFonts w:ascii="Times New Roman" w:hAnsi="Times New Roman" w:cs="Times New Roman"/>
          <w:lang w:val="es-PE"/>
        </w:rPr>
        <w:t xml:space="preserve">, Web </w:t>
      </w:r>
      <w:proofErr w:type="spellStart"/>
      <w:r w:rsidRPr="00F827D7">
        <w:rPr>
          <w:rFonts w:ascii="Times New Roman" w:hAnsi="Times New Roman" w:cs="Times New Roman"/>
          <w:lang w:val="es-PE"/>
        </w:rPr>
        <w:t>of</w:t>
      </w:r>
      <w:proofErr w:type="spellEnd"/>
      <w:r w:rsidRPr="00F827D7">
        <w:rPr>
          <w:rFonts w:ascii="Times New Roman" w:hAnsi="Times New Roman" w:cs="Times New Roman"/>
          <w:lang w:val="es-PE"/>
        </w:rPr>
        <w:t xml:space="preserve"> </w:t>
      </w:r>
      <w:proofErr w:type="spellStart"/>
      <w:r w:rsidRPr="00F827D7">
        <w:rPr>
          <w:rFonts w:ascii="Times New Roman" w:hAnsi="Times New Roman" w:cs="Times New Roman"/>
          <w:lang w:val="es-PE"/>
        </w:rPr>
        <w:t>Science</w:t>
      </w:r>
      <w:proofErr w:type="spellEnd"/>
      <w:r w:rsidRPr="00F827D7">
        <w:rPr>
          <w:rFonts w:ascii="Times New Roman" w:hAnsi="Times New Roman" w:cs="Times New Roman"/>
          <w:lang w:val="es-PE"/>
        </w:rPr>
        <w:t xml:space="preserve"> y Google </w:t>
      </w:r>
      <w:proofErr w:type="spellStart"/>
      <w:r w:rsidRPr="00F827D7">
        <w:rPr>
          <w:rFonts w:ascii="Times New Roman" w:hAnsi="Times New Roman" w:cs="Times New Roman"/>
          <w:lang w:val="es-PE"/>
        </w:rPr>
        <w:t>Scholar</w:t>
      </w:r>
      <w:proofErr w:type="spellEnd"/>
      <w:r w:rsidRPr="00F827D7">
        <w:rPr>
          <w:rFonts w:ascii="Times New Roman" w:hAnsi="Times New Roman" w:cs="Times New Roman"/>
          <w:lang w:val="es-PE"/>
        </w:rPr>
        <w:t>, utilizando términos de búsqueda como "</w:t>
      </w:r>
      <w:proofErr w:type="spellStart"/>
      <w:r w:rsidRPr="00F827D7">
        <w:rPr>
          <w:rFonts w:ascii="Times New Roman" w:hAnsi="Times New Roman" w:cs="Times New Roman"/>
          <w:lang w:val="es-PE"/>
        </w:rPr>
        <w:t>colonialidad</w:t>
      </w:r>
      <w:proofErr w:type="spellEnd"/>
      <w:r w:rsidRPr="00F827D7">
        <w:rPr>
          <w:rFonts w:ascii="Times New Roman" w:hAnsi="Times New Roman" w:cs="Times New Roman"/>
          <w:lang w:val="es-PE"/>
        </w:rPr>
        <w:t xml:space="preserve"> epistémica", "rankings universitarios de América Latina", "publicar o perecer", "métricas académicas del sur global", "investigación territorialmente relevante" y sus equivalentes en inglés y portugués. Los análisis en profundidad seleccionados fueron aquellos que contenían datos empíricos sobre la distribución de la producción científica indexada en América Latina, comentarios críticos sobre los sistemas de clasificación universitaria o reflexiones teóricas sobre la relación entre la evaluación científica y la </w:t>
      </w:r>
      <w:proofErr w:type="spellStart"/>
      <w:r w:rsidRPr="00F827D7">
        <w:rPr>
          <w:rFonts w:ascii="Times New Roman" w:hAnsi="Times New Roman" w:cs="Times New Roman"/>
          <w:lang w:val="es-PE"/>
        </w:rPr>
        <w:t>colonialidad</w:t>
      </w:r>
      <w:proofErr w:type="spellEnd"/>
      <w:r w:rsidRPr="00F827D7">
        <w:rPr>
          <w:rFonts w:ascii="Times New Roman" w:hAnsi="Times New Roman" w:cs="Times New Roman"/>
          <w:lang w:val="es-PE"/>
        </w:rPr>
        <w:t xml:space="preserve"> del conocimiento.</w:t>
      </w:r>
    </w:p>
    <w:p w14:paraId="2D47463A"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El análisis se orientó por preguntas como: ¿Qué mecanismos específicos operan en los sistemas de indexación para reproducir la jerarquía epistémica global? ¿Cuáles son las consecuencias institucionales y subjetivas de la presión por publicar en revistas indexadas para los docentes-investigadores en universidades regionales de América Latina? ¿Y qué alternativas epistemológicas y políticas se están articulando desde el Sur Global para resistir y transformar la lógica hegemónica del índice?</w:t>
      </w:r>
    </w:p>
    <w:p w14:paraId="225DFCF5"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El carácter cualitativo-interpretativo del análisis no implica una renuncia al rigor, sino una concepción distinta del rigor: la de una lectura rica, situada y crítica de los fenómenos bajo análisis, en lugar de la generación de medidas estadísticas de asociación. Esta decisión metodológica es, en sí misma, coherente con el argumento epistemológico central del artículo.</w:t>
      </w:r>
    </w:p>
    <w:p w14:paraId="0ABE0D56" w14:textId="77777777" w:rsidR="00F827D7" w:rsidRPr="00F827D7" w:rsidRDefault="00F827D7" w:rsidP="00F827D7">
      <w:pPr>
        <w:spacing w:line="240" w:lineRule="auto"/>
        <w:jc w:val="both"/>
        <w:rPr>
          <w:rFonts w:ascii="Times New Roman" w:hAnsi="Times New Roman" w:cs="Times New Roman"/>
          <w:b/>
          <w:bCs/>
          <w:lang w:val="es-PE"/>
        </w:rPr>
      </w:pPr>
      <w:r w:rsidRPr="00F827D7">
        <w:rPr>
          <w:rFonts w:ascii="Times New Roman" w:hAnsi="Times New Roman" w:cs="Times New Roman"/>
          <w:b/>
          <w:bCs/>
          <w:lang w:val="es-PE"/>
        </w:rPr>
        <w:t>Resultados y Análisis</w:t>
      </w:r>
    </w:p>
    <w:p w14:paraId="381256E9"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b/>
          <w:bCs/>
          <w:lang w:val="es-PE"/>
        </w:rPr>
        <w:t>Los índices de publicaciones como dispositivos de disciplinar los aspectos epistémicos</w:t>
      </w:r>
    </w:p>
    <w:p w14:paraId="329D0B1A"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La revisión de la literatura revela claramente las formas en que los índices de publicación internacional funcionan como dispositivos de disciplina epistémica de las universidades latinoamericanas. Torres-Samuel et al. (2018) proporcionaron una investigación más detallada de la </w:t>
      </w:r>
      <w:proofErr w:type="spellStart"/>
      <w:r w:rsidRPr="00F827D7">
        <w:rPr>
          <w:rFonts w:ascii="Times New Roman" w:hAnsi="Times New Roman" w:cs="Times New Roman"/>
          <w:lang w:val="es-PE"/>
        </w:rPr>
        <w:t>webometría</w:t>
      </w:r>
      <w:proofErr w:type="spellEnd"/>
      <w:r w:rsidRPr="00F827D7">
        <w:rPr>
          <w:rFonts w:ascii="Times New Roman" w:hAnsi="Times New Roman" w:cs="Times New Roman"/>
          <w:lang w:val="es-PE"/>
        </w:rPr>
        <w:t xml:space="preserve"> de los rankings universitarios globales —los realizados por </w:t>
      </w:r>
      <w:proofErr w:type="spellStart"/>
      <w:r w:rsidRPr="00F827D7">
        <w:rPr>
          <w:rFonts w:ascii="Times New Roman" w:hAnsi="Times New Roman" w:cs="Times New Roman"/>
          <w:lang w:val="es-PE"/>
        </w:rPr>
        <w:t>Shanghai</w:t>
      </w:r>
      <w:proofErr w:type="spellEnd"/>
      <w:r w:rsidRPr="00F827D7">
        <w:rPr>
          <w:rFonts w:ascii="Times New Roman" w:hAnsi="Times New Roman" w:cs="Times New Roman"/>
          <w:lang w:val="es-PE"/>
        </w:rPr>
        <w:t>, QS y SIR-</w:t>
      </w:r>
      <w:proofErr w:type="spellStart"/>
      <w:r w:rsidRPr="00F827D7">
        <w:rPr>
          <w:rFonts w:ascii="Times New Roman" w:hAnsi="Times New Roman" w:cs="Times New Roman"/>
          <w:lang w:val="es-PE"/>
        </w:rPr>
        <w:t>SCimago</w:t>
      </w:r>
      <w:proofErr w:type="spellEnd"/>
      <w:r w:rsidRPr="00F827D7">
        <w:rPr>
          <w:rFonts w:ascii="Times New Roman" w:hAnsi="Times New Roman" w:cs="Times New Roman"/>
          <w:lang w:val="es-PE"/>
        </w:rPr>
        <w:t xml:space="preserve">— en el caso de América Latina, determinando que las instituciones cuyos resultados de investigación demuestran mejor posicionamiento son </w:t>
      </w:r>
      <w:r w:rsidRPr="00F827D7">
        <w:rPr>
          <w:rFonts w:ascii="Times New Roman" w:hAnsi="Times New Roman" w:cs="Times New Roman"/>
          <w:lang w:val="es-PE"/>
        </w:rPr>
        <w:lastRenderedPageBreak/>
        <w:t xml:space="preserve">aquellas más alineadas con los estándares de publicación establecidos en el Norte Global, incluso cuando son irrelevantes en casa. </w:t>
      </w:r>
    </w:p>
    <w:p w14:paraId="4DBFB1D9"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La adopción de estos estándares externos no es en absoluto completamente voluntaria, sino parte de un gran sistema manipulado con incentivos. Ganga-Contreras et al. (2024) también investigaron los aspectos de la evaluación universitaria con el uso de sistemas de calificación desde el punto de vista de expertos latinoamericanos y encontraron en su estudio evidencia de que el sistema de evaluación del desempeño para docentes e investigadores en la región había internalizado las características de los rankings internacionales en los criterios de calidad institucional. Esto resulta en una expectativa para los docentes-investigadores que desean avanzar en su carrera, competir con universidades en financiamiento o legitimar su institucionalidad hacia formatos y temas que los índices internacionales consideran relevantes. </w:t>
      </w:r>
    </w:p>
    <w:p w14:paraId="4E169DA9"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Gaitán-Angulo et al. (2022) han explorado la sostenibilidad como un paradigma actual de las universidades latinoamericanas, por lo que incluso en temas que son fuertemente locales —como la sostenibilidad ambiental o el desarrollo territorial, por ejemplo— la necesidad de realizar investigaciones en revistas indexadas a menudo resulta en la proliferación de áreas de investigación más abstractas que pueden generalizarse en lugar de articular problemas específicos en territorios y comunidades donde se encuentran las universidades. Este cambio no está exento de daños: es una lenta desaparición del aspecto territorial y comunitario de la investigación escolar, en un momento en que las sociedades latinoamericanas necesitan el ancla que una universidad tiene para abordar sus mayores desafíos. </w:t>
      </w:r>
    </w:p>
    <w:p w14:paraId="54AB2F57"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Kim y Kim (2025) analizan cuantitativamente 1,628 instituciones en el ranking mundial de universidades THE 2025, informando sobre el alto nivel de desigualdad en el mundo de la investigación académica y confirmando que las universidades del Sur Global, incluidas la gran mayoría de las latinoamericanas, están sistemáticamente en desventaja, lo que no refleja su verdadero impacto social, sino simplemente su menor acceso a los recursos que miden los rankings. Este hallazgo es consistente con los argumentos de la teoría de la </w:t>
      </w:r>
      <w:proofErr w:type="spellStart"/>
      <w:r w:rsidRPr="00F827D7">
        <w:rPr>
          <w:rFonts w:ascii="Times New Roman" w:hAnsi="Times New Roman" w:cs="Times New Roman"/>
          <w:lang w:val="es-PE"/>
        </w:rPr>
        <w:t>colonialidad</w:t>
      </w:r>
      <w:proofErr w:type="spellEnd"/>
      <w:r w:rsidRPr="00F827D7">
        <w:rPr>
          <w:rFonts w:ascii="Times New Roman" w:hAnsi="Times New Roman" w:cs="Times New Roman"/>
          <w:lang w:val="es-PE"/>
        </w:rPr>
        <w:t xml:space="preserve"> del saber: los índices no miden el valor intrínseco del conocimiento producido, sino el grado de adecuación de ese conocimiento a los estándares del mercado académico global, que son los estándares del Norte.</w:t>
      </w:r>
    </w:p>
    <w:p w14:paraId="4643F95E"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b/>
          <w:bCs/>
          <w:lang w:val="es-PE"/>
        </w:rPr>
        <w:t>Consecuencias institucionales y subjetivas en universidades regionales latinoamericanas</w:t>
      </w:r>
    </w:p>
    <w:p w14:paraId="38C2600B"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Las consecuencias de la lógica de los índices no se limitan a las posiciones de las universidades en los rankings globales; se manifiestan también en transformaciones profundas de las condiciones de trabajo, las subjetividades académicas y las culturas institucionales de las universidades latinoamericanas. Este fenómeno es especialmente visible en las universidades regionales de países con menor inversión en ciencia y tecnología, como es el caso de muchas instituciones peruanas, bolivianas, paraguayas y centroamericanas.</w:t>
      </w:r>
    </w:p>
    <w:p w14:paraId="13EB581F"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Bracho-Fuenmayor (2025) ha analizado el impacto del capitalismo académico en las universidades latinoamericanas, describiendo cómo la adopción de lógicas de mercado en </w:t>
      </w:r>
      <w:r w:rsidRPr="00F827D7">
        <w:rPr>
          <w:rFonts w:ascii="Times New Roman" w:hAnsi="Times New Roman" w:cs="Times New Roman"/>
          <w:lang w:val="es-PE"/>
        </w:rPr>
        <w:lastRenderedPageBreak/>
        <w:t>la evaluación del desempeño investigador genera dinámicas de competencia individual que erosionan la solidaridad académica, el trabajo colaborativo y el compromiso con la misión social de la universidad. Los docentes-investigadores de estas instituciones se encuentran atrapados entre dos exigencias contradictorias: por un lado, la presión institucional por producir artículos en revistas indexadas; por otro, la demanda social de producir conocimientos relevantes para las comunidades locales, que rara vez encuentran espacio en las revistas del mercado académico global.</w:t>
      </w:r>
    </w:p>
    <w:p w14:paraId="46A053BC"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Mejía Rivera (2024) realizó un análisis bibliométrico de la producción científica de las universidades centroamericanas entre 2018 y 2022 utilizando información de </w:t>
      </w:r>
      <w:proofErr w:type="spellStart"/>
      <w:r w:rsidRPr="00F827D7">
        <w:rPr>
          <w:rFonts w:ascii="Times New Roman" w:hAnsi="Times New Roman" w:cs="Times New Roman"/>
          <w:lang w:val="es-PE"/>
        </w:rPr>
        <w:t>SCImago</w:t>
      </w:r>
      <w:proofErr w:type="spellEnd"/>
      <w:r w:rsidRPr="00F827D7">
        <w:rPr>
          <w:rFonts w:ascii="Times New Roman" w:hAnsi="Times New Roman" w:cs="Times New Roman"/>
          <w:lang w:val="es-PE"/>
        </w:rPr>
        <w:t xml:space="preserve">, lo que encontró que la representación de tales instituciones en índices internacionales es insignificante y cualquier esfuerzo por aumentarla implicaría altos costos de redireccionamiento de agendas de investigación, implementación de elecciones metodológicas ajenas a las tradiciones intelectuales locales y subordinación a los intereses de socios internacionales en proyectos de coautoría. En cuanto a Perú, las circunstancias a las que han caído universidades como UTEA o UNSAAC son paradigmáticas: aquellas ya profundamente arraigadas en sus tierras natales y repositorios de conocimiento sobre fenómenos del mundo real de tipo andino, pero con pocas o ninguna en rankings internacionales, invisibilizadas en los sistemas de evaluación que dictan la asignación de recursos públicos para la investigación. </w:t>
      </w:r>
    </w:p>
    <w:p w14:paraId="0FB92F2A"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Bustamante-Ruiz et al. (2025) también ha propuesto examinar el papel de la colaboración internacional en la coautoría de artículos científicos y cómo eso influye en los indicadores de citación, encontrando que, aunque la cooperación internacional crea un resultado medible (en términos de datos bibliométricos) para las universidades latinoamericanas, tales beneficios tienden a distribuirse de manera asimétrica: las instituciones del Norte reciben más visibilidad mientras que las instituciones del Sur obtienen todos los datos, trabajo de campo y conocimiento contextual que muy probablemente no se traduce en reconocimiento académico. Esta dinámica replica, en el campo de la colaboración científica, las relaciones extractivas que dieron forma a la economía colonial. </w:t>
      </w:r>
    </w:p>
    <w:p w14:paraId="4E5305E5"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Domínguez et al. (2024) han analizado los determinantes del impacto de la producción científica de la Escuela Superior Politécnica del Litoral (ESPOL) en Ecuador a través de un enfoque bibliométrico, identificando que los factores que más influyen en el impacto medido en términos de citas son la colaboración internacional, la publicación en inglés y la elección de temas alineados con las prioridades de investigación del Norte Global. Estos hallazgos confirman que el éxito en los rankings internacionales requiere una profunda adaptación a las lógicas del mercado académico global, lo que implica un correspondiente distanciamiento de los problemas y contextos locales.</w:t>
      </w:r>
    </w:p>
    <w:p w14:paraId="6215FF67"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b/>
          <w:bCs/>
          <w:lang w:val="es-PE"/>
        </w:rPr>
        <w:t>La resistencia epistémica y la investigación territorialmente pertinente</w:t>
      </w:r>
    </w:p>
    <w:p w14:paraId="00F3EAC3"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En contradicción con la lógica hegemónica del índice dominante, se están realizando muchos esfuerzos teóricos y prácticos en América Latina para restaurar la legitimidad de otros procesos de producción de conocimiento en términos teóricos y prácticos en América Latina. El concepto de investigación territorialmente pertinente—conceptos como el conocimiento situado, las epistemologías del Sur, la interculturalidad crítica, la </w:t>
      </w:r>
      <w:r w:rsidRPr="00F827D7">
        <w:rPr>
          <w:rFonts w:ascii="Times New Roman" w:hAnsi="Times New Roman" w:cs="Times New Roman"/>
          <w:lang w:val="es-PE"/>
        </w:rPr>
        <w:lastRenderedPageBreak/>
        <w:t xml:space="preserve">investigación-acción participativa—es una de las mejores áreas potenciales para que surja esta resistencia epistémica. Esta idea se basa en la idea de que el conocimiento científico no es meramente abstracto, fuera de lo relacionalmente relevante a su(s) problema(s) porque el conocimiento nunca está sin referencia a los problemas y contextos que lo sustentaron e impulsaron el conocimiento que derivó. </w:t>
      </w:r>
    </w:p>
    <w:p w14:paraId="2881F43D"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La importancia de la investigación no radica en que se publique en una revista de alto impacto según las mejores prácticas del mundo, sino en que enriquezca al mundo de una manera que lo cambie. Esta visión no implica un desprecio por la solidez metodológica y el diálogo científico internacional, sino más bien una </w:t>
      </w:r>
      <w:proofErr w:type="spellStart"/>
      <w:r w:rsidRPr="00F827D7">
        <w:rPr>
          <w:rFonts w:ascii="Times New Roman" w:hAnsi="Times New Roman" w:cs="Times New Roman"/>
          <w:lang w:val="es-PE"/>
        </w:rPr>
        <w:t>re-priorización</w:t>
      </w:r>
      <w:proofErr w:type="spellEnd"/>
      <w:r w:rsidRPr="00F827D7">
        <w:rPr>
          <w:rFonts w:ascii="Times New Roman" w:hAnsi="Times New Roman" w:cs="Times New Roman"/>
          <w:lang w:val="es-PE"/>
        </w:rPr>
        <w:t xml:space="preserve">: la relevancia territorial como criterio de calidad, y la visibilidad internacional como solo una cosa —una posibilidad y un resultado deseado— sin ser un fin en sí mismo. El trabajo de </w:t>
      </w:r>
      <w:proofErr w:type="spellStart"/>
      <w:r w:rsidRPr="00F827D7">
        <w:rPr>
          <w:rFonts w:ascii="Times New Roman" w:hAnsi="Times New Roman" w:cs="Times New Roman"/>
          <w:lang w:val="es-PE"/>
        </w:rPr>
        <w:t>Beigel</w:t>
      </w:r>
      <w:proofErr w:type="spellEnd"/>
      <w:r w:rsidRPr="00F827D7">
        <w:rPr>
          <w:rFonts w:ascii="Times New Roman" w:hAnsi="Times New Roman" w:cs="Times New Roman"/>
          <w:lang w:val="es-PE"/>
        </w:rPr>
        <w:t xml:space="preserve"> (2021) ha sostenido que debemos abordar la producción científica en contextos no hegemónicos desde un enfoque multinivel, entendiendo que múltiples circulaciones de producción y circulación de conocimiento coexisten y se articulan entre sí. Es de esta manera que las plataformas regionales de acceso abierto —SciELO, Redalyc— no son meramente satélites de segunda clase de los índices globales, sino expresiones de una definición diferente de ciencia: qué tipo de cosas debería ser la ciencia y con quién debería comprometerse. </w:t>
      </w:r>
    </w:p>
    <w:p w14:paraId="1C8380E2" w14:textId="77777777" w:rsidR="00F827D7" w:rsidRPr="00F827D7" w:rsidRDefault="00F827D7" w:rsidP="00F827D7">
      <w:pPr>
        <w:spacing w:line="240" w:lineRule="auto"/>
        <w:jc w:val="both"/>
        <w:rPr>
          <w:rFonts w:ascii="Times New Roman" w:hAnsi="Times New Roman" w:cs="Times New Roman"/>
          <w:lang w:val="es-PE"/>
        </w:rPr>
      </w:pPr>
      <w:proofErr w:type="spellStart"/>
      <w:r w:rsidRPr="00F827D7">
        <w:rPr>
          <w:rFonts w:ascii="Times New Roman" w:hAnsi="Times New Roman" w:cs="Times New Roman"/>
          <w:lang w:val="es-PE"/>
        </w:rPr>
        <w:t>Beigel</w:t>
      </w:r>
      <w:proofErr w:type="spellEnd"/>
      <w:r w:rsidRPr="00F827D7">
        <w:rPr>
          <w:rFonts w:ascii="Times New Roman" w:hAnsi="Times New Roman" w:cs="Times New Roman"/>
          <w:lang w:val="es-PE"/>
        </w:rPr>
        <w:t xml:space="preserve"> et al. (2024) han informado sobre la impresionante variedad disciplinaria, cooperación institucional y multilingüismo de la producción científica dentro de las revistas editadas en América Latina que los índices internacionales no pueden tener en cuenta, </w:t>
      </w:r>
      <w:proofErr w:type="gramStart"/>
      <w:r w:rsidRPr="00F827D7">
        <w:rPr>
          <w:rFonts w:ascii="Times New Roman" w:hAnsi="Times New Roman" w:cs="Times New Roman"/>
          <w:lang w:val="es-PE"/>
        </w:rPr>
        <w:t>y</w:t>
      </w:r>
      <w:proofErr w:type="gramEnd"/>
      <w:r w:rsidRPr="00F827D7">
        <w:rPr>
          <w:rFonts w:ascii="Times New Roman" w:hAnsi="Times New Roman" w:cs="Times New Roman"/>
          <w:lang w:val="es-PE"/>
        </w:rPr>
        <w:t xml:space="preserve"> de hecho, que esta diversidad representa uno de los activos más importantes de la ciencia latinoamericana. </w:t>
      </w:r>
    </w:p>
    <w:p w14:paraId="7BF43055" w14:textId="77777777" w:rsidR="00F827D7" w:rsidRPr="00F827D7" w:rsidRDefault="00F827D7" w:rsidP="00F827D7">
      <w:pPr>
        <w:spacing w:line="240" w:lineRule="auto"/>
        <w:jc w:val="both"/>
        <w:rPr>
          <w:rFonts w:ascii="Times New Roman" w:hAnsi="Times New Roman" w:cs="Times New Roman"/>
          <w:lang w:val="es-PE"/>
        </w:rPr>
      </w:pPr>
      <w:r w:rsidRPr="00F827D7">
        <w:rPr>
          <w:rFonts w:ascii="Times New Roman" w:hAnsi="Times New Roman" w:cs="Times New Roman"/>
          <w:lang w:val="es-PE"/>
        </w:rPr>
        <w:t xml:space="preserve">Russell et al. (2009, 2012) han analizado la visibilidad en Internet de la producción científica de los institutos de investigación de la UNAM y cómo las posibilidades abiertas por la web para hacer visible esta producción difieren de su uso en el terreno, encontrando que muchas universidades latinoamericanas no aprovechan realmente las oportunidades de tener acceso a su producción sin tener que seguir las lógicas de los índices comerciales. Los hallazgos indican este aspecto hacia la difusión científica alternativa con robustez metodológica, pero con significancia geográfica y alcance para las comunidades que están recibiendo la investigación. </w:t>
      </w:r>
    </w:p>
    <w:p w14:paraId="61EF2759" w14:textId="77777777" w:rsidR="00F827D7" w:rsidRPr="00F827D7" w:rsidRDefault="00F827D7" w:rsidP="00F827D7">
      <w:pPr>
        <w:spacing w:line="240" w:lineRule="auto"/>
        <w:jc w:val="both"/>
        <w:rPr>
          <w:rFonts w:ascii="Times New Roman" w:hAnsi="Times New Roman" w:cs="Times New Roman"/>
          <w:lang w:val="es-PE"/>
        </w:rPr>
      </w:pPr>
      <w:proofErr w:type="spellStart"/>
      <w:r w:rsidRPr="00F827D7">
        <w:rPr>
          <w:rFonts w:ascii="Times New Roman" w:hAnsi="Times New Roman" w:cs="Times New Roman"/>
          <w:lang w:val="es-PE"/>
        </w:rPr>
        <w:t>Svenson</w:t>
      </w:r>
      <w:proofErr w:type="spellEnd"/>
      <w:r w:rsidRPr="00F827D7">
        <w:rPr>
          <w:rFonts w:ascii="Times New Roman" w:hAnsi="Times New Roman" w:cs="Times New Roman"/>
          <w:lang w:val="es-PE"/>
        </w:rPr>
        <w:t xml:space="preserve"> (2015), al analizar los casos atípicos de Centroamérica, señala enfoques de cooperación internacional para la productividad investigativa que no requieren una subordinación de las agendas locales que haría más difícil delinear una inserción internacional con significancia territorial, sino más bien posible si hay una política institucional clara para priorizar los problemas locales al inicio de la colaboración. Este punto de vista es especialmente pertinente para instituciones de educación superior como la UTEA y la UNSAAC, que están situadas en territorios dotados de inmensos niveles de conocimiento andino y enfrentando desafíos territoriales que legitiman y requieren investigación situada y comprometida.</w:t>
      </w:r>
    </w:p>
    <w:p w14:paraId="544B704F" w14:textId="1BF2A117" w:rsidR="00BC236F" w:rsidRDefault="00BC236F" w:rsidP="007B5B5F">
      <w:pPr>
        <w:spacing w:line="240" w:lineRule="auto"/>
        <w:jc w:val="both"/>
        <w:rPr>
          <w:rFonts w:ascii="Times New Roman" w:hAnsi="Times New Roman" w:cs="Times New Roman"/>
        </w:rPr>
      </w:pPr>
    </w:p>
    <w:p w14:paraId="6FD363BB" w14:textId="77777777" w:rsidR="00F827D7" w:rsidRPr="00F827D7" w:rsidRDefault="00F827D7" w:rsidP="00F827D7">
      <w:pPr>
        <w:spacing w:after="0" w:line="240" w:lineRule="auto"/>
        <w:jc w:val="both"/>
        <w:outlineLvl w:val="1"/>
        <w:rPr>
          <w:rFonts w:ascii="Times New Roman" w:eastAsia="Times New Roman" w:hAnsi="Times New Roman" w:cs="Times New Roman"/>
          <w:b/>
          <w:bCs/>
          <w:kern w:val="0"/>
          <w:lang w:val="es-PE" w:eastAsia="es-PE"/>
          <w14:ligatures w14:val="none"/>
        </w:rPr>
      </w:pPr>
      <w:r w:rsidRPr="00F827D7">
        <w:rPr>
          <w:rFonts w:ascii="Times New Roman" w:eastAsia="Times New Roman" w:hAnsi="Times New Roman" w:cs="Times New Roman"/>
          <w:b/>
          <w:bCs/>
          <w:kern w:val="0"/>
          <w:lang w:val="es-PE" w:eastAsia="es-PE"/>
          <w14:ligatures w14:val="none"/>
        </w:rPr>
        <w:t>Conclusiones</w:t>
      </w:r>
    </w:p>
    <w:p w14:paraId="1BA5F831" w14:textId="77777777" w:rsidR="00F827D7" w:rsidRPr="00F827D7" w:rsidRDefault="00F827D7" w:rsidP="00F827D7">
      <w:pPr>
        <w:spacing w:after="0" w:line="240" w:lineRule="auto"/>
        <w:jc w:val="both"/>
        <w:rPr>
          <w:rFonts w:ascii="Times New Roman" w:eastAsia="Times New Roman" w:hAnsi="Times New Roman" w:cs="Times New Roman"/>
          <w:kern w:val="0"/>
          <w:lang w:val="es-PE" w:eastAsia="es-PE"/>
          <w14:ligatures w14:val="none"/>
        </w:rPr>
      </w:pPr>
      <w:r w:rsidRPr="00F827D7">
        <w:rPr>
          <w:rFonts w:ascii="Times New Roman" w:eastAsia="Times New Roman" w:hAnsi="Times New Roman" w:cs="Times New Roman"/>
          <w:kern w:val="0"/>
          <w:lang w:val="es-PE" w:eastAsia="es-PE"/>
          <w14:ligatures w14:val="none"/>
        </w:rPr>
        <w:lastRenderedPageBreak/>
        <w:t xml:space="preserve">El recorrido analítico descrito en este artículo culmina en un conjunto de ideas que tienen implicaciones de gran alcance para los constructos teóricos relacionados con la relación entre los índices de publicación internacionales y la </w:t>
      </w:r>
      <w:proofErr w:type="spellStart"/>
      <w:r w:rsidRPr="00F827D7">
        <w:rPr>
          <w:rFonts w:ascii="Times New Roman" w:eastAsia="Times New Roman" w:hAnsi="Times New Roman" w:cs="Times New Roman"/>
          <w:kern w:val="0"/>
          <w:lang w:val="es-PE" w:eastAsia="es-PE"/>
          <w14:ligatures w14:val="none"/>
        </w:rPr>
        <w:t>colonialidad</w:t>
      </w:r>
      <w:proofErr w:type="spellEnd"/>
      <w:r w:rsidRPr="00F827D7">
        <w:rPr>
          <w:rFonts w:ascii="Times New Roman" w:eastAsia="Times New Roman" w:hAnsi="Times New Roman" w:cs="Times New Roman"/>
          <w:kern w:val="0"/>
          <w:lang w:val="es-PE" w:eastAsia="es-PE"/>
          <w14:ligatures w14:val="none"/>
        </w:rPr>
        <w:t xml:space="preserve"> epistémica y las políticas de evaluación científica en las universidades latinoamericanas. La evidencia revisada confirma en primer lugar que los índices de publicación internacionales como </w:t>
      </w:r>
      <w:proofErr w:type="spellStart"/>
      <w:r w:rsidRPr="00F827D7">
        <w:rPr>
          <w:rFonts w:ascii="Times New Roman" w:eastAsia="Times New Roman" w:hAnsi="Times New Roman" w:cs="Times New Roman"/>
          <w:kern w:val="0"/>
          <w:lang w:val="es-PE" w:eastAsia="es-PE"/>
          <w14:ligatures w14:val="none"/>
        </w:rPr>
        <w:t>Scopus</w:t>
      </w:r>
      <w:proofErr w:type="spellEnd"/>
      <w:r w:rsidRPr="00F827D7">
        <w:rPr>
          <w:rFonts w:ascii="Times New Roman" w:eastAsia="Times New Roman" w:hAnsi="Times New Roman" w:cs="Times New Roman"/>
          <w:kern w:val="0"/>
          <w:lang w:val="es-PE" w:eastAsia="es-PE"/>
          <w14:ligatures w14:val="none"/>
        </w:rPr>
        <w:t xml:space="preserve">, Web </w:t>
      </w:r>
      <w:proofErr w:type="spellStart"/>
      <w:r w:rsidRPr="00F827D7">
        <w:rPr>
          <w:rFonts w:ascii="Times New Roman" w:eastAsia="Times New Roman" w:hAnsi="Times New Roman" w:cs="Times New Roman"/>
          <w:kern w:val="0"/>
          <w:lang w:val="es-PE" w:eastAsia="es-PE"/>
          <w14:ligatures w14:val="none"/>
        </w:rPr>
        <w:t>of</w:t>
      </w:r>
      <w:proofErr w:type="spellEnd"/>
      <w:r w:rsidRPr="00F827D7">
        <w:rPr>
          <w:rFonts w:ascii="Times New Roman" w:eastAsia="Times New Roman" w:hAnsi="Times New Roman" w:cs="Times New Roman"/>
          <w:kern w:val="0"/>
          <w:lang w:val="es-PE" w:eastAsia="es-PE"/>
          <w14:ligatures w14:val="none"/>
        </w:rPr>
        <w:t xml:space="preserve"> </w:t>
      </w:r>
      <w:proofErr w:type="spellStart"/>
      <w:r w:rsidRPr="00F827D7">
        <w:rPr>
          <w:rFonts w:ascii="Times New Roman" w:eastAsia="Times New Roman" w:hAnsi="Times New Roman" w:cs="Times New Roman"/>
          <w:kern w:val="0"/>
          <w:lang w:val="es-PE" w:eastAsia="es-PE"/>
          <w14:ligatures w14:val="none"/>
        </w:rPr>
        <w:t>Science</w:t>
      </w:r>
      <w:proofErr w:type="spellEnd"/>
      <w:r w:rsidRPr="00F827D7">
        <w:rPr>
          <w:rFonts w:ascii="Times New Roman" w:eastAsia="Times New Roman" w:hAnsi="Times New Roman" w:cs="Times New Roman"/>
          <w:kern w:val="0"/>
          <w:lang w:val="es-PE" w:eastAsia="es-PE"/>
          <w14:ligatures w14:val="none"/>
        </w:rPr>
        <w:t xml:space="preserve">, </w:t>
      </w:r>
      <w:proofErr w:type="spellStart"/>
      <w:r w:rsidRPr="00F827D7">
        <w:rPr>
          <w:rFonts w:ascii="Times New Roman" w:eastAsia="Times New Roman" w:hAnsi="Times New Roman" w:cs="Times New Roman"/>
          <w:kern w:val="0"/>
          <w:lang w:val="es-PE" w:eastAsia="es-PE"/>
          <w14:ligatures w14:val="none"/>
        </w:rPr>
        <w:t>SCImago</w:t>
      </w:r>
      <w:proofErr w:type="spellEnd"/>
      <w:r w:rsidRPr="00F827D7">
        <w:rPr>
          <w:rFonts w:ascii="Times New Roman" w:eastAsia="Times New Roman" w:hAnsi="Times New Roman" w:cs="Times New Roman"/>
          <w:kern w:val="0"/>
          <w:lang w:val="es-PE" w:eastAsia="es-PE"/>
          <w14:ligatures w14:val="none"/>
        </w:rPr>
        <w:t xml:space="preserve"> y sus rankings no son instrumentos neutrales para medir la calidad científica, sino infraestructuras geopolíticas que reproducen y amplifican las asimetrías de poder existentes entre el Norte y el Sur Global en la producción de conocimiento. Los índices y el sistema de incentivos de estas instituciones están intencionalmente, así como de manera no intencionada, configurados para favorecer a aquellos con los recursos, tradiciones intelectuales e intereses temáticos del mercado académico anglosajón. En realidad, esto se traduce en la evaluación de las universidades latinoamericanas en ausencia de cualquier apreciación de sus fortalezas particulares y su contribución a las sociedades en las que están inmersas (Torres-Samuel et al., 2019; </w:t>
      </w:r>
      <w:proofErr w:type="spellStart"/>
      <w:r w:rsidRPr="00F827D7">
        <w:rPr>
          <w:rFonts w:ascii="Times New Roman" w:eastAsia="Times New Roman" w:hAnsi="Times New Roman" w:cs="Times New Roman"/>
          <w:kern w:val="0"/>
          <w:lang w:val="es-PE" w:eastAsia="es-PE"/>
          <w14:ligatures w14:val="none"/>
        </w:rPr>
        <w:t>Wandercil</w:t>
      </w:r>
      <w:proofErr w:type="spellEnd"/>
      <w:r w:rsidRPr="00F827D7">
        <w:rPr>
          <w:rFonts w:ascii="Times New Roman" w:eastAsia="Times New Roman" w:hAnsi="Times New Roman" w:cs="Times New Roman"/>
          <w:kern w:val="0"/>
          <w:lang w:val="es-PE" w:eastAsia="es-PE"/>
          <w14:ligatures w14:val="none"/>
        </w:rPr>
        <w:t xml:space="preserve"> et al., 2026; Ruiz-Toledo et al., 2022). </w:t>
      </w:r>
    </w:p>
    <w:p w14:paraId="492F41FF" w14:textId="77777777" w:rsidR="00F827D7" w:rsidRPr="00F827D7" w:rsidRDefault="00F827D7" w:rsidP="00F827D7">
      <w:pPr>
        <w:spacing w:after="0" w:line="240" w:lineRule="auto"/>
        <w:jc w:val="both"/>
        <w:rPr>
          <w:rFonts w:ascii="Times New Roman" w:eastAsia="Times New Roman" w:hAnsi="Times New Roman" w:cs="Times New Roman"/>
          <w:kern w:val="0"/>
          <w:lang w:val="es-PE" w:eastAsia="es-PE"/>
          <w14:ligatures w14:val="none"/>
        </w:rPr>
      </w:pPr>
      <w:r w:rsidRPr="00F827D7">
        <w:rPr>
          <w:rFonts w:ascii="Times New Roman" w:eastAsia="Times New Roman" w:hAnsi="Times New Roman" w:cs="Times New Roman"/>
          <w:kern w:val="0"/>
          <w:lang w:val="es-PE" w:eastAsia="es-PE"/>
          <w14:ligatures w14:val="none"/>
        </w:rPr>
        <w:t xml:space="preserve">En segundo lugar, la aplicación acrítica de estos criterios por parte de los sistemas nacionales de ciencia y tecnología de América Latina ha causado, y sigue causando, daños catastróficos a la investigación universitaria en la región. La presión para publicar en revistas indexadas desvía recursos humanos, tiempo y energía intelectual de la investigación local hacia artículos destinados al mercado académico global, en detrimento de la investigación territorialmente relevante. Genera subjetividades académicas atravesadas por la ansiedad, la autocensura y el oportunismo temático. Erosiona las tradiciones intelectuales locales y los vínculos entre las universidades y sus comunidades. Y reproduce, en el cotidiano de los docentes-investigadores, la lógica de la </w:t>
      </w:r>
      <w:proofErr w:type="spellStart"/>
      <w:r w:rsidRPr="00F827D7">
        <w:rPr>
          <w:rFonts w:ascii="Times New Roman" w:eastAsia="Times New Roman" w:hAnsi="Times New Roman" w:cs="Times New Roman"/>
          <w:kern w:val="0"/>
          <w:lang w:val="es-PE" w:eastAsia="es-PE"/>
          <w14:ligatures w14:val="none"/>
        </w:rPr>
        <w:t>colonialidad</w:t>
      </w:r>
      <w:proofErr w:type="spellEnd"/>
      <w:r w:rsidRPr="00F827D7">
        <w:rPr>
          <w:rFonts w:ascii="Times New Roman" w:eastAsia="Times New Roman" w:hAnsi="Times New Roman" w:cs="Times New Roman"/>
          <w:kern w:val="0"/>
          <w:lang w:val="es-PE" w:eastAsia="es-PE"/>
          <w14:ligatures w14:val="none"/>
        </w:rPr>
        <w:t xml:space="preserve"> epistémica que afirma implícitamente que el conocimiento producido desde el Sur no tiene valor propio, sino solo en la medida en que es reconocido por las instancias de legitimación del Norte (Bracho-Fuenmayor, 2025; </w:t>
      </w:r>
      <w:proofErr w:type="spellStart"/>
      <w:r w:rsidRPr="00F827D7">
        <w:rPr>
          <w:rFonts w:ascii="Times New Roman" w:eastAsia="Times New Roman" w:hAnsi="Times New Roman" w:cs="Times New Roman"/>
          <w:kern w:val="0"/>
          <w:lang w:val="es-PE" w:eastAsia="es-PE"/>
          <w14:ligatures w14:val="none"/>
        </w:rPr>
        <w:t>Finardi</w:t>
      </w:r>
      <w:proofErr w:type="spellEnd"/>
      <w:r w:rsidRPr="00F827D7">
        <w:rPr>
          <w:rFonts w:ascii="Times New Roman" w:eastAsia="Times New Roman" w:hAnsi="Times New Roman" w:cs="Times New Roman"/>
          <w:kern w:val="0"/>
          <w:lang w:val="es-PE" w:eastAsia="es-PE"/>
          <w14:ligatures w14:val="none"/>
        </w:rPr>
        <w:t xml:space="preserve"> et al., 2022; </w:t>
      </w:r>
      <w:proofErr w:type="spellStart"/>
      <w:r w:rsidRPr="00F827D7">
        <w:rPr>
          <w:rFonts w:ascii="Times New Roman" w:eastAsia="Times New Roman" w:hAnsi="Times New Roman" w:cs="Times New Roman"/>
          <w:kern w:val="0"/>
          <w:lang w:val="es-PE" w:eastAsia="es-PE"/>
          <w14:ligatures w14:val="none"/>
        </w:rPr>
        <w:t>Beigel</w:t>
      </w:r>
      <w:proofErr w:type="spellEnd"/>
      <w:r w:rsidRPr="00F827D7">
        <w:rPr>
          <w:rFonts w:ascii="Times New Roman" w:eastAsia="Times New Roman" w:hAnsi="Times New Roman" w:cs="Times New Roman"/>
          <w:kern w:val="0"/>
          <w:lang w:val="es-PE" w:eastAsia="es-PE"/>
          <w14:ligatures w14:val="none"/>
        </w:rPr>
        <w:t>, 2021).</w:t>
      </w:r>
    </w:p>
    <w:p w14:paraId="3503B771" w14:textId="77777777" w:rsidR="00F827D7" w:rsidRPr="00F827D7" w:rsidRDefault="00F827D7" w:rsidP="00F827D7">
      <w:pPr>
        <w:spacing w:after="0" w:line="240" w:lineRule="auto"/>
        <w:jc w:val="both"/>
        <w:rPr>
          <w:rFonts w:ascii="Times New Roman" w:eastAsia="Times New Roman" w:hAnsi="Times New Roman" w:cs="Times New Roman"/>
          <w:kern w:val="0"/>
          <w:lang w:val="es-PE" w:eastAsia="es-PE"/>
          <w14:ligatures w14:val="none"/>
        </w:rPr>
      </w:pPr>
      <w:r w:rsidRPr="00F827D7">
        <w:rPr>
          <w:rFonts w:ascii="Times New Roman" w:eastAsia="Times New Roman" w:hAnsi="Times New Roman" w:cs="Times New Roman"/>
          <w:kern w:val="0"/>
          <w:lang w:val="es-PE" w:eastAsia="es-PE"/>
          <w14:ligatures w14:val="none"/>
        </w:rPr>
        <w:t>En tercer lugar, la disputa por los sistemas de evaluación de la investigación no es, en última instancia, una cuestión técnica ni administrativa. Es una disputa política por el derecho a definir qué cuenta como conocimiento, quién tiene autoridad para producirlo, cómo debe circular y a qué sociedad debe servir. Esta disputa tiene una dimensión institucional —las políticas de evaluación del desempeño investigador—, una dimensión nacional —las políticas científicas y de financiamiento de la investigación—, y una dimensión regional e internacional —la posibilidad de construir sistemas alternativos de reconocimiento y difusión del conocimiento científico que respondan a las necesidades y tradiciones intelectuales del Sur Global.</w:t>
      </w:r>
    </w:p>
    <w:p w14:paraId="6AA141CA" w14:textId="77777777" w:rsidR="00F827D7" w:rsidRPr="00F827D7" w:rsidRDefault="00F827D7" w:rsidP="00F827D7">
      <w:pPr>
        <w:spacing w:after="0" w:line="240" w:lineRule="auto"/>
        <w:jc w:val="both"/>
        <w:rPr>
          <w:rFonts w:ascii="Times New Roman" w:eastAsia="Times New Roman" w:hAnsi="Times New Roman" w:cs="Times New Roman"/>
          <w:kern w:val="0"/>
          <w:lang w:val="es-PE" w:eastAsia="es-PE"/>
          <w14:ligatures w14:val="none"/>
        </w:rPr>
      </w:pPr>
      <w:r w:rsidRPr="00F827D7">
        <w:rPr>
          <w:rFonts w:ascii="Times New Roman" w:eastAsia="Times New Roman" w:hAnsi="Times New Roman" w:cs="Times New Roman"/>
          <w:kern w:val="0"/>
          <w:lang w:val="es-PE" w:eastAsia="es-PE"/>
          <w14:ligatures w14:val="none"/>
        </w:rPr>
        <w:t>En este sentido, las iniciativas de acceso abierto —SciELO, Redalyc, la plataforma OLIVA— y las reflexiones teóricas sobre la investigación territorialmente pertinente no son simplemente alternativas marginales a los índices dominantes, sino gérmenes de un modelo diferente de producción y valoración del conocimiento científico. Su consolidación requiere, sin embargo, un compromiso político decidido por parte de las universidades, los Estados nacionales y las organizaciones regionales de ciencia y tecnología, así como una transformación profunda de las culturas institucionales que actualmente premian la adecuación a los estándares del Norte y penalizan la originalidad y el compromiso local.</w:t>
      </w:r>
    </w:p>
    <w:p w14:paraId="461AB93C" w14:textId="4765D71F" w:rsidR="00F827D7" w:rsidRPr="00BA642E" w:rsidRDefault="00F827D7" w:rsidP="00F827D7">
      <w:pPr>
        <w:spacing w:line="240" w:lineRule="auto"/>
        <w:jc w:val="both"/>
        <w:rPr>
          <w:rFonts w:ascii="Times New Roman" w:hAnsi="Times New Roman" w:cs="Times New Roman"/>
        </w:rPr>
      </w:pPr>
      <w:r w:rsidRPr="00F827D7">
        <w:rPr>
          <w:rFonts w:ascii="Times New Roman" w:eastAsia="Times New Roman" w:hAnsi="Times New Roman" w:cs="Times New Roman"/>
          <w:kern w:val="0"/>
          <w:lang w:val="es-PE" w:eastAsia="es-PE"/>
          <w14:ligatures w14:val="none"/>
        </w:rPr>
        <w:lastRenderedPageBreak/>
        <w:t xml:space="preserve">Para las universidades regionales latinoamericanas como la UTEA y la UNSAAC, situadas en territorios de extraordinaria complejidad histórica, cultural y ambiental, la apuesta por la investigación territorialmente pertinente no es solo una opción epistemológica: es una responsabilidad ética y política con las comunidades que les dieron origen y a las que su existencia debe rendir cuentas. La superación de la </w:t>
      </w:r>
      <w:proofErr w:type="spellStart"/>
      <w:r w:rsidRPr="00F827D7">
        <w:rPr>
          <w:rFonts w:ascii="Times New Roman" w:eastAsia="Times New Roman" w:hAnsi="Times New Roman" w:cs="Times New Roman"/>
          <w:kern w:val="0"/>
          <w:lang w:val="es-PE" w:eastAsia="es-PE"/>
          <w14:ligatures w14:val="none"/>
        </w:rPr>
        <w:t>colonialidad</w:t>
      </w:r>
      <w:proofErr w:type="spellEnd"/>
      <w:r w:rsidRPr="00F827D7">
        <w:rPr>
          <w:rFonts w:ascii="Times New Roman" w:eastAsia="Times New Roman" w:hAnsi="Times New Roman" w:cs="Times New Roman"/>
          <w:kern w:val="0"/>
          <w:lang w:val="es-PE" w:eastAsia="es-PE"/>
          <w14:ligatures w14:val="none"/>
        </w:rPr>
        <w:t xml:space="preserve"> epistémica en la universidad latinoamericana del siglo XXI pasa, necesariamente, por la capacidad de estas instituciones para afirmar la validez y la importancia de los saberes que producen desde el Sur, para las sociedades del Sur y en diálogo —no en subordinación— con los conocimientos del mundo</w:t>
      </w:r>
      <w:bookmarkStart w:id="0" w:name="_GoBack"/>
      <w:bookmarkEnd w:id="0"/>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3B61AEC3" w14:textId="775BEFEF" w:rsidR="001923DC" w:rsidRPr="00BA642E" w:rsidRDefault="00C802F5" w:rsidP="007B5B5F">
      <w:pPr>
        <w:spacing w:line="240" w:lineRule="auto"/>
        <w:jc w:val="both"/>
        <w:rPr>
          <w:rFonts w:ascii="Times New Roman" w:hAnsi="Times New Roman" w:cs="Times New Roman"/>
        </w:rPr>
      </w:pPr>
      <w:r w:rsidRPr="00BA642E">
        <w:rPr>
          <w:rFonts w:ascii="Times New Roman" w:hAnsi="Times New Roman" w:cs="Times New Roman"/>
        </w:rPr>
        <w:t>Schmid, H.-J. (Ed.). (2017). </w:t>
      </w:r>
      <w:proofErr w:type="spellStart"/>
      <w:r w:rsidRPr="00BA642E">
        <w:rPr>
          <w:rFonts w:ascii="Times New Roman" w:hAnsi="Times New Roman" w:cs="Times New Roman"/>
          <w:i/>
          <w:iCs/>
        </w:rPr>
        <w:t>Entrenchment</w:t>
      </w:r>
      <w:proofErr w:type="spellEnd"/>
      <w:r w:rsidRPr="00BA642E">
        <w:rPr>
          <w:rFonts w:ascii="Times New Roman" w:hAnsi="Times New Roman" w:cs="Times New Roman"/>
          <w:i/>
          <w:iCs/>
        </w:rPr>
        <w:t xml:space="preserve"> and </w:t>
      </w:r>
      <w:proofErr w:type="spellStart"/>
      <w:r w:rsidRPr="00BA642E">
        <w:rPr>
          <w:rFonts w:ascii="Times New Roman" w:hAnsi="Times New Roman" w:cs="Times New Roman"/>
          <w:i/>
          <w:iCs/>
        </w:rPr>
        <w:t>the</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psychology</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of</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language</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learning</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How</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we</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reorganize</w:t>
      </w:r>
      <w:proofErr w:type="spellEnd"/>
      <w:r w:rsidRPr="00BA642E">
        <w:rPr>
          <w:rFonts w:ascii="Times New Roman" w:hAnsi="Times New Roman" w:cs="Times New Roman"/>
          <w:i/>
          <w:iCs/>
        </w:rPr>
        <w:t xml:space="preserve"> and </w:t>
      </w:r>
      <w:proofErr w:type="spellStart"/>
      <w:r w:rsidRPr="00BA642E">
        <w:rPr>
          <w:rFonts w:ascii="Times New Roman" w:hAnsi="Times New Roman" w:cs="Times New Roman"/>
          <w:i/>
          <w:iCs/>
        </w:rPr>
        <w:t>adapt</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linguistic</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knowledge</w:t>
      </w:r>
      <w:proofErr w:type="spellEnd"/>
      <w:r w:rsidRPr="00BA642E">
        <w:rPr>
          <w:rFonts w:ascii="Times New Roman" w:hAnsi="Times New Roman" w:cs="Times New Roman"/>
          <w:i/>
          <w:iCs/>
        </w:rPr>
        <w:t>. </w:t>
      </w:r>
      <w:r w:rsidRPr="00BA642E">
        <w:rPr>
          <w:rFonts w:ascii="Times New Roman" w:hAnsi="Times New Roman" w:cs="Times New Roman"/>
        </w:rPr>
        <w:t xml:space="preserve">American </w:t>
      </w:r>
      <w:proofErr w:type="spellStart"/>
      <w:r w:rsidRPr="00BA642E">
        <w:rPr>
          <w:rFonts w:ascii="Times New Roman" w:hAnsi="Times New Roman" w:cs="Times New Roman"/>
        </w:rPr>
        <w:t>Psychological</w:t>
      </w:r>
      <w:proofErr w:type="spellEnd"/>
      <w:r w:rsidRPr="00BA642E">
        <w:rPr>
          <w:rFonts w:ascii="Times New Roman" w:hAnsi="Times New Roman" w:cs="Times New Roman"/>
        </w:rPr>
        <w:t xml:space="preserve"> </w:t>
      </w:r>
      <w:proofErr w:type="spellStart"/>
      <w:r w:rsidRPr="00BA642E">
        <w:rPr>
          <w:rFonts w:ascii="Times New Roman" w:hAnsi="Times New Roman" w:cs="Times New Roman"/>
        </w:rPr>
        <w:t>Association</w:t>
      </w:r>
      <w:proofErr w:type="spellEnd"/>
      <w:r w:rsidRPr="00BA642E">
        <w:rPr>
          <w:rFonts w:ascii="Times New Roman" w:hAnsi="Times New Roman" w:cs="Times New Roman"/>
        </w:rPr>
        <w:t xml:space="preserve">; De </w:t>
      </w:r>
      <w:proofErr w:type="spellStart"/>
      <w:r w:rsidRPr="00BA642E">
        <w:rPr>
          <w:rFonts w:ascii="Times New Roman" w:hAnsi="Times New Roman" w:cs="Times New Roman"/>
        </w:rPr>
        <w:t>Gruyter</w:t>
      </w:r>
      <w:proofErr w:type="spellEnd"/>
      <w:r w:rsidRPr="00BA642E">
        <w:rPr>
          <w:rFonts w:ascii="Times New Roman" w:hAnsi="Times New Roman" w:cs="Times New Roman"/>
        </w:rPr>
        <w:t xml:space="preserve"> Mouton. </w:t>
      </w:r>
      <w:hyperlink r:id="rId6" w:history="1">
        <w:r w:rsidRPr="00BA642E">
          <w:rPr>
            <w:rStyle w:val="Hipervnculo"/>
            <w:rFonts w:ascii="Times New Roman" w:hAnsi="Times New Roman" w:cs="Times New Roman"/>
          </w:rPr>
          <w:t>https://doi.org/10.1037/15969-000</w:t>
        </w:r>
      </w:hyperlink>
    </w:p>
    <w:p w14:paraId="358F57F3" w14:textId="7C50EA6D" w:rsidR="00C802F5" w:rsidRPr="00BA642E" w:rsidRDefault="00C802F5" w:rsidP="007B5B5F">
      <w:pPr>
        <w:spacing w:line="240" w:lineRule="auto"/>
        <w:jc w:val="both"/>
        <w:rPr>
          <w:rFonts w:ascii="Times New Roman" w:hAnsi="Times New Roman" w:cs="Times New Roman"/>
        </w:rPr>
      </w:pPr>
      <w:r w:rsidRPr="00BA642E">
        <w:rPr>
          <w:rFonts w:ascii="Times New Roman" w:hAnsi="Times New Roman" w:cs="Times New Roman"/>
        </w:rPr>
        <w:t>Stapley, A. (2018). Liofilización. En J. A. Evans (Ed.), </w:t>
      </w:r>
      <w:r w:rsidRPr="00BA642E">
        <w:rPr>
          <w:rFonts w:ascii="Times New Roman" w:hAnsi="Times New Roman" w:cs="Times New Roman"/>
          <w:i/>
          <w:iCs/>
        </w:rPr>
        <w:t>Ciencia y tecnología de los alimentos congelados </w:t>
      </w:r>
      <w:r w:rsidRPr="00BA642E">
        <w:rPr>
          <w:rFonts w:ascii="Times New Roman" w:hAnsi="Times New Roman" w:cs="Times New Roman"/>
        </w:rPr>
        <w:t>(pp. 305-336). Acribia.</w:t>
      </w:r>
    </w:p>
    <w:p w14:paraId="17328A3F" w14:textId="6EA865C5" w:rsidR="00C802F5" w:rsidRPr="00BA642E" w:rsidRDefault="00C802F5" w:rsidP="007B5B5F">
      <w:pPr>
        <w:spacing w:line="240" w:lineRule="auto"/>
        <w:jc w:val="both"/>
        <w:rPr>
          <w:rFonts w:ascii="Times New Roman" w:hAnsi="Times New Roman" w:cs="Times New Roman"/>
        </w:rPr>
      </w:pPr>
      <w:r w:rsidRPr="00BA642E">
        <w:rPr>
          <w:rFonts w:ascii="Times New Roman" w:hAnsi="Times New Roman" w:cs="Times New Roman"/>
        </w:rPr>
        <w:t xml:space="preserve">Light, M. A., &amp; Light, I. H. (2008). </w:t>
      </w:r>
      <w:proofErr w:type="spellStart"/>
      <w:r w:rsidRPr="00BA642E">
        <w:rPr>
          <w:rFonts w:ascii="Times New Roman" w:hAnsi="Times New Roman" w:cs="Times New Roman"/>
        </w:rPr>
        <w:t>The</w:t>
      </w:r>
      <w:proofErr w:type="spellEnd"/>
      <w:r w:rsidRPr="00BA642E">
        <w:rPr>
          <w:rFonts w:ascii="Times New Roman" w:hAnsi="Times New Roman" w:cs="Times New Roman"/>
        </w:rPr>
        <w:t xml:space="preserve"> </w:t>
      </w:r>
      <w:proofErr w:type="spellStart"/>
      <w:r w:rsidRPr="00BA642E">
        <w:rPr>
          <w:rFonts w:ascii="Times New Roman" w:hAnsi="Times New Roman" w:cs="Times New Roman"/>
        </w:rPr>
        <w:t>geographic</w:t>
      </w:r>
      <w:proofErr w:type="spellEnd"/>
      <w:r w:rsidRPr="00BA642E">
        <w:rPr>
          <w:rFonts w:ascii="Times New Roman" w:hAnsi="Times New Roman" w:cs="Times New Roman"/>
        </w:rPr>
        <w:t xml:space="preserve"> </w:t>
      </w:r>
      <w:proofErr w:type="spellStart"/>
      <w:r w:rsidRPr="00BA642E">
        <w:rPr>
          <w:rFonts w:ascii="Times New Roman" w:hAnsi="Times New Roman" w:cs="Times New Roman"/>
        </w:rPr>
        <w:t>expansion</w:t>
      </w:r>
      <w:proofErr w:type="spellEnd"/>
      <w:r w:rsidRPr="00BA642E">
        <w:rPr>
          <w:rFonts w:ascii="Times New Roman" w:hAnsi="Times New Roman" w:cs="Times New Roman"/>
        </w:rPr>
        <w:t xml:space="preserve"> </w:t>
      </w:r>
      <w:proofErr w:type="spellStart"/>
      <w:r w:rsidRPr="00BA642E">
        <w:rPr>
          <w:rFonts w:ascii="Times New Roman" w:hAnsi="Times New Roman" w:cs="Times New Roman"/>
        </w:rPr>
        <w:t>of</w:t>
      </w:r>
      <w:proofErr w:type="spellEnd"/>
      <w:r w:rsidRPr="00BA642E">
        <w:rPr>
          <w:rFonts w:ascii="Times New Roman" w:hAnsi="Times New Roman" w:cs="Times New Roman"/>
        </w:rPr>
        <w:t xml:space="preserve"> </w:t>
      </w:r>
      <w:proofErr w:type="spellStart"/>
      <w:r w:rsidRPr="00BA642E">
        <w:rPr>
          <w:rFonts w:ascii="Times New Roman" w:hAnsi="Times New Roman" w:cs="Times New Roman"/>
        </w:rPr>
        <w:t>Mexican</w:t>
      </w:r>
      <w:proofErr w:type="spellEnd"/>
      <w:r w:rsidRPr="00BA642E">
        <w:rPr>
          <w:rFonts w:ascii="Times New Roman" w:hAnsi="Times New Roman" w:cs="Times New Roman"/>
        </w:rPr>
        <w:t xml:space="preserve"> </w:t>
      </w:r>
      <w:proofErr w:type="spellStart"/>
      <w:r w:rsidRPr="00BA642E">
        <w:rPr>
          <w:rFonts w:ascii="Times New Roman" w:hAnsi="Times New Roman" w:cs="Times New Roman"/>
        </w:rPr>
        <w:t>immigration</w:t>
      </w:r>
      <w:proofErr w:type="spellEnd"/>
      <w:r w:rsidRPr="00BA642E">
        <w:rPr>
          <w:rFonts w:ascii="Times New Roman" w:hAnsi="Times New Roman" w:cs="Times New Roman"/>
        </w:rPr>
        <w:t xml:space="preserve"> in </w:t>
      </w:r>
      <w:proofErr w:type="spellStart"/>
      <w:r w:rsidRPr="00BA642E">
        <w:rPr>
          <w:rFonts w:ascii="Times New Roman" w:hAnsi="Times New Roman" w:cs="Times New Roman"/>
        </w:rPr>
        <w:t>the</w:t>
      </w:r>
      <w:proofErr w:type="spellEnd"/>
      <w:r w:rsidRPr="00BA642E">
        <w:rPr>
          <w:rFonts w:ascii="Times New Roman" w:hAnsi="Times New Roman" w:cs="Times New Roman"/>
        </w:rPr>
        <w:t xml:space="preserve"> </w:t>
      </w:r>
      <w:proofErr w:type="spellStart"/>
      <w:r w:rsidRPr="00BA642E">
        <w:rPr>
          <w:rFonts w:ascii="Times New Roman" w:hAnsi="Times New Roman" w:cs="Times New Roman"/>
        </w:rPr>
        <w:t>United</w:t>
      </w:r>
      <w:proofErr w:type="spellEnd"/>
      <w:r w:rsidRPr="00BA642E">
        <w:rPr>
          <w:rFonts w:ascii="Times New Roman" w:hAnsi="Times New Roman" w:cs="Times New Roman"/>
        </w:rPr>
        <w:t xml:space="preserve"> </w:t>
      </w:r>
      <w:proofErr w:type="spellStart"/>
      <w:r w:rsidRPr="00BA642E">
        <w:rPr>
          <w:rFonts w:ascii="Times New Roman" w:hAnsi="Times New Roman" w:cs="Times New Roman"/>
        </w:rPr>
        <w:t>States</w:t>
      </w:r>
      <w:proofErr w:type="spellEnd"/>
      <w:r w:rsidRPr="00BA642E">
        <w:rPr>
          <w:rFonts w:ascii="Times New Roman" w:hAnsi="Times New Roman" w:cs="Times New Roman"/>
        </w:rPr>
        <w:t xml:space="preserve"> and </w:t>
      </w:r>
      <w:proofErr w:type="spellStart"/>
      <w:r w:rsidRPr="00BA642E">
        <w:rPr>
          <w:rFonts w:ascii="Times New Roman" w:hAnsi="Times New Roman" w:cs="Times New Roman"/>
        </w:rPr>
        <w:t>its</w:t>
      </w:r>
      <w:proofErr w:type="spellEnd"/>
      <w:r w:rsidRPr="00BA642E">
        <w:rPr>
          <w:rFonts w:ascii="Times New Roman" w:hAnsi="Times New Roman" w:cs="Times New Roman"/>
        </w:rPr>
        <w:t xml:space="preserve"> </w:t>
      </w:r>
      <w:proofErr w:type="spellStart"/>
      <w:r w:rsidRPr="00BA642E">
        <w:rPr>
          <w:rFonts w:ascii="Times New Roman" w:hAnsi="Times New Roman" w:cs="Times New Roman"/>
        </w:rPr>
        <w:t>impications</w:t>
      </w:r>
      <w:proofErr w:type="spellEnd"/>
      <w:r w:rsidRPr="00BA642E">
        <w:rPr>
          <w:rFonts w:ascii="Times New Roman" w:hAnsi="Times New Roman" w:cs="Times New Roman"/>
        </w:rPr>
        <w:t xml:space="preserve"> </w:t>
      </w:r>
      <w:proofErr w:type="spellStart"/>
      <w:r w:rsidRPr="00BA642E">
        <w:rPr>
          <w:rFonts w:ascii="Times New Roman" w:hAnsi="Times New Roman" w:cs="Times New Roman"/>
        </w:rPr>
        <w:t>for</w:t>
      </w:r>
      <w:proofErr w:type="spellEnd"/>
      <w:r w:rsidRPr="00BA642E">
        <w:rPr>
          <w:rFonts w:ascii="Times New Roman" w:hAnsi="Times New Roman" w:cs="Times New Roman"/>
        </w:rPr>
        <w:t xml:space="preserve"> local </w:t>
      </w:r>
      <w:proofErr w:type="spellStart"/>
      <w:r w:rsidRPr="00BA642E">
        <w:rPr>
          <w:rFonts w:ascii="Times New Roman" w:hAnsi="Times New Roman" w:cs="Times New Roman"/>
        </w:rPr>
        <w:t>law</w:t>
      </w:r>
      <w:proofErr w:type="spellEnd"/>
      <w:r w:rsidRPr="00BA642E">
        <w:rPr>
          <w:rFonts w:ascii="Times New Roman" w:hAnsi="Times New Roman" w:cs="Times New Roman"/>
        </w:rPr>
        <w:t xml:space="preserve"> </w:t>
      </w:r>
      <w:proofErr w:type="spellStart"/>
      <w:r w:rsidRPr="00BA642E">
        <w:rPr>
          <w:rFonts w:ascii="Times New Roman" w:hAnsi="Times New Roman" w:cs="Times New Roman"/>
        </w:rPr>
        <w:t>enforcement</w:t>
      </w:r>
      <w:proofErr w:type="spellEnd"/>
      <w:r w:rsidRPr="00BA642E">
        <w:rPr>
          <w:rFonts w:ascii="Times New Roman" w:hAnsi="Times New Roman" w:cs="Times New Roman"/>
        </w:rPr>
        <w:t>. </w:t>
      </w:r>
      <w:proofErr w:type="spellStart"/>
      <w:r w:rsidRPr="00BA642E">
        <w:rPr>
          <w:rFonts w:ascii="Times New Roman" w:hAnsi="Times New Roman" w:cs="Times New Roman"/>
          <w:i/>
          <w:iCs/>
        </w:rPr>
        <w:t>Law</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Enforcement</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Executive</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Forum</w:t>
      </w:r>
      <w:proofErr w:type="spellEnd"/>
      <w:r w:rsidRPr="00BA642E">
        <w:rPr>
          <w:rFonts w:ascii="Times New Roman" w:hAnsi="Times New Roman" w:cs="Times New Roman"/>
          <w:i/>
          <w:iCs/>
        </w:rPr>
        <w:t xml:space="preserve"> </w:t>
      </w:r>
      <w:proofErr w:type="spellStart"/>
      <w:r w:rsidRPr="00BA642E">
        <w:rPr>
          <w:rFonts w:ascii="Times New Roman" w:hAnsi="Times New Roman" w:cs="Times New Roman"/>
          <w:i/>
          <w:iCs/>
        </w:rPr>
        <w:t>Journal</w:t>
      </w:r>
      <w:proofErr w:type="spellEnd"/>
      <w:r w:rsidRPr="00BA642E">
        <w:rPr>
          <w:rFonts w:ascii="Times New Roman" w:hAnsi="Times New Roman" w:cs="Times New Roman"/>
          <w:i/>
          <w:iCs/>
        </w:rPr>
        <w:t>, 8</w:t>
      </w:r>
      <w:r w:rsidRPr="00BA642E">
        <w:rPr>
          <w:rFonts w:ascii="Times New Roman" w:hAnsi="Times New Roman" w:cs="Times New Roman"/>
        </w:rPr>
        <w:t>(1), 73-82.</w:t>
      </w:r>
    </w:p>
    <w:p w14:paraId="23CA62C6" w14:textId="77777777" w:rsidR="00C802F5" w:rsidRPr="00BA642E" w:rsidRDefault="00C802F5" w:rsidP="007B5B5F">
      <w:pPr>
        <w:spacing w:line="240" w:lineRule="auto"/>
        <w:rPr>
          <w:rFonts w:ascii="Times New Roman" w:hAnsi="Times New Roman" w:cs="Times New Roman"/>
        </w:rPr>
      </w:pPr>
    </w:p>
    <w:p w14:paraId="7E83515B" w14:textId="7BF59CCC" w:rsidR="001923DC" w:rsidRPr="00BA642E" w:rsidRDefault="005F3B2E" w:rsidP="007B5B5F">
      <w:pPr>
        <w:spacing w:line="240" w:lineRule="auto"/>
        <w:jc w:val="center"/>
        <w:rPr>
          <w:rFonts w:ascii="Times New Roman" w:hAnsi="Times New Roman" w:cs="Times New Roman"/>
          <w:lang w:val="pt-BR"/>
        </w:rPr>
      </w:pPr>
      <w:r w:rsidRPr="00BA642E">
        <w:rPr>
          <w:rFonts w:ascii="Times New Roman" w:hAnsi="Times New Roman" w:cs="Times New Roman"/>
          <w:highlight w:val="yellow"/>
        </w:rPr>
        <w:t>/SUBIR EN FORMATO WORD</w:t>
      </w:r>
      <w:r w:rsidRPr="00BA642E">
        <w:rPr>
          <w:rFonts w:ascii="Times New Roman" w:hAnsi="Times New Roman" w:cs="Times New Roman"/>
        </w:rPr>
        <w:t>/</w:t>
      </w:r>
    </w:p>
    <w:sectPr w:rsidR="001923DC" w:rsidRPr="00BA642E" w:rsidSect="00701F64">
      <w:headerReference w:type="default" r:id="rId7"/>
      <w:footerReference w:type="default" r:id="rId8"/>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260DCC" w14:textId="77777777" w:rsidR="007C7F00" w:rsidRPr="00BA642E" w:rsidRDefault="007C7F00" w:rsidP="00C802F5">
      <w:pPr>
        <w:spacing w:after="0" w:line="240" w:lineRule="auto"/>
      </w:pPr>
      <w:r w:rsidRPr="00BA642E">
        <w:separator/>
      </w:r>
    </w:p>
  </w:endnote>
  <w:endnote w:type="continuationSeparator" w:id="0">
    <w:p w14:paraId="4E0DD595" w14:textId="77777777" w:rsidR="007C7F00" w:rsidRPr="00BA642E" w:rsidRDefault="007C7F00"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87DC0A" w14:textId="77777777" w:rsidR="007C7F00" w:rsidRPr="00BA642E" w:rsidRDefault="007C7F00" w:rsidP="00C802F5">
      <w:pPr>
        <w:spacing w:after="0" w:line="240" w:lineRule="auto"/>
      </w:pPr>
      <w:r w:rsidRPr="00BA642E">
        <w:separator/>
      </w:r>
    </w:p>
  </w:footnote>
  <w:footnote w:type="continuationSeparator" w:id="0">
    <w:p w14:paraId="277458BC" w14:textId="77777777" w:rsidR="007C7F00" w:rsidRPr="00BA642E" w:rsidRDefault="007C7F00"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312392"/>
    <w:rsid w:val="00403485"/>
    <w:rsid w:val="004040C0"/>
    <w:rsid w:val="00437E9C"/>
    <w:rsid w:val="00550766"/>
    <w:rsid w:val="005F3B2E"/>
    <w:rsid w:val="00701F64"/>
    <w:rsid w:val="007B5B5F"/>
    <w:rsid w:val="007C7F00"/>
    <w:rsid w:val="007D233B"/>
    <w:rsid w:val="0085070B"/>
    <w:rsid w:val="00A17247"/>
    <w:rsid w:val="00BA642E"/>
    <w:rsid w:val="00BC236F"/>
    <w:rsid w:val="00C802F5"/>
    <w:rsid w:val="00C96B2C"/>
    <w:rsid w:val="00CC04C1"/>
    <w:rsid w:val="00D843EC"/>
    <w:rsid w:val="00F827D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37/15969-00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Pages>
  <Words>5862</Words>
  <Characters>32245</Characters>
  <Application>Microsoft Office Word</Application>
  <DocSecurity>0</DocSecurity>
  <Lines>268</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USUARIO</cp:lastModifiedBy>
  <cp:revision>2</cp:revision>
  <dcterms:created xsi:type="dcterms:W3CDTF">2026-07-02T01:26:00Z</dcterms:created>
  <dcterms:modified xsi:type="dcterms:W3CDTF">2026-07-02T01:26:00Z</dcterms:modified>
</cp:coreProperties>
</file>