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B289945" w14:textId="77777777" w:rsidR="0065755A" w:rsidRPr="0065755A" w:rsidRDefault="0065755A" w:rsidP="0065755A">
      <w:pPr>
        <w:jc w:val="center"/>
        <w:rPr>
          <w:rFonts w:ascii="Times New Roman" w:hAnsi="Times New Roman" w:cs="Times New Roman"/>
          <w:b/>
          <w:bCs/>
          <w:lang w:val="es-AR"/>
        </w:rPr>
      </w:pPr>
      <w:r w:rsidRPr="0065755A">
        <w:rPr>
          <w:rFonts w:ascii="Times New Roman" w:hAnsi="Times New Roman" w:cs="Times New Roman"/>
          <w:b/>
          <w:bCs/>
          <w:lang w:val="es-AR"/>
        </w:rPr>
        <w:t>El espacio léxico de las ciencias sociales argentinas: un análisis lexicométrico a partir de OpenAlex</w:t>
      </w:r>
    </w:p>
    <w:p w14:paraId="43C49479" w14:textId="77777777" w:rsidR="005F3B2E" w:rsidRPr="0065755A" w:rsidRDefault="005F3B2E" w:rsidP="001923DC">
      <w:pPr>
        <w:jc w:val="center"/>
        <w:rPr>
          <w:rFonts w:ascii="Times New Roman" w:hAnsi="Times New Roman" w:cs="Times New Roman"/>
          <w:lang w:val="es-AR"/>
        </w:rPr>
      </w:pPr>
    </w:p>
    <w:p w14:paraId="4E738780" w14:textId="3766B116" w:rsidR="005F3B2E" w:rsidRPr="00BA642E" w:rsidRDefault="0065755A" w:rsidP="005F3B2E">
      <w:pPr>
        <w:spacing w:after="0" w:line="240" w:lineRule="auto"/>
        <w:jc w:val="right"/>
        <w:rPr>
          <w:rFonts w:ascii="Times New Roman" w:hAnsi="Times New Roman" w:cs="Times New Roman"/>
        </w:rPr>
      </w:pPr>
      <w:r>
        <w:rPr>
          <w:rFonts w:ascii="Times New Roman" w:hAnsi="Times New Roman" w:cs="Times New Roman"/>
        </w:rPr>
        <w:t>Montoya Victor</w:t>
      </w:r>
    </w:p>
    <w:p w14:paraId="6C2AECCA" w14:textId="471394B1" w:rsidR="005F3B2E" w:rsidRPr="00BA642E" w:rsidRDefault="0065755A" w:rsidP="005F3B2E">
      <w:pPr>
        <w:spacing w:after="0" w:line="240" w:lineRule="auto"/>
        <w:jc w:val="right"/>
        <w:rPr>
          <w:rFonts w:ascii="Times New Roman" w:hAnsi="Times New Roman" w:cs="Times New Roman"/>
        </w:rPr>
      </w:pPr>
      <w:r>
        <w:rPr>
          <w:rFonts w:ascii="Times New Roman" w:hAnsi="Times New Roman" w:cs="Times New Roman"/>
        </w:rPr>
        <w:t>Universidad Nacional de Tres de Febrero</w:t>
      </w:r>
    </w:p>
    <w:p w14:paraId="7D0026CD" w14:textId="53B17CD9" w:rsidR="005F3B2E" w:rsidRPr="00BA642E" w:rsidRDefault="0065755A" w:rsidP="005F3B2E">
      <w:pPr>
        <w:spacing w:after="0" w:line="240" w:lineRule="auto"/>
        <w:jc w:val="right"/>
        <w:rPr>
          <w:rFonts w:ascii="Times New Roman" w:hAnsi="Times New Roman" w:cs="Times New Roman"/>
        </w:rPr>
      </w:pPr>
      <w:r>
        <w:rPr>
          <w:rFonts w:ascii="Times New Roman" w:hAnsi="Times New Roman" w:cs="Times New Roman"/>
        </w:rPr>
        <w:t>vmontoya@untref.edu.ar</w:t>
      </w:r>
    </w:p>
    <w:p w14:paraId="1FA0F857" w14:textId="77777777" w:rsidR="005F3B2E" w:rsidRPr="00BA642E" w:rsidRDefault="005F3B2E" w:rsidP="005F3B2E">
      <w:pP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35A6682C" w14:textId="30391BB8" w:rsidR="00BA642E" w:rsidRDefault="00BA642E" w:rsidP="007B5B5F">
      <w:pPr>
        <w:spacing w:line="240" w:lineRule="auto"/>
        <w:jc w:val="both"/>
        <w:rPr>
          <w:rFonts w:ascii="Times New Roman" w:hAnsi="Times New Roman" w:cs="Times New Roman"/>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62420F4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Esta ponencia propone reconstruir el espacio léxico de las ciencias sociales argentinas mediante un análisis lexicométrico de un corpus compuesto por los títulos de artículos científicos publicados por autoras y autores afiliados a instituciones argentinas durante los últimos diez años. El corpus fue construido a partir de registros extraídos de la base de datos bibliométrica OpenAlex, que permite acceder a información estructurada sobre la producción científica internacional y facilita la construcción de grandes corpus textuales asociados a metadatos bibliográficos. En este sentido, el trabajo busca explorar las posibilidades que ofrecen las nuevas infraestructuras de datos abiertos para el estudio empírico de los campos científicos nacionales. Desde un punto de vista teórico, el análisis se inscribe en la sociología del campo científico desarrollada por Pierre Bourdieu. En esta perspectiva, los títulos de los artículos se interpretan como tomas de posición discursivas en el campo científico, en tanto condensan las problemáticas, categorías analíticas y objetos de investigación que estructuran la producción académica. Aunque se trata de unidades textuales breves, los títulos desempeñan una función estratégica en la comunicación científica, ya que sintetizan el contenido del trabajo y lo inscriben en determinadas tradiciones teóricas y agendas de investigación. Analizados de manera agregada, estos elementos permiten aproximarse empíricamente a la estructura simbólica del campo y a las principales oposiciones que lo organizan. Desde el punto de vista metodológico, los títulos constituyen un conjunto de prácticas discursivas objetivables mediante técnicas lexicométricas. El estudio se apoya en métodos de análisis estadístico del léxico, particularmente en el análisis factorial de correspondencias, que permite modelizar geométricamente el espacio léxico del corpus y visualizar las principales polaridades semánticas que lo estructuran.  El análisis se desarrolla en varias etapas. En primer lugar, se presenta el marco teórico y metodológico que articula la sociología del campo científico con los métodos lexicométricos. En segundo lugar, se describe el corpus y se realiza un análisis de las frecuencias léxicas, con el fin de identificar los términos más recurrentes en los títulos de artículos. En tercer lugar, se lleva a cabo un análisis factorial de correspondencias, que permite identificar los principales ejes de estructuración del espacio léxico. Finalmente, se aplica una clasificación jerárquica descendente del léxico con el objetivo de identificar los principales universos temáticos que organizan la producción reciente de las ciencias sociales argentinas y de </w:t>
      </w:r>
      <w:r w:rsidRPr="0065755A">
        <w:rPr>
          <w:rFonts w:ascii="Times New Roman" w:hAnsi="Times New Roman" w:cs="Times New Roman"/>
          <w:lang w:val="es-AR"/>
        </w:rPr>
        <w:lastRenderedPageBreak/>
        <w:t>explorar las proximidades y distancias entre diferentes conjuntos de problemáticas de investigación. Se espera que este trabajo contribuya al desarrollo de una metodología de análisis de la producción científica basada en grandes bases de datos bibliométricas, mostrando el potencial analítico de recursos como OpenAlex para el estudio empírico de los campos científicos nacionales. Al mismo tiempo, el estudio busca aportar nuevos elementos para la comprensión de la estructura temática y conceptual de las ciencias sociales argentinas en la última década, así como de las dinámicas de especialización y diferenciación que atraviesan este espacio académico.</w:t>
      </w:r>
    </w:p>
    <w:p w14:paraId="2DD28D99" w14:textId="77777777" w:rsidR="0065755A" w:rsidRPr="0065755A" w:rsidRDefault="0065755A" w:rsidP="007B5B5F">
      <w:pPr>
        <w:spacing w:line="240" w:lineRule="auto"/>
        <w:jc w:val="both"/>
        <w:rPr>
          <w:rFonts w:ascii="Times New Roman" w:hAnsi="Times New Roman" w:cs="Times New Roman"/>
          <w:lang w:val="es-AR"/>
        </w:rPr>
      </w:pPr>
    </w:p>
    <w:p w14:paraId="66663D06" w14:textId="77777777" w:rsidR="0065755A" w:rsidRPr="007B5B5F" w:rsidRDefault="0065755A" w:rsidP="007B5B5F">
      <w:pPr>
        <w:spacing w:line="240" w:lineRule="auto"/>
        <w:jc w:val="both"/>
        <w:rPr>
          <w:rFonts w:ascii="Times New Roman" w:hAnsi="Times New Roman" w:cs="Times New Roman"/>
          <w:b/>
          <w:bCs/>
        </w:rPr>
      </w:pPr>
    </w:p>
    <w:p w14:paraId="2994BAB3" w14:textId="4608AEA1" w:rsidR="00BA642E"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p>
    <w:p w14:paraId="5802B1E4" w14:textId="71C88FAD" w:rsidR="0065755A" w:rsidRDefault="0065755A" w:rsidP="007B5B5F">
      <w:pPr>
        <w:spacing w:line="240" w:lineRule="auto"/>
        <w:jc w:val="both"/>
        <w:rPr>
          <w:rFonts w:ascii="Times New Roman" w:hAnsi="Times New Roman" w:cs="Times New Roman"/>
          <w:lang w:val="es-AR"/>
        </w:rPr>
      </w:pPr>
      <w:r>
        <w:rPr>
          <w:rFonts w:ascii="Times New Roman" w:hAnsi="Times New Roman" w:cs="Times New Roman"/>
          <w:lang w:val="es-AR"/>
        </w:rPr>
        <w:t xml:space="preserve">Lexicometría, sociología de la ciencia, campo científico, análisis factorial de correspondencias, ciencias sociales, Argentina, </w:t>
      </w:r>
      <w:r w:rsidR="00C97D6B">
        <w:rPr>
          <w:rFonts w:ascii="Times New Roman" w:hAnsi="Times New Roman" w:cs="Times New Roman"/>
          <w:lang w:val="es-AR"/>
        </w:rPr>
        <w:t>bibliometría</w:t>
      </w:r>
    </w:p>
    <w:p w14:paraId="31ED49F6" w14:textId="77777777" w:rsidR="0065755A" w:rsidRPr="007B5B5F" w:rsidRDefault="0065755A" w:rsidP="007B5B5F">
      <w:pPr>
        <w:spacing w:line="240" w:lineRule="auto"/>
        <w:jc w:val="both"/>
        <w:rPr>
          <w:rFonts w:ascii="Times New Roman" w:hAnsi="Times New Roman" w:cs="Times New Roman"/>
          <w:b/>
          <w:bCs/>
        </w:rPr>
      </w:pPr>
    </w:p>
    <w:p w14:paraId="544B704F" w14:textId="77777777" w:rsidR="00BC236F" w:rsidRPr="0065755A" w:rsidRDefault="00BC236F" w:rsidP="007B5B5F">
      <w:pPr>
        <w:spacing w:line="240" w:lineRule="auto"/>
        <w:jc w:val="both"/>
        <w:rPr>
          <w:rFonts w:ascii="Times New Roman" w:hAnsi="Times New Roman" w:cs="Times New Roman"/>
          <w:lang w:val="es-AR"/>
        </w:rPr>
      </w:pPr>
    </w:p>
    <w:p w14:paraId="39FE87C7" w14:textId="77777777" w:rsidR="0065755A" w:rsidRPr="0065755A" w:rsidRDefault="0065755A" w:rsidP="00BA4171">
      <w:pPr>
        <w:pStyle w:val="Ttulo1"/>
      </w:pPr>
      <w:r w:rsidRPr="0065755A">
        <w:t>Introducción</w:t>
      </w:r>
    </w:p>
    <w:p w14:paraId="74ABC165" w14:textId="66908756"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Durante las últimas dos décadas, el desarrollo de infraestructuras digitales de información científica ha transformado profundamente las posibilidades de investigación sobre la producción académica. La consolidación de grandes bases bibliográficas internacionales, la expansión del movimiento de ciencia abierta y la creciente disponibilidad de interfaces de programación (API) han permitido acceder de manera sistemática a millones de registros bibliográficos acompañados de metadatos estructurados sobre autores, instituciones, disciplinas, idiomas, redes de colaboración, etc. Estas transformaciones no solo han ampliado el acceso a la información, sino que han modificado las condiciones mismas de producción del conocimiento sobre la ciencia, haciendo posible abordar preguntas de investigación que hasta hace pocos años resultaban técnicamente inviables.</w:t>
      </w:r>
    </w:p>
    <w:p w14:paraId="7C27334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este contexto, OpenAlex constituye una de las infraestructuras abiertas más relevantes para el estudio empírico de los sistemas científicos contemporáneos. A diferencia de las bases de datos bibliográficas comerciales, cuya utilización suele estar condicionada por restricciones de acceso y licencias de uso, OpenAlex ofrece un acceso abierto a información estructurada sobre cientos de millones de publicaciones científicas. Esta apertura no representa únicamente una mejora en la disponibilidad de datos, sino un cambio cualitativo en las posibilidades de investigación, al permitir construir corpus documentales extensos, reproducibles y permanentemente actualizables.</w:t>
      </w:r>
    </w:p>
    <w:p w14:paraId="06E81BA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Sin embargo, el enorme potencial de estas infraestructuras parece seguir siendo aprovechado principalmente desde una perspectiva bibliométrica clásica. A menudos,  las investigaciones desarrolladas a partir de grandes bases de datos internacionales se concentra en la producción de indicadores relativos al volumen de publicaciones, impacto de citas o colaboración científica. Estos estudios han contribuido significativamente a la </w:t>
      </w:r>
      <w:r w:rsidRPr="0065755A">
        <w:rPr>
          <w:rFonts w:ascii="Times New Roman" w:hAnsi="Times New Roman" w:cs="Times New Roman"/>
          <w:lang w:val="es-AR"/>
        </w:rPr>
        <w:lastRenderedPageBreak/>
        <w:t>comprensión de la organización de la ciencia contemporánea y constituyen hoy herramientas fundamentales para el análisis de las políticas científicas. No obstante, al privilegiar las relaciones entre publicaciones, autores e instituciones, tienden a dejar en un segundo plano el contenido de la producción académica.</w:t>
      </w:r>
    </w:p>
    <w:p w14:paraId="117A2AF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posibilidad de acceder simultáneamente a decenas de miles de títulos, resúmenes o palabras clave abre la puerta al desarrollo de otro tipo de investigaciones, orientadas no tanto a medir la producción científica como a analizar los universos conceptuales que la organizan. Desde esta perspectiva, las grandes bases bibliográficas dejan de ser únicamente una fuente para construir indicadores y se convierten en corpus susceptibles de ser estudiados mediante técnicas de análisis textual: el estudio sistemático del léxico empleado por una comunidad científica permite aproximarse a las regularidades discursivas que estructuran la producción de conocimiento y explorar las formas de diferenciación que atraviesan un campo científico.</w:t>
      </w:r>
    </w:p>
    <w:p w14:paraId="16D00AC6"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Esta ponencia parte precisamente de esa premisa. Su objetivo consiste en reconstruir el espacio léxico</w:t>
      </w:r>
      <w:r w:rsidRPr="0065755A">
        <w:rPr>
          <w:rFonts w:ascii="Times New Roman" w:hAnsi="Times New Roman" w:cs="Times New Roman"/>
          <w:vertAlign w:val="superscript"/>
          <w:lang w:val="es-AR"/>
        </w:rPr>
        <w:footnoteReference w:id="1"/>
      </w:r>
      <w:r w:rsidRPr="0065755A">
        <w:rPr>
          <w:rFonts w:ascii="Times New Roman" w:hAnsi="Times New Roman" w:cs="Times New Roman"/>
          <w:lang w:val="es-AR"/>
        </w:rPr>
        <w:t xml:space="preserve"> de las ciencias sociales argentinas a partir de un análisis lexicométrico de los 48.256  títulos de artículos científicos redactados en español y publicados entre 2015 y 2025 por autoras/es afiliadas/os a instituciones argentinas e indexados en OpenAlex.</w:t>
      </w:r>
    </w:p>
    <w:p w14:paraId="4639FFC2"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elección de los títulos como unidad de análisis responde tanto a consideraciones comunicacionales, sociológicas y técnicas. Desde el punto de vista de la comunicación científica, el título constituye el primer dispositivo de identificación de un trabajo académico: resume su contenido, delimita su objeto de estudio, señala su inscripción disciplinar y orienta su circulación dentro de comunidades científicas específicas. Aunque se trata de unidades textuales breves, condensan decisiones intelectuales fundamentales acerca de los conceptos movilizados, los problemas investigados y los marcos analíticos privilegiados por los autores.</w:t>
      </w:r>
    </w:p>
    <w:p w14:paraId="3A15874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Desde una perspectiva basada en la sociología del campo científico, los títulos pueden ser interpretados como formas objetivadas de las tomas de posición que realizan los investigadores dentro del espacio científico </w:t>
      </w:r>
      <w:r w:rsidRPr="0065755A">
        <w:rPr>
          <w:rFonts w:ascii="Times New Roman" w:hAnsi="Times New Roman" w:cs="Times New Roman"/>
          <w:lang w:val="es-AR"/>
        </w:rPr>
        <w:fldChar w:fldCharType="begin"/>
      </w:r>
      <w:r w:rsidRPr="0065755A">
        <w:rPr>
          <w:rFonts w:ascii="Times New Roman" w:hAnsi="Times New Roman" w:cs="Times New Roman"/>
          <w:lang w:val="es-AR"/>
        </w:rPr>
        <w:instrText xml:space="preserve"> ADDIN ZOTERO_ITEM CSL_CITATION {"citationID":"5TsuYhyS","properties":{"unsorted":false,"formattedCitation":"(Bourdieu, 1984)","plainCitation":"(Bourdieu, 1984)","noteIndex":0},"citationItems":[{"id":388,"uris":["http://zotero.org/users/4841127/items/AN7RZ4TR"],"itemData":{"id":388,"type":"book","call-number":"LB2331.74.F8 B68 1984","collection-title":"Collection \"Le Sens commun\"","ISBN":"978-2-7073-0696-8","number-of-pages":"302","publisher":"Éditions de Minuit","publisher-place":"Paris","source":"Library of Congress ISBN","title":"Homo academicus","author":[{"family":"Bourdieu","given":"Pierre"}],"issued":{"date-parts":[["1984"]]}}}],"schema":"https://github.com/citation-style-language/schema/raw/master/csl-citation.json"} </w:instrText>
      </w:r>
      <w:r w:rsidRPr="0065755A">
        <w:rPr>
          <w:rFonts w:ascii="Times New Roman" w:hAnsi="Times New Roman" w:cs="Times New Roman"/>
          <w:lang w:val="es-AR"/>
        </w:rPr>
        <w:fldChar w:fldCharType="separate"/>
      </w:r>
      <w:r w:rsidRPr="0065755A">
        <w:rPr>
          <w:rFonts w:ascii="Times New Roman" w:hAnsi="Times New Roman" w:cs="Times New Roman"/>
          <w:lang w:val="es-AR"/>
        </w:rPr>
        <w:t>(Bourdieu, 1984)</w:t>
      </w:r>
      <w:r w:rsidRPr="0065755A">
        <w:rPr>
          <w:rFonts w:ascii="Times New Roman" w:hAnsi="Times New Roman" w:cs="Times New Roman"/>
        </w:rPr>
        <w:fldChar w:fldCharType="end"/>
      </w:r>
      <w:r w:rsidRPr="0065755A">
        <w:rPr>
          <w:rFonts w:ascii="Times New Roman" w:hAnsi="Times New Roman" w:cs="Times New Roman"/>
          <w:lang w:val="es-AR"/>
        </w:rPr>
        <w:t xml:space="preserve">. En efecto, toda producción científica participa de las luchas simbólicas que estructuran el campo: seleccionar determinados objetos de investigación, adoptar ciertos conceptos, privilegiar determinadas categorías analíticas o inscribirse en tradiciones teóricas específicas constituye una manera de ocupar una posición y de intervenir en la definición legítima de los problemas científicos. En este sentido, los títulos no representan simplemente etiquetas descriptivas, sino manifestaciones condensadas de esas tomas de posición. </w:t>
      </w:r>
    </w:p>
    <w:p w14:paraId="66F455EF"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En cuanto a lo técnico, al limitarse al título, se reduce el material léxico, lo cual permite ampliar la cantidad de artículos considerados dadas las limitaciones computacionales que </w:t>
      </w:r>
      <w:r w:rsidRPr="0065755A">
        <w:rPr>
          <w:rFonts w:ascii="Times New Roman" w:hAnsi="Times New Roman" w:cs="Times New Roman"/>
          <w:lang w:val="es-AR"/>
        </w:rPr>
        <w:lastRenderedPageBreak/>
        <w:t>condicionan la capacidad de tratamiento de datos en estas instancias iniciales de implementación del método.</w:t>
      </w:r>
    </w:p>
    <w:p w14:paraId="46919E2C"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hipótesis que orienta este trabajo sostiene que el espacio léxico construido a partir de los títulos de los artículos constituye una aproximación empírica a la estructura del campo de las ciencias sociales argentinas. Dicho de otro modo, las oposiciones léxicas observables mediante métodos estadísticos reflejan, al menos parcialmente, las oposiciones intelectuales que organizan la producción científica. </w:t>
      </w:r>
    </w:p>
    <w:p w14:paraId="5B6DCA7C"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Esta perspectiva supone una concepción relacional y estructural tanto del lenguaje como del campo científico </w:t>
      </w:r>
      <w:r w:rsidRPr="0065755A">
        <w:rPr>
          <w:rFonts w:ascii="Times New Roman" w:hAnsi="Times New Roman" w:cs="Times New Roman"/>
          <w:lang w:val="es-AR"/>
        </w:rPr>
        <w:fldChar w:fldCharType="begin"/>
      </w:r>
      <w:r w:rsidRPr="0065755A">
        <w:rPr>
          <w:rFonts w:ascii="Times New Roman" w:hAnsi="Times New Roman" w:cs="Times New Roman"/>
          <w:lang w:val="es-AR"/>
        </w:rPr>
        <w:instrText xml:space="preserve"> ADDIN ZOTERO_ITEM CSL_CITATION {"citationID":"GzRzP3ss","properties":{"unsorted":false,"formattedCitation":"(Bourdieu, 1982, 1984, 2019)","plainCitation":"(Bourdieu, 1982, 1984, 2019)","noteIndex":0},"citationItems":[{"id":1093,"uris":["http://zotero.org/users/4841127/items/JBFCYK3Q"],"itemData":{"id":1093,"type":"book","call-number":"P106 .B68 1982","ISBN":"978-2-213-01216-2","number-of-pages":"243","publisher":"Fayard","publisher-place":"Paris","source":"Library of Congress ISBN","title":"Ce que parler veut dire: l'économie des échanges linguistiques","title-short":"Ce que parler veut dire","author":[{"family":"Bourdieu","given":"Pierre"}],"issued":{"date-parts":[["1982"]]}}},{"id":388,"uris":["http://zotero.org/users/4841127/items/AN7RZ4TR"],"itemData":{"id":388,"type":"book","call-number":"LB2331.74.F8 B68 1984","collection-title":"Collection \"Le Sens commun\"","ISBN":"978-2-7073-0696-8","number-of-pages":"302","publisher":"Éditions de Minuit","publisher-place":"Paris","source":"Library of Congress ISBN","title":"Homo academicus","author":[{"family":"Bourdieu","given":"Pierre"}],"issued":{"date-parts":[["1984"]]}}},{"id":307,"uris":["http://zotero.org/users/4841127/items/DXEER2QB"],"itemData":{"id":307,"type":"book","ISBN":"978-987-629-916-9","language":"Spanish","note":"OCLC: 1135590825","number-of-pages":"616","publisher":"Siglo Veintiuno Editores","publisher-place":"Buenos Aires","source":"Open WorldCat","title":"Curso de sociología general 1. Conceptos fundamentales, Collège de France, 1981-1983","author":[{"family":"Bourdieu","given":"Pierre"}],"editor":[{"family":"Champagne","given":"Patrick"},{"family":"Duval","given":"Julien"},{"family":"Poupeau","given":"Franck"},{"family":"Rivière","given":"Marie-Christine"},{"family":"Gutiérrez","given":"Alicia B"}],"translator":[{"family":"Martínez Kolodens","given":"Ezequiel"}],"issued":{"date-parts":[["2019"]]}}}],"schema":"https://github.com/citation-style-language/schema/raw/master/csl-citation.json"} </w:instrText>
      </w:r>
      <w:r w:rsidRPr="0065755A">
        <w:rPr>
          <w:rFonts w:ascii="Times New Roman" w:hAnsi="Times New Roman" w:cs="Times New Roman"/>
          <w:lang w:val="es-AR"/>
        </w:rPr>
        <w:fldChar w:fldCharType="separate"/>
      </w:r>
      <w:r w:rsidRPr="0065755A">
        <w:rPr>
          <w:rFonts w:ascii="Times New Roman" w:hAnsi="Times New Roman" w:cs="Times New Roman"/>
          <w:lang w:val="es-AR"/>
        </w:rPr>
        <w:t>(Bourdieu, 1982, 1984, 2019)</w:t>
      </w:r>
      <w:r w:rsidRPr="0065755A">
        <w:rPr>
          <w:rFonts w:ascii="Times New Roman" w:hAnsi="Times New Roman" w:cs="Times New Roman"/>
        </w:rPr>
        <w:fldChar w:fldCharType="end"/>
      </w:r>
      <w:r w:rsidRPr="0065755A">
        <w:rPr>
          <w:rFonts w:ascii="Times New Roman" w:hAnsi="Times New Roman" w:cs="Times New Roman"/>
          <w:lang w:val="es-AR"/>
        </w:rPr>
        <w:t>. El interés no reside únicamente en identificar cuáles son los términos más frecuentes del corpus, sino en comprender cómo se organizan entre sí, qué oposiciones estructuran el espacio léxico y qué configuraciones discursivas emergen de su distribución. Desde este punto de vista, el vocabulario científico deja de ser entendido como un simple repertorio de palabras para convertirse en un sistema de relaciones cuya estructura puede analizarse mediante técnicas de análisis geométrico de datos.</w:t>
      </w:r>
    </w:p>
    <w:p w14:paraId="1DFDE259"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Con este propósito, el trabajo combina herramientas de procesamiento del lenguaje natural, técnicas lexicométricas y métodos de análisis geométrico de datos. En una primera etapa se construyó y depuró el corpus a partir de registros extraídos mediante la API de OpenAlex, incorporando procedimientos de normalización lingüística destinados a preservar la unidad semántica de instituciones, conceptos y expresiones compuestas. Posteriormente se elaboró una matriz documento-término sobre la cual se desarrollaron tres niveles complementarios de análisis: un estudio descriptivo de las frecuencias léxicas, un análisis factorial de correspondencias orientado a reconstruir las principales dimensiones del espacio léxico y una clasificación jerárquica descendente destinada a identificar los principales universos discursivos presentes en el corpus.</w:t>
      </w:r>
    </w:p>
    <w:p w14:paraId="2FE1280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A partir de este recorrido metodológico, la ponencia desarrolla sucesivamente el marco teórico que fundamenta la noción de espacio léxico, presenta el corpus y la metodología empleada, analiza los principales resultados obtenidos y concluye discutiendo el alcance de esta propuesta para el estudio empírico de los campos científicos.</w:t>
      </w:r>
    </w:p>
    <w:p w14:paraId="6BC886A0" w14:textId="77777777" w:rsidR="0065755A" w:rsidRPr="0065755A" w:rsidRDefault="0065755A" w:rsidP="0065755A">
      <w:pPr>
        <w:spacing w:line="240" w:lineRule="auto"/>
        <w:jc w:val="both"/>
        <w:rPr>
          <w:rFonts w:ascii="Times New Roman" w:hAnsi="Times New Roman" w:cs="Times New Roman"/>
          <w:lang w:val="es-AR"/>
        </w:rPr>
      </w:pPr>
    </w:p>
    <w:p w14:paraId="06E1A748" w14:textId="77777777" w:rsidR="0065755A" w:rsidRPr="0065755A" w:rsidRDefault="0065755A" w:rsidP="00BA4171">
      <w:pPr>
        <w:pStyle w:val="Ttulo1"/>
      </w:pPr>
      <w:r w:rsidRPr="0065755A">
        <w:t>1. Marco teórico</w:t>
      </w:r>
    </w:p>
    <w:p w14:paraId="19DB3213"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estudio de la producción científica ha experimentado profundas transformaciones durante las últimas décadas. Tradicionalmente, la sociología de la ciencia ha recurrido a enfoques cualitativos centrados en las trayectorias de los investigadores, las instituciones, las comunidades disciplinares y los procesos de producción del conocimiento. Paralelamente, el desarrollo de la bibliometría permitió incorporar herramientas cuantitativas destinadas a analizar publicaciones, redes de colaboración, citas e indicadores de impacto. Aunque ambas tradiciones han producido avances significativos, comparten una limitación relativa: mientras la primera suele trabajar sobre un número reducido de casos, la segunda privilegia las relaciones entre documentos antes que el contenido intelectual de las publicaciones.</w:t>
      </w:r>
    </w:p>
    <w:p w14:paraId="091CD03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La creciente disponibilidad de grandes corpus científicos digitalizados abre la posibilidad de superar parcialmente esta dicotomía. Hoy resulta posible analizar simultáneamente decenas de miles de textos científicos utilizando herramientas estadísticas capaces de identificar regularidades discursivas, oposiciones temáticas y formas de organización conceptual que permanecen invisibles en estudios basados únicamente en indicadores bibliométricos. Sin embargo, para que estas técnicas produzcan conocimiento sociológico resulta necesario inscribirlas dentro de un marco teórico que permita interpretar dichas regularidades como expresión de procesos sociales más amplios. En este trabajo, ese marco está constituido por la teoría del campo científico desarrollada por Pierre Bourdieu.</w:t>
      </w:r>
    </w:p>
    <w:p w14:paraId="316D2C4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Para Bourdieu, la ciencia constituye un campo relativamente autónomo, es decir, un espacio social estructurado por relaciones objetivas entre agentes e instituciones que compiten por la producción y el monopolio de la autoridad científica legítima </w:t>
      </w:r>
      <w:r w:rsidRPr="0065755A">
        <w:rPr>
          <w:rFonts w:ascii="Times New Roman" w:hAnsi="Times New Roman" w:cs="Times New Roman"/>
          <w:lang w:val="es-AR"/>
        </w:rPr>
        <w:fldChar w:fldCharType="begin"/>
      </w:r>
      <w:r w:rsidRPr="0065755A">
        <w:rPr>
          <w:rFonts w:ascii="Times New Roman" w:hAnsi="Times New Roman" w:cs="Times New Roman"/>
          <w:lang w:val="es-AR"/>
        </w:rPr>
        <w:instrText xml:space="preserve"> ADDIN ZOTERO_ITEM CSL_CITATION {"citationID":"HvgHC1YW","properties":{"unsorted":false,"formattedCitation":"(Bourdieu, 1984, 2019)","plainCitation":"(Bourdieu, 1984, 2019)","noteIndex":0},"citationItems":[{"id":388,"uris":["http://zotero.org/users/4841127/items/AN7RZ4TR"],"itemData":{"id":388,"type":"book","call-number":"LB2331.74.F8 B68 1984","collection-title":"Collection \"Le Sens commun\"","ISBN":"978-2-7073-0696-8","number-of-pages":"302","publisher":"Éditions de Minuit","publisher-place":"Paris","source":"Library of Congress ISBN","title":"Homo academicus","author":[{"family":"Bourdieu","given":"Pierre"}],"issued":{"date-parts":[["1984"]]}}},{"id":307,"uris":["http://zotero.org/users/4841127/items/DXEER2QB"],"itemData":{"id":307,"type":"book","ISBN":"978-987-629-916-9","language":"Spanish","note":"OCLC: 1135590825","number-of-pages":"616","publisher":"Siglo Veintiuno Editores","publisher-place":"Buenos Aires","source":"Open WorldCat","title":"Curso de sociología general 1. Conceptos fundamentales, Collège de France, 1981-1983","author":[{"family":"Bourdieu","given":"Pierre"}],"editor":[{"family":"Champagne","given":"Patrick"},{"family":"Duval","given":"Julien"},{"family":"Poupeau","given":"Franck"},{"family":"Rivière","given":"Marie-Christine"},{"family":"Gutiérrez","given":"Alicia B"}],"translator":[{"family":"Martínez Kolodens","given":"Ezequiel"}],"issued":{"date-parts":[["2019"]]}}}],"schema":"https://github.com/citation-style-language/schema/raw/master/csl-citation.json"} </w:instrText>
      </w:r>
      <w:r w:rsidRPr="0065755A">
        <w:rPr>
          <w:rFonts w:ascii="Times New Roman" w:hAnsi="Times New Roman" w:cs="Times New Roman"/>
          <w:lang w:val="es-AR"/>
        </w:rPr>
        <w:fldChar w:fldCharType="separate"/>
      </w:r>
      <w:r w:rsidRPr="0065755A">
        <w:rPr>
          <w:rFonts w:ascii="Times New Roman" w:hAnsi="Times New Roman" w:cs="Times New Roman"/>
          <w:lang w:val="es-AR"/>
        </w:rPr>
        <w:t>(Bourdieu, 1984, 2019)</w:t>
      </w:r>
      <w:r w:rsidRPr="0065755A">
        <w:rPr>
          <w:rFonts w:ascii="Times New Roman" w:hAnsi="Times New Roman" w:cs="Times New Roman"/>
        </w:rPr>
        <w:fldChar w:fldCharType="end"/>
      </w:r>
      <w:r w:rsidRPr="0065755A">
        <w:rPr>
          <w:rFonts w:ascii="Times New Roman" w:hAnsi="Times New Roman" w:cs="Times New Roman"/>
          <w:lang w:val="es-AR"/>
        </w:rPr>
        <w:t>. Lejos de concebirse como una comunidad homogénea organizada exclusivamente alrededor de la búsqueda desinteresada de la verdad, el campo científico aparece como un espacio de luchas en el que investigadoras/es, equipos, universidades, revistas y organismos de investigación movilizan diferentes formas de capital para imponer determinadas maneras de definir los problemas legítimos de investigación, los métodos válidos y los criterios de excelencia académica.</w:t>
      </w:r>
    </w:p>
    <w:p w14:paraId="4449105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noción de campo introduce así una perspectiva eminentemente relacional y estructural. Las posiciones ocupadas por los agentes no pueden comprenderse aisladamente, sino únicamente en función de las relaciones que mantienen con el conjunto del espacio. Del mismo modo, las prácticas científicas adquieren sentido en relación con las posiciones desde las cuales son producidas. En esta perspectiva, la investigación científica no consiste únicamente en la acumulación de conocimientos, sino también en una sucesión permanente de tomas de posición mediante las cuales las/os investigadoras/es intervienen en las disputas que estructuran el campo.</w:t>
      </w:r>
    </w:p>
    <w:p w14:paraId="4203A973"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Las tomas de posición pueden adoptar formas diversas: la elección de un objeto de estudio, la adopción de un determinado marco teórico, la utilización de ciertos conceptos, la preferencia por determinados métodos o incluso la selección del vocabulario mediante el cual se construye un problema científico. En todos los casos, estas decisiones expresan una determinada manera de situarse dentro del espacio académico. </w:t>
      </w:r>
    </w:p>
    <w:p w14:paraId="21887932"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Desde esta perspectiva, los productos científicos no constituyen únicamente vehículos de comunicación del conocimiento, sino también objetivaciones de las relaciones sociales que organizan la actividad científica: los artículos representan formas materializadas de las luchas que atraviesan el campo. </w:t>
      </w:r>
    </w:p>
    <w:p w14:paraId="0B9E3388"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Entre los distintos componentes de una publicación científica, los títulos ocupan un lugar particularmente estratégico. Desde el punto de vista editorial, cumplen la función de identificar el contenido de un trabajo y facilitar su circulación dentro de las comunidades académicas. Constituyen el principal punto de acceso para los sistemas de indexación, los motores de búsqueda y las bases bibliográficas, así como orientan las decisiones de lectura de las/os investigadoras/es.</w:t>
      </w:r>
    </w:p>
    <w:p w14:paraId="4F2B9D0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Sin embargo, su importancia trasciende esta dimensión funcional. La elaboración de un título supone una operación de síntesis mediante la cual las/os autores seleccionan los conceptos que consideran centrales para representar su investigación. En pocas palabras se condensan el objeto de estudio, el enfoque analítico, la inscripción disciplinar y, en muchos casos, la perspectiva teórica adoptada, lo cual implica inscribirse en determinados debates, movilizar categorías reconocidas por una comunidad científica e identificar el trabajo con agendas específicas de investigación. En ese sentido, si bien individualmente considerados los títulos ofrecen una representación necesariamente parcial del contenido de cada publicación, cuando se analizan de manera agregada, permiten reconstruir las regularidades discursivas que caracterizan a una comunidad científica</w:t>
      </w:r>
    </w:p>
    <w:p w14:paraId="57331CD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Esta hipótesis supone desplazar el interés desde el significado aislado de las palabras hacia la estructura relacional del vocabulario. El problema deja de consistir en identificar cuáles son los términos más frecuentes para concentrarse en comprender cómo se organizan entre sí, qué asociaciones establecen y qué oposiciones estructuran el conjunto del corpus.</w:t>
      </w:r>
    </w:p>
    <w:p w14:paraId="5EE5FFAD" w14:textId="7E11F636"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lexicometría ofrece precisamente un conjunto de herramientas destinadas a estudiar las regularidades estadísticas del lenguaje en grandes corpus documentales. Su desarrollo, estrechamente vinculado a la escuela francesa de análisis de datos impulsada por Jean-Paul Benzécri y posteriormente ampliada por investigadores como André Salem y Ludovic Lebart, así como la clasificación propuesta por Max Reinert</w:t>
      </w:r>
      <w:r w:rsidR="00DF4282">
        <w:rPr>
          <w:rFonts w:ascii="Times New Roman" w:hAnsi="Times New Roman" w:cs="Times New Roman"/>
          <w:lang w:val="es-AR"/>
        </w:rPr>
        <w:t xml:space="preserve"> </w:t>
      </w:r>
      <w:r w:rsidR="00DF4282" w:rsidRPr="0065755A">
        <w:rPr>
          <w:rFonts w:ascii="Times New Roman" w:hAnsi="Times New Roman" w:cs="Times New Roman"/>
          <w:lang w:val="es-AR"/>
        </w:rPr>
        <w:fldChar w:fldCharType="begin"/>
      </w:r>
      <w:r w:rsidR="00DF4282" w:rsidRPr="0065755A">
        <w:rPr>
          <w:rFonts w:ascii="Times New Roman" w:hAnsi="Times New Roman" w:cs="Times New Roman"/>
          <w:lang w:val="es-AR"/>
        </w:rPr>
        <w:instrText xml:space="preserve"> ADDIN ZOTERO_ITEM CSL_CITATION {"citationID":"m1hziHxH","properties":{"unsorted":false,"formattedCitation":"(B\\uc0\\u233{}cue Bertaut, 2018; Lebart &amp; Salem, 1994; Ratinaud &amp; Marchand, 2015; Reinert, 1993)","plainCitation":"(Bécue Bertaut, 2018; Lebart &amp; Salem, 1994; Ratinaud &amp; Marchand, 2015; Reinert, 1993)","noteIndex":0},"citationItems":[{"id":1976,"uris":["http://zotero.org/users/4841127/items/XXHVPCNJ"],"itemData":{"id":1976,"type":"book","call-number":"410.285","collection-title":"Pratique de la statistique","ISBN":"978-2-7535-6533-3","language":"fre","publisher":"Presses universitaires de Rennes","publisher-place":"Rennes","source":"BnF ISBN","title":"Analyse textuelle avec R","author":[{"family":"Bécue Bertaut","given":"Monique"}],"issued":{"date-parts":[["2018"]]}}},{"id":31,"uris":["http://zotero.org/users/4841127/items/CI2FGJE7"],"itemData":{"id":31,"type":"book","call-number":"P302.85 .L43 1994","ISBN":"978-2-10-002239-7","number-of-pages":"342","publisher":"Dunod","publisher-place":"Paris","source":"Library of Congress ISBN","title":"Statistique textuelle","author":[{"family":"Lebart","given":"Ludovic"},{"family":"Salem","given":"A."}],"issued":{"date-parts":[["1994"]]}}},{"id":750,"uris":["http://zotero.org/users/4841127/items/LV95K6MQ"],"itemData":{"id":750,"type":"article-journal","abstract":"Le repérage, la description ou l’établissement des thématiques des discours étudiés sont toujours un objectif important pour les analystes qui s’affrontent au langage politique : description du contenu des programmes électoraux des partis, établissement de l’agenda-setting des organes de presse, mise au jour de la structuration sémantique des discours de grands leaders, etc.\n\nAu travers de cinq articles, le dossier propose un parcours méthodologique dans les protocoles existants pour extraire et établir les thèmes de plusieurs corpus politiques. Particulièrement, Mots. Les langages du politique accorde dans ce dossier une part importante aux méthodes lexicométriques telles qu’elles se développent en 2015 dans le prolongement des travaux originels de la revue au début des années quatre-vingt.\n\nLes thèmes et les corpus que les auteurs travaillent dans ce dossier sont variés : thématiques du discours électoral à la députation sous la Cinquième République dans une perspective genrée, programmes électoraux contemporains en Belgique, agenda de la presse quotidienne régionale française, débats parlementaires et présidentiels.","archive":"Cairn.info","container-title":"Mots. Les langages du politique","issue":"2","journalAbbreviation":"Mots. Les langages du politique","language":"FR","note":"publisher-place: Lyon","page":"57-77","publisher":"E.N.S. Editions","title":"Des mondes lexicaux aux représentations sociales. Une première approche des thématiques dans les débats à l’Assemblée nationale (1998-2014)","volume":"108","author":[{"family":"Ratinaud","given":"Pierre"},{"family":"Marchand","given":"Pascal"}],"issued":{"date-parts":[["2015"]]}}},{"id":748,"uris":["http://zotero.org/users/4841127/items/2CFTT8CI"],"itemData":{"id":748,"type":"article-journal","container-title":"Langage et société","DOI":"10.3406/lsoc.1993.2632","ISSN":"0181-4095","issue":"1","journalAbbreviation":"lsoc","language":"fr","page":"5-39","source":"DOI.org (Crossref)","title":"Les \"mondes lexicaux\" et leur 'logique\" à travers l'analyse statistique d'un corpus de récits de cauchemars","volume":"66","author":[{"family":"Reinert","given":"Max"}],"issued":{"date-parts":[["1993"]]}}}],"schema":"https://github.com/citation-style-language/schema/raw/master/csl-citation.json"} </w:instrText>
      </w:r>
      <w:r w:rsidR="00DF4282" w:rsidRPr="0065755A">
        <w:rPr>
          <w:rFonts w:ascii="Times New Roman" w:hAnsi="Times New Roman" w:cs="Times New Roman"/>
          <w:lang w:val="es-AR"/>
        </w:rPr>
        <w:fldChar w:fldCharType="separate"/>
      </w:r>
      <w:r w:rsidR="00DF4282" w:rsidRPr="0065755A">
        <w:rPr>
          <w:rFonts w:ascii="Times New Roman" w:hAnsi="Times New Roman" w:cs="Times New Roman"/>
          <w:lang w:val="es-MX"/>
        </w:rPr>
        <w:t>(Bécue Bertaut, 2018; Lebart &amp; Salem, 1994; Ratinaud &amp; Marchand, 2015; Reinert, 1993)</w:t>
      </w:r>
      <w:r w:rsidR="00DF4282" w:rsidRPr="0065755A">
        <w:rPr>
          <w:rFonts w:ascii="Times New Roman" w:hAnsi="Times New Roman" w:cs="Times New Roman"/>
        </w:rPr>
        <w:fldChar w:fldCharType="end"/>
      </w:r>
      <w:r w:rsidRPr="0065755A">
        <w:rPr>
          <w:rFonts w:ascii="Times New Roman" w:hAnsi="Times New Roman" w:cs="Times New Roman"/>
          <w:lang w:val="es-AR"/>
        </w:rPr>
        <w:t>, parte de una idea fundamental: los textos pueden analizarse como estructuras cuya organización puede ponerse en evidencia mediante métodos estadísticos.</w:t>
      </w:r>
    </w:p>
    <w:p w14:paraId="388E8A0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Esta perspectiva comparte con la teoría de los campos una concepción profundamente relacional y estructural. Así como las posiciones sociales sólo adquieren sentido en relación con otras posiciones, las unidades léxicas tampoco poseen un significado independiente del sistema de relaciones dentro del cual aparecen. Las palabras se organizan en función de sus coocurrencias, de sus distribuciones y de las oposiciones que establecen con otros conjuntos léxicos. El análisis estadístico permite precisamente objetivar esas relaciones y representarlas geométricamente.</w:t>
      </w:r>
    </w:p>
    <w:p w14:paraId="4F531EB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concepto de espacio léxico remite a esa organización relacional del vocabulario. No se trata simplemente de un inventario de palabras ni de una clasificación temática convencional, sino de una representación multidimensional de las proximidades y distancias existentes entre los diferentes universos discursivos presentes en un corpus. Los términos que aparecen frecuentemente en contextos similares tienden a ocupar posiciones próximas dentro del espacio factorial, mientras que aquellos asociados a problemáticas distintas aparecen alejados.</w:t>
      </w:r>
    </w:p>
    <w:p w14:paraId="42CF28D4"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Esta representación presenta una afinidad teórica clave con la noción bourdieusiana de espacio social, y más particularmente el proyecto de sociología estructural de la lengua que apunta a identificar un sistema de oposiciones lingüísticas sociológicamente pertinentes </w:t>
      </w:r>
      <w:r w:rsidRPr="0065755A">
        <w:rPr>
          <w:rFonts w:ascii="Times New Roman" w:hAnsi="Times New Roman" w:cs="Times New Roman"/>
          <w:lang w:val="es-AR"/>
        </w:rPr>
        <w:fldChar w:fldCharType="begin"/>
      </w:r>
      <w:r w:rsidRPr="0065755A">
        <w:rPr>
          <w:rFonts w:ascii="Times New Roman" w:hAnsi="Times New Roman" w:cs="Times New Roman"/>
          <w:lang w:val="es-AR"/>
        </w:rPr>
        <w:instrText xml:space="preserve"> ADDIN ZOTERO_ITEM CSL_CITATION {"citationID":"hECmrVR9","properties":{"unsorted":false,"formattedCitation":"(Bourdieu, 1982)","plainCitation":"(Bourdieu, 1982)","noteIndex":0},"citationItems":[{"id":1093,"uris":["http://zotero.org/users/4841127/items/JBFCYK3Q"],"itemData":{"id":1093,"type":"book","call-number":"P106 .B68 1982","ISBN":"978-2-213-01216-2","number-of-pages":"243","publisher":"Fayard","publisher-place":"Paris","source":"Library of Congress ISBN","title":"Ce que parler veut dire: l'économie des échanges linguistiques","title-short":"Ce que parler veut dire","author":[{"family":"Bourdieu","given":"Pierre"}],"issued":{"date-parts":[["1982"]]}}}],"schema":"https://github.com/citation-style-language/schema/raw/master/csl-citation.json"} </w:instrText>
      </w:r>
      <w:r w:rsidRPr="0065755A">
        <w:rPr>
          <w:rFonts w:ascii="Times New Roman" w:hAnsi="Times New Roman" w:cs="Times New Roman"/>
          <w:lang w:val="es-AR"/>
        </w:rPr>
        <w:fldChar w:fldCharType="separate"/>
      </w:r>
      <w:r w:rsidRPr="0065755A">
        <w:rPr>
          <w:rFonts w:ascii="Times New Roman" w:hAnsi="Times New Roman" w:cs="Times New Roman"/>
          <w:lang w:val="es-AR"/>
        </w:rPr>
        <w:t>(Bourdieu, 1982)</w:t>
      </w:r>
      <w:r w:rsidRPr="0065755A">
        <w:rPr>
          <w:rFonts w:ascii="Times New Roman" w:hAnsi="Times New Roman" w:cs="Times New Roman"/>
        </w:rPr>
        <w:fldChar w:fldCharType="end"/>
      </w:r>
      <w:r w:rsidRPr="0065755A">
        <w:rPr>
          <w:rFonts w:ascii="Times New Roman" w:hAnsi="Times New Roman" w:cs="Times New Roman"/>
          <w:lang w:val="es-AR"/>
        </w:rPr>
        <w:t xml:space="preserve">. En ambos casos, el análisis busca reconstruir una estructura de relaciones antes que describir entidades aisladas. El interés no reside tanto en las </w:t>
      </w:r>
      <w:r w:rsidRPr="0065755A">
        <w:rPr>
          <w:rFonts w:ascii="Times New Roman" w:hAnsi="Times New Roman" w:cs="Times New Roman"/>
          <w:lang w:val="es-AR"/>
        </w:rPr>
        <w:lastRenderedPageBreak/>
        <w:t xml:space="preserve">propiedades intrínsecas de los elementos analizados como en la posición relativa que ocupan dentro del conjunto. En consecuencia, el análisis factorial de correspondencias de un corpus puede entenderse como un procedimiento destinado a objetivar la estructura relacional del léxico, del mismo modo que el análisis geométrico de datos ha sido utilizado por Bourdieu para reconstruir espacios sociales </w:t>
      </w:r>
      <w:r w:rsidRPr="0065755A">
        <w:rPr>
          <w:rFonts w:ascii="Times New Roman" w:hAnsi="Times New Roman" w:cs="Times New Roman"/>
          <w:lang w:val="es-AR"/>
        </w:rPr>
        <w:fldChar w:fldCharType="begin"/>
      </w:r>
      <w:r w:rsidRPr="0065755A">
        <w:rPr>
          <w:rFonts w:ascii="Times New Roman" w:hAnsi="Times New Roman" w:cs="Times New Roman"/>
          <w:lang w:val="es-AR"/>
        </w:rPr>
        <w:instrText xml:space="preserve"> ADDIN ZOTERO_ITEM CSL_CITATION {"citationID":"mz8j8TPe","properties":{"unsorted":false,"formattedCitation":"(Lebaron &amp; Le Roux, 2015)","plainCitation":"(Lebaron &amp; Le Roux, 2015)","noteIndex":0},"citationItems":[{"id":1218,"uris":["http://zotero.org/users/4841127/items/LNAQPFX5"],"itemData":{"id":1218,"type":"book","abstract":"Depuis plusieurs années, les méthodes d'analyse géométrique des données (AGD) se diffusent dans les sciences sociales. Loin d'être une \"famille de méthodes\" parmi d'autres, elles sont en affinité avec le projet de représenter de façon spatiale la...","language":"fr","publisher":"Dunod","publisher-place":"Paris","source":"www.dunod.com","title":"La méthodologie de Pierre Bourdieu en action","author":[{"family":"Lebaron","given":"Frédéric"},{"family":"Le Roux","given":"Brigitte"}],"issued":{"date-parts":[["2015"]]}}}],"schema":"https://github.com/citation-style-language/schema/raw/master/csl-citation.json"} </w:instrText>
      </w:r>
      <w:r w:rsidRPr="0065755A">
        <w:rPr>
          <w:rFonts w:ascii="Times New Roman" w:hAnsi="Times New Roman" w:cs="Times New Roman"/>
          <w:lang w:val="es-AR"/>
        </w:rPr>
        <w:fldChar w:fldCharType="separate"/>
      </w:r>
      <w:r w:rsidRPr="0065755A">
        <w:rPr>
          <w:rFonts w:ascii="Times New Roman" w:hAnsi="Times New Roman" w:cs="Times New Roman"/>
          <w:lang w:val="es-AR"/>
        </w:rPr>
        <w:t>(Lebaron &amp; Le Roux, 2015)</w:t>
      </w:r>
      <w:r w:rsidRPr="0065755A">
        <w:rPr>
          <w:rFonts w:ascii="Times New Roman" w:hAnsi="Times New Roman" w:cs="Times New Roman"/>
        </w:rPr>
        <w:fldChar w:fldCharType="end"/>
      </w:r>
      <w:r w:rsidRPr="0065755A">
        <w:rPr>
          <w:rFonts w:ascii="Times New Roman" w:hAnsi="Times New Roman" w:cs="Times New Roman"/>
          <w:lang w:val="es-AR"/>
        </w:rPr>
        <w:t>.</w:t>
      </w:r>
    </w:p>
    <w:p w14:paraId="205E23A3" w14:textId="77777777" w:rsidR="0065755A" w:rsidRPr="0065755A" w:rsidRDefault="0065755A" w:rsidP="0065755A">
      <w:pPr>
        <w:spacing w:line="240" w:lineRule="auto"/>
        <w:jc w:val="both"/>
        <w:rPr>
          <w:rFonts w:ascii="Times New Roman" w:hAnsi="Times New Roman" w:cs="Times New Roman"/>
          <w:lang w:val="es-AR"/>
        </w:rPr>
      </w:pPr>
    </w:p>
    <w:p w14:paraId="5689D6CA" w14:textId="77777777" w:rsidR="0065755A" w:rsidRPr="0065755A" w:rsidRDefault="0065755A" w:rsidP="00BA4171">
      <w:pPr>
        <w:pStyle w:val="Ttulo1"/>
      </w:pPr>
      <w:r w:rsidRPr="0065755A">
        <w:t>2. Corpus y metodología</w:t>
      </w:r>
    </w:p>
    <w:p w14:paraId="430E9D29"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estrategia metodológica adoptada en este trabajo combina la explotación de infraestructuras abiertas de información científica, técnicas de procesamiento del lenguaje natural (PLN) y métodos lexicométricos de análisis estadístico del texto. </w:t>
      </w:r>
    </w:p>
    <w:p w14:paraId="22AFF7A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diseño metodológico se desarrolló en cuatro etapas sucesivas: (i) construcción del corpus a partir de la API de OpenAlex; (ii) depuración y normalización lingüística de los títulos; (iii) construcción de la matriz documento-término; y (iv) análisis estadístico del espacio léxico mediante análisis factorial de correspondencias y clasificación jerárquica descendente.</w:t>
      </w:r>
    </w:p>
    <w:p w14:paraId="53BB903D" w14:textId="77777777" w:rsidR="0065755A" w:rsidRPr="0065755A" w:rsidRDefault="0065755A" w:rsidP="0065755A">
      <w:pPr>
        <w:spacing w:line="240" w:lineRule="auto"/>
        <w:jc w:val="both"/>
        <w:rPr>
          <w:rFonts w:ascii="Times New Roman" w:hAnsi="Times New Roman" w:cs="Times New Roman"/>
          <w:b/>
          <w:bCs/>
          <w:lang w:val="es-AR"/>
        </w:rPr>
      </w:pPr>
    </w:p>
    <w:p w14:paraId="5D994934" w14:textId="39BF1DC0" w:rsidR="0065755A" w:rsidRPr="0065755A" w:rsidRDefault="0065755A" w:rsidP="00BA4171">
      <w:pPr>
        <w:pStyle w:val="Ttulo1"/>
      </w:pPr>
      <w:r w:rsidRPr="0065755A">
        <w:t>2.1 Construcción del corpus</w:t>
      </w:r>
    </w:p>
    <w:p w14:paraId="5C9A2FF3"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corpus fue construido a partir de la API de OpenAlex utilizando el paquete openalexR para R.  Con el fin de delimitar un corpus homogéneo y coherente con los objetivos de la investigación, se establecieron cinco criterios de selección. En primer lugar, se consideraron exclusivamente publicaciones clasificadas como artículos científicos , excluyendo otros tipos documentales como libros, capítulos o reseñas. En segundo lugar, se limitaron los registros al período comprendido entre 2015 y 2025, con el propósito de reconstruir la configuración reciente del campo de las ciencias sociales argentinas. En tercer lugar, se seleccionaron únicamente aquellos trabajos cuyo tema principal corresponde al campo de las Ciencias Sociales según la clasificación temática de OpenAlex. En cuarto lugar, se exigió que al menos uno de los autores estuviera afiliado a una institución argentina. Finalmente, se restringió la búsqueda a publicaciones redactadas en español.</w:t>
      </w:r>
    </w:p>
    <w:p w14:paraId="222E51E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consulta permitió recuperar inicialmente 51.123 registros bibliográficos, incluyendo para cada publicación el identificador del trabajo, el título, el año de publicación, las afiliaciones institucionales y los conceptos temáticos asociados. La utilización de la API garantiza la reproducibilidad del procedimiento y permite reconstruir el corpus a partir de criterios explícitos.</w:t>
      </w:r>
    </w:p>
    <w:p w14:paraId="6607B49F" w14:textId="77777777" w:rsidR="0065755A" w:rsidRPr="0065755A" w:rsidRDefault="0065755A" w:rsidP="0065755A">
      <w:pPr>
        <w:spacing w:line="240" w:lineRule="auto"/>
        <w:jc w:val="both"/>
        <w:rPr>
          <w:rFonts w:ascii="Times New Roman" w:hAnsi="Times New Roman" w:cs="Times New Roman"/>
          <w:lang w:val="es-AR"/>
        </w:rPr>
      </w:pPr>
    </w:p>
    <w:p w14:paraId="50A92515" w14:textId="2DE9BF53" w:rsidR="0065755A" w:rsidRPr="0065755A" w:rsidRDefault="0065755A" w:rsidP="00BA4171">
      <w:pPr>
        <w:pStyle w:val="Ttulo1"/>
      </w:pPr>
      <w:r w:rsidRPr="0065755A">
        <w:t>2.2 Depuración y normalización del corpus</w:t>
      </w:r>
    </w:p>
    <w:p w14:paraId="040070FF"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Una vez construido el corpus, se desarrolló un proceso de depuración destinado a mejorar la calidad lingüística de los datos antes de la construcción de la matriz documento-término.</w:t>
      </w:r>
    </w:p>
    <w:p w14:paraId="1FFB9C5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La primera etapa consistió en verificar automáticamente el idioma efectivo de los títulos mediante herramientas de detección lingüística. Este procedimiento permitió identificar inconsistencias entre el idioma declarado en los metadatos y el contenido textual de los registros. En particular, se observaron numerosos falsos negativos correspondientes a títulos correctamente redactados en español pero clasificados como gallego debido a la proximidad léxica entre ambas lenguas. Para corregir estas situaciones se implementó una segunda verificación basada en la presencia de caracteres propios del español (acentos, eñe y signos de interrogación o exclamación), seguida de una revisión de las modalidades detectadas como gallego. Como resultado de este proceso, el corpus definitivo quedó conformado por 48.256 títulos en español.</w:t>
      </w:r>
    </w:p>
    <w:p w14:paraId="12AA585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Posteriormente se realizó una etapa de normalización lingüística destinada a preservar la unidad semántica de expresiones complejas. En los análisis lexicométricos convencionales, los sintagmas suelen fragmentarse en palabras individuales, perdiéndose parte importante de su significado. Expresiones como </w:t>
      </w:r>
      <w:r w:rsidRPr="0065755A">
        <w:rPr>
          <w:rFonts w:ascii="Times New Roman" w:hAnsi="Times New Roman" w:cs="Times New Roman"/>
          <w:i/>
          <w:iCs/>
          <w:lang w:val="es-AR"/>
        </w:rPr>
        <w:t>educación superior</w:t>
      </w:r>
      <w:r w:rsidRPr="0065755A">
        <w:rPr>
          <w:rFonts w:ascii="Times New Roman" w:hAnsi="Times New Roman" w:cs="Times New Roman"/>
          <w:lang w:val="es-AR"/>
        </w:rPr>
        <w:t>, </w:t>
      </w:r>
      <w:r w:rsidRPr="0065755A">
        <w:rPr>
          <w:rFonts w:ascii="Times New Roman" w:hAnsi="Times New Roman" w:cs="Times New Roman"/>
          <w:i/>
          <w:iCs/>
          <w:lang w:val="es-AR"/>
        </w:rPr>
        <w:t>derechos humanos</w:t>
      </w:r>
      <w:r w:rsidRPr="0065755A">
        <w:rPr>
          <w:rFonts w:ascii="Times New Roman" w:hAnsi="Times New Roman" w:cs="Times New Roman"/>
          <w:lang w:val="es-AR"/>
        </w:rPr>
        <w:t> o </w:t>
      </w:r>
      <w:r w:rsidRPr="0065755A">
        <w:rPr>
          <w:rFonts w:ascii="Times New Roman" w:hAnsi="Times New Roman" w:cs="Times New Roman"/>
          <w:i/>
          <w:iCs/>
          <w:lang w:val="es-AR"/>
        </w:rPr>
        <w:t>políticas públicas</w:t>
      </w:r>
      <w:r w:rsidRPr="0065755A">
        <w:rPr>
          <w:rFonts w:ascii="Times New Roman" w:hAnsi="Times New Roman" w:cs="Times New Roman"/>
          <w:lang w:val="es-AR"/>
        </w:rPr>
        <w:t> dejan entonces de funcionar como conceptos para transformarse en términos independientes, dificultando la interpretación sociológica de los resultados.</w:t>
      </w:r>
    </w:p>
    <w:p w14:paraId="2C0B5F5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Con el propósito de evitar esta fragmentación se implementó un procedimiento de identificación automática de entidades nombradas y colocaciones léxicas frecuentes mediante herramientas de procesamiento del lenguaje natural. A partir de estos resultados se elaboró un diccionario de recodificación que permitió transformar instituciones, conceptos, regiones geográficas y nombres propios en unidades léxicas únicas. Así, expresiones como </w:t>
      </w:r>
      <w:r w:rsidRPr="0065755A">
        <w:rPr>
          <w:rFonts w:ascii="Times New Roman" w:hAnsi="Times New Roman" w:cs="Times New Roman"/>
          <w:i/>
          <w:iCs/>
          <w:lang w:val="es-AR"/>
        </w:rPr>
        <w:t>Universidad Nacional de La Plata</w:t>
      </w:r>
      <w:r w:rsidRPr="0065755A">
        <w:rPr>
          <w:rFonts w:ascii="Times New Roman" w:hAnsi="Times New Roman" w:cs="Times New Roman"/>
          <w:lang w:val="es-AR"/>
        </w:rPr>
        <w:t>, </w:t>
      </w:r>
      <w:r w:rsidRPr="0065755A">
        <w:rPr>
          <w:rFonts w:ascii="Times New Roman" w:hAnsi="Times New Roman" w:cs="Times New Roman"/>
          <w:i/>
          <w:iCs/>
          <w:lang w:val="es-AR"/>
        </w:rPr>
        <w:t>América Latina</w:t>
      </w:r>
      <w:r w:rsidRPr="0065755A">
        <w:rPr>
          <w:rFonts w:ascii="Times New Roman" w:hAnsi="Times New Roman" w:cs="Times New Roman"/>
          <w:lang w:val="es-AR"/>
        </w:rPr>
        <w:t> o </w:t>
      </w:r>
      <w:r w:rsidRPr="0065755A">
        <w:rPr>
          <w:rFonts w:ascii="Times New Roman" w:hAnsi="Times New Roman" w:cs="Times New Roman"/>
          <w:i/>
          <w:iCs/>
          <w:lang w:val="es-AR"/>
        </w:rPr>
        <w:t>relaciones internacionales</w:t>
      </w:r>
      <w:r w:rsidRPr="0065755A">
        <w:rPr>
          <w:rFonts w:ascii="Times New Roman" w:hAnsi="Times New Roman" w:cs="Times New Roman"/>
          <w:lang w:val="es-AR"/>
        </w:rPr>
        <w:t> fueron incorporadas al corpus como términos indivisibles.</w:t>
      </w:r>
    </w:p>
    <w:p w14:paraId="4B564C4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Asimismo, se eliminaron palabras vacías, elementos editoriales sin contenido analítico —como </w:t>
      </w:r>
      <w:r w:rsidRPr="0065755A">
        <w:rPr>
          <w:rFonts w:ascii="Times New Roman" w:hAnsi="Times New Roman" w:cs="Times New Roman"/>
          <w:i/>
          <w:iCs/>
          <w:lang w:val="es-AR"/>
        </w:rPr>
        <w:t>dossier</w:t>
      </w:r>
      <w:r w:rsidRPr="0065755A">
        <w:rPr>
          <w:rFonts w:ascii="Times New Roman" w:hAnsi="Times New Roman" w:cs="Times New Roman"/>
          <w:lang w:val="es-AR"/>
        </w:rPr>
        <w:t>, </w:t>
      </w:r>
      <w:r w:rsidRPr="0065755A">
        <w:rPr>
          <w:rFonts w:ascii="Times New Roman" w:hAnsi="Times New Roman" w:cs="Times New Roman"/>
          <w:i/>
          <w:iCs/>
          <w:lang w:val="es-AR"/>
        </w:rPr>
        <w:t>reseña</w:t>
      </w:r>
      <w:r w:rsidRPr="0065755A">
        <w:rPr>
          <w:rFonts w:ascii="Times New Roman" w:hAnsi="Times New Roman" w:cs="Times New Roman"/>
          <w:lang w:val="es-AR"/>
        </w:rPr>
        <w:t> o </w:t>
      </w:r>
      <w:r w:rsidRPr="0065755A">
        <w:rPr>
          <w:rFonts w:ascii="Times New Roman" w:hAnsi="Times New Roman" w:cs="Times New Roman"/>
          <w:i/>
          <w:iCs/>
          <w:lang w:val="es-AR"/>
        </w:rPr>
        <w:t>introducción</w:t>
      </w:r>
      <w:r w:rsidRPr="0065755A">
        <w:rPr>
          <w:rFonts w:ascii="Times New Roman" w:hAnsi="Times New Roman" w:cs="Times New Roman"/>
          <w:lang w:val="es-AR"/>
        </w:rPr>
        <w:t>—, signos de puntuación y otros elementos que no aportan información sustantiva para el análisis del espacio léxico. Este conjunto de operaciones tuvo como finalidad reducir la variabilidad puramente formal del corpus y preservar las unidades conceptuales relevantes para el análisis estadístico.</w:t>
      </w:r>
    </w:p>
    <w:p w14:paraId="48B80871" w14:textId="77777777" w:rsidR="0065755A" w:rsidRPr="0065755A" w:rsidRDefault="0065755A" w:rsidP="0065755A">
      <w:pPr>
        <w:spacing w:line="240" w:lineRule="auto"/>
        <w:jc w:val="both"/>
        <w:rPr>
          <w:rFonts w:ascii="Times New Roman" w:hAnsi="Times New Roman" w:cs="Times New Roman"/>
          <w:lang w:val="es-AR"/>
        </w:rPr>
      </w:pPr>
    </w:p>
    <w:p w14:paraId="5728C50B" w14:textId="526F2D34" w:rsidR="0065755A" w:rsidRPr="0065755A" w:rsidRDefault="0065755A" w:rsidP="00BA4171">
      <w:pPr>
        <w:pStyle w:val="Ttulo1"/>
      </w:pPr>
      <w:r w:rsidRPr="0065755A">
        <w:t>2.3 Construcción de la matriz documento-término</w:t>
      </w:r>
    </w:p>
    <w:p w14:paraId="521C29B6" w14:textId="6CDAF565"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Una vez finalizada la etapa de normalización, se construyó la matriz documento-término</w:t>
      </w:r>
      <w:r w:rsidR="0064033D">
        <w:rPr>
          <w:rFonts w:ascii="Times New Roman" w:hAnsi="Times New Roman" w:cs="Times New Roman"/>
          <w:lang w:val="es-AR"/>
        </w:rPr>
        <w:t xml:space="preserve"> (</w:t>
      </w:r>
      <w:r w:rsidR="0064033D" w:rsidRPr="0064033D">
        <w:rPr>
          <w:rFonts w:ascii="Times New Roman" w:hAnsi="Times New Roman" w:cs="Times New Roman"/>
          <w:i/>
          <w:iCs/>
          <w:lang w:val="es-AR"/>
        </w:rPr>
        <w:t>Document-term matrix</w:t>
      </w:r>
      <w:r w:rsidR="0064033D">
        <w:rPr>
          <w:rFonts w:ascii="Times New Roman" w:hAnsi="Times New Roman" w:cs="Times New Roman"/>
          <w:lang w:val="es-AR"/>
        </w:rPr>
        <w:t>, DTM</w:t>
      </w:r>
      <w:r w:rsidRPr="0065755A">
        <w:rPr>
          <w:rFonts w:ascii="Times New Roman" w:hAnsi="Times New Roman" w:cs="Times New Roman"/>
          <w:vertAlign w:val="superscript"/>
          <w:lang w:val="es-AR"/>
        </w:rPr>
        <w:footnoteReference w:id="2"/>
      </w:r>
      <w:r w:rsidRPr="0065755A">
        <w:rPr>
          <w:rFonts w:ascii="Times New Roman" w:hAnsi="Times New Roman" w:cs="Times New Roman"/>
          <w:lang w:val="es-AR"/>
        </w:rPr>
        <w:t xml:space="preserve">. Esta matriz constituye el punto de partida de la mayor parte de los métodos lexicométricos, ya que representa la distribución de las unidades léxicas entre los documentos del corpus. Cada fila corresponde a un artículo científico y cada columna representa un término retenido luego del preprocesamiento. Las celdas contienen la frecuencia de aparición de cada término en cada documento. El proceso de construcción de la DTM incorporó un umbral de dispersión destinado a eliminar términos </w:t>
      </w:r>
      <w:r w:rsidRPr="0065755A">
        <w:rPr>
          <w:rFonts w:ascii="Times New Roman" w:hAnsi="Times New Roman" w:cs="Times New Roman"/>
          <w:lang w:val="es-AR"/>
        </w:rPr>
        <w:lastRenderedPageBreak/>
        <w:t>extremadamente raros cuya presencia aislada no contribuye significativamente a la estructura general del espacio léxico.</w:t>
      </w:r>
    </w:p>
    <w:p w14:paraId="1D79087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matriz final comprende 48.256 documentos y 771 unidades léxicas, con un nivel de dispersión cercano al 99 %. Este resultado es característico de los grandes corpus científicos, donde la mayoría de los términos aparecen únicamente en un número reducido de documentos. Lejos de constituir una limitación, esta elevada dispersión refleja la diversidad temática propia de las ciencias sociales y justifica la utilización de métodos factoriales capaces de sintetizar estructuras complejas a partir de matrices altamente dispersas.</w:t>
      </w:r>
    </w:p>
    <w:p w14:paraId="47471699" w14:textId="77777777" w:rsidR="0065755A" w:rsidRPr="0065755A" w:rsidRDefault="0065755A" w:rsidP="0065755A">
      <w:pPr>
        <w:spacing w:line="240" w:lineRule="auto"/>
        <w:jc w:val="both"/>
        <w:rPr>
          <w:rFonts w:ascii="Times New Roman" w:hAnsi="Times New Roman" w:cs="Times New Roman"/>
          <w:lang w:val="es-AR"/>
        </w:rPr>
      </w:pPr>
    </w:p>
    <w:p w14:paraId="0D3AC31A" w14:textId="665514A2" w:rsidR="0065755A" w:rsidRPr="0065755A" w:rsidRDefault="0065755A" w:rsidP="00BA4171">
      <w:pPr>
        <w:pStyle w:val="Ttulo1"/>
      </w:pPr>
      <w:r w:rsidRPr="0065755A">
        <w:t>2.4 Estrategia de análisis</w:t>
      </w:r>
    </w:p>
    <w:p w14:paraId="225B75E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análisis estadístico del corpus se desarrolló mediante tres niveles complementarios de exploración.</w:t>
      </w:r>
    </w:p>
    <w:p w14:paraId="29C7781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una primera etapa se realizó un análisis descriptivo de las frecuencias léxicas con el objetivo de identificar los términos más recurrentes y ofrecer una caracterización general del vocabulario predominante. Esta exploración inicial permite reconocer los principales conceptos movilizados por la comunidad científica y constituye una primera aproximación a las agendas de investigación dominantes.</w:t>
      </w:r>
    </w:p>
    <w:p w14:paraId="6455C06C"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Sin embargo, las frecuencias resultan insuficientes para comprender la organización relacional del espacio léxico. Dos palabras pueden presentar frecuencias similares y, sin embargo, pertenecer a universos discursivos completamente diferentes. Por esta razón, el núcleo metodológico del trabajo se basa en el análisis factorial de correspondencias (AFC), cuyo objetivo consiste en representar simultáneamente documentos y términos dentro de un espacio multidimensional donde las distancias reflejan similitudes de distribución. Aplicado a un corpus textual, este procedimiento permite identificar los principales ejes que estructuran el vocabulario, poniendo en evidencia oposiciones semánticas y proximidades entre diferentes conjuntos de términos.</w:t>
      </w:r>
    </w:p>
    <w:p w14:paraId="48C3DB6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Desde la perspectiva adoptada en este trabajo, el interés del AFC reside en su capacidad para reconstruir el espacio léxico. Los ejes factoriales no representan categorías definidas a priori, sino dimensiones emergentes de la propia organización estadística del corpus. La interpretación sociológica consiste precisamente en identificar los principios de diferenciación que explican esas oposiciones y relacionarlos con las formas de estructuración del campo científico.</w:t>
      </w:r>
    </w:p>
    <w:p w14:paraId="1CC5EFE4"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Finalmente, con el propósito de identificar universos temáticos relativamente homogéneos, se aplicó una clasificación jerárquica descendente basada en el algoritmo desarrollado por Max Reinert. Este procedimiento agrupa documentos y términos según sus perfiles de coocurrencia, generando clases léxicas internamente homogéneas y externamente diferenciadas.</w:t>
      </w:r>
    </w:p>
    <w:p w14:paraId="7090CB0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A diferencia de las clasificaciones temáticas construidas manualmente, la clasificación descendente no parte de categorías predefinidas, sino que identifica agrupamientos </w:t>
      </w:r>
      <w:r w:rsidRPr="0065755A">
        <w:rPr>
          <w:rFonts w:ascii="Times New Roman" w:hAnsi="Times New Roman" w:cs="Times New Roman"/>
          <w:lang w:val="es-AR"/>
        </w:rPr>
        <w:lastRenderedPageBreak/>
        <w:t>emergentes a partir de la estructura estadística del corpus. Cada clase puede interpretarse como un universo discursivo relativamente coherente, caracterizado por un conjunto específico de vocabularios y problemáticas de investigación.</w:t>
      </w:r>
    </w:p>
    <w:p w14:paraId="7DC8C2A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articulación entre el análisis factorial y la clasificación descendente constituye uno de los principales intereses metodológicos del estudio. Mientras el AFC permite reconstruir las grandes dimensiones que organizan el espacio léxico, la clasificación descendente identifica las principales regiones que lo componen. Ambos procedimientos responden, por lo tanto, a una misma lógica: objetivar las regularidades que estructuran el vocabulario científico y aproximarse, a través de ellas, a las formas de diferenciación del campo de las ciencias sociales argentinas.</w:t>
      </w:r>
    </w:p>
    <w:p w14:paraId="19E039B1" w14:textId="77777777" w:rsidR="0065755A" w:rsidRPr="0065755A" w:rsidRDefault="0065755A" w:rsidP="0065755A">
      <w:pPr>
        <w:spacing w:line="240" w:lineRule="auto"/>
        <w:jc w:val="both"/>
        <w:rPr>
          <w:rFonts w:ascii="Times New Roman" w:hAnsi="Times New Roman" w:cs="Times New Roman"/>
          <w:lang w:val="es-AR"/>
        </w:rPr>
      </w:pPr>
    </w:p>
    <w:p w14:paraId="4A11F79E" w14:textId="77777777" w:rsidR="0065755A" w:rsidRPr="0065755A" w:rsidRDefault="0065755A" w:rsidP="00BA4171">
      <w:pPr>
        <w:pStyle w:val="Ttulo1"/>
      </w:pPr>
      <w:r w:rsidRPr="0065755A">
        <w:t>3. Resultados</w:t>
      </w:r>
    </w:p>
    <w:p w14:paraId="2E554AB5" w14:textId="77777777" w:rsidR="0065755A" w:rsidRPr="0065755A" w:rsidRDefault="0065755A" w:rsidP="00BA4171">
      <w:pPr>
        <w:pStyle w:val="Ttulo1"/>
      </w:pPr>
      <w:r w:rsidRPr="0065755A">
        <w:t>3.1. Las regularidades del vocabulario: una primera aproximación al espacio léxico</w:t>
      </w:r>
    </w:p>
    <w:p w14:paraId="191FC139"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corpus analizado está conformado por 48.256 artículos científicos publicados entre 2015 y 2025 por autoras/es afiliadas/os a instituciones argentinas y redactados en español. Desde el punto de vista temporal (Figura 1), la distribución de las publicaciones muestra un crecimiento sostenido entre 2015 y 2020, seguido por una disminución a partir de 2021. Esta inflexión coincide con el período de la pandemia de COVID-19 y probablemente refleja tanto el impacto que la crisis sanitaria tuvo sobre la actividad científica.</w:t>
      </w:r>
    </w:p>
    <w:p w14:paraId="72445569" w14:textId="77777777" w:rsidR="0065755A" w:rsidRPr="0065755A" w:rsidRDefault="0065755A" w:rsidP="0065755A">
      <w:pPr>
        <w:spacing w:line="240" w:lineRule="auto"/>
        <w:jc w:val="both"/>
        <w:rPr>
          <w:rFonts w:ascii="Times New Roman" w:hAnsi="Times New Roman" w:cs="Times New Roman"/>
          <w:lang w:val="es-AR"/>
        </w:rPr>
      </w:pPr>
    </w:p>
    <w:p w14:paraId="428D95B4" w14:textId="77777777" w:rsidR="0065755A" w:rsidRPr="0065755A" w:rsidRDefault="0065755A" w:rsidP="0065755A">
      <w:pPr>
        <w:keepNext/>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Figura 1. Cantidad de publicaciones por año</w:t>
      </w:r>
    </w:p>
    <w:p w14:paraId="4CB4FE45" w14:textId="27AF4A99" w:rsidR="0065755A" w:rsidRPr="0065755A" w:rsidRDefault="00D352C6" w:rsidP="0065755A">
      <w:pPr>
        <w:spacing w:line="240" w:lineRule="auto"/>
        <w:jc w:val="both"/>
        <w:rPr>
          <w:rFonts w:ascii="Times New Roman" w:hAnsi="Times New Roman" w:cs="Times New Roman"/>
          <w:lang w:val="es-AR"/>
        </w:rPr>
      </w:pPr>
      <w:r w:rsidRPr="00D352C6">
        <w:rPr>
          <w:rFonts w:ascii="Times New Roman" w:hAnsi="Times New Roman" w:cs="Times New Roman"/>
          <w:noProof/>
          <w:lang w:val="es-AR"/>
        </w:rPr>
        <w:drawing>
          <wp:inline distT="0" distB="0" distL="0" distR="0" wp14:anchorId="0ACD86BC" wp14:editId="08A21C50">
            <wp:extent cx="5400040" cy="4142740"/>
            <wp:effectExtent l="0" t="0" r="0" b="0"/>
            <wp:docPr id="1922786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86651" name=""/>
                    <pic:cNvPicPr/>
                  </pic:nvPicPr>
                  <pic:blipFill>
                    <a:blip r:embed="rId6"/>
                    <a:stretch>
                      <a:fillRect/>
                    </a:stretch>
                  </pic:blipFill>
                  <pic:spPr>
                    <a:xfrm>
                      <a:off x="0" y="0"/>
                      <a:ext cx="5400040" cy="4142740"/>
                    </a:xfrm>
                    <a:prstGeom prst="rect">
                      <a:avLst/>
                    </a:prstGeom>
                  </pic:spPr>
                </pic:pic>
              </a:graphicData>
            </a:graphic>
          </wp:inline>
        </w:drawing>
      </w:r>
    </w:p>
    <w:p w14:paraId="568B7BC6" w14:textId="77777777" w:rsidR="0065755A" w:rsidRPr="0065755A" w:rsidRDefault="0065755A" w:rsidP="0065755A">
      <w:pPr>
        <w:spacing w:line="240" w:lineRule="auto"/>
        <w:jc w:val="both"/>
        <w:rPr>
          <w:rFonts w:ascii="Times New Roman" w:hAnsi="Times New Roman" w:cs="Times New Roman"/>
          <w:lang w:val="es-AR"/>
        </w:rPr>
      </w:pPr>
    </w:p>
    <w:p w14:paraId="40184B8C"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Una primera aproximación al espacio léxico puede realizarse mediante el análisis de las frecuencias de los términos presentes en los títulos de los artículos. Si bien este tipo de análisis no permite reconstruir las relaciones entre las diferentes unidades léxicas, constituye un punto de partida para identificar los conceptos que ocupan una posición central dentro del vocabulario de las ciencias sociales argentinas y reconocer algunas de las principales regularidades que caracterizan la producción científica reciente.</w:t>
      </w:r>
    </w:p>
    <w:p w14:paraId="7F1713E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nube de palabras (Figura 2) y la distribución de las frecuencias (Tabla 1) revelan, en primer lugar, un marcado anclaje territorial de la investigación. El término </w:t>
      </w:r>
      <w:r w:rsidRPr="0065755A">
        <w:rPr>
          <w:rFonts w:ascii="Times New Roman" w:hAnsi="Times New Roman" w:cs="Times New Roman"/>
          <w:i/>
          <w:iCs/>
          <w:lang w:val="es-AR"/>
        </w:rPr>
        <w:t>Argentina</w:t>
      </w:r>
      <w:r w:rsidRPr="0065755A">
        <w:rPr>
          <w:rFonts w:ascii="Times New Roman" w:hAnsi="Times New Roman" w:cs="Times New Roman"/>
          <w:lang w:val="es-AR"/>
        </w:rPr>
        <w:t xml:space="preserve"> constituye, con amplia diferencia, la unidad léxica más frecuente del corpus, registrando 8.574 ocurrencias, muy por encima del resto de las palabras. Esta centralidad se complementa con la presencia recurrente de referencias geográficas como </w:t>
      </w:r>
      <w:r w:rsidRPr="0065755A">
        <w:rPr>
          <w:rFonts w:ascii="Times New Roman" w:hAnsi="Times New Roman" w:cs="Times New Roman"/>
          <w:i/>
          <w:iCs/>
          <w:lang w:val="es-AR"/>
        </w:rPr>
        <w:t>Buenos Aires</w:t>
      </w:r>
      <w:r w:rsidRPr="0065755A">
        <w:rPr>
          <w:rFonts w:ascii="Times New Roman" w:hAnsi="Times New Roman" w:cs="Times New Roman"/>
          <w:lang w:val="es-AR"/>
        </w:rPr>
        <w:t xml:space="preserve"> (2.204), </w:t>
      </w:r>
      <w:r w:rsidRPr="0065755A">
        <w:rPr>
          <w:rFonts w:ascii="Times New Roman" w:hAnsi="Times New Roman" w:cs="Times New Roman"/>
          <w:i/>
          <w:iCs/>
          <w:lang w:val="es-AR"/>
        </w:rPr>
        <w:t>Córdoba</w:t>
      </w:r>
      <w:r w:rsidRPr="0065755A">
        <w:rPr>
          <w:rFonts w:ascii="Times New Roman" w:hAnsi="Times New Roman" w:cs="Times New Roman"/>
          <w:lang w:val="es-AR"/>
        </w:rPr>
        <w:t xml:space="preserve"> (955), </w:t>
      </w:r>
      <w:r w:rsidRPr="0065755A">
        <w:rPr>
          <w:rFonts w:ascii="Times New Roman" w:hAnsi="Times New Roman" w:cs="Times New Roman"/>
          <w:i/>
          <w:iCs/>
          <w:lang w:val="es-AR"/>
        </w:rPr>
        <w:t>América Latina</w:t>
      </w:r>
      <w:r w:rsidRPr="0065755A">
        <w:rPr>
          <w:rFonts w:ascii="Times New Roman" w:hAnsi="Times New Roman" w:cs="Times New Roman"/>
          <w:lang w:val="es-AR"/>
        </w:rPr>
        <w:t> (1.015), </w:t>
      </w:r>
      <w:r w:rsidRPr="0065755A">
        <w:rPr>
          <w:rFonts w:ascii="Times New Roman" w:hAnsi="Times New Roman" w:cs="Times New Roman"/>
          <w:i/>
          <w:iCs/>
          <w:lang w:val="es-AR"/>
        </w:rPr>
        <w:t xml:space="preserve">ciudad </w:t>
      </w:r>
      <w:r w:rsidRPr="0065755A">
        <w:rPr>
          <w:rFonts w:ascii="Times New Roman" w:hAnsi="Times New Roman" w:cs="Times New Roman"/>
          <w:lang w:val="es-AR"/>
        </w:rPr>
        <w:t xml:space="preserve"> (1.417) y </w:t>
      </w:r>
      <w:r w:rsidRPr="0065755A">
        <w:rPr>
          <w:rFonts w:ascii="Times New Roman" w:hAnsi="Times New Roman" w:cs="Times New Roman"/>
          <w:i/>
          <w:iCs/>
          <w:lang w:val="es-AR"/>
        </w:rPr>
        <w:t>argentino</w:t>
      </w:r>
      <w:r w:rsidRPr="0065755A">
        <w:rPr>
          <w:rFonts w:ascii="Times New Roman" w:hAnsi="Times New Roman" w:cs="Times New Roman"/>
          <w:lang w:val="es-AR"/>
        </w:rPr>
        <w:t xml:space="preserve"> (1.140). En conjunto, estos resultados sugieren que una parte importante de la producción científica reciente se organiza alrededor de objetos de estudio situados territorialmente y privilegia escalas nacionales, regionales y locales antes que perspectivas comparativas o globales.</w:t>
      </w:r>
    </w:p>
    <w:p w14:paraId="33642B50" w14:textId="77777777" w:rsidR="0065755A" w:rsidRPr="0065755A" w:rsidRDefault="0065755A" w:rsidP="0065755A">
      <w:pPr>
        <w:spacing w:line="240" w:lineRule="auto"/>
        <w:jc w:val="both"/>
        <w:rPr>
          <w:rFonts w:ascii="Times New Roman" w:hAnsi="Times New Roman" w:cs="Times New Roman"/>
          <w:lang w:val="es-AR"/>
        </w:rPr>
      </w:pPr>
    </w:p>
    <w:p w14:paraId="24DE692A" w14:textId="77777777" w:rsidR="0065755A" w:rsidRPr="0065755A" w:rsidRDefault="0065755A" w:rsidP="0065755A">
      <w:pPr>
        <w:keepNext/>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Figura 2. Nube de palabras</w:t>
      </w:r>
    </w:p>
    <w:p w14:paraId="03754694"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noProof/>
          <w:lang w:val="es-ES_tradnl"/>
        </w:rPr>
        <w:drawing>
          <wp:inline distT="0" distB="0" distL="0" distR="0" wp14:anchorId="6A243391" wp14:editId="09DB2868">
            <wp:extent cx="4183200" cy="3614400"/>
            <wp:effectExtent l="0" t="0" r="0" b="5715"/>
            <wp:docPr id="30" name="Picture"/>
            <wp:cNvGraphicFramePr/>
            <a:graphic xmlns:a="http://schemas.openxmlformats.org/drawingml/2006/main">
              <a:graphicData uri="http://schemas.openxmlformats.org/drawingml/2006/picture">
                <pic:pic xmlns:pic="http://schemas.openxmlformats.org/drawingml/2006/picture">
                  <pic:nvPicPr>
                    <pic:cNvPr id="31" name="Picture" descr="TP_files/figure-docx/unnamed-chunk-8-1.png"/>
                    <pic:cNvPicPr>
                      <a:picLocks noChangeAspect="1" noChangeArrowheads="1"/>
                    </pic:cNvPicPr>
                  </pic:nvPicPr>
                  <pic:blipFill>
                    <a:blip r:embed="rId7"/>
                    <a:stretch>
                      <a:fillRect/>
                    </a:stretch>
                  </pic:blipFill>
                  <pic:spPr bwMode="auto">
                    <a:xfrm>
                      <a:off x="0" y="0"/>
                      <a:ext cx="4247489" cy="3669947"/>
                    </a:xfrm>
                    <a:prstGeom prst="rect">
                      <a:avLst/>
                    </a:prstGeom>
                    <a:noFill/>
                    <a:ln w="9525">
                      <a:noFill/>
                      <a:headEnd/>
                      <a:tailEnd/>
                    </a:ln>
                  </pic:spPr>
                </pic:pic>
              </a:graphicData>
            </a:graphic>
          </wp:inline>
        </w:drawing>
      </w:r>
    </w:p>
    <w:p w14:paraId="452158D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Esta fuerte territorialización constituye un rasgo significativo de las ciencias sociales argentinas. Lejos de orientarse predominantemente hacia problemáticas abstractas o descontextualizadas, el vocabulario dominante refleja una tradición de investigación estrechamente vinculada con el análisis de procesos históricos, políticos y sociales inscritos en espacios nacionales y latinoamericanos. La elevada frecuencia de referencias territoriales indica que la dimensión espacial continúa desempeñando un papel central en la construcción de los objetos de investigación y en la delimitación de las agendas científicas.</w:t>
      </w:r>
    </w:p>
    <w:p w14:paraId="2B59BEA5" w14:textId="77777777" w:rsidR="0065755A" w:rsidRPr="0065755A" w:rsidRDefault="0065755A" w:rsidP="0065755A">
      <w:pPr>
        <w:spacing w:line="240" w:lineRule="auto"/>
        <w:jc w:val="both"/>
        <w:rPr>
          <w:rFonts w:ascii="Times New Roman" w:hAnsi="Times New Roman" w:cs="Times New Roman"/>
          <w:lang w:val="es-AR"/>
        </w:rPr>
      </w:pPr>
    </w:p>
    <w:p w14:paraId="2CF37C8F" w14:textId="77777777" w:rsidR="0065755A" w:rsidRPr="0065755A" w:rsidRDefault="0065755A" w:rsidP="0065755A">
      <w:pPr>
        <w:keepNext/>
        <w:spacing w:line="240" w:lineRule="auto"/>
        <w:jc w:val="both"/>
        <w:rPr>
          <w:rFonts w:ascii="Times New Roman" w:hAnsi="Times New Roman" w:cs="Times New Roman"/>
          <w:lang w:val="es-AR"/>
        </w:rPr>
      </w:pPr>
      <w:r w:rsidRPr="0065755A">
        <w:rPr>
          <w:rFonts w:ascii="Times New Roman" w:hAnsi="Times New Roman" w:cs="Times New Roman"/>
          <w:lang w:val="es-AR"/>
        </w:rPr>
        <w:t>Tabla 1. Palabras más frecuentes</w:t>
      </w:r>
    </w:p>
    <w:tbl>
      <w:tblPr>
        <w:tblW w:w="0" w:type="auto"/>
        <w:tblLook w:val="0020" w:firstRow="1" w:lastRow="0" w:firstColumn="0" w:lastColumn="0" w:noHBand="0" w:noVBand="0"/>
      </w:tblPr>
      <w:tblGrid>
        <w:gridCol w:w="1509"/>
        <w:gridCol w:w="1363"/>
      </w:tblGrid>
      <w:tr w:rsidR="0065755A" w:rsidRPr="0065755A" w14:paraId="20A94D6E" w14:textId="77777777" w:rsidTr="0074437A">
        <w:trPr>
          <w:trHeight w:val="20"/>
          <w:tblHeader/>
        </w:trPr>
        <w:tc>
          <w:tcPr>
            <w:tcW w:w="0" w:type="auto"/>
          </w:tcPr>
          <w:p w14:paraId="13FE51C5" w14:textId="77777777" w:rsidR="0065755A" w:rsidRPr="0065755A" w:rsidRDefault="0065755A" w:rsidP="0074437A">
            <w:pPr>
              <w:spacing w:line="240" w:lineRule="auto"/>
              <w:jc w:val="both"/>
              <w:rPr>
                <w:rFonts w:ascii="Times New Roman" w:hAnsi="Times New Roman" w:cs="Times New Roman"/>
                <w:lang w:val="es-ES_tradnl"/>
              </w:rPr>
            </w:pPr>
          </w:p>
        </w:tc>
        <w:tc>
          <w:tcPr>
            <w:tcW w:w="0" w:type="auto"/>
          </w:tcPr>
          <w:p w14:paraId="1E93A18C"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Frecuencias</w:t>
            </w:r>
          </w:p>
        </w:tc>
      </w:tr>
      <w:tr w:rsidR="0065755A" w:rsidRPr="0065755A" w14:paraId="3FDAD08A" w14:textId="77777777" w:rsidTr="0074437A">
        <w:trPr>
          <w:trHeight w:val="20"/>
        </w:trPr>
        <w:tc>
          <w:tcPr>
            <w:tcW w:w="0" w:type="auto"/>
          </w:tcPr>
          <w:p w14:paraId="1A0C3913"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argentina</w:t>
            </w:r>
          </w:p>
        </w:tc>
        <w:tc>
          <w:tcPr>
            <w:tcW w:w="0" w:type="auto"/>
          </w:tcPr>
          <w:p w14:paraId="61F645A6"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8574</w:t>
            </w:r>
          </w:p>
        </w:tc>
      </w:tr>
      <w:tr w:rsidR="0065755A" w:rsidRPr="0065755A" w14:paraId="1D1DA9ED" w14:textId="77777777" w:rsidTr="0074437A">
        <w:trPr>
          <w:trHeight w:val="20"/>
        </w:trPr>
        <w:tc>
          <w:tcPr>
            <w:tcW w:w="0" w:type="auto"/>
          </w:tcPr>
          <w:p w14:paraId="487F12CD"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política</w:t>
            </w:r>
          </w:p>
        </w:tc>
        <w:tc>
          <w:tcPr>
            <w:tcW w:w="0" w:type="auto"/>
          </w:tcPr>
          <w:p w14:paraId="4E01260D"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2535</w:t>
            </w:r>
          </w:p>
        </w:tc>
      </w:tr>
      <w:tr w:rsidR="0065755A" w:rsidRPr="0065755A" w14:paraId="514DF9FB" w14:textId="77777777" w:rsidTr="0074437A">
        <w:trPr>
          <w:trHeight w:val="20"/>
        </w:trPr>
        <w:tc>
          <w:tcPr>
            <w:tcW w:w="0" w:type="auto"/>
          </w:tcPr>
          <w:p w14:paraId="160C9D7A"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análisis</w:t>
            </w:r>
          </w:p>
        </w:tc>
        <w:tc>
          <w:tcPr>
            <w:tcW w:w="0" w:type="auto"/>
          </w:tcPr>
          <w:p w14:paraId="7D020385"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2316</w:t>
            </w:r>
          </w:p>
        </w:tc>
      </w:tr>
      <w:tr w:rsidR="0065755A" w:rsidRPr="0065755A" w14:paraId="1C0069DD" w14:textId="77777777" w:rsidTr="0074437A">
        <w:trPr>
          <w:trHeight w:val="20"/>
        </w:trPr>
        <w:tc>
          <w:tcPr>
            <w:tcW w:w="0" w:type="auto"/>
          </w:tcPr>
          <w:p w14:paraId="377BE4FB"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buenosaires</w:t>
            </w:r>
          </w:p>
        </w:tc>
        <w:tc>
          <w:tcPr>
            <w:tcW w:w="0" w:type="auto"/>
          </w:tcPr>
          <w:p w14:paraId="270C4003"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2204</w:t>
            </w:r>
          </w:p>
        </w:tc>
      </w:tr>
      <w:tr w:rsidR="0065755A" w:rsidRPr="0065755A" w14:paraId="18F14D5B" w14:textId="77777777" w:rsidTr="0074437A">
        <w:trPr>
          <w:trHeight w:val="20"/>
        </w:trPr>
        <w:tc>
          <w:tcPr>
            <w:tcW w:w="0" w:type="auto"/>
          </w:tcPr>
          <w:p w14:paraId="56EA14A8"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social</w:t>
            </w:r>
          </w:p>
        </w:tc>
        <w:tc>
          <w:tcPr>
            <w:tcW w:w="0" w:type="auto"/>
          </w:tcPr>
          <w:p w14:paraId="6D2754E9"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1982</w:t>
            </w:r>
          </w:p>
        </w:tc>
      </w:tr>
      <w:tr w:rsidR="0065755A" w:rsidRPr="0065755A" w14:paraId="3818E334" w14:textId="77777777" w:rsidTr="0074437A">
        <w:trPr>
          <w:trHeight w:val="20"/>
        </w:trPr>
        <w:tc>
          <w:tcPr>
            <w:tcW w:w="0" w:type="auto"/>
          </w:tcPr>
          <w:p w14:paraId="7C31664F"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lastRenderedPageBreak/>
              <w:t>caso</w:t>
            </w:r>
          </w:p>
        </w:tc>
        <w:tc>
          <w:tcPr>
            <w:tcW w:w="0" w:type="auto"/>
          </w:tcPr>
          <w:p w14:paraId="0E2EE521"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1852</w:t>
            </w:r>
          </w:p>
        </w:tc>
      </w:tr>
      <w:tr w:rsidR="0065755A" w:rsidRPr="0065755A" w14:paraId="5EF8A665" w14:textId="77777777" w:rsidTr="0074437A">
        <w:trPr>
          <w:trHeight w:val="20"/>
        </w:trPr>
        <w:tc>
          <w:tcPr>
            <w:tcW w:w="0" w:type="auto"/>
          </w:tcPr>
          <w:p w14:paraId="2DD10EEB"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siglo</w:t>
            </w:r>
          </w:p>
        </w:tc>
        <w:tc>
          <w:tcPr>
            <w:tcW w:w="0" w:type="auto"/>
          </w:tcPr>
          <w:p w14:paraId="48361CB8"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1530</w:t>
            </w:r>
          </w:p>
        </w:tc>
      </w:tr>
      <w:tr w:rsidR="0065755A" w:rsidRPr="0065755A" w14:paraId="501B4420" w14:textId="77777777" w:rsidTr="0074437A">
        <w:trPr>
          <w:trHeight w:val="20"/>
        </w:trPr>
        <w:tc>
          <w:tcPr>
            <w:tcW w:w="0" w:type="auto"/>
          </w:tcPr>
          <w:p w14:paraId="04144B95"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educación</w:t>
            </w:r>
          </w:p>
        </w:tc>
        <w:tc>
          <w:tcPr>
            <w:tcW w:w="0" w:type="auto"/>
          </w:tcPr>
          <w:p w14:paraId="19A45345"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1435</w:t>
            </w:r>
          </w:p>
        </w:tc>
      </w:tr>
      <w:tr w:rsidR="0065755A" w:rsidRPr="0065755A" w14:paraId="30E87D9A" w14:textId="77777777" w:rsidTr="0074437A">
        <w:trPr>
          <w:trHeight w:val="20"/>
        </w:trPr>
        <w:tc>
          <w:tcPr>
            <w:tcW w:w="0" w:type="auto"/>
          </w:tcPr>
          <w:p w14:paraId="41115318"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ciudad</w:t>
            </w:r>
          </w:p>
        </w:tc>
        <w:tc>
          <w:tcPr>
            <w:tcW w:w="0" w:type="auto"/>
          </w:tcPr>
          <w:p w14:paraId="50ADA6E5"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1417</w:t>
            </w:r>
          </w:p>
        </w:tc>
      </w:tr>
      <w:tr w:rsidR="0065755A" w:rsidRPr="0065755A" w14:paraId="540CF520" w14:textId="77777777" w:rsidTr="0074437A">
        <w:trPr>
          <w:trHeight w:val="20"/>
        </w:trPr>
        <w:tc>
          <w:tcPr>
            <w:tcW w:w="0" w:type="auto"/>
          </w:tcPr>
          <w:p w14:paraId="622751B0"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derecho</w:t>
            </w:r>
          </w:p>
        </w:tc>
        <w:tc>
          <w:tcPr>
            <w:tcW w:w="0" w:type="auto"/>
          </w:tcPr>
          <w:p w14:paraId="1975B77D"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1393</w:t>
            </w:r>
          </w:p>
        </w:tc>
      </w:tr>
      <w:tr w:rsidR="0065755A" w:rsidRPr="0065755A" w14:paraId="69F72372" w14:textId="77777777" w:rsidTr="0074437A">
        <w:trPr>
          <w:trHeight w:val="20"/>
        </w:trPr>
        <w:tc>
          <w:tcPr>
            <w:tcW w:w="0" w:type="auto"/>
          </w:tcPr>
          <w:p w14:paraId="1024A7BE"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historia</w:t>
            </w:r>
          </w:p>
        </w:tc>
        <w:tc>
          <w:tcPr>
            <w:tcW w:w="0" w:type="auto"/>
          </w:tcPr>
          <w:p w14:paraId="6943D2B4"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1375</w:t>
            </w:r>
          </w:p>
        </w:tc>
      </w:tr>
      <w:tr w:rsidR="0065755A" w:rsidRPr="0065755A" w14:paraId="6435E695" w14:textId="77777777" w:rsidTr="0074437A">
        <w:trPr>
          <w:trHeight w:val="20"/>
        </w:trPr>
        <w:tc>
          <w:tcPr>
            <w:tcW w:w="0" w:type="auto"/>
          </w:tcPr>
          <w:p w14:paraId="4917C75F"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estudio</w:t>
            </w:r>
          </w:p>
        </w:tc>
        <w:tc>
          <w:tcPr>
            <w:tcW w:w="0" w:type="auto"/>
          </w:tcPr>
          <w:p w14:paraId="30486420"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1315</w:t>
            </w:r>
          </w:p>
        </w:tc>
      </w:tr>
      <w:tr w:rsidR="0065755A" w:rsidRPr="0065755A" w14:paraId="68161FD4" w14:textId="77777777" w:rsidTr="0074437A">
        <w:trPr>
          <w:trHeight w:val="20"/>
        </w:trPr>
        <w:tc>
          <w:tcPr>
            <w:tcW w:w="0" w:type="auto"/>
          </w:tcPr>
          <w:p w14:paraId="02DBBC7F"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trabajo</w:t>
            </w:r>
          </w:p>
        </w:tc>
        <w:tc>
          <w:tcPr>
            <w:tcW w:w="0" w:type="auto"/>
          </w:tcPr>
          <w:p w14:paraId="42DB09DC"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1272</w:t>
            </w:r>
          </w:p>
        </w:tc>
      </w:tr>
      <w:tr w:rsidR="0065755A" w:rsidRPr="0065755A" w14:paraId="549FEA60" w14:textId="77777777" w:rsidTr="0074437A">
        <w:trPr>
          <w:trHeight w:val="20"/>
        </w:trPr>
        <w:tc>
          <w:tcPr>
            <w:tcW w:w="0" w:type="auto"/>
          </w:tcPr>
          <w:p w14:paraId="33CFEFDE"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género</w:t>
            </w:r>
          </w:p>
        </w:tc>
        <w:tc>
          <w:tcPr>
            <w:tcW w:w="0" w:type="auto"/>
          </w:tcPr>
          <w:p w14:paraId="4B31E80C"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1258</w:t>
            </w:r>
          </w:p>
        </w:tc>
      </w:tr>
      <w:tr w:rsidR="0065755A" w:rsidRPr="0065755A" w14:paraId="7F39C040" w14:textId="77777777" w:rsidTr="0074437A">
        <w:trPr>
          <w:trHeight w:val="20"/>
        </w:trPr>
        <w:tc>
          <w:tcPr>
            <w:tcW w:w="0" w:type="auto"/>
          </w:tcPr>
          <w:p w14:paraId="15EF52CC"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políticas</w:t>
            </w:r>
          </w:p>
        </w:tc>
        <w:tc>
          <w:tcPr>
            <w:tcW w:w="0" w:type="auto"/>
          </w:tcPr>
          <w:p w14:paraId="1948217F"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1200</w:t>
            </w:r>
          </w:p>
        </w:tc>
      </w:tr>
      <w:tr w:rsidR="0065755A" w:rsidRPr="0065755A" w14:paraId="40577359" w14:textId="77777777" w:rsidTr="0074437A">
        <w:trPr>
          <w:trHeight w:val="20"/>
        </w:trPr>
        <w:tc>
          <w:tcPr>
            <w:tcW w:w="0" w:type="auto"/>
          </w:tcPr>
          <w:p w14:paraId="65916384"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construcción</w:t>
            </w:r>
          </w:p>
        </w:tc>
        <w:tc>
          <w:tcPr>
            <w:tcW w:w="0" w:type="auto"/>
          </w:tcPr>
          <w:p w14:paraId="15A399FE"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1179</w:t>
            </w:r>
          </w:p>
        </w:tc>
      </w:tr>
      <w:tr w:rsidR="0065755A" w:rsidRPr="0065755A" w14:paraId="0E4B2F56" w14:textId="77777777" w:rsidTr="0074437A">
        <w:trPr>
          <w:trHeight w:val="20"/>
        </w:trPr>
        <w:tc>
          <w:tcPr>
            <w:tcW w:w="0" w:type="auto"/>
          </w:tcPr>
          <w:p w14:paraId="75F10182"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argentino</w:t>
            </w:r>
          </w:p>
        </w:tc>
        <w:tc>
          <w:tcPr>
            <w:tcW w:w="0" w:type="auto"/>
          </w:tcPr>
          <w:p w14:paraId="39D3D2CF"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1140</w:t>
            </w:r>
          </w:p>
        </w:tc>
      </w:tr>
      <w:tr w:rsidR="0065755A" w:rsidRPr="0065755A" w14:paraId="35FD29E7" w14:textId="77777777" w:rsidTr="0074437A">
        <w:trPr>
          <w:trHeight w:val="20"/>
        </w:trPr>
        <w:tc>
          <w:tcPr>
            <w:tcW w:w="0" w:type="auto"/>
          </w:tcPr>
          <w:p w14:paraId="7563AB70"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prácticas</w:t>
            </w:r>
          </w:p>
        </w:tc>
        <w:tc>
          <w:tcPr>
            <w:tcW w:w="0" w:type="auto"/>
          </w:tcPr>
          <w:p w14:paraId="0BB4E68B"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1104</w:t>
            </w:r>
          </w:p>
        </w:tc>
      </w:tr>
      <w:tr w:rsidR="0065755A" w:rsidRPr="0065755A" w14:paraId="52CF8766" w14:textId="77777777" w:rsidTr="0074437A">
        <w:trPr>
          <w:trHeight w:val="20"/>
        </w:trPr>
        <w:tc>
          <w:tcPr>
            <w:tcW w:w="0" w:type="auto"/>
          </w:tcPr>
          <w:p w14:paraId="4C3D60BA"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mujeres</w:t>
            </w:r>
          </w:p>
        </w:tc>
        <w:tc>
          <w:tcPr>
            <w:tcW w:w="0" w:type="auto"/>
          </w:tcPr>
          <w:p w14:paraId="69B4A94B"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1067</w:t>
            </w:r>
          </w:p>
        </w:tc>
      </w:tr>
      <w:tr w:rsidR="0065755A" w:rsidRPr="0065755A" w14:paraId="4D5126A6" w14:textId="77777777" w:rsidTr="0074437A">
        <w:trPr>
          <w:trHeight w:val="20"/>
        </w:trPr>
        <w:tc>
          <w:tcPr>
            <w:tcW w:w="0" w:type="auto"/>
          </w:tcPr>
          <w:p w14:paraId="7E8A3622"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desarrollo</w:t>
            </w:r>
          </w:p>
        </w:tc>
        <w:tc>
          <w:tcPr>
            <w:tcW w:w="0" w:type="auto"/>
          </w:tcPr>
          <w:p w14:paraId="174BADA4"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1040</w:t>
            </w:r>
          </w:p>
        </w:tc>
      </w:tr>
      <w:tr w:rsidR="0065755A" w:rsidRPr="0065755A" w14:paraId="6F935DB7" w14:textId="77777777" w:rsidTr="0074437A">
        <w:trPr>
          <w:trHeight w:val="20"/>
        </w:trPr>
        <w:tc>
          <w:tcPr>
            <w:tcW w:w="0" w:type="auto"/>
          </w:tcPr>
          <w:p w14:paraId="3D447F61"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américalatina</w:t>
            </w:r>
          </w:p>
        </w:tc>
        <w:tc>
          <w:tcPr>
            <w:tcW w:w="0" w:type="auto"/>
          </w:tcPr>
          <w:p w14:paraId="07D77440"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1015</w:t>
            </w:r>
          </w:p>
        </w:tc>
      </w:tr>
      <w:tr w:rsidR="0065755A" w:rsidRPr="0065755A" w14:paraId="41357713" w14:textId="77777777" w:rsidTr="0074437A">
        <w:trPr>
          <w:trHeight w:val="20"/>
        </w:trPr>
        <w:tc>
          <w:tcPr>
            <w:tcW w:w="0" w:type="auto"/>
          </w:tcPr>
          <w:p w14:paraId="037F249A"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córdoba</w:t>
            </w:r>
          </w:p>
        </w:tc>
        <w:tc>
          <w:tcPr>
            <w:tcW w:w="0" w:type="auto"/>
          </w:tcPr>
          <w:p w14:paraId="3FABE9CF"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955</w:t>
            </w:r>
          </w:p>
        </w:tc>
      </w:tr>
      <w:tr w:rsidR="0065755A" w:rsidRPr="0065755A" w14:paraId="7D0C6CB7" w14:textId="77777777" w:rsidTr="0074437A">
        <w:trPr>
          <w:trHeight w:val="20"/>
        </w:trPr>
        <w:tc>
          <w:tcPr>
            <w:tcW w:w="0" w:type="auto"/>
          </w:tcPr>
          <w:p w14:paraId="3B25FBAE"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reflexiones</w:t>
            </w:r>
          </w:p>
        </w:tc>
        <w:tc>
          <w:tcPr>
            <w:tcW w:w="0" w:type="auto"/>
          </w:tcPr>
          <w:p w14:paraId="3B350BA4"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938</w:t>
            </w:r>
          </w:p>
        </w:tc>
      </w:tr>
      <w:tr w:rsidR="0065755A" w:rsidRPr="0065755A" w14:paraId="69813280" w14:textId="77777777" w:rsidTr="0074437A">
        <w:trPr>
          <w:trHeight w:val="20"/>
        </w:trPr>
        <w:tc>
          <w:tcPr>
            <w:tcW w:w="0" w:type="auto"/>
          </w:tcPr>
          <w:p w14:paraId="60B39606"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sociales</w:t>
            </w:r>
          </w:p>
        </w:tc>
        <w:tc>
          <w:tcPr>
            <w:tcW w:w="0" w:type="auto"/>
          </w:tcPr>
          <w:p w14:paraId="648F5372"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859</w:t>
            </w:r>
          </w:p>
        </w:tc>
      </w:tr>
      <w:tr w:rsidR="0065755A" w:rsidRPr="0065755A" w14:paraId="7E0A8F4F" w14:textId="77777777" w:rsidTr="0074437A">
        <w:trPr>
          <w:trHeight w:val="20"/>
        </w:trPr>
        <w:tc>
          <w:tcPr>
            <w:tcW w:w="0" w:type="auto"/>
          </w:tcPr>
          <w:p w14:paraId="1C7B3C88" w14:textId="77777777" w:rsidR="0065755A" w:rsidRPr="0065755A" w:rsidRDefault="0065755A" w:rsidP="0074437A">
            <w:pPr>
              <w:spacing w:line="240" w:lineRule="auto"/>
              <w:jc w:val="both"/>
              <w:rPr>
                <w:rFonts w:ascii="Times New Roman" w:hAnsi="Times New Roman" w:cs="Times New Roman"/>
                <w:lang w:val="es-ES_tradnl"/>
              </w:rPr>
            </w:pPr>
            <w:r w:rsidRPr="0065755A">
              <w:rPr>
                <w:rFonts w:ascii="Times New Roman" w:hAnsi="Times New Roman" w:cs="Times New Roman"/>
                <w:lang w:val="es-ES_tradnl"/>
              </w:rPr>
              <w:t>experiencia</w:t>
            </w:r>
          </w:p>
        </w:tc>
        <w:tc>
          <w:tcPr>
            <w:tcW w:w="0" w:type="auto"/>
          </w:tcPr>
          <w:p w14:paraId="3ECDF3B0" w14:textId="77777777" w:rsidR="0065755A" w:rsidRPr="0065755A" w:rsidRDefault="0065755A" w:rsidP="0074437A">
            <w:pPr>
              <w:spacing w:line="240" w:lineRule="auto"/>
              <w:jc w:val="center"/>
              <w:rPr>
                <w:rFonts w:ascii="Times New Roman" w:hAnsi="Times New Roman" w:cs="Times New Roman"/>
                <w:lang w:val="es-ES_tradnl"/>
              </w:rPr>
            </w:pPr>
            <w:r w:rsidRPr="0065755A">
              <w:rPr>
                <w:rFonts w:ascii="Times New Roman" w:hAnsi="Times New Roman" w:cs="Times New Roman"/>
                <w:lang w:val="es-ES_tradnl"/>
              </w:rPr>
              <w:t>848</w:t>
            </w:r>
          </w:p>
        </w:tc>
      </w:tr>
    </w:tbl>
    <w:p w14:paraId="7628CADF" w14:textId="77777777" w:rsidR="0065755A" w:rsidRPr="0065755A" w:rsidRDefault="0065755A" w:rsidP="0065755A">
      <w:pPr>
        <w:spacing w:line="240" w:lineRule="auto"/>
        <w:jc w:val="both"/>
        <w:rPr>
          <w:rFonts w:ascii="Times New Roman" w:hAnsi="Times New Roman" w:cs="Times New Roman"/>
          <w:lang w:val="es-AR"/>
        </w:rPr>
      </w:pPr>
    </w:p>
    <w:p w14:paraId="15FBD2E9"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Un segundo rasgo que emerge con claridad es la centralidad de la acción pública y de las instituciones como objeto privilegiado de estudio. Entre los términos más frecuentes destacan </w:t>
      </w:r>
      <w:r w:rsidRPr="0065755A">
        <w:rPr>
          <w:rFonts w:ascii="Times New Roman" w:hAnsi="Times New Roman" w:cs="Times New Roman"/>
          <w:i/>
          <w:iCs/>
          <w:lang w:val="es-AR"/>
        </w:rPr>
        <w:t>política</w:t>
      </w:r>
      <w:r w:rsidRPr="0065755A">
        <w:rPr>
          <w:rFonts w:ascii="Times New Roman" w:hAnsi="Times New Roman" w:cs="Times New Roman"/>
          <w:lang w:val="es-AR"/>
        </w:rPr>
        <w:t xml:space="preserve"> (2.535), </w:t>
      </w:r>
      <w:r w:rsidRPr="0065755A">
        <w:rPr>
          <w:rFonts w:ascii="Times New Roman" w:hAnsi="Times New Roman" w:cs="Times New Roman"/>
          <w:i/>
          <w:iCs/>
          <w:lang w:val="es-AR"/>
        </w:rPr>
        <w:t>políticas</w:t>
      </w:r>
      <w:r w:rsidRPr="0065755A">
        <w:rPr>
          <w:rFonts w:ascii="Times New Roman" w:hAnsi="Times New Roman" w:cs="Times New Roman"/>
          <w:lang w:val="es-AR"/>
        </w:rPr>
        <w:t xml:space="preserve"> (1.200), </w:t>
      </w:r>
      <w:r w:rsidRPr="0065755A">
        <w:rPr>
          <w:rFonts w:ascii="Times New Roman" w:hAnsi="Times New Roman" w:cs="Times New Roman"/>
          <w:i/>
          <w:iCs/>
          <w:lang w:val="es-AR"/>
        </w:rPr>
        <w:t>derecho</w:t>
      </w:r>
      <w:r w:rsidRPr="0065755A">
        <w:rPr>
          <w:rFonts w:ascii="Times New Roman" w:hAnsi="Times New Roman" w:cs="Times New Roman"/>
          <w:lang w:val="es-AR"/>
        </w:rPr>
        <w:t xml:space="preserve"> (1.393), </w:t>
      </w:r>
      <w:r w:rsidRPr="0065755A">
        <w:rPr>
          <w:rFonts w:ascii="Times New Roman" w:hAnsi="Times New Roman" w:cs="Times New Roman"/>
          <w:i/>
          <w:iCs/>
          <w:lang w:val="es-AR"/>
        </w:rPr>
        <w:t>educación</w:t>
      </w:r>
      <w:r w:rsidRPr="0065755A">
        <w:rPr>
          <w:rFonts w:ascii="Times New Roman" w:hAnsi="Times New Roman" w:cs="Times New Roman"/>
          <w:lang w:val="es-AR"/>
        </w:rPr>
        <w:t xml:space="preserve"> (1.435) y </w:t>
      </w:r>
      <w:r w:rsidRPr="0065755A">
        <w:rPr>
          <w:rFonts w:ascii="Times New Roman" w:hAnsi="Times New Roman" w:cs="Times New Roman"/>
          <w:i/>
          <w:iCs/>
          <w:lang w:val="es-AR"/>
        </w:rPr>
        <w:t>desarrollo</w:t>
      </w:r>
      <w:r w:rsidRPr="0065755A">
        <w:rPr>
          <w:rFonts w:ascii="Times New Roman" w:hAnsi="Times New Roman" w:cs="Times New Roman"/>
          <w:lang w:val="es-AR"/>
        </w:rPr>
        <w:t xml:space="preserve"> (1.040). La recurrencia de este vocabulario pone de manifiesto el peso que conservan las problemáticas vinculadas al Estado, las políticas públicas, la regulación jurídica y los sistemas educativos dentro de la producción científica argentina.</w:t>
      </w:r>
    </w:p>
    <w:p w14:paraId="78D6FEE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Junto a estas referencias aparecen términos de carácter más transversal, como </w:t>
      </w:r>
      <w:r w:rsidRPr="0065755A">
        <w:rPr>
          <w:rFonts w:ascii="Times New Roman" w:hAnsi="Times New Roman" w:cs="Times New Roman"/>
          <w:i/>
          <w:iCs/>
          <w:lang w:val="es-AR"/>
        </w:rPr>
        <w:t>análisis</w:t>
      </w:r>
      <w:r w:rsidRPr="0065755A">
        <w:rPr>
          <w:rFonts w:ascii="Times New Roman" w:hAnsi="Times New Roman" w:cs="Times New Roman"/>
          <w:lang w:val="es-AR"/>
        </w:rPr>
        <w:t xml:space="preserve"> (2.316), </w:t>
      </w:r>
      <w:r w:rsidRPr="0065755A">
        <w:rPr>
          <w:rFonts w:ascii="Times New Roman" w:hAnsi="Times New Roman" w:cs="Times New Roman"/>
          <w:i/>
          <w:iCs/>
          <w:lang w:val="es-AR"/>
        </w:rPr>
        <w:t>estudio</w:t>
      </w:r>
      <w:r w:rsidRPr="0065755A">
        <w:rPr>
          <w:rFonts w:ascii="Times New Roman" w:hAnsi="Times New Roman" w:cs="Times New Roman"/>
          <w:lang w:val="es-AR"/>
        </w:rPr>
        <w:t xml:space="preserve"> (1.315), </w:t>
      </w:r>
      <w:r w:rsidRPr="0065755A">
        <w:rPr>
          <w:rFonts w:ascii="Times New Roman" w:hAnsi="Times New Roman" w:cs="Times New Roman"/>
          <w:i/>
          <w:iCs/>
          <w:lang w:val="es-AR"/>
        </w:rPr>
        <w:t>caso</w:t>
      </w:r>
      <w:r w:rsidRPr="0065755A">
        <w:rPr>
          <w:rFonts w:ascii="Times New Roman" w:hAnsi="Times New Roman" w:cs="Times New Roman"/>
          <w:lang w:val="es-AR"/>
        </w:rPr>
        <w:t xml:space="preserve">(1.852), </w:t>
      </w:r>
      <w:r w:rsidRPr="0065755A">
        <w:rPr>
          <w:rFonts w:ascii="Times New Roman" w:hAnsi="Times New Roman" w:cs="Times New Roman"/>
          <w:i/>
          <w:iCs/>
          <w:lang w:val="es-AR"/>
        </w:rPr>
        <w:t>construcción</w:t>
      </w:r>
      <w:r w:rsidRPr="0065755A">
        <w:rPr>
          <w:rFonts w:ascii="Times New Roman" w:hAnsi="Times New Roman" w:cs="Times New Roman"/>
          <w:lang w:val="es-AR"/>
        </w:rPr>
        <w:t xml:space="preserve"> (1.179), </w:t>
      </w:r>
      <w:r w:rsidRPr="0065755A">
        <w:rPr>
          <w:rFonts w:ascii="Times New Roman" w:hAnsi="Times New Roman" w:cs="Times New Roman"/>
          <w:i/>
          <w:iCs/>
          <w:lang w:val="es-AR"/>
        </w:rPr>
        <w:t>reflexiones</w:t>
      </w:r>
      <w:r w:rsidRPr="0065755A">
        <w:rPr>
          <w:rFonts w:ascii="Times New Roman" w:hAnsi="Times New Roman" w:cs="Times New Roman"/>
          <w:lang w:val="es-AR"/>
        </w:rPr>
        <w:t xml:space="preserve"> (938) y </w:t>
      </w:r>
      <w:r w:rsidRPr="0065755A">
        <w:rPr>
          <w:rFonts w:ascii="Times New Roman" w:hAnsi="Times New Roman" w:cs="Times New Roman"/>
          <w:i/>
          <w:iCs/>
          <w:lang w:val="es-AR"/>
        </w:rPr>
        <w:t>experiencia</w:t>
      </w:r>
      <w:r w:rsidRPr="0065755A">
        <w:rPr>
          <w:rFonts w:ascii="Times New Roman" w:hAnsi="Times New Roman" w:cs="Times New Roman"/>
          <w:lang w:val="es-AR"/>
        </w:rPr>
        <w:t xml:space="preserve"> (848). A diferencia de las categorías anteriores, estas palabras no designan objetos específicos de investigación, sino que remiten a formas relativamente </w:t>
      </w:r>
      <w:r w:rsidRPr="0065755A">
        <w:rPr>
          <w:rFonts w:ascii="Times New Roman" w:hAnsi="Times New Roman" w:cs="Times New Roman"/>
          <w:lang w:val="es-AR"/>
        </w:rPr>
        <w:lastRenderedPageBreak/>
        <w:t>estandarizadas de presentar el conocimiento científico. Expresiones como "análisis de...", "estudio de caso..." o "reflexiones sobre..." constituyen fórmulas discursivas ampliamente difundidas en la escritura académica, particularmente en los títulos de los artículos. Su elevada frecuencia pone de relieve la existencia de convenciones compartidas de comunicación científica que atraviesan diferentes disciplinas y contribuyen a homogeneizar la presentación de los resultados de investigación.</w:t>
      </w:r>
    </w:p>
    <w:p w14:paraId="6AFD979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Al mismo tiempo, el corpus evidencia la consolidación de determinadas agendas temáticas que han adquirido creciente relevancia durante la última década. La presencia entre los términos más frecuentes de palabras como </w:t>
      </w:r>
      <w:r w:rsidRPr="0065755A">
        <w:rPr>
          <w:rFonts w:ascii="Times New Roman" w:hAnsi="Times New Roman" w:cs="Times New Roman"/>
          <w:i/>
          <w:iCs/>
          <w:lang w:val="es-AR"/>
        </w:rPr>
        <w:t>género</w:t>
      </w:r>
      <w:r w:rsidRPr="0065755A">
        <w:rPr>
          <w:rFonts w:ascii="Times New Roman" w:hAnsi="Times New Roman" w:cs="Times New Roman"/>
          <w:lang w:val="es-AR"/>
        </w:rPr>
        <w:t> (1.258), </w:t>
      </w:r>
      <w:r w:rsidRPr="0065755A">
        <w:rPr>
          <w:rFonts w:ascii="Times New Roman" w:hAnsi="Times New Roman" w:cs="Times New Roman"/>
          <w:i/>
          <w:iCs/>
          <w:lang w:val="es-AR"/>
        </w:rPr>
        <w:t>mujeres</w:t>
      </w:r>
      <w:r w:rsidRPr="0065755A">
        <w:rPr>
          <w:rFonts w:ascii="Times New Roman" w:hAnsi="Times New Roman" w:cs="Times New Roman"/>
          <w:lang w:val="es-AR"/>
        </w:rPr>
        <w:t> (1.067), </w:t>
      </w:r>
      <w:r w:rsidRPr="0065755A">
        <w:rPr>
          <w:rFonts w:ascii="Times New Roman" w:hAnsi="Times New Roman" w:cs="Times New Roman"/>
          <w:i/>
          <w:iCs/>
          <w:lang w:val="es-AR"/>
        </w:rPr>
        <w:t>trabajo</w:t>
      </w:r>
      <w:r w:rsidRPr="0065755A">
        <w:rPr>
          <w:rFonts w:ascii="Times New Roman" w:hAnsi="Times New Roman" w:cs="Times New Roman"/>
          <w:lang w:val="es-AR"/>
        </w:rPr>
        <w:t> (1.272) y </w:t>
      </w:r>
      <w:r w:rsidRPr="0065755A">
        <w:rPr>
          <w:rFonts w:ascii="Times New Roman" w:hAnsi="Times New Roman" w:cs="Times New Roman"/>
          <w:i/>
          <w:iCs/>
          <w:lang w:val="es-AR"/>
        </w:rPr>
        <w:t>prácticas</w:t>
      </w:r>
      <w:r w:rsidRPr="0065755A">
        <w:rPr>
          <w:rFonts w:ascii="Times New Roman" w:hAnsi="Times New Roman" w:cs="Times New Roman"/>
          <w:lang w:val="es-AR"/>
        </w:rPr>
        <w:t> (1.104) indica la institucionalización de campos de investigación que ocupan hoy una posición significativa dentro de las ciencias sociales argentinas. Particularmente destacable resulta la importancia del léxico vinculado a los estudios de género, cuya recurrencia sugiere que estas problemáticas han dejado de constituir un área especializada para integrarse de manera transversal en múltiples líneas de investigación.</w:t>
      </w:r>
    </w:p>
    <w:p w14:paraId="1DAE6EFA"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Finalmente, la coexistencia de términos generales como </w:t>
      </w:r>
      <w:r w:rsidRPr="0065755A">
        <w:rPr>
          <w:rFonts w:ascii="Times New Roman" w:hAnsi="Times New Roman" w:cs="Times New Roman"/>
          <w:i/>
          <w:iCs/>
          <w:lang w:val="es-AR"/>
        </w:rPr>
        <w:t>social</w:t>
      </w:r>
      <w:r w:rsidRPr="0065755A">
        <w:rPr>
          <w:rFonts w:ascii="Times New Roman" w:hAnsi="Times New Roman" w:cs="Times New Roman"/>
          <w:lang w:val="es-AR"/>
        </w:rPr>
        <w:t xml:space="preserve"> (1.982) y </w:t>
      </w:r>
      <w:r w:rsidRPr="0065755A">
        <w:rPr>
          <w:rFonts w:ascii="Times New Roman" w:hAnsi="Times New Roman" w:cs="Times New Roman"/>
          <w:i/>
          <w:iCs/>
          <w:lang w:val="es-AR"/>
        </w:rPr>
        <w:t>sociales</w:t>
      </w:r>
      <w:r w:rsidRPr="0065755A">
        <w:rPr>
          <w:rFonts w:ascii="Times New Roman" w:hAnsi="Times New Roman" w:cs="Times New Roman"/>
          <w:lang w:val="es-AR"/>
        </w:rPr>
        <w:t xml:space="preserve"> (859) con otros de contenido más específico refleja la articulación entre distintos niveles de abstracción característica de las ciencias sociales. Mientras algunas unidades léxicas remiten a categorías amplias que atraviesan diversas disciplinas, otras hacen referencia a objetos, procesos o problemáticas concretas.</w:t>
      </w:r>
    </w:p>
    <w:p w14:paraId="47E439EC"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conjunto, el análisis de frecuencias permite delinear una primera representación del espacio léxico de las ciencias sociales argentinas. Lejos de constituir una simple enumeración de los términos más utilizados, la distribución del vocabulario pone de manifiesto una estructura organizada alrededor de tres grandes regularidades. La primera corresponde al fuerte anclaje territorial de la producción científica, evidenciado por la centralidad de referencias nacionales y latinoamericanas. La segunda remite al peso de las instituciones públicas, las políticas y el derecho como ejes estructurantes de la investigación. La tercera se vincula con la consolidación de ciertas agendas de investigación, particularmente aquellas relacionadas con el género, el trabajo y las prácticas sociales.</w:t>
      </w:r>
    </w:p>
    <w:p w14:paraId="198EE90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No obstante, las frecuencias sólo permiten identificar cuáles son los términos predominantes dentro del corpus. Para comprender de qué manera estos vocabularios se articulan entre sí y cuáles son las principales oposiciones que estructuran el espacio léxico resulta necesario recurrir a métodos de análisis relacional. Es precisamente esta dimensión la que explora el análisis factorial de correspondencias desarrollado en la sección siguiente, permitiendo pasar del estudio de las frecuencias al análisis de la organización del espacio léxico propiamente dicho.</w:t>
      </w:r>
    </w:p>
    <w:p w14:paraId="1A8F7B28" w14:textId="77777777" w:rsidR="0065755A" w:rsidRPr="0065755A" w:rsidRDefault="0065755A" w:rsidP="0065755A">
      <w:pPr>
        <w:spacing w:line="240" w:lineRule="auto"/>
        <w:jc w:val="both"/>
        <w:rPr>
          <w:rFonts w:ascii="Times New Roman" w:hAnsi="Times New Roman" w:cs="Times New Roman"/>
          <w:lang w:val="es-AR"/>
        </w:rPr>
      </w:pPr>
    </w:p>
    <w:p w14:paraId="0D74626F" w14:textId="77777777" w:rsidR="0065755A" w:rsidRPr="0065755A" w:rsidRDefault="0065755A" w:rsidP="00BA4171">
      <w:pPr>
        <w:pStyle w:val="Ttulo1"/>
      </w:pPr>
      <w:r w:rsidRPr="0065755A">
        <w:lastRenderedPageBreak/>
        <w:t>3.2. Las principales oposiciones del espacio léxico: análisis factorial de correspondencias</w:t>
      </w:r>
    </w:p>
    <w:p w14:paraId="44F0F8F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Con el fin de facilitar la interpretación del plano factorial, la representación gráfica se restringió a las palabras cuya contribución fue superior a 0,5 en al menos uno de los dos primeros ejes (Figura 2). De esta manera, se retuvieron únicamente las unidades léxicas que participan de forma significativa en la estructuración del espacio, evitando la sobrecarga visual que produciría la incorporación de términos con escasa capacidad discriminante. Asimismo, las palabras fueron diferenciadas mediante un código de colores según el eje al que contribuyen predominantemente y el tamaño de las etiquetas se ajustó en función de su contribución total, permitiendo identificar visualmente los términos que desempeñan un papel más importante en la organización del espacio léxico.</w:t>
      </w:r>
    </w:p>
    <w:p w14:paraId="6B8B0D5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plano factorial pone de manifiesto que el vocabulario de las ciencias sociales argentinas se organiza alrededor de ciertos principios de diferenciación. Los dos primeros ejes sintetizan las principales oposiciones presentes en el corpus y permiten reconstruir una primera representación de la estructura del espacio léxico.</w:t>
      </w:r>
    </w:p>
    <w:p w14:paraId="508CA47E" w14:textId="77777777" w:rsidR="0065755A" w:rsidRPr="0065755A" w:rsidRDefault="0065755A" w:rsidP="0065755A">
      <w:pPr>
        <w:spacing w:line="240" w:lineRule="auto"/>
        <w:jc w:val="both"/>
        <w:rPr>
          <w:rFonts w:ascii="Times New Roman" w:hAnsi="Times New Roman" w:cs="Times New Roman"/>
          <w:lang w:val="es-AR"/>
        </w:rPr>
      </w:pPr>
    </w:p>
    <w:p w14:paraId="3E8F4B6B" w14:textId="77777777" w:rsidR="0065755A" w:rsidRPr="0065755A" w:rsidRDefault="0065755A" w:rsidP="0065755A">
      <w:pPr>
        <w:keepNext/>
        <w:spacing w:line="240" w:lineRule="auto"/>
        <w:jc w:val="both"/>
        <w:rPr>
          <w:rFonts w:ascii="Times New Roman" w:hAnsi="Times New Roman" w:cs="Times New Roman"/>
          <w:lang w:val="es-AR"/>
        </w:rPr>
      </w:pPr>
      <w:r w:rsidRPr="0065755A">
        <w:rPr>
          <w:rFonts w:ascii="Times New Roman" w:hAnsi="Times New Roman" w:cs="Times New Roman"/>
          <w:lang w:val="es-AR"/>
        </w:rPr>
        <w:t>Figura 2. Plano factorial</w:t>
      </w:r>
    </w:p>
    <w:p w14:paraId="1A4D12F4"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noProof/>
          <w:lang w:val="es-ES_tradnl"/>
        </w:rPr>
        <w:drawing>
          <wp:inline distT="0" distB="0" distL="0" distR="0" wp14:anchorId="37A9D262" wp14:editId="08F8C0B6">
            <wp:extent cx="5612130" cy="3105150"/>
            <wp:effectExtent l="0" t="0" r="1270" b="6350"/>
            <wp:docPr id="846991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91848" name="Imagen 8469918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105150"/>
                    </a:xfrm>
                    <a:prstGeom prst="rect">
                      <a:avLst/>
                    </a:prstGeom>
                  </pic:spPr>
                </pic:pic>
              </a:graphicData>
            </a:graphic>
          </wp:inline>
        </w:drawing>
      </w:r>
    </w:p>
    <w:p w14:paraId="19DCCE4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El primer eje distingue dos universos discursivos claramente diferenciados. En el extremo izquierdo se agrupan términos vinculados con la historia y la temporalidad, representados por palabras como </w:t>
      </w:r>
      <w:r w:rsidRPr="0065755A">
        <w:rPr>
          <w:rFonts w:ascii="Times New Roman" w:hAnsi="Times New Roman" w:cs="Times New Roman"/>
          <w:i/>
          <w:iCs/>
          <w:lang w:val="es-AR"/>
        </w:rPr>
        <w:t>siglo</w:t>
      </w:r>
      <w:r w:rsidRPr="0065755A">
        <w:rPr>
          <w:rFonts w:ascii="Times New Roman" w:hAnsi="Times New Roman" w:cs="Times New Roman"/>
          <w:lang w:val="es-AR"/>
        </w:rPr>
        <w:t>, acompañadas por referencias cronológicas y períodos históricos. Este conjunto léxico remite a investigaciones centradas en procesos históricos, reconstrucciones cronológicas y análisis de largo plazo, particularmente frecuentes en la historiografía y en otras disciplinas interesadas en la evolución de fenómenos sociales y políticos.</w:t>
      </w:r>
    </w:p>
    <w:p w14:paraId="46E1E650"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 xml:space="preserve">En el extremo derecho del eje se concentra un vocabulario asociado a la educación, la enseñanza y la formación, donde destacan términos como </w:t>
      </w:r>
      <w:r w:rsidRPr="0065755A">
        <w:rPr>
          <w:rFonts w:ascii="Times New Roman" w:hAnsi="Times New Roman" w:cs="Times New Roman"/>
          <w:i/>
          <w:iCs/>
          <w:lang w:val="es-AR"/>
        </w:rPr>
        <w:t>enseñanza</w:t>
      </w:r>
      <w:r w:rsidRPr="0065755A">
        <w:rPr>
          <w:rFonts w:ascii="Times New Roman" w:hAnsi="Times New Roman" w:cs="Times New Roman"/>
          <w:lang w:val="es-AR"/>
        </w:rPr>
        <w:t xml:space="preserve">, </w:t>
      </w:r>
      <w:r w:rsidRPr="0065755A">
        <w:rPr>
          <w:rFonts w:ascii="Times New Roman" w:hAnsi="Times New Roman" w:cs="Times New Roman"/>
          <w:i/>
          <w:iCs/>
          <w:lang w:val="es-AR"/>
        </w:rPr>
        <w:t>estudiantes</w:t>
      </w:r>
      <w:r w:rsidRPr="0065755A">
        <w:rPr>
          <w:rFonts w:ascii="Times New Roman" w:hAnsi="Times New Roman" w:cs="Times New Roman"/>
          <w:lang w:val="es-AR"/>
        </w:rPr>
        <w:t xml:space="preserve">, </w:t>
      </w:r>
      <w:r w:rsidRPr="0065755A">
        <w:rPr>
          <w:rFonts w:ascii="Times New Roman" w:hAnsi="Times New Roman" w:cs="Times New Roman"/>
          <w:i/>
          <w:iCs/>
          <w:lang w:val="es-AR"/>
        </w:rPr>
        <w:t>docentes</w:t>
      </w:r>
      <w:r w:rsidRPr="0065755A">
        <w:rPr>
          <w:rFonts w:ascii="Times New Roman" w:hAnsi="Times New Roman" w:cs="Times New Roman"/>
          <w:lang w:val="es-AR"/>
        </w:rPr>
        <w:t xml:space="preserve">, </w:t>
      </w:r>
      <w:r w:rsidRPr="0065755A">
        <w:rPr>
          <w:rFonts w:ascii="Times New Roman" w:hAnsi="Times New Roman" w:cs="Times New Roman"/>
          <w:i/>
          <w:iCs/>
          <w:lang w:val="es-AR"/>
        </w:rPr>
        <w:t>universidad</w:t>
      </w:r>
      <w:r w:rsidRPr="0065755A">
        <w:rPr>
          <w:rFonts w:ascii="Times New Roman" w:hAnsi="Times New Roman" w:cs="Times New Roman"/>
          <w:lang w:val="es-AR"/>
        </w:rPr>
        <w:t>,</w:t>
      </w:r>
      <w:r w:rsidRPr="0065755A">
        <w:rPr>
          <w:rFonts w:ascii="Times New Roman" w:hAnsi="Times New Roman" w:cs="Times New Roman"/>
          <w:i/>
          <w:iCs/>
          <w:lang w:val="es-AR"/>
        </w:rPr>
        <w:t xml:space="preserve"> aprendizaje</w:t>
      </w:r>
      <w:r w:rsidRPr="0065755A">
        <w:rPr>
          <w:rFonts w:ascii="Times New Roman" w:hAnsi="Times New Roman" w:cs="Times New Roman"/>
          <w:lang w:val="es-AR"/>
        </w:rPr>
        <w:t>,</w:t>
      </w:r>
      <w:r w:rsidRPr="0065755A">
        <w:rPr>
          <w:rFonts w:ascii="Times New Roman" w:hAnsi="Times New Roman" w:cs="Times New Roman"/>
          <w:i/>
          <w:iCs/>
          <w:lang w:val="es-AR"/>
        </w:rPr>
        <w:t xml:space="preserve"> formación</w:t>
      </w:r>
      <w:r w:rsidRPr="0065755A">
        <w:rPr>
          <w:rFonts w:ascii="Times New Roman" w:hAnsi="Times New Roman" w:cs="Times New Roman"/>
          <w:lang w:val="es-AR"/>
        </w:rPr>
        <w:t>,</w:t>
      </w:r>
      <w:r w:rsidRPr="0065755A">
        <w:rPr>
          <w:rFonts w:ascii="Times New Roman" w:hAnsi="Times New Roman" w:cs="Times New Roman"/>
          <w:i/>
          <w:iCs/>
          <w:lang w:val="es-AR"/>
        </w:rPr>
        <w:t xml:space="preserve"> extensión</w:t>
      </w:r>
      <w:r w:rsidRPr="0065755A">
        <w:rPr>
          <w:rFonts w:ascii="Times New Roman" w:hAnsi="Times New Roman" w:cs="Times New Roman"/>
          <w:lang w:val="es-AR"/>
        </w:rPr>
        <w:t xml:space="preserve"> y </w:t>
      </w:r>
      <w:r w:rsidRPr="0065755A">
        <w:rPr>
          <w:rFonts w:ascii="Times New Roman" w:hAnsi="Times New Roman" w:cs="Times New Roman"/>
          <w:i/>
          <w:iCs/>
          <w:lang w:val="es-AR"/>
        </w:rPr>
        <w:t>evaluación</w:t>
      </w:r>
      <w:r w:rsidRPr="0065755A">
        <w:rPr>
          <w:rFonts w:ascii="Times New Roman" w:hAnsi="Times New Roman" w:cs="Times New Roman"/>
          <w:lang w:val="es-AR"/>
        </w:rPr>
        <w:t>. Estas palabras remiten a investigaciones orientadas hacia las instituciones educativas, las prácticas pedagógicas y los procesos de formación, configurando un universo discursivo claramente diferenciado del anterior.</w:t>
      </w:r>
    </w:p>
    <w:p w14:paraId="634D5C3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una primera lectura, este eje puede interpretarse como una oposición entre dos áreas disciplinares claramente identificables: la Historia y las Ciencias de la Educación. Mientras uno de sus extremos reúne un vocabulario asociado a la reconstrucción histórica y a la referencia cronológica, el otro concentra un léxico vinculado con la enseñanza, la formación, el aprendizaje, la universidad y disciplinas espacíficas. Sin embargo, esta lectura disciplinar puede resultar insuficiente para dar cuenta de la estructura del eje. En un nivel más general, la oposición parece expresar dos modos diferentes de construir el conocimiento científico. El primer polo se organiza en torno a objetos definidos por su inscripción temporal, privilegiando el estudio de procesos históricos y su contextualización en el tiempo. El segundo, en cambio, se articula alrededor de prácticas e instituciones orientadas a la producción, transmisión y evaluación del conocimiento.</w:t>
      </w:r>
    </w:p>
    <w:p w14:paraId="29D75298"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El segundo eje introduce una diferenciación de naturaleza distinta. En su parte superior se sitúa un conjunto de términos asociados al derecho, la filosofía y la reflexión conceptual, donde destacan palabras como </w:t>
      </w:r>
      <w:r w:rsidRPr="0065755A">
        <w:rPr>
          <w:rFonts w:ascii="Times New Roman" w:hAnsi="Times New Roman" w:cs="Times New Roman"/>
          <w:i/>
          <w:iCs/>
          <w:lang w:val="es-AR"/>
        </w:rPr>
        <w:t>derecho</w:t>
      </w:r>
      <w:r w:rsidRPr="0065755A">
        <w:rPr>
          <w:rFonts w:ascii="Times New Roman" w:hAnsi="Times New Roman" w:cs="Times New Roman"/>
          <w:lang w:val="es-AR"/>
        </w:rPr>
        <w:t xml:space="preserve">, </w:t>
      </w:r>
      <w:r w:rsidRPr="0065755A">
        <w:rPr>
          <w:rFonts w:ascii="Times New Roman" w:hAnsi="Times New Roman" w:cs="Times New Roman"/>
          <w:i/>
          <w:iCs/>
          <w:lang w:val="es-AR"/>
        </w:rPr>
        <w:t>jurídica</w:t>
      </w:r>
      <w:r w:rsidRPr="0065755A">
        <w:rPr>
          <w:rFonts w:ascii="Times New Roman" w:hAnsi="Times New Roman" w:cs="Times New Roman"/>
          <w:lang w:val="es-AR"/>
        </w:rPr>
        <w:t xml:space="preserve">, </w:t>
      </w:r>
      <w:r w:rsidRPr="0065755A">
        <w:rPr>
          <w:rFonts w:ascii="Times New Roman" w:hAnsi="Times New Roman" w:cs="Times New Roman"/>
          <w:i/>
          <w:iCs/>
          <w:lang w:val="es-AR"/>
        </w:rPr>
        <w:t>civil</w:t>
      </w:r>
      <w:r w:rsidRPr="0065755A">
        <w:rPr>
          <w:rFonts w:ascii="Times New Roman" w:hAnsi="Times New Roman" w:cs="Times New Roman"/>
          <w:lang w:val="es-AR"/>
        </w:rPr>
        <w:t xml:space="preserve">, </w:t>
      </w:r>
      <w:r w:rsidRPr="0065755A">
        <w:rPr>
          <w:rFonts w:ascii="Times New Roman" w:hAnsi="Times New Roman" w:cs="Times New Roman"/>
          <w:i/>
          <w:iCs/>
          <w:lang w:val="es-AR"/>
        </w:rPr>
        <w:t>comercial</w:t>
      </w:r>
      <w:r w:rsidRPr="0065755A">
        <w:rPr>
          <w:rFonts w:ascii="Times New Roman" w:hAnsi="Times New Roman" w:cs="Times New Roman"/>
          <w:lang w:val="es-AR"/>
        </w:rPr>
        <w:t xml:space="preserve">, </w:t>
      </w:r>
      <w:r w:rsidRPr="0065755A">
        <w:rPr>
          <w:rFonts w:ascii="Times New Roman" w:hAnsi="Times New Roman" w:cs="Times New Roman"/>
          <w:i/>
          <w:iCs/>
          <w:lang w:val="es-AR"/>
        </w:rPr>
        <w:t>códigocivil</w:t>
      </w:r>
      <w:r w:rsidRPr="0065755A">
        <w:rPr>
          <w:rFonts w:ascii="Times New Roman" w:hAnsi="Times New Roman" w:cs="Times New Roman"/>
          <w:lang w:val="es-AR"/>
        </w:rPr>
        <w:t>, junto con referencias a categorías propias del pensamiento filosófico y jurídico. Este polo reúne investigaciones cuyo vocabulario se caracteriza por un mayor nivel de abstracción conceptual y por la centralidad otorgada al análisis normativo y doctrinario.</w:t>
      </w:r>
    </w:p>
    <w:p w14:paraId="448855EE"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contraste, la parte inferior del eje concentra un léxico fuertemente asociado a referencias territoriales</w:t>
      </w:r>
      <w:r w:rsidRPr="0065755A">
        <w:rPr>
          <w:rFonts w:ascii="Times New Roman" w:hAnsi="Times New Roman" w:cs="Times New Roman"/>
          <w:b/>
          <w:bCs/>
          <w:lang w:val="es-AR"/>
        </w:rPr>
        <w:t xml:space="preserve"> </w:t>
      </w:r>
      <w:r w:rsidRPr="0065755A">
        <w:rPr>
          <w:rFonts w:ascii="Times New Roman" w:hAnsi="Times New Roman" w:cs="Times New Roman"/>
          <w:lang w:val="es-AR"/>
        </w:rPr>
        <w:t xml:space="preserve">y empíricas, donde predominan términos como </w:t>
      </w:r>
      <w:r w:rsidRPr="0065755A">
        <w:rPr>
          <w:rFonts w:ascii="Times New Roman" w:hAnsi="Times New Roman" w:cs="Times New Roman"/>
          <w:i/>
          <w:iCs/>
          <w:lang w:val="es-AR"/>
        </w:rPr>
        <w:t>Argentina</w:t>
      </w:r>
      <w:r w:rsidRPr="0065755A">
        <w:rPr>
          <w:rFonts w:ascii="Times New Roman" w:hAnsi="Times New Roman" w:cs="Times New Roman"/>
          <w:lang w:val="es-AR"/>
        </w:rPr>
        <w:t xml:space="preserve">, </w:t>
      </w:r>
      <w:r w:rsidRPr="0065755A">
        <w:rPr>
          <w:rFonts w:ascii="Times New Roman" w:hAnsi="Times New Roman" w:cs="Times New Roman"/>
          <w:i/>
          <w:iCs/>
          <w:lang w:val="es-AR"/>
        </w:rPr>
        <w:t>ciudad</w:t>
      </w:r>
      <w:r w:rsidRPr="0065755A">
        <w:rPr>
          <w:rFonts w:ascii="Times New Roman" w:hAnsi="Times New Roman" w:cs="Times New Roman"/>
          <w:lang w:val="es-AR"/>
        </w:rPr>
        <w:t xml:space="preserve"> y otras denominaciones geográficas. Este agrupamiento refleja investigaciones construidas a partir de estudios de caso, análisis territoriales y problemáticas localizadas espacialmente, confirmando el fuerte anclaje empírico ya identificado en el análisis de frecuencias.</w:t>
      </w:r>
    </w:p>
    <w:p w14:paraId="3D555497"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este sentido, el segundo eje parece expresar una tensión entre dos modos complementarios de producción del conocimiento. Por un lado, un polo orientado hacia la elaboración conceptual, el razonamiento jurídico y la discusión teórica; por otro, un polo caracterizado por el análisis empírico de procesos sociales situados territorialmente.</w:t>
      </w:r>
    </w:p>
    <w:p w14:paraId="0D9B097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Considerados conjuntamente, los dos primeros ejes permiten reconstruir una representación sintética del espacio léxico. El primero diferencia investigaciones centradas en la reconstrucción histórica de aquellas orientadas al estudio de los procesos educativos y de formación, mientras que el segundo distingue un polo predominantemente teórico-jurídico de otro caracterizado por un mayor anclaje territorial y empírico. Estas oposiciones no deben interpretarse como fronteras rígidas entre disciplinas, sino como principios de organización del vocabulario científico que emergen de la estructura estadística del corpus.</w:t>
      </w:r>
    </w:p>
    <w:p w14:paraId="0FC7B1B7"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Desde la perspectiva de la sociología del campo científico, estos resultados resultan particularmente significativos. Si, como se sostuvo en el marco teórico, los títulos de los artículos constituyen formas objetivadas de las tomas de posición de los investigadores, entonces las oposiciones reveladas por el análisis factorial pueden interpretarse como una primera aproximación a la estructura del campo de las ciencias sociales argentinas. El espacio léxico no aparece así como un simple conjunto de palabras, sino como una configuración relacional donde diferentes modos de construir los objetos de investigación, diferentes tradiciones intelectuales y diferentes agendas científicas ocupan posiciones relativamente diferenciadas. La clasificación jerárquica presentada en la siguiente sección permitirá profundizar esta interpretación, identificando los principales universos temáticos que conforman ese espacio.</w:t>
      </w:r>
    </w:p>
    <w:p w14:paraId="7AF980E2" w14:textId="77777777" w:rsidR="0065755A" w:rsidRPr="0065755A" w:rsidRDefault="0065755A" w:rsidP="0065755A">
      <w:pPr>
        <w:spacing w:line="240" w:lineRule="auto"/>
        <w:jc w:val="both"/>
        <w:rPr>
          <w:rFonts w:ascii="Times New Roman" w:hAnsi="Times New Roman" w:cs="Times New Roman"/>
          <w:lang w:val="es-AR"/>
        </w:rPr>
      </w:pPr>
    </w:p>
    <w:p w14:paraId="50D26246" w14:textId="77777777" w:rsidR="0065755A" w:rsidRPr="00BA4171" w:rsidRDefault="0065755A" w:rsidP="00BA4171">
      <w:pPr>
        <w:pStyle w:val="Ttulo1"/>
      </w:pPr>
      <w:r w:rsidRPr="00BA4171">
        <w:t>3.3. Los universos temáticos del espacio léxico: clasificación jerárquica descendente</w:t>
      </w:r>
    </w:p>
    <w:p w14:paraId="32110128"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Con el propósito de profundizar el análisis de la estructura del espacio léxico se realizó una clasificación jerárquica descendente mediante el algoritmo desarrollado por Max Reinert. A diferencia del análisis factorial de correspondencias, que permite identificar las principales dimensiones que estructuran el vocabulario, este procedimiento agrupa documentos y unidades léxicas en clases relativamente homogéneas a partir de sus patrones de coocurrencia.</w:t>
      </w:r>
    </w:p>
    <w:p w14:paraId="51661A52"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clasificación distingue ocho clases léxicas, cada una caracterizada por un conjunto de términos cuya frecuencia es significativamente superior a la esperada dentro del grupo. Estas clases representan diferentes configuraciones discursivas presentes en el corpus y permiten aproximarse a la diversidad temática que caracteriza la producción reciente de las ciencias sociales argentinas.</w:t>
      </w:r>
    </w:p>
    <w:p w14:paraId="550C9DDF" w14:textId="77777777" w:rsidR="0065755A" w:rsidRPr="0065755A" w:rsidRDefault="0065755A" w:rsidP="0065755A">
      <w:pPr>
        <w:spacing w:line="240" w:lineRule="auto"/>
        <w:jc w:val="both"/>
        <w:rPr>
          <w:rFonts w:ascii="Times New Roman" w:hAnsi="Times New Roman" w:cs="Times New Roman"/>
          <w:lang w:val="es-AR"/>
        </w:rPr>
      </w:pPr>
    </w:p>
    <w:p w14:paraId="601144EF" w14:textId="77777777" w:rsidR="0065755A" w:rsidRPr="0065755A" w:rsidRDefault="0065755A" w:rsidP="0065755A">
      <w:pPr>
        <w:keepNext/>
        <w:spacing w:line="240" w:lineRule="auto"/>
        <w:jc w:val="both"/>
        <w:rPr>
          <w:rFonts w:ascii="Times New Roman" w:hAnsi="Times New Roman" w:cs="Times New Roman"/>
          <w:lang w:val="es-AR"/>
        </w:rPr>
      </w:pPr>
      <w:r w:rsidRPr="0065755A">
        <w:rPr>
          <w:rFonts w:ascii="Times New Roman" w:hAnsi="Times New Roman" w:cs="Times New Roman"/>
          <w:lang w:val="es-AR"/>
        </w:rPr>
        <w:lastRenderedPageBreak/>
        <w:t>Figura 3. Dendograma de la clasificación del corpus léxico</w:t>
      </w:r>
    </w:p>
    <w:p w14:paraId="118E6543"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noProof/>
          <w:lang w:val="es-ES_tradnl"/>
        </w:rPr>
        <w:drawing>
          <wp:inline distT="0" distB="0" distL="0" distR="0" wp14:anchorId="4A05C80E" wp14:editId="5AD894EE">
            <wp:extent cx="5612130" cy="2940050"/>
            <wp:effectExtent l="0" t="0" r="1270" b="6350"/>
            <wp:docPr id="5088566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56601" name="Imagen 5088566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2940050"/>
                    </a:xfrm>
                    <a:prstGeom prst="rect">
                      <a:avLst/>
                    </a:prstGeom>
                  </pic:spPr>
                </pic:pic>
              </a:graphicData>
            </a:graphic>
          </wp:inline>
        </w:drawing>
      </w:r>
    </w:p>
    <w:p w14:paraId="1ECF660D"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1 (n = 146) reúne un vocabulario claramente asociado al derecho civil y comercial. Entre los términos más representativos se encuentran </w:t>
      </w:r>
      <w:r w:rsidRPr="0065755A">
        <w:rPr>
          <w:rFonts w:ascii="Times New Roman" w:hAnsi="Times New Roman" w:cs="Times New Roman"/>
          <w:i/>
          <w:iCs/>
          <w:lang w:val="es-AR"/>
        </w:rPr>
        <w:t>códigocivil</w:t>
      </w:r>
      <w:r w:rsidRPr="0065755A">
        <w:rPr>
          <w:rFonts w:ascii="Times New Roman" w:hAnsi="Times New Roman" w:cs="Times New Roman"/>
          <w:lang w:val="es-AR"/>
        </w:rPr>
        <w:t xml:space="preserve">, </w:t>
      </w:r>
      <w:r w:rsidRPr="0065755A">
        <w:rPr>
          <w:rFonts w:ascii="Times New Roman" w:hAnsi="Times New Roman" w:cs="Times New Roman"/>
          <w:i/>
          <w:iCs/>
          <w:lang w:val="es-AR"/>
        </w:rPr>
        <w:t xml:space="preserve"> comercial</w:t>
      </w:r>
      <w:r w:rsidRPr="0065755A">
        <w:rPr>
          <w:rFonts w:ascii="Times New Roman" w:hAnsi="Times New Roman" w:cs="Times New Roman"/>
          <w:lang w:val="es-AR"/>
        </w:rPr>
        <w:t xml:space="preserve">, </w:t>
      </w:r>
      <w:r w:rsidRPr="0065755A">
        <w:rPr>
          <w:rFonts w:ascii="Times New Roman" w:hAnsi="Times New Roman" w:cs="Times New Roman"/>
          <w:i/>
          <w:iCs/>
          <w:lang w:val="es-AR"/>
        </w:rPr>
        <w:t>civil</w:t>
      </w:r>
      <w:r w:rsidRPr="0065755A">
        <w:rPr>
          <w:rFonts w:ascii="Times New Roman" w:hAnsi="Times New Roman" w:cs="Times New Roman"/>
          <w:lang w:val="es-AR"/>
        </w:rPr>
        <w:t xml:space="preserve">, </w:t>
      </w:r>
      <w:r w:rsidRPr="0065755A">
        <w:rPr>
          <w:rFonts w:ascii="Times New Roman" w:hAnsi="Times New Roman" w:cs="Times New Roman"/>
          <w:i/>
          <w:iCs/>
          <w:lang w:val="es-AR"/>
        </w:rPr>
        <w:t>jurídica</w:t>
      </w:r>
      <w:r w:rsidRPr="0065755A">
        <w:rPr>
          <w:rFonts w:ascii="Times New Roman" w:hAnsi="Times New Roman" w:cs="Times New Roman"/>
          <w:lang w:val="es-AR"/>
        </w:rPr>
        <w:t>,</w:t>
      </w:r>
      <w:r w:rsidRPr="0065755A">
        <w:rPr>
          <w:rFonts w:ascii="Times New Roman" w:hAnsi="Times New Roman" w:cs="Times New Roman"/>
          <w:i/>
          <w:iCs/>
          <w:lang w:val="es-AR"/>
        </w:rPr>
        <w:t xml:space="preserve"> responsabilidad</w:t>
      </w:r>
      <w:r w:rsidRPr="0065755A">
        <w:rPr>
          <w:rFonts w:ascii="Times New Roman" w:hAnsi="Times New Roman" w:cs="Times New Roman"/>
          <w:lang w:val="es-AR"/>
        </w:rPr>
        <w:t xml:space="preserve">, </w:t>
      </w:r>
      <w:r w:rsidRPr="0065755A">
        <w:rPr>
          <w:rFonts w:ascii="Times New Roman" w:hAnsi="Times New Roman" w:cs="Times New Roman"/>
          <w:i/>
          <w:iCs/>
          <w:lang w:val="es-AR"/>
        </w:rPr>
        <w:t>regulación</w:t>
      </w:r>
      <w:r w:rsidRPr="0065755A">
        <w:rPr>
          <w:rFonts w:ascii="Times New Roman" w:hAnsi="Times New Roman" w:cs="Times New Roman"/>
          <w:lang w:val="es-AR"/>
        </w:rPr>
        <w:t xml:space="preserve"> y </w:t>
      </w:r>
      <w:r w:rsidRPr="0065755A">
        <w:rPr>
          <w:rFonts w:ascii="Times New Roman" w:hAnsi="Times New Roman" w:cs="Times New Roman"/>
          <w:i/>
          <w:iCs/>
          <w:lang w:val="es-AR"/>
        </w:rPr>
        <w:t>derecho</w:t>
      </w:r>
      <w:r w:rsidRPr="0065755A">
        <w:rPr>
          <w:rFonts w:ascii="Times New Roman" w:hAnsi="Times New Roman" w:cs="Times New Roman"/>
          <w:lang w:val="es-AR"/>
        </w:rPr>
        <w:t>. Se trata de un universo discursivo centrado en el análisis de instituciones jurídicas, reformas normativas y problemas vinculados con la regulación legal, donde predominan enfoques orientados al estudio de la legislación y de sus implicancias sociales.</w:t>
      </w:r>
    </w:p>
    <w:p w14:paraId="158AC8B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2 (n = 11.379) constituye uno de los grupos más numerosos del corpus y se caracteriza por un fuerte anclaje territorial. Palabras como </w:t>
      </w:r>
      <w:r w:rsidRPr="0065755A">
        <w:rPr>
          <w:rFonts w:ascii="Times New Roman" w:hAnsi="Times New Roman" w:cs="Times New Roman"/>
          <w:i/>
          <w:iCs/>
          <w:lang w:val="es-AR"/>
        </w:rPr>
        <w:t>Argentina</w:t>
      </w:r>
      <w:r w:rsidRPr="0065755A">
        <w:rPr>
          <w:rFonts w:ascii="Times New Roman" w:hAnsi="Times New Roman" w:cs="Times New Roman"/>
          <w:lang w:val="es-AR"/>
        </w:rPr>
        <w:t xml:space="preserve">, </w:t>
      </w:r>
      <w:r w:rsidRPr="0065755A">
        <w:rPr>
          <w:rFonts w:ascii="Times New Roman" w:hAnsi="Times New Roman" w:cs="Times New Roman"/>
          <w:i/>
          <w:iCs/>
          <w:lang w:val="es-AR"/>
        </w:rPr>
        <w:t>ciudad</w:t>
      </w:r>
      <w:r w:rsidRPr="0065755A">
        <w:rPr>
          <w:rFonts w:ascii="Times New Roman" w:hAnsi="Times New Roman" w:cs="Times New Roman"/>
          <w:lang w:val="es-AR"/>
        </w:rPr>
        <w:t xml:space="preserve">, </w:t>
      </w:r>
      <w:r w:rsidRPr="0065755A">
        <w:rPr>
          <w:rFonts w:ascii="Times New Roman" w:hAnsi="Times New Roman" w:cs="Times New Roman"/>
          <w:i/>
          <w:iCs/>
          <w:lang w:val="es-AR"/>
        </w:rPr>
        <w:t>provincia</w:t>
      </w:r>
      <w:r w:rsidRPr="0065755A">
        <w:rPr>
          <w:rFonts w:ascii="Times New Roman" w:hAnsi="Times New Roman" w:cs="Times New Roman"/>
          <w:lang w:val="es-AR"/>
        </w:rPr>
        <w:t xml:space="preserve">, </w:t>
      </w:r>
      <w:r w:rsidRPr="0065755A">
        <w:rPr>
          <w:rFonts w:ascii="Times New Roman" w:hAnsi="Times New Roman" w:cs="Times New Roman"/>
          <w:i/>
          <w:iCs/>
          <w:lang w:val="es-AR"/>
        </w:rPr>
        <w:t>Córdoba</w:t>
      </w:r>
      <w:r w:rsidRPr="0065755A">
        <w:rPr>
          <w:rFonts w:ascii="Times New Roman" w:hAnsi="Times New Roman" w:cs="Times New Roman"/>
          <w:lang w:val="es-AR"/>
        </w:rPr>
        <w:t xml:space="preserve">, </w:t>
      </w:r>
      <w:r w:rsidRPr="0065755A">
        <w:rPr>
          <w:rFonts w:ascii="Times New Roman" w:hAnsi="Times New Roman" w:cs="Times New Roman"/>
          <w:i/>
          <w:iCs/>
          <w:lang w:val="es-AR"/>
        </w:rPr>
        <w:t>espacio</w:t>
      </w:r>
      <w:r w:rsidRPr="0065755A">
        <w:rPr>
          <w:rFonts w:ascii="Times New Roman" w:hAnsi="Times New Roman" w:cs="Times New Roman"/>
          <w:lang w:val="es-AR"/>
        </w:rPr>
        <w:t xml:space="preserve">, </w:t>
      </w:r>
      <w:r w:rsidRPr="0065755A">
        <w:rPr>
          <w:rFonts w:ascii="Times New Roman" w:hAnsi="Times New Roman" w:cs="Times New Roman"/>
          <w:i/>
          <w:iCs/>
          <w:lang w:val="es-AR"/>
        </w:rPr>
        <w:t>urbana</w:t>
      </w:r>
      <w:r w:rsidRPr="0065755A">
        <w:rPr>
          <w:rFonts w:ascii="Times New Roman" w:hAnsi="Times New Roman" w:cs="Times New Roman"/>
          <w:lang w:val="es-AR"/>
        </w:rPr>
        <w:t xml:space="preserve"> y </w:t>
      </w:r>
      <w:r w:rsidRPr="0065755A">
        <w:rPr>
          <w:rFonts w:ascii="Times New Roman" w:hAnsi="Times New Roman" w:cs="Times New Roman"/>
          <w:i/>
          <w:iCs/>
          <w:lang w:val="es-AR"/>
        </w:rPr>
        <w:t>caso</w:t>
      </w:r>
      <w:r w:rsidRPr="0065755A">
        <w:rPr>
          <w:rFonts w:ascii="Times New Roman" w:hAnsi="Times New Roman" w:cs="Times New Roman"/>
          <w:lang w:val="es-AR"/>
        </w:rPr>
        <w:t xml:space="preserve"> reflejan investigaciones centradas en estudios localizados espacialmente, dinámicas urbanas, análisis regionales y estudios de caso. Esta clase confirma la importancia de la dimensión territorial ya observada en el análisis de frecuencias y pone de manifiesto el lugar central que ocupan las escalas nacional y local en la construcción de los objetos de investigación.</w:t>
      </w:r>
    </w:p>
    <w:p w14:paraId="084376C5"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3 (n = 1.722) está organizada alrededor de un léxico eminentemente histórico. Los términos </w:t>
      </w:r>
      <w:r w:rsidRPr="0065755A">
        <w:rPr>
          <w:rFonts w:ascii="Times New Roman" w:hAnsi="Times New Roman" w:cs="Times New Roman"/>
          <w:i/>
          <w:iCs/>
          <w:lang w:val="es-AR"/>
        </w:rPr>
        <w:t>siglo</w:t>
      </w:r>
      <w:r w:rsidRPr="0065755A">
        <w:rPr>
          <w:rFonts w:ascii="Times New Roman" w:hAnsi="Times New Roman" w:cs="Times New Roman"/>
          <w:lang w:val="es-AR"/>
        </w:rPr>
        <w:t xml:space="preserve">, </w:t>
      </w:r>
      <w:r w:rsidRPr="0065755A">
        <w:rPr>
          <w:rFonts w:ascii="Times New Roman" w:hAnsi="Times New Roman" w:cs="Times New Roman"/>
          <w:i/>
          <w:iCs/>
          <w:lang w:val="es-AR"/>
        </w:rPr>
        <w:t>XIX</w:t>
      </w:r>
      <w:r w:rsidRPr="0065755A">
        <w:rPr>
          <w:rFonts w:ascii="Times New Roman" w:hAnsi="Times New Roman" w:cs="Times New Roman"/>
          <w:lang w:val="es-AR"/>
        </w:rPr>
        <w:t xml:space="preserve">, </w:t>
      </w:r>
      <w:r w:rsidRPr="0065755A">
        <w:rPr>
          <w:rFonts w:ascii="Times New Roman" w:hAnsi="Times New Roman" w:cs="Times New Roman"/>
          <w:i/>
          <w:iCs/>
          <w:lang w:val="es-AR"/>
        </w:rPr>
        <w:t>XX</w:t>
      </w:r>
      <w:r w:rsidRPr="0065755A">
        <w:rPr>
          <w:rFonts w:ascii="Times New Roman" w:hAnsi="Times New Roman" w:cs="Times New Roman"/>
          <w:lang w:val="es-AR"/>
        </w:rPr>
        <w:t xml:space="preserve">, </w:t>
      </w:r>
      <w:r w:rsidRPr="0065755A">
        <w:rPr>
          <w:rFonts w:ascii="Times New Roman" w:hAnsi="Times New Roman" w:cs="Times New Roman"/>
          <w:i/>
          <w:iCs/>
          <w:lang w:val="es-AR"/>
        </w:rPr>
        <w:t>XXI</w:t>
      </w:r>
      <w:r w:rsidRPr="0065755A">
        <w:rPr>
          <w:rFonts w:ascii="Times New Roman" w:hAnsi="Times New Roman" w:cs="Times New Roman"/>
          <w:lang w:val="es-AR"/>
        </w:rPr>
        <w:t xml:space="preserve">, </w:t>
      </w:r>
      <w:r w:rsidRPr="0065755A">
        <w:rPr>
          <w:rFonts w:ascii="Times New Roman" w:hAnsi="Times New Roman" w:cs="Times New Roman"/>
          <w:i/>
          <w:iCs/>
          <w:lang w:val="es-AR"/>
        </w:rPr>
        <w:t>colonial</w:t>
      </w:r>
      <w:r w:rsidRPr="0065755A">
        <w:rPr>
          <w:rFonts w:ascii="Times New Roman" w:hAnsi="Times New Roman" w:cs="Times New Roman"/>
          <w:lang w:val="es-AR"/>
        </w:rPr>
        <w:t xml:space="preserve">, </w:t>
      </w:r>
      <w:r w:rsidRPr="0065755A">
        <w:rPr>
          <w:rFonts w:ascii="Times New Roman" w:hAnsi="Times New Roman" w:cs="Times New Roman"/>
          <w:i/>
          <w:iCs/>
          <w:lang w:val="es-AR"/>
        </w:rPr>
        <w:t>rioplatense</w:t>
      </w:r>
      <w:r w:rsidRPr="0065755A">
        <w:rPr>
          <w:rFonts w:ascii="Times New Roman" w:hAnsi="Times New Roman" w:cs="Times New Roman"/>
          <w:lang w:val="es-AR"/>
        </w:rPr>
        <w:t xml:space="preserve">, </w:t>
      </w:r>
      <w:r w:rsidRPr="0065755A">
        <w:rPr>
          <w:rFonts w:ascii="Times New Roman" w:hAnsi="Times New Roman" w:cs="Times New Roman"/>
          <w:i/>
          <w:iCs/>
          <w:lang w:val="es-AR"/>
        </w:rPr>
        <w:t>primera</w:t>
      </w:r>
      <w:r w:rsidRPr="0065755A">
        <w:rPr>
          <w:rFonts w:ascii="Times New Roman" w:hAnsi="Times New Roman" w:cs="Times New Roman"/>
          <w:lang w:val="es-AR"/>
        </w:rPr>
        <w:t xml:space="preserve"> y </w:t>
      </w:r>
      <w:r w:rsidRPr="0065755A">
        <w:rPr>
          <w:rFonts w:ascii="Times New Roman" w:hAnsi="Times New Roman" w:cs="Times New Roman"/>
          <w:i/>
          <w:iCs/>
          <w:lang w:val="es-AR"/>
        </w:rPr>
        <w:t>segunda</w:t>
      </w:r>
      <w:r w:rsidRPr="0065755A">
        <w:rPr>
          <w:rFonts w:ascii="Times New Roman" w:hAnsi="Times New Roman" w:cs="Times New Roman"/>
          <w:lang w:val="es-AR"/>
        </w:rPr>
        <w:t xml:space="preserve"> evidencian una orientación hacia investigaciones que privilegian la reconstrucción cronológica de procesos sociales, políticos e institucionales. La abundancia de referencias temporales sugiere un universo discursivo donde la periodización constituye un principio central de organización del conocimiento.</w:t>
      </w:r>
    </w:p>
    <w:p w14:paraId="1F3005F6"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4 (n = 12.649), la más extensa del corpus, se encuentra dominada por un vocabulario asociado a la historia política y las relaciones de poder. Los términos </w:t>
      </w:r>
      <w:r w:rsidRPr="0065755A">
        <w:rPr>
          <w:rFonts w:ascii="Times New Roman" w:hAnsi="Times New Roman" w:cs="Times New Roman"/>
          <w:i/>
          <w:iCs/>
          <w:lang w:val="es-AR"/>
        </w:rPr>
        <w:t>política</w:t>
      </w:r>
      <w:r w:rsidRPr="0065755A">
        <w:rPr>
          <w:rFonts w:ascii="Times New Roman" w:hAnsi="Times New Roman" w:cs="Times New Roman"/>
          <w:lang w:val="es-AR"/>
        </w:rPr>
        <w:t>,</w:t>
      </w:r>
      <w:r w:rsidRPr="0065755A">
        <w:rPr>
          <w:rFonts w:ascii="Times New Roman" w:hAnsi="Times New Roman" w:cs="Times New Roman"/>
          <w:i/>
          <w:iCs/>
          <w:lang w:val="es-AR"/>
        </w:rPr>
        <w:t xml:space="preserve"> historia</w:t>
      </w:r>
      <w:r w:rsidRPr="0065755A">
        <w:rPr>
          <w:rFonts w:ascii="Times New Roman" w:hAnsi="Times New Roman" w:cs="Times New Roman"/>
          <w:lang w:val="es-AR"/>
        </w:rPr>
        <w:t>,</w:t>
      </w:r>
      <w:r w:rsidRPr="0065755A">
        <w:rPr>
          <w:rFonts w:ascii="Times New Roman" w:hAnsi="Times New Roman" w:cs="Times New Roman"/>
          <w:i/>
          <w:iCs/>
          <w:lang w:val="es-AR"/>
        </w:rPr>
        <w:t xml:space="preserve"> democracia</w:t>
      </w:r>
      <w:r w:rsidRPr="0065755A">
        <w:rPr>
          <w:rFonts w:ascii="Times New Roman" w:hAnsi="Times New Roman" w:cs="Times New Roman"/>
          <w:lang w:val="es-AR"/>
        </w:rPr>
        <w:t xml:space="preserve">, </w:t>
      </w:r>
      <w:r w:rsidRPr="0065755A">
        <w:rPr>
          <w:rFonts w:ascii="Times New Roman" w:hAnsi="Times New Roman" w:cs="Times New Roman"/>
          <w:i/>
          <w:iCs/>
          <w:lang w:val="es-AR"/>
        </w:rPr>
        <w:t>revolución</w:t>
      </w:r>
      <w:r w:rsidRPr="0065755A">
        <w:rPr>
          <w:rFonts w:ascii="Times New Roman" w:hAnsi="Times New Roman" w:cs="Times New Roman"/>
          <w:lang w:val="es-AR"/>
        </w:rPr>
        <w:t xml:space="preserve">, </w:t>
      </w:r>
      <w:r w:rsidRPr="0065755A">
        <w:rPr>
          <w:rFonts w:ascii="Times New Roman" w:hAnsi="Times New Roman" w:cs="Times New Roman"/>
          <w:i/>
          <w:iCs/>
          <w:lang w:val="es-AR"/>
        </w:rPr>
        <w:t>guerra</w:t>
      </w:r>
      <w:r w:rsidRPr="0065755A">
        <w:rPr>
          <w:rFonts w:ascii="Times New Roman" w:hAnsi="Times New Roman" w:cs="Times New Roman"/>
          <w:lang w:val="es-AR"/>
        </w:rPr>
        <w:t xml:space="preserve">, </w:t>
      </w:r>
      <w:r w:rsidRPr="0065755A">
        <w:rPr>
          <w:rFonts w:ascii="Times New Roman" w:hAnsi="Times New Roman" w:cs="Times New Roman"/>
          <w:i/>
          <w:iCs/>
          <w:lang w:val="es-AR"/>
        </w:rPr>
        <w:t>América Latina</w:t>
      </w:r>
      <w:r w:rsidRPr="0065755A">
        <w:rPr>
          <w:rFonts w:ascii="Times New Roman" w:hAnsi="Times New Roman" w:cs="Times New Roman"/>
          <w:lang w:val="es-AR"/>
        </w:rPr>
        <w:t xml:space="preserve"> y </w:t>
      </w:r>
      <w:r w:rsidRPr="0065755A">
        <w:rPr>
          <w:rFonts w:ascii="Times New Roman" w:hAnsi="Times New Roman" w:cs="Times New Roman"/>
          <w:i/>
          <w:iCs/>
          <w:lang w:val="es-AR"/>
        </w:rPr>
        <w:t>poder</w:t>
      </w:r>
      <w:r w:rsidRPr="0065755A">
        <w:rPr>
          <w:rFonts w:ascii="Times New Roman" w:hAnsi="Times New Roman" w:cs="Times New Roman"/>
          <w:lang w:val="es-AR"/>
        </w:rPr>
        <w:t xml:space="preserve"> indican una fuerte presencia de investigaciones dedicadas al estudio de procesos políticos, conflictos sociales, movimientos históricos y transformaciones institucionales. La amplitud de esta </w:t>
      </w:r>
      <w:r w:rsidRPr="0065755A">
        <w:rPr>
          <w:rFonts w:ascii="Times New Roman" w:hAnsi="Times New Roman" w:cs="Times New Roman"/>
          <w:lang w:val="es-AR"/>
        </w:rPr>
        <w:lastRenderedPageBreak/>
        <w:t>clase refleja el peso que estas problemáticas tienen dentro de las ciencias sociales argentinas.</w:t>
      </w:r>
    </w:p>
    <w:p w14:paraId="10617028"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5 (n = 122) presenta un perfil más específico y de menor tamaño. Los términos </w:t>
      </w:r>
      <w:r w:rsidRPr="0065755A">
        <w:rPr>
          <w:rFonts w:ascii="Times New Roman" w:hAnsi="Times New Roman" w:cs="Times New Roman"/>
          <w:i/>
          <w:iCs/>
          <w:lang w:val="es-AR"/>
        </w:rPr>
        <w:t>internacionales</w:t>
      </w:r>
      <w:r w:rsidRPr="0065755A">
        <w:rPr>
          <w:rFonts w:ascii="Times New Roman" w:hAnsi="Times New Roman" w:cs="Times New Roman"/>
          <w:lang w:val="es-AR"/>
        </w:rPr>
        <w:t xml:space="preserve">, </w:t>
      </w:r>
      <w:r w:rsidRPr="0065755A">
        <w:rPr>
          <w:rFonts w:ascii="Times New Roman" w:hAnsi="Times New Roman" w:cs="Times New Roman"/>
          <w:i/>
          <w:iCs/>
          <w:lang w:val="es-AR"/>
        </w:rPr>
        <w:t>América</w:t>
      </w:r>
      <w:r w:rsidRPr="0065755A">
        <w:rPr>
          <w:rFonts w:ascii="Times New Roman" w:hAnsi="Times New Roman" w:cs="Times New Roman"/>
          <w:lang w:val="es-AR"/>
        </w:rPr>
        <w:t xml:space="preserve">, </w:t>
      </w:r>
      <w:r w:rsidRPr="0065755A">
        <w:rPr>
          <w:rFonts w:ascii="Times New Roman" w:hAnsi="Times New Roman" w:cs="Times New Roman"/>
          <w:i/>
          <w:iCs/>
          <w:lang w:val="es-AR"/>
        </w:rPr>
        <w:t>debates</w:t>
      </w:r>
      <w:r w:rsidRPr="0065755A">
        <w:rPr>
          <w:rFonts w:ascii="Times New Roman" w:hAnsi="Times New Roman" w:cs="Times New Roman"/>
          <w:lang w:val="es-AR"/>
        </w:rPr>
        <w:t xml:space="preserve">, </w:t>
      </w:r>
      <w:r w:rsidRPr="0065755A">
        <w:rPr>
          <w:rFonts w:ascii="Times New Roman" w:hAnsi="Times New Roman" w:cs="Times New Roman"/>
          <w:i/>
          <w:iCs/>
          <w:lang w:val="es-AR"/>
        </w:rPr>
        <w:t>democracia</w:t>
      </w:r>
      <w:r w:rsidRPr="0065755A">
        <w:rPr>
          <w:rFonts w:ascii="Times New Roman" w:hAnsi="Times New Roman" w:cs="Times New Roman"/>
          <w:lang w:val="es-AR"/>
        </w:rPr>
        <w:t xml:space="preserve"> y </w:t>
      </w:r>
      <w:r w:rsidRPr="0065755A">
        <w:rPr>
          <w:rFonts w:ascii="Times New Roman" w:hAnsi="Times New Roman" w:cs="Times New Roman"/>
          <w:i/>
          <w:iCs/>
          <w:lang w:val="es-AR"/>
        </w:rPr>
        <w:t>política</w:t>
      </w:r>
      <w:r w:rsidRPr="0065755A">
        <w:rPr>
          <w:rFonts w:ascii="Times New Roman" w:hAnsi="Times New Roman" w:cs="Times New Roman"/>
          <w:lang w:val="es-AR"/>
        </w:rPr>
        <w:t xml:space="preserve"> permiten asociarla con investigaciones vinculadas a las relaciones internacionales y a debates políticos de alcance regional. Aunque representa una proporción reducida del corpus, constituye un universo temático diferenciado, caracterizado por una perspectiva comparativa y supranacional.</w:t>
      </w:r>
    </w:p>
    <w:p w14:paraId="05187471"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La clase 6  (n = 5.820) reúne un conjunto de investigaciones centradas en problemáticas sociales contemporáneas. El vocabulario característico —</w:t>
      </w:r>
      <w:r w:rsidRPr="0065755A">
        <w:rPr>
          <w:rFonts w:ascii="Times New Roman" w:hAnsi="Times New Roman" w:cs="Times New Roman"/>
          <w:i/>
          <w:iCs/>
          <w:lang w:val="es-AR"/>
        </w:rPr>
        <w:t>pandemia</w:t>
      </w:r>
      <w:r w:rsidRPr="0065755A">
        <w:rPr>
          <w:rFonts w:ascii="Times New Roman" w:hAnsi="Times New Roman" w:cs="Times New Roman"/>
          <w:lang w:val="es-AR"/>
        </w:rPr>
        <w:t xml:space="preserve">, </w:t>
      </w:r>
      <w:r w:rsidRPr="0065755A">
        <w:rPr>
          <w:rFonts w:ascii="Times New Roman" w:hAnsi="Times New Roman" w:cs="Times New Roman"/>
          <w:i/>
          <w:iCs/>
          <w:lang w:val="es-AR"/>
        </w:rPr>
        <w:t>covid</w:t>
      </w:r>
      <w:r w:rsidRPr="0065755A">
        <w:rPr>
          <w:rFonts w:ascii="Times New Roman" w:hAnsi="Times New Roman" w:cs="Times New Roman"/>
          <w:lang w:val="es-AR"/>
        </w:rPr>
        <w:t xml:space="preserve">, </w:t>
      </w:r>
      <w:r w:rsidRPr="0065755A">
        <w:rPr>
          <w:rFonts w:ascii="Times New Roman" w:hAnsi="Times New Roman" w:cs="Times New Roman"/>
          <w:i/>
          <w:iCs/>
          <w:lang w:val="es-AR"/>
        </w:rPr>
        <w:t>salud</w:t>
      </w:r>
      <w:r w:rsidRPr="0065755A">
        <w:rPr>
          <w:rFonts w:ascii="Times New Roman" w:hAnsi="Times New Roman" w:cs="Times New Roman"/>
          <w:lang w:val="es-AR"/>
        </w:rPr>
        <w:t xml:space="preserve">, </w:t>
      </w:r>
      <w:r w:rsidRPr="0065755A">
        <w:rPr>
          <w:rFonts w:ascii="Times New Roman" w:hAnsi="Times New Roman" w:cs="Times New Roman"/>
          <w:i/>
          <w:iCs/>
          <w:lang w:val="es-AR"/>
        </w:rPr>
        <w:t>niños</w:t>
      </w:r>
      <w:r w:rsidRPr="0065755A">
        <w:rPr>
          <w:rFonts w:ascii="Times New Roman" w:hAnsi="Times New Roman" w:cs="Times New Roman"/>
          <w:lang w:val="es-AR"/>
        </w:rPr>
        <w:t xml:space="preserve">, </w:t>
      </w:r>
      <w:r w:rsidRPr="0065755A">
        <w:rPr>
          <w:rFonts w:ascii="Times New Roman" w:hAnsi="Times New Roman" w:cs="Times New Roman"/>
          <w:i/>
          <w:iCs/>
          <w:lang w:val="es-AR"/>
        </w:rPr>
        <w:t>jóvenes</w:t>
      </w:r>
      <w:r w:rsidRPr="0065755A">
        <w:rPr>
          <w:rFonts w:ascii="Times New Roman" w:hAnsi="Times New Roman" w:cs="Times New Roman"/>
          <w:lang w:val="es-AR"/>
        </w:rPr>
        <w:t xml:space="preserve">, </w:t>
      </w:r>
      <w:r w:rsidRPr="0065755A">
        <w:rPr>
          <w:rFonts w:ascii="Times New Roman" w:hAnsi="Times New Roman" w:cs="Times New Roman"/>
          <w:i/>
          <w:iCs/>
          <w:lang w:val="es-AR"/>
        </w:rPr>
        <w:t>adolescentes</w:t>
      </w:r>
      <w:r w:rsidRPr="0065755A">
        <w:rPr>
          <w:rFonts w:ascii="Times New Roman" w:hAnsi="Times New Roman" w:cs="Times New Roman"/>
          <w:lang w:val="es-AR"/>
        </w:rPr>
        <w:t xml:space="preserve">, </w:t>
      </w:r>
      <w:r w:rsidRPr="0065755A">
        <w:rPr>
          <w:rFonts w:ascii="Times New Roman" w:hAnsi="Times New Roman" w:cs="Times New Roman"/>
          <w:i/>
          <w:iCs/>
          <w:lang w:val="es-AR"/>
        </w:rPr>
        <w:t>violencia</w:t>
      </w:r>
      <w:r w:rsidRPr="0065755A">
        <w:rPr>
          <w:rFonts w:ascii="Times New Roman" w:hAnsi="Times New Roman" w:cs="Times New Roman"/>
          <w:lang w:val="es-AR"/>
        </w:rPr>
        <w:t xml:space="preserve">, </w:t>
      </w:r>
      <w:r w:rsidRPr="0065755A">
        <w:rPr>
          <w:rFonts w:ascii="Times New Roman" w:hAnsi="Times New Roman" w:cs="Times New Roman"/>
          <w:i/>
          <w:iCs/>
          <w:lang w:val="es-AR"/>
        </w:rPr>
        <w:t>género</w:t>
      </w:r>
      <w:r w:rsidRPr="0065755A">
        <w:rPr>
          <w:rFonts w:ascii="Times New Roman" w:hAnsi="Times New Roman" w:cs="Times New Roman"/>
          <w:lang w:val="es-AR"/>
        </w:rPr>
        <w:t xml:space="preserve"> y </w:t>
      </w:r>
      <w:r w:rsidRPr="0065755A">
        <w:rPr>
          <w:rFonts w:ascii="Times New Roman" w:hAnsi="Times New Roman" w:cs="Times New Roman"/>
          <w:i/>
          <w:iCs/>
          <w:lang w:val="es-AR"/>
        </w:rPr>
        <w:t>comunicación</w:t>
      </w:r>
      <w:r w:rsidRPr="0065755A">
        <w:rPr>
          <w:rFonts w:ascii="Times New Roman" w:hAnsi="Times New Roman" w:cs="Times New Roman"/>
          <w:lang w:val="es-AR"/>
        </w:rPr>
        <w:t>— refleja la importancia adquirida por los estudios sobre salud pública, desigualdades sociales, infancias, juventudes y violencia, especialmente a partir de la pandemia de COVID-19. La presencia simultánea de términos asociados al género y a diferentes grupos sociales pone de manifiesto la emergencia de nuevas agendas de investigación vinculadas con las transformaciones recientes de la sociedad argentina.</w:t>
      </w:r>
    </w:p>
    <w:p w14:paraId="1637D896"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La clase 7 (n = 9.688) está claramente orientada hacia el campo educativo. Términos como </w:t>
      </w:r>
      <w:r w:rsidRPr="0065755A">
        <w:rPr>
          <w:rFonts w:ascii="Times New Roman" w:hAnsi="Times New Roman" w:cs="Times New Roman"/>
          <w:i/>
          <w:iCs/>
          <w:lang w:val="es-AR"/>
        </w:rPr>
        <w:t>enseñanza</w:t>
      </w:r>
      <w:r w:rsidRPr="0065755A">
        <w:rPr>
          <w:rFonts w:ascii="Times New Roman" w:hAnsi="Times New Roman" w:cs="Times New Roman"/>
          <w:lang w:val="es-AR"/>
        </w:rPr>
        <w:t xml:space="preserve">, </w:t>
      </w:r>
      <w:r w:rsidRPr="0065755A">
        <w:rPr>
          <w:rFonts w:ascii="Times New Roman" w:hAnsi="Times New Roman" w:cs="Times New Roman"/>
          <w:i/>
          <w:iCs/>
          <w:lang w:val="es-AR"/>
        </w:rPr>
        <w:t>estudiantes</w:t>
      </w:r>
      <w:r w:rsidRPr="0065755A">
        <w:rPr>
          <w:rFonts w:ascii="Times New Roman" w:hAnsi="Times New Roman" w:cs="Times New Roman"/>
          <w:lang w:val="es-AR"/>
        </w:rPr>
        <w:t xml:space="preserve">, </w:t>
      </w:r>
      <w:r w:rsidRPr="0065755A">
        <w:rPr>
          <w:rFonts w:ascii="Times New Roman" w:hAnsi="Times New Roman" w:cs="Times New Roman"/>
          <w:i/>
          <w:iCs/>
          <w:lang w:val="es-AR"/>
        </w:rPr>
        <w:t>formación</w:t>
      </w:r>
      <w:r w:rsidRPr="0065755A">
        <w:rPr>
          <w:rFonts w:ascii="Times New Roman" w:hAnsi="Times New Roman" w:cs="Times New Roman"/>
          <w:lang w:val="es-AR"/>
        </w:rPr>
        <w:t xml:space="preserve">, </w:t>
      </w:r>
      <w:r w:rsidRPr="0065755A">
        <w:rPr>
          <w:rFonts w:ascii="Times New Roman" w:hAnsi="Times New Roman" w:cs="Times New Roman"/>
          <w:i/>
          <w:iCs/>
          <w:lang w:val="es-AR"/>
        </w:rPr>
        <w:t>educación</w:t>
      </w:r>
      <w:r w:rsidRPr="0065755A">
        <w:rPr>
          <w:rFonts w:ascii="Times New Roman" w:hAnsi="Times New Roman" w:cs="Times New Roman"/>
          <w:lang w:val="es-AR"/>
        </w:rPr>
        <w:t xml:space="preserve">, </w:t>
      </w:r>
      <w:r w:rsidRPr="0065755A">
        <w:rPr>
          <w:rFonts w:ascii="Times New Roman" w:hAnsi="Times New Roman" w:cs="Times New Roman"/>
          <w:i/>
          <w:iCs/>
          <w:lang w:val="es-AR"/>
        </w:rPr>
        <w:t>universitaria</w:t>
      </w:r>
      <w:r w:rsidRPr="0065755A">
        <w:rPr>
          <w:rFonts w:ascii="Times New Roman" w:hAnsi="Times New Roman" w:cs="Times New Roman"/>
          <w:lang w:val="es-AR"/>
        </w:rPr>
        <w:t xml:space="preserve">, </w:t>
      </w:r>
      <w:r w:rsidRPr="0065755A">
        <w:rPr>
          <w:rFonts w:ascii="Times New Roman" w:hAnsi="Times New Roman" w:cs="Times New Roman"/>
          <w:i/>
          <w:iCs/>
          <w:lang w:val="es-AR"/>
        </w:rPr>
        <w:t>docentes</w:t>
      </w:r>
      <w:r w:rsidRPr="0065755A">
        <w:rPr>
          <w:rFonts w:ascii="Times New Roman" w:hAnsi="Times New Roman" w:cs="Times New Roman"/>
          <w:lang w:val="es-AR"/>
        </w:rPr>
        <w:t xml:space="preserve">, </w:t>
      </w:r>
      <w:r w:rsidRPr="0065755A">
        <w:rPr>
          <w:rFonts w:ascii="Times New Roman" w:hAnsi="Times New Roman" w:cs="Times New Roman"/>
          <w:i/>
          <w:iCs/>
          <w:lang w:val="es-AR"/>
        </w:rPr>
        <w:t>aprendizaje</w:t>
      </w:r>
      <w:r w:rsidRPr="0065755A">
        <w:rPr>
          <w:rFonts w:ascii="Times New Roman" w:hAnsi="Times New Roman" w:cs="Times New Roman"/>
          <w:lang w:val="es-AR"/>
        </w:rPr>
        <w:t xml:space="preserve">, </w:t>
      </w:r>
      <w:r w:rsidRPr="0065755A">
        <w:rPr>
          <w:rFonts w:ascii="Times New Roman" w:hAnsi="Times New Roman" w:cs="Times New Roman"/>
          <w:i/>
          <w:iCs/>
          <w:lang w:val="es-AR"/>
        </w:rPr>
        <w:t>extensión</w:t>
      </w:r>
      <w:r w:rsidRPr="0065755A">
        <w:rPr>
          <w:rFonts w:ascii="Times New Roman" w:hAnsi="Times New Roman" w:cs="Times New Roman"/>
          <w:lang w:val="es-AR"/>
        </w:rPr>
        <w:t xml:space="preserve"> y </w:t>
      </w:r>
      <w:r w:rsidRPr="0065755A">
        <w:rPr>
          <w:rFonts w:ascii="Times New Roman" w:hAnsi="Times New Roman" w:cs="Times New Roman"/>
          <w:i/>
          <w:iCs/>
          <w:lang w:val="es-AR"/>
        </w:rPr>
        <w:t>evaluación</w:t>
      </w:r>
      <w:r w:rsidRPr="0065755A">
        <w:rPr>
          <w:rFonts w:ascii="Times New Roman" w:hAnsi="Times New Roman" w:cs="Times New Roman"/>
          <w:lang w:val="es-AR"/>
        </w:rPr>
        <w:t xml:space="preserve"> configuran un universo discursivo centrado en los procesos de enseñanza, las instituciones educativas y la formación profesional. La dimensión alcanzada por esta clase confirma la importancia que las ciencias de la educación han adquirido dentro de la producción científica reciente.</w:t>
      </w:r>
    </w:p>
    <w:p w14:paraId="777CBB8B"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Finalmente, la clase 8 (n = 4.622) agrupa un léxico asociado a la reflexión teórica y filosófica. Los términos </w:t>
      </w:r>
      <w:r w:rsidRPr="0065755A">
        <w:rPr>
          <w:rFonts w:ascii="Times New Roman" w:hAnsi="Times New Roman" w:cs="Times New Roman"/>
          <w:i/>
          <w:iCs/>
          <w:lang w:val="es-AR"/>
        </w:rPr>
        <w:t>crítica</w:t>
      </w:r>
      <w:r w:rsidRPr="0065755A">
        <w:rPr>
          <w:rFonts w:ascii="Times New Roman" w:hAnsi="Times New Roman" w:cs="Times New Roman"/>
          <w:lang w:val="es-AR"/>
        </w:rPr>
        <w:t xml:space="preserve">, </w:t>
      </w:r>
      <w:r w:rsidRPr="0065755A">
        <w:rPr>
          <w:rFonts w:ascii="Times New Roman" w:hAnsi="Times New Roman" w:cs="Times New Roman"/>
          <w:i/>
          <w:iCs/>
          <w:lang w:val="es-AR"/>
        </w:rPr>
        <w:t xml:space="preserve"> teoría</w:t>
      </w:r>
      <w:r w:rsidRPr="0065755A">
        <w:rPr>
          <w:rFonts w:ascii="Times New Roman" w:hAnsi="Times New Roman" w:cs="Times New Roman"/>
          <w:lang w:val="es-AR"/>
        </w:rPr>
        <w:t xml:space="preserve">, </w:t>
      </w:r>
      <w:r w:rsidRPr="0065755A">
        <w:rPr>
          <w:rFonts w:ascii="Times New Roman" w:hAnsi="Times New Roman" w:cs="Times New Roman"/>
          <w:i/>
          <w:iCs/>
          <w:lang w:val="es-AR"/>
        </w:rPr>
        <w:t>filosofía</w:t>
      </w:r>
      <w:r w:rsidRPr="0065755A">
        <w:rPr>
          <w:rFonts w:ascii="Times New Roman" w:hAnsi="Times New Roman" w:cs="Times New Roman"/>
          <w:lang w:val="es-AR"/>
        </w:rPr>
        <w:t xml:space="preserve">, </w:t>
      </w:r>
      <w:r w:rsidRPr="0065755A">
        <w:rPr>
          <w:rFonts w:ascii="Times New Roman" w:hAnsi="Times New Roman" w:cs="Times New Roman"/>
          <w:i/>
          <w:iCs/>
          <w:lang w:val="es-AR"/>
        </w:rPr>
        <w:t>lenguaje</w:t>
      </w:r>
      <w:r w:rsidRPr="0065755A">
        <w:rPr>
          <w:rFonts w:ascii="Times New Roman" w:hAnsi="Times New Roman" w:cs="Times New Roman"/>
          <w:lang w:val="es-AR"/>
        </w:rPr>
        <w:t xml:space="preserve">, </w:t>
      </w:r>
      <w:r w:rsidRPr="0065755A">
        <w:rPr>
          <w:rFonts w:ascii="Times New Roman" w:hAnsi="Times New Roman" w:cs="Times New Roman"/>
          <w:i/>
          <w:iCs/>
          <w:lang w:val="es-AR"/>
        </w:rPr>
        <w:t>pensamiento</w:t>
      </w:r>
      <w:r w:rsidRPr="0065755A">
        <w:rPr>
          <w:rFonts w:ascii="Times New Roman" w:hAnsi="Times New Roman" w:cs="Times New Roman"/>
          <w:lang w:val="es-AR"/>
        </w:rPr>
        <w:t xml:space="preserve">, </w:t>
      </w:r>
      <w:r w:rsidRPr="0065755A">
        <w:rPr>
          <w:rFonts w:ascii="Times New Roman" w:hAnsi="Times New Roman" w:cs="Times New Roman"/>
          <w:i/>
          <w:iCs/>
          <w:lang w:val="es-AR"/>
        </w:rPr>
        <w:t>concepto</w:t>
      </w:r>
      <w:r w:rsidRPr="0065755A">
        <w:rPr>
          <w:rFonts w:ascii="Times New Roman" w:hAnsi="Times New Roman" w:cs="Times New Roman"/>
          <w:lang w:val="es-AR"/>
        </w:rPr>
        <w:t xml:space="preserve">, </w:t>
      </w:r>
      <w:r w:rsidRPr="0065755A">
        <w:rPr>
          <w:rFonts w:ascii="Times New Roman" w:hAnsi="Times New Roman" w:cs="Times New Roman"/>
          <w:i/>
          <w:iCs/>
          <w:lang w:val="es-AR"/>
        </w:rPr>
        <w:t>ética</w:t>
      </w:r>
      <w:r w:rsidRPr="0065755A">
        <w:rPr>
          <w:rFonts w:ascii="Times New Roman" w:hAnsi="Times New Roman" w:cs="Times New Roman"/>
          <w:lang w:val="es-AR"/>
        </w:rPr>
        <w:t xml:space="preserve">, </w:t>
      </w:r>
      <w:r w:rsidRPr="0065755A">
        <w:rPr>
          <w:rFonts w:ascii="Times New Roman" w:hAnsi="Times New Roman" w:cs="Times New Roman"/>
          <w:i/>
          <w:iCs/>
          <w:lang w:val="es-AR"/>
        </w:rPr>
        <w:t>método</w:t>
      </w:r>
      <w:r w:rsidRPr="0065755A">
        <w:rPr>
          <w:rFonts w:ascii="Times New Roman" w:hAnsi="Times New Roman" w:cs="Times New Roman"/>
          <w:lang w:val="es-AR"/>
        </w:rPr>
        <w:t xml:space="preserve"> y </w:t>
      </w:r>
      <w:r w:rsidRPr="0065755A">
        <w:rPr>
          <w:rFonts w:ascii="Times New Roman" w:hAnsi="Times New Roman" w:cs="Times New Roman"/>
          <w:i/>
          <w:iCs/>
          <w:lang w:val="es-AR"/>
        </w:rPr>
        <w:t>jurídico</w:t>
      </w:r>
      <w:r w:rsidRPr="0065755A">
        <w:rPr>
          <w:rFonts w:ascii="Times New Roman" w:hAnsi="Times New Roman" w:cs="Times New Roman"/>
          <w:lang w:val="es-AR"/>
        </w:rPr>
        <w:t xml:space="preserve"> indican una orientación hacia discusiones conceptuales, epistemológicas y metodológicas. A diferencia de la primera clase, centrada en la aplicación y regulación del derecho, este universo discursivo privilegia la elaboración teórica y la reflexión sobre los fundamentos conceptuales de las ciencias sociales.</w:t>
      </w:r>
    </w:p>
    <w:p w14:paraId="0733C786"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En conjunto, las ocho clases identificadas muestran que las ciencias sociales argentinas abarcan un amplio espectro de objetos de investigación, desde el derecho y la filosofía hasta la historia, la política, la educación y las problemáticas sociales contemporáneas. Al mismo tiempo, ponen de manifiesto la coexistencia de investigaciones orientadas hacia la reflexión conceptual con otras de fuerte anclaje empírico y territorial.</w:t>
      </w:r>
    </w:p>
    <w:p w14:paraId="687A151A"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 xml:space="preserve">Más allá de la descripción individual de las clases, es posible proponer una lectura transversal de la estructura obtenida. Efectivamente, se observan afinidades temáticas entre algunos grupos que permiten reconocer grandes regiones del espacio léxico. En primer lugar, las clases 1 y 8 muestran una clara complementariedad alrededor del campo jurídico: mientras la primera se concentra en la dimensión normativa e institucional del derecho, la segunda privilegia la reflexión filosófica y teórica. En segundo lugar, las clases 3, 4 y, en menor medida, la clase 5, configuran un amplio universo histórico-político, donde convergen investigaciones sobre procesos históricos, democracia, relaciones de poder y política internacional. Por su parte, la clase 2 constituye un polo </w:t>
      </w:r>
      <w:r w:rsidRPr="0065755A">
        <w:rPr>
          <w:rFonts w:ascii="Times New Roman" w:hAnsi="Times New Roman" w:cs="Times New Roman"/>
          <w:lang w:val="es-AR"/>
        </w:rPr>
        <w:lastRenderedPageBreak/>
        <w:t>claramente diferenciado por su fuerte anclaje territorial, caracterizado por estudios de caso y análisis espaciales centrados en Argentina. Finalmente, las clases 6 y 7 expresan la importancia adquirida por las investigaciones sobre educación y problemáticas sociales contemporáneas, poniendo de relieve el peso creciente de temas como la salud, el género, las juventudes y los procesos de enseñanza dentro de la agenda científica reciente.</w:t>
      </w:r>
    </w:p>
    <w:p w14:paraId="2E8873D8" w14:textId="77777777" w:rsidR="0065755A" w:rsidRPr="0065755A" w:rsidRDefault="0065755A" w:rsidP="0065755A">
      <w:pPr>
        <w:spacing w:line="240" w:lineRule="auto"/>
        <w:jc w:val="both"/>
        <w:rPr>
          <w:rFonts w:ascii="Times New Roman" w:hAnsi="Times New Roman" w:cs="Times New Roman"/>
          <w:lang w:val="es-AR"/>
        </w:rPr>
      </w:pPr>
    </w:p>
    <w:p w14:paraId="43D0E070" w14:textId="77777777" w:rsidR="0065755A" w:rsidRPr="0065755A" w:rsidRDefault="0065755A" w:rsidP="00BA4171">
      <w:pPr>
        <w:pStyle w:val="Ttulo1"/>
      </w:pPr>
      <w:r w:rsidRPr="0065755A">
        <w:t>Conclusión</w:t>
      </w:r>
    </w:p>
    <w:p w14:paraId="3F3F00A7"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El presente trabajo tuvo como objetivo reconstruir el espacio léxico de las ciencias sociales argentinas a partir del análisis de los títulos de 48.256 artículos científicos publicados entre 2015 y 2025 e indexados en OpenAlex. Desde una perspectiva basada en la teoría del campo científico de Pierre Bourdieu, se partió de la hipótesis de que los títulos constituyen formas objetivadas de las tomas de posición de los investigadores y que, analizados de manera agregada mediante técnicas lexicométricas, permiten aproximarse a la estructura simbólica del campo científico.</w:t>
      </w:r>
    </w:p>
    <w:p w14:paraId="6F08E9F2"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Los resultados muestran que el vocabulario de las ciencias sociales argentinas presenta una organización claramente estructurada. El análisis de frecuencias puso de manifiesto un fuerte anclaje territorial de la producción científica y la centralidad de problemáticas vinculadas con la acción pública, el derecho, la educación y las transformaciones sociales. Por su parte, el análisis factorial de correspondencias y la clasificación jerárquica descendente permitieron identificar los principales principios de diferenciación y los grandes universos temáticos que organizan el espacio léxico.</w:t>
      </w:r>
    </w:p>
    <w:p w14:paraId="4403DC9A"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Más allá de los resultados empíricos, el principal aporte de este trabajo reside en la articulación entre una propuesta teórica y un dispositivo metodológico. El concepto de espacio léxico constituye el núcleo de esta propuesta. Lejos de reducirse a un repertorio de palabras frecuentes o a una clasificación temática del corpus, el espacio léxico puede entenderse como una modelización geométrica del espacio discursivo de un campo científico, construida a partir de las relaciones de proximidad y oposición entre las unidades léxicas. En esta perspectiva, el análisis del léxico deja de ser un ejercicio descriptivo para convertirse en un instrumento de objetivación de la estructura de un campo.</w:t>
      </w:r>
    </w:p>
    <w:p w14:paraId="6332EB2A" w14:textId="77777777" w:rsidR="0065755A" w:rsidRPr="0065755A" w:rsidRDefault="0065755A" w:rsidP="0065755A">
      <w:pPr>
        <w:spacing w:line="240" w:lineRule="auto"/>
        <w:jc w:val="both"/>
        <w:rPr>
          <w:rFonts w:ascii="Times New Roman" w:hAnsi="Times New Roman" w:cs="Times New Roman"/>
          <w:lang w:val="es-AR"/>
        </w:rPr>
      </w:pPr>
      <w:r w:rsidRPr="0065755A">
        <w:rPr>
          <w:rFonts w:ascii="Times New Roman" w:hAnsi="Times New Roman" w:cs="Times New Roman"/>
          <w:lang w:val="es-AR"/>
        </w:rPr>
        <w:t>Desde esta perspectiva, el interés de esta investigación trasciende el caso de las ciencias sociales argentinas. La combinación entre infraestructuras abiertas de información científica, como OpenAlex, técnicas de procesamiento del lenguaje natural, lexicometría y análisis geométrico de datos propone una estrategia metodológica que amplía el horizonte de la bibliometría tradicional, abriendo nuevas perspectivas para una sociología empírica de la ciencia basada en el estudio sistemático de grandes corpus textuales y la teoría de los campos.</w:t>
      </w:r>
    </w:p>
    <w:p w14:paraId="160CFADC" w14:textId="77777777" w:rsidR="0065755A" w:rsidRPr="0065755A" w:rsidRDefault="0065755A" w:rsidP="007B5B5F">
      <w:pPr>
        <w:spacing w:line="240" w:lineRule="auto"/>
        <w:jc w:val="both"/>
        <w:rPr>
          <w:rFonts w:ascii="Times New Roman" w:hAnsi="Times New Roman" w:cs="Times New Roman"/>
          <w:lang w:val="es-AR"/>
        </w:rPr>
      </w:pPr>
    </w:p>
    <w:p w14:paraId="2EF6CB49" w14:textId="77777777" w:rsidR="0065755A" w:rsidRPr="0065755A" w:rsidRDefault="0065755A" w:rsidP="007B5B5F">
      <w:pPr>
        <w:spacing w:line="240" w:lineRule="auto"/>
        <w:jc w:val="both"/>
        <w:rPr>
          <w:rFonts w:ascii="Times New Roman" w:hAnsi="Times New Roman" w:cs="Times New Roman"/>
          <w:lang w:val="es-AR"/>
        </w:rPr>
      </w:pPr>
    </w:p>
    <w:p w14:paraId="39B57161" w14:textId="69DC08D7" w:rsidR="005F3B2E" w:rsidRPr="00BA642E" w:rsidRDefault="005F3B2E" w:rsidP="00A100BC">
      <w:pPr>
        <w:pStyle w:val="Ttulo1"/>
      </w:pPr>
      <w:r w:rsidRPr="00BA642E">
        <w:lastRenderedPageBreak/>
        <w:t>Referencias Bibliográficas (APA 7)</w:t>
      </w:r>
    </w:p>
    <w:p w14:paraId="7E83515B" w14:textId="6B3A8F11" w:rsidR="001923DC" w:rsidRDefault="001923DC" w:rsidP="0065755A">
      <w:pPr>
        <w:spacing w:line="240" w:lineRule="auto"/>
        <w:rPr>
          <w:rFonts w:ascii="Times New Roman" w:hAnsi="Times New Roman" w:cs="Times New Roman"/>
        </w:rPr>
      </w:pPr>
    </w:p>
    <w:p w14:paraId="5F7AFC9C" w14:textId="77777777" w:rsidR="00D11471" w:rsidRPr="00EA3C6A" w:rsidRDefault="00D11471" w:rsidP="00D11471">
      <w:pPr>
        <w:pStyle w:val="Bibliografa"/>
        <w:rPr>
          <w:rFonts w:ascii="Aptos"/>
          <w:lang w:val="fr-FR"/>
        </w:rPr>
      </w:pPr>
      <w:proofErr w:type="spellStart"/>
      <w:r w:rsidRPr="0074437A">
        <w:rPr>
          <w:rFonts w:ascii="Aptos"/>
          <w:lang w:val="es-AR"/>
        </w:rPr>
        <w:t>B</w:t>
      </w:r>
      <w:r w:rsidRPr="0074437A">
        <w:rPr>
          <w:rFonts w:ascii="Aptos"/>
          <w:lang w:val="es-AR"/>
        </w:rPr>
        <w:t>é</w:t>
      </w:r>
      <w:r w:rsidRPr="0074437A">
        <w:rPr>
          <w:rFonts w:ascii="Aptos"/>
          <w:lang w:val="es-AR"/>
        </w:rPr>
        <w:t>cue</w:t>
      </w:r>
      <w:proofErr w:type="spellEnd"/>
      <w:r w:rsidRPr="0074437A">
        <w:rPr>
          <w:rFonts w:ascii="Aptos"/>
          <w:lang w:val="es-AR"/>
        </w:rPr>
        <w:t xml:space="preserve"> Bertaut, M. (2018). </w:t>
      </w:r>
      <w:r w:rsidRPr="00EA3C6A">
        <w:rPr>
          <w:rFonts w:ascii="Aptos"/>
          <w:i/>
          <w:iCs/>
          <w:lang w:val="fr-FR"/>
        </w:rPr>
        <w:t>Analyse textuelle avec R</w:t>
      </w:r>
      <w:r w:rsidRPr="00EA3C6A">
        <w:rPr>
          <w:rFonts w:ascii="Aptos"/>
          <w:lang w:val="fr-FR"/>
        </w:rPr>
        <w:t>. Presses universitaires de Rennes.</w:t>
      </w:r>
    </w:p>
    <w:p w14:paraId="0C39CEC2" w14:textId="77777777" w:rsidR="00D11471" w:rsidRPr="00EA3C6A" w:rsidRDefault="00D11471" w:rsidP="00D11471">
      <w:pPr>
        <w:pStyle w:val="Bibliografa"/>
        <w:rPr>
          <w:rFonts w:ascii="Aptos"/>
          <w:lang w:val="fr-FR"/>
        </w:rPr>
      </w:pPr>
      <w:r w:rsidRPr="00EA3C6A">
        <w:rPr>
          <w:rFonts w:ascii="Aptos"/>
          <w:lang w:val="fr-FR"/>
        </w:rPr>
        <w:t xml:space="preserve">Bourdieu, P. (1982). </w:t>
      </w:r>
      <w:r w:rsidRPr="00EA3C6A">
        <w:rPr>
          <w:rFonts w:ascii="Aptos"/>
          <w:i/>
          <w:iCs/>
          <w:lang w:val="fr-FR"/>
        </w:rPr>
        <w:t>Ce que parler veut dire: L</w:t>
      </w:r>
      <w:r w:rsidRPr="00EA3C6A">
        <w:rPr>
          <w:rFonts w:ascii="Aptos"/>
          <w:i/>
          <w:iCs/>
          <w:lang w:val="fr-FR"/>
        </w:rPr>
        <w:t>’é</w:t>
      </w:r>
      <w:r w:rsidRPr="00EA3C6A">
        <w:rPr>
          <w:rFonts w:ascii="Aptos"/>
          <w:i/>
          <w:iCs/>
          <w:lang w:val="fr-FR"/>
        </w:rPr>
        <w:t xml:space="preserve">conomie des </w:t>
      </w:r>
      <w:r w:rsidRPr="00EA3C6A">
        <w:rPr>
          <w:rFonts w:ascii="Aptos"/>
          <w:i/>
          <w:iCs/>
          <w:lang w:val="fr-FR"/>
        </w:rPr>
        <w:t>é</w:t>
      </w:r>
      <w:r w:rsidRPr="00EA3C6A">
        <w:rPr>
          <w:rFonts w:ascii="Aptos"/>
          <w:i/>
          <w:iCs/>
          <w:lang w:val="fr-FR"/>
        </w:rPr>
        <w:t>changes linguistiques</w:t>
      </w:r>
      <w:r w:rsidRPr="00EA3C6A">
        <w:rPr>
          <w:rFonts w:ascii="Aptos"/>
          <w:lang w:val="fr-FR"/>
        </w:rPr>
        <w:t>. Fayard.</w:t>
      </w:r>
    </w:p>
    <w:p w14:paraId="20BD930A" w14:textId="77777777" w:rsidR="00D11471" w:rsidRPr="00EA3C6A" w:rsidRDefault="00D11471" w:rsidP="00D11471">
      <w:pPr>
        <w:pStyle w:val="Bibliografa"/>
        <w:rPr>
          <w:rFonts w:ascii="Aptos"/>
          <w:lang w:val="fr-FR"/>
        </w:rPr>
      </w:pPr>
      <w:r w:rsidRPr="00EA3C6A">
        <w:rPr>
          <w:rFonts w:ascii="Aptos"/>
          <w:lang w:val="fr-FR"/>
        </w:rPr>
        <w:t xml:space="preserve">Bourdieu, P. (1984). </w:t>
      </w:r>
      <w:r w:rsidRPr="00EA3C6A">
        <w:rPr>
          <w:rFonts w:ascii="Aptos"/>
          <w:i/>
          <w:iCs/>
          <w:lang w:val="fr-FR"/>
        </w:rPr>
        <w:t>Homo academicus</w:t>
      </w:r>
      <w:r w:rsidRPr="00EA3C6A">
        <w:rPr>
          <w:rFonts w:ascii="Aptos"/>
          <w:lang w:val="fr-FR"/>
        </w:rPr>
        <w:t xml:space="preserve">. </w:t>
      </w:r>
      <w:r w:rsidRPr="00EA3C6A">
        <w:rPr>
          <w:rFonts w:ascii="Aptos"/>
          <w:lang w:val="fr-FR"/>
        </w:rPr>
        <w:t>É</w:t>
      </w:r>
      <w:r w:rsidRPr="00EA3C6A">
        <w:rPr>
          <w:rFonts w:ascii="Aptos"/>
          <w:lang w:val="fr-FR"/>
        </w:rPr>
        <w:t>ditions de Minuit.</w:t>
      </w:r>
    </w:p>
    <w:p w14:paraId="23BEA0B4" w14:textId="77777777" w:rsidR="00D11471" w:rsidRPr="00EA3C6A" w:rsidRDefault="00D11471" w:rsidP="00D11471">
      <w:pPr>
        <w:pStyle w:val="Bibliografa"/>
        <w:rPr>
          <w:rFonts w:ascii="Aptos"/>
          <w:lang w:val="fr-FR"/>
        </w:rPr>
      </w:pPr>
      <w:r w:rsidRPr="00EA3C6A">
        <w:rPr>
          <w:rFonts w:ascii="Aptos"/>
          <w:lang w:val="fr-FR"/>
        </w:rPr>
        <w:t xml:space="preserve">Bourdieu, P. (2019). </w:t>
      </w:r>
      <w:r w:rsidRPr="00EA3C6A">
        <w:rPr>
          <w:rFonts w:ascii="Aptos"/>
          <w:i/>
          <w:iCs/>
          <w:lang w:val="fr-FR"/>
        </w:rPr>
        <w:t>Curso de sociolog</w:t>
      </w:r>
      <w:r w:rsidRPr="00EA3C6A">
        <w:rPr>
          <w:rFonts w:ascii="Aptos"/>
          <w:i/>
          <w:iCs/>
          <w:lang w:val="fr-FR"/>
        </w:rPr>
        <w:t>í</w:t>
      </w:r>
      <w:r w:rsidRPr="00EA3C6A">
        <w:rPr>
          <w:rFonts w:ascii="Aptos"/>
          <w:i/>
          <w:iCs/>
          <w:lang w:val="fr-FR"/>
        </w:rPr>
        <w:t>a general 1. Conceptos fundamentales, Coll</w:t>
      </w:r>
      <w:r w:rsidRPr="00EA3C6A">
        <w:rPr>
          <w:rFonts w:ascii="Aptos"/>
          <w:i/>
          <w:iCs/>
          <w:lang w:val="fr-FR"/>
        </w:rPr>
        <w:t>è</w:t>
      </w:r>
      <w:r w:rsidRPr="00EA3C6A">
        <w:rPr>
          <w:rFonts w:ascii="Aptos"/>
          <w:i/>
          <w:iCs/>
          <w:lang w:val="fr-FR"/>
        </w:rPr>
        <w:t>ge de France, 1981-1983</w:t>
      </w:r>
      <w:r w:rsidRPr="00EA3C6A">
        <w:rPr>
          <w:rFonts w:ascii="Aptos"/>
          <w:lang w:val="fr-FR"/>
        </w:rPr>
        <w:t xml:space="preserve"> (P. Champagne, J. Duval, F. Poupeau, M.-C. Rivi</w:t>
      </w:r>
      <w:r w:rsidRPr="00EA3C6A">
        <w:rPr>
          <w:rFonts w:ascii="Aptos"/>
          <w:lang w:val="fr-FR"/>
        </w:rPr>
        <w:t>è</w:t>
      </w:r>
      <w:r w:rsidRPr="00EA3C6A">
        <w:rPr>
          <w:rFonts w:ascii="Aptos"/>
          <w:lang w:val="fr-FR"/>
        </w:rPr>
        <w:t>re, &amp; A. B. Guti</w:t>
      </w:r>
      <w:r w:rsidRPr="00EA3C6A">
        <w:rPr>
          <w:rFonts w:ascii="Aptos"/>
          <w:lang w:val="fr-FR"/>
        </w:rPr>
        <w:t>é</w:t>
      </w:r>
      <w:r w:rsidRPr="00EA3C6A">
        <w:rPr>
          <w:rFonts w:ascii="Aptos"/>
          <w:lang w:val="fr-FR"/>
        </w:rPr>
        <w:t>rrez, Eds.; E. Mart</w:t>
      </w:r>
      <w:r w:rsidRPr="00EA3C6A">
        <w:rPr>
          <w:rFonts w:ascii="Aptos"/>
          <w:lang w:val="fr-FR"/>
        </w:rPr>
        <w:t>í</w:t>
      </w:r>
      <w:r w:rsidRPr="00EA3C6A">
        <w:rPr>
          <w:rFonts w:ascii="Aptos"/>
          <w:lang w:val="fr-FR"/>
        </w:rPr>
        <w:t>nez Kolodens, Trad.). Siglo Veintiuno Editores.</w:t>
      </w:r>
    </w:p>
    <w:p w14:paraId="6327EA76" w14:textId="77777777" w:rsidR="00D11471" w:rsidRPr="00EA3C6A" w:rsidRDefault="00D11471" w:rsidP="00D11471">
      <w:pPr>
        <w:pStyle w:val="Bibliografa"/>
        <w:rPr>
          <w:rFonts w:ascii="Aptos"/>
          <w:lang w:val="fr-FR"/>
        </w:rPr>
      </w:pPr>
      <w:r w:rsidRPr="00EA3C6A">
        <w:rPr>
          <w:rFonts w:ascii="Aptos"/>
          <w:lang w:val="fr-FR"/>
        </w:rPr>
        <w:t xml:space="preserve">Lebaron, F., &amp; Le Roux, B. (2015). </w:t>
      </w:r>
      <w:r w:rsidRPr="00EA3C6A">
        <w:rPr>
          <w:rFonts w:ascii="Aptos"/>
          <w:i/>
          <w:iCs/>
          <w:lang w:val="fr-FR"/>
        </w:rPr>
        <w:t>La m</w:t>
      </w:r>
      <w:r w:rsidRPr="00EA3C6A">
        <w:rPr>
          <w:rFonts w:ascii="Aptos"/>
          <w:i/>
          <w:iCs/>
          <w:lang w:val="fr-FR"/>
        </w:rPr>
        <w:t>é</w:t>
      </w:r>
      <w:r w:rsidRPr="00EA3C6A">
        <w:rPr>
          <w:rFonts w:ascii="Aptos"/>
          <w:i/>
          <w:iCs/>
          <w:lang w:val="fr-FR"/>
        </w:rPr>
        <w:t>thodologie de Pierre Bourdieu en action</w:t>
      </w:r>
      <w:r w:rsidRPr="00EA3C6A">
        <w:rPr>
          <w:rFonts w:ascii="Aptos"/>
          <w:lang w:val="fr-FR"/>
        </w:rPr>
        <w:t>. Dunod.</w:t>
      </w:r>
    </w:p>
    <w:p w14:paraId="0D5A9F3D" w14:textId="77777777" w:rsidR="00D11471" w:rsidRPr="00EA3C6A" w:rsidRDefault="00D11471" w:rsidP="00D11471">
      <w:pPr>
        <w:pStyle w:val="Bibliografa"/>
        <w:rPr>
          <w:rFonts w:ascii="Aptos"/>
          <w:lang w:val="fr-FR"/>
        </w:rPr>
      </w:pPr>
      <w:r w:rsidRPr="00EA3C6A">
        <w:rPr>
          <w:rFonts w:ascii="Aptos"/>
          <w:lang w:val="fr-FR"/>
        </w:rPr>
        <w:t xml:space="preserve">Lebart, L., &amp; Salem, A. (1994). </w:t>
      </w:r>
      <w:r w:rsidRPr="00EA3C6A">
        <w:rPr>
          <w:rFonts w:ascii="Aptos"/>
          <w:i/>
          <w:iCs/>
          <w:lang w:val="fr-FR"/>
        </w:rPr>
        <w:t>Statistique textuelle</w:t>
      </w:r>
      <w:r w:rsidRPr="00EA3C6A">
        <w:rPr>
          <w:rFonts w:ascii="Aptos"/>
          <w:lang w:val="fr-FR"/>
        </w:rPr>
        <w:t>. Dunod.</w:t>
      </w:r>
    </w:p>
    <w:p w14:paraId="689BAFFD" w14:textId="77777777" w:rsidR="00D11471" w:rsidRPr="00EA3C6A" w:rsidRDefault="00D11471" w:rsidP="00D11471">
      <w:pPr>
        <w:pStyle w:val="Bibliografa"/>
        <w:rPr>
          <w:rFonts w:ascii="Aptos"/>
          <w:lang w:val="fr-FR"/>
        </w:rPr>
      </w:pPr>
      <w:r w:rsidRPr="00EA3C6A">
        <w:rPr>
          <w:rFonts w:ascii="Aptos"/>
          <w:lang w:val="fr-FR"/>
        </w:rPr>
        <w:t>Ratinaud, P., &amp; Marchand, P. (2015). Des mondes lexicaux aux repr</w:t>
      </w:r>
      <w:r w:rsidRPr="00EA3C6A">
        <w:rPr>
          <w:rFonts w:ascii="Aptos"/>
          <w:lang w:val="fr-FR"/>
        </w:rPr>
        <w:t>é</w:t>
      </w:r>
      <w:r w:rsidRPr="00EA3C6A">
        <w:rPr>
          <w:rFonts w:ascii="Aptos"/>
          <w:lang w:val="fr-FR"/>
        </w:rPr>
        <w:t>sentations sociales. Une premi</w:t>
      </w:r>
      <w:r w:rsidRPr="00EA3C6A">
        <w:rPr>
          <w:rFonts w:ascii="Aptos"/>
          <w:lang w:val="fr-FR"/>
        </w:rPr>
        <w:t>è</w:t>
      </w:r>
      <w:r w:rsidRPr="00EA3C6A">
        <w:rPr>
          <w:rFonts w:ascii="Aptos"/>
          <w:lang w:val="fr-FR"/>
        </w:rPr>
        <w:t>re approche des th</w:t>
      </w:r>
      <w:r w:rsidRPr="00EA3C6A">
        <w:rPr>
          <w:rFonts w:ascii="Aptos"/>
          <w:lang w:val="fr-FR"/>
        </w:rPr>
        <w:t>é</w:t>
      </w:r>
      <w:r w:rsidRPr="00EA3C6A">
        <w:rPr>
          <w:rFonts w:ascii="Aptos"/>
          <w:lang w:val="fr-FR"/>
        </w:rPr>
        <w:t>matiques dans les d</w:t>
      </w:r>
      <w:r w:rsidRPr="00EA3C6A">
        <w:rPr>
          <w:rFonts w:ascii="Aptos"/>
          <w:lang w:val="fr-FR"/>
        </w:rPr>
        <w:t>é</w:t>
      </w:r>
      <w:r w:rsidRPr="00EA3C6A">
        <w:rPr>
          <w:rFonts w:ascii="Aptos"/>
          <w:lang w:val="fr-FR"/>
        </w:rPr>
        <w:t xml:space="preserve">bats </w:t>
      </w:r>
      <w:r w:rsidRPr="00EA3C6A">
        <w:rPr>
          <w:rFonts w:ascii="Aptos"/>
          <w:lang w:val="fr-FR"/>
        </w:rPr>
        <w:t>à</w:t>
      </w:r>
      <w:r w:rsidRPr="00EA3C6A">
        <w:rPr>
          <w:rFonts w:ascii="Aptos"/>
          <w:lang w:val="fr-FR"/>
        </w:rPr>
        <w:t xml:space="preserve"> l</w:t>
      </w:r>
      <w:r w:rsidRPr="00EA3C6A">
        <w:rPr>
          <w:rFonts w:ascii="Aptos"/>
          <w:lang w:val="fr-FR"/>
        </w:rPr>
        <w:t>’</w:t>
      </w:r>
      <w:r w:rsidRPr="00EA3C6A">
        <w:rPr>
          <w:rFonts w:ascii="Aptos"/>
          <w:lang w:val="fr-FR"/>
        </w:rPr>
        <w:t>Assembl</w:t>
      </w:r>
      <w:r w:rsidRPr="00EA3C6A">
        <w:rPr>
          <w:rFonts w:ascii="Aptos"/>
          <w:lang w:val="fr-FR"/>
        </w:rPr>
        <w:t>é</w:t>
      </w:r>
      <w:r w:rsidRPr="00EA3C6A">
        <w:rPr>
          <w:rFonts w:ascii="Aptos"/>
          <w:lang w:val="fr-FR"/>
        </w:rPr>
        <w:t xml:space="preserve">e nationale (1998-2014). </w:t>
      </w:r>
      <w:r w:rsidRPr="00EA3C6A">
        <w:rPr>
          <w:rFonts w:ascii="Aptos"/>
          <w:i/>
          <w:iCs/>
          <w:lang w:val="fr-FR"/>
        </w:rPr>
        <w:t>Mots. Les langages du politique</w:t>
      </w:r>
      <w:r w:rsidRPr="00EA3C6A">
        <w:rPr>
          <w:rFonts w:ascii="Aptos"/>
          <w:lang w:val="fr-FR"/>
        </w:rPr>
        <w:t xml:space="preserve">, </w:t>
      </w:r>
      <w:r w:rsidRPr="00EA3C6A">
        <w:rPr>
          <w:rFonts w:ascii="Aptos"/>
          <w:i/>
          <w:iCs/>
          <w:lang w:val="fr-FR"/>
        </w:rPr>
        <w:t>108</w:t>
      </w:r>
      <w:r w:rsidRPr="00EA3C6A">
        <w:rPr>
          <w:rFonts w:ascii="Aptos"/>
          <w:lang w:val="fr-FR"/>
        </w:rPr>
        <w:t>(2), 57</w:t>
      </w:r>
      <w:r w:rsidRPr="00EA3C6A">
        <w:rPr>
          <w:rFonts w:ascii="Aptos"/>
          <w:lang w:val="fr-FR"/>
        </w:rPr>
        <w:t>–</w:t>
      </w:r>
      <w:r w:rsidRPr="00EA3C6A">
        <w:rPr>
          <w:rFonts w:ascii="Aptos"/>
          <w:lang w:val="fr-FR"/>
        </w:rPr>
        <w:t>77. Cairn.info.</w:t>
      </w:r>
    </w:p>
    <w:p w14:paraId="37BB6C08" w14:textId="77777777" w:rsidR="00D11471" w:rsidRPr="00EA3C6A" w:rsidRDefault="00D11471" w:rsidP="00D11471">
      <w:pPr>
        <w:pStyle w:val="Bibliografa"/>
        <w:rPr>
          <w:rFonts w:ascii="Aptos"/>
          <w:lang w:val="es-MX"/>
        </w:rPr>
      </w:pPr>
      <w:r w:rsidRPr="00EA3C6A">
        <w:rPr>
          <w:rFonts w:ascii="Aptos"/>
          <w:lang w:val="fr-FR"/>
        </w:rPr>
        <w:t xml:space="preserve">Reinert, M. (1993). Les </w:t>
      </w:r>
      <w:r w:rsidRPr="00EA3C6A">
        <w:rPr>
          <w:rFonts w:ascii="Aptos"/>
          <w:lang w:val="fr-FR"/>
        </w:rPr>
        <w:t>“</w:t>
      </w:r>
      <w:r w:rsidRPr="00EA3C6A">
        <w:rPr>
          <w:rFonts w:ascii="Aptos"/>
          <w:lang w:val="fr-FR"/>
        </w:rPr>
        <w:t>mondes lexicaux</w:t>
      </w:r>
      <w:r w:rsidRPr="00EA3C6A">
        <w:rPr>
          <w:rFonts w:ascii="Aptos"/>
          <w:lang w:val="fr-FR"/>
        </w:rPr>
        <w:t>”</w:t>
      </w:r>
      <w:r w:rsidRPr="00EA3C6A">
        <w:rPr>
          <w:rFonts w:ascii="Aptos"/>
          <w:lang w:val="fr-FR"/>
        </w:rPr>
        <w:t xml:space="preserve"> et leur 'logique" </w:t>
      </w:r>
      <w:r w:rsidRPr="00EA3C6A">
        <w:rPr>
          <w:rFonts w:ascii="Aptos"/>
          <w:lang w:val="fr-FR"/>
        </w:rPr>
        <w:t>à</w:t>
      </w:r>
      <w:r w:rsidRPr="00EA3C6A">
        <w:rPr>
          <w:rFonts w:ascii="Aptos"/>
          <w:lang w:val="fr-FR"/>
        </w:rPr>
        <w:t xml:space="preserve"> travers l</w:t>
      </w:r>
      <w:r w:rsidRPr="00EA3C6A">
        <w:rPr>
          <w:rFonts w:ascii="Aptos"/>
          <w:lang w:val="fr-FR"/>
        </w:rPr>
        <w:t>’</w:t>
      </w:r>
      <w:r w:rsidRPr="00EA3C6A">
        <w:rPr>
          <w:rFonts w:ascii="Aptos"/>
          <w:lang w:val="fr-FR"/>
        </w:rPr>
        <w:t>analyse statistique d</w:t>
      </w:r>
      <w:r w:rsidRPr="00EA3C6A">
        <w:rPr>
          <w:rFonts w:ascii="Aptos"/>
          <w:lang w:val="fr-FR"/>
        </w:rPr>
        <w:t>’</w:t>
      </w:r>
      <w:r w:rsidRPr="00EA3C6A">
        <w:rPr>
          <w:rFonts w:ascii="Aptos"/>
          <w:lang w:val="fr-FR"/>
        </w:rPr>
        <w:t>un corpus de r</w:t>
      </w:r>
      <w:r w:rsidRPr="00EA3C6A">
        <w:rPr>
          <w:rFonts w:ascii="Aptos"/>
          <w:lang w:val="fr-FR"/>
        </w:rPr>
        <w:t>é</w:t>
      </w:r>
      <w:r w:rsidRPr="00EA3C6A">
        <w:rPr>
          <w:rFonts w:ascii="Aptos"/>
          <w:lang w:val="fr-FR"/>
        </w:rPr>
        <w:t xml:space="preserve">cits de cauchemars. </w:t>
      </w:r>
      <w:r w:rsidRPr="00EA3C6A">
        <w:rPr>
          <w:rFonts w:ascii="Aptos"/>
          <w:i/>
          <w:iCs/>
          <w:lang w:val="es-MX"/>
        </w:rPr>
        <w:t>Langage et soci</w:t>
      </w:r>
      <w:r w:rsidRPr="00EA3C6A">
        <w:rPr>
          <w:rFonts w:ascii="Aptos"/>
          <w:i/>
          <w:iCs/>
          <w:lang w:val="es-MX"/>
        </w:rPr>
        <w:t>é</w:t>
      </w:r>
      <w:r w:rsidRPr="00EA3C6A">
        <w:rPr>
          <w:rFonts w:ascii="Aptos"/>
          <w:i/>
          <w:iCs/>
          <w:lang w:val="es-MX"/>
        </w:rPr>
        <w:t>t</w:t>
      </w:r>
      <w:r w:rsidRPr="00EA3C6A">
        <w:rPr>
          <w:rFonts w:ascii="Aptos"/>
          <w:i/>
          <w:iCs/>
          <w:lang w:val="es-MX"/>
        </w:rPr>
        <w:t>é</w:t>
      </w:r>
      <w:r w:rsidRPr="00EA3C6A">
        <w:rPr>
          <w:rFonts w:ascii="Aptos"/>
          <w:lang w:val="es-MX"/>
        </w:rPr>
        <w:t xml:space="preserve">, </w:t>
      </w:r>
      <w:r w:rsidRPr="00EA3C6A">
        <w:rPr>
          <w:rFonts w:ascii="Aptos"/>
          <w:i/>
          <w:iCs/>
          <w:lang w:val="es-MX"/>
        </w:rPr>
        <w:t>66</w:t>
      </w:r>
      <w:r w:rsidRPr="00EA3C6A">
        <w:rPr>
          <w:rFonts w:ascii="Aptos"/>
          <w:lang w:val="es-MX"/>
        </w:rPr>
        <w:t>(1), 5</w:t>
      </w:r>
      <w:r w:rsidRPr="00EA3C6A">
        <w:rPr>
          <w:rFonts w:ascii="Aptos"/>
          <w:lang w:val="es-MX"/>
        </w:rPr>
        <w:t>–</w:t>
      </w:r>
      <w:r w:rsidRPr="00EA3C6A">
        <w:rPr>
          <w:rFonts w:ascii="Aptos"/>
          <w:lang w:val="es-MX"/>
        </w:rPr>
        <w:t>39. https://doi.org/10.3406/lsoc.1993.2632</w:t>
      </w:r>
    </w:p>
    <w:p w14:paraId="64AAAFF2" w14:textId="77777777" w:rsidR="0065755A" w:rsidRPr="00BA642E" w:rsidRDefault="0065755A" w:rsidP="0065755A">
      <w:pPr>
        <w:spacing w:line="240" w:lineRule="auto"/>
        <w:rPr>
          <w:rFonts w:ascii="Times New Roman" w:hAnsi="Times New Roman" w:cs="Times New Roman"/>
          <w:lang w:val="pt-BR"/>
        </w:rPr>
      </w:pPr>
    </w:p>
    <w:sectPr w:rsidR="0065755A"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B4A125" w14:textId="77777777" w:rsidR="000945DE" w:rsidRPr="00BA642E" w:rsidRDefault="000945DE" w:rsidP="00C802F5">
      <w:pPr>
        <w:spacing w:after="0" w:line="240" w:lineRule="auto"/>
      </w:pPr>
      <w:r w:rsidRPr="00BA642E">
        <w:separator/>
      </w:r>
    </w:p>
  </w:endnote>
  <w:endnote w:type="continuationSeparator" w:id="0">
    <w:p w14:paraId="620D6B0D" w14:textId="77777777" w:rsidR="000945DE" w:rsidRPr="00BA642E" w:rsidRDefault="000945D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EBC7A8" w14:textId="77777777" w:rsidR="000945DE" w:rsidRPr="00BA642E" w:rsidRDefault="000945DE" w:rsidP="00C802F5">
      <w:pPr>
        <w:spacing w:after="0" w:line="240" w:lineRule="auto"/>
      </w:pPr>
      <w:r w:rsidRPr="00BA642E">
        <w:separator/>
      </w:r>
    </w:p>
  </w:footnote>
  <w:footnote w:type="continuationSeparator" w:id="0">
    <w:p w14:paraId="5A9CAFD5" w14:textId="77777777" w:rsidR="000945DE" w:rsidRPr="00BA642E" w:rsidRDefault="000945DE" w:rsidP="00C802F5">
      <w:pPr>
        <w:spacing w:after="0" w:line="240" w:lineRule="auto"/>
      </w:pPr>
      <w:r w:rsidRPr="00BA642E">
        <w:continuationSeparator/>
      </w:r>
    </w:p>
  </w:footnote>
  <w:footnote w:id="1">
    <w:p w14:paraId="41D6521E" w14:textId="77777777" w:rsidR="0065755A" w:rsidRPr="003C053A" w:rsidRDefault="0065755A" w:rsidP="0065755A">
      <w:pPr>
        <w:pStyle w:val="Textonotapie"/>
        <w:rPr>
          <w:lang w:val="es-ES_tradnl"/>
        </w:rPr>
      </w:pPr>
      <w:r>
        <w:rPr>
          <w:rStyle w:val="Refdenotaalpie"/>
        </w:rPr>
        <w:footnoteRef/>
      </w:r>
      <w:r>
        <w:t xml:space="preserve"> </w:t>
      </w:r>
      <w:r w:rsidRPr="003C053A">
        <w:t>La noción de espacio léxico utilizada en este trabajo constituye una propuesta conceptual desarrollada conjuntamente con Denis Baranger, que articula la teoría de los campos de Pierre Bourdieu con la tradición del análisis geométrico de datos y la lexicometría. Una presentación más desarrollada de este marco conceptual, así como su aplicación a un estudio empírico, se encuentra actualmente en evaluación para su publicación.</w:t>
      </w:r>
    </w:p>
  </w:footnote>
  <w:footnote w:id="2">
    <w:p w14:paraId="561912B4" w14:textId="77777777" w:rsidR="0065755A" w:rsidRPr="009D2125" w:rsidRDefault="0065755A" w:rsidP="0065755A">
      <w:pPr>
        <w:pStyle w:val="Textonotapie"/>
        <w:rPr>
          <w:lang w:val="es-ES_tradnl"/>
        </w:rPr>
      </w:pPr>
      <w:r>
        <w:rPr>
          <w:rStyle w:val="Refdenotaalpie"/>
        </w:rPr>
        <w:footnoteRef/>
      </w:r>
      <w:r>
        <w:t xml:space="preserve"> </w:t>
      </w:r>
      <w:r>
        <w:rPr>
          <w:lang w:val="es-ES_tradnl"/>
        </w:rPr>
        <w:t xml:space="preserve">El análisis se realizó en R con la librería </w:t>
      </w:r>
      <w:r w:rsidRPr="005A5F58">
        <w:t>R.temis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45DE"/>
    <w:rsid w:val="001060B8"/>
    <w:rsid w:val="001816D6"/>
    <w:rsid w:val="00185F5E"/>
    <w:rsid w:val="001923DC"/>
    <w:rsid w:val="002327C3"/>
    <w:rsid w:val="00312392"/>
    <w:rsid w:val="004040C0"/>
    <w:rsid w:val="00437E9C"/>
    <w:rsid w:val="00550766"/>
    <w:rsid w:val="005C414A"/>
    <w:rsid w:val="005F3B2E"/>
    <w:rsid w:val="0064033D"/>
    <w:rsid w:val="0065755A"/>
    <w:rsid w:val="00701F64"/>
    <w:rsid w:val="0074437A"/>
    <w:rsid w:val="007B5B5F"/>
    <w:rsid w:val="007D233B"/>
    <w:rsid w:val="0085070B"/>
    <w:rsid w:val="00A100BC"/>
    <w:rsid w:val="00A12D9F"/>
    <w:rsid w:val="00A17247"/>
    <w:rsid w:val="00BA4171"/>
    <w:rsid w:val="00BA642E"/>
    <w:rsid w:val="00BC236F"/>
    <w:rsid w:val="00C802F5"/>
    <w:rsid w:val="00C8040C"/>
    <w:rsid w:val="00C96B2C"/>
    <w:rsid w:val="00C97D6B"/>
    <w:rsid w:val="00CC04C1"/>
    <w:rsid w:val="00D11471"/>
    <w:rsid w:val="00D352C6"/>
    <w:rsid w:val="00D843EC"/>
    <w:rsid w:val="00DF42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BA4171"/>
    <w:pPr>
      <w:keepNext/>
      <w:spacing w:line="240" w:lineRule="auto"/>
      <w:jc w:val="both"/>
      <w:outlineLvl w:val="0"/>
    </w:pPr>
    <w:rPr>
      <w:rFonts w:ascii="Times New Roman" w:hAnsi="Times New Roman" w:cs="Times New Roman"/>
      <w:b/>
      <w:bCs/>
      <w:lang w:val="es-AR"/>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4171"/>
    <w:rPr>
      <w:rFonts w:ascii="Times New Roman" w:hAnsi="Times New Roman" w:cs="Times New Roman"/>
      <w:b/>
      <w:bCs/>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65755A"/>
    <w:pPr>
      <w:spacing w:after="0" w:line="240" w:lineRule="auto"/>
      <w:jc w:val="both"/>
    </w:pPr>
    <w:rPr>
      <w:sz w:val="20"/>
      <w:szCs w:val="20"/>
      <w:lang w:val="es-AR"/>
    </w:rPr>
  </w:style>
  <w:style w:type="character" w:customStyle="1" w:styleId="TextonotapieCar">
    <w:name w:val="Texto nota pie Car"/>
    <w:basedOn w:val="Fuentedeprrafopredeter"/>
    <w:link w:val="Textonotapie"/>
    <w:uiPriority w:val="99"/>
    <w:semiHidden/>
    <w:rsid w:val="0065755A"/>
    <w:rPr>
      <w:sz w:val="20"/>
      <w:szCs w:val="20"/>
    </w:rPr>
  </w:style>
  <w:style w:type="character" w:styleId="Refdenotaalpie">
    <w:name w:val="footnote reference"/>
    <w:basedOn w:val="Fuentedeprrafopredeter"/>
    <w:uiPriority w:val="99"/>
    <w:semiHidden/>
    <w:unhideWhenUsed/>
    <w:rsid w:val="0065755A"/>
    <w:rPr>
      <w:vertAlign w:val="superscript"/>
    </w:rPr>
  </w:style>
  <w:style w:type="paragraph" w:styleId="Bibliografa">
    <w:name w:val="Bibliography"/>
    <w:basedOn w:val="Normal"/>
    <w:next w:val="Normal"/>
    <w:uiPriority w:val="37"/>
    <w:semiHidden/>
    <w:unhideWhenUsed/>
    <w:rsid w:val="00D1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9352</Words>
  <Characters>51439</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Victor Montoya</cp:lastModifiedBy>
  <cp:revision>16</cp:revision>
  <dcterms:created xsi:type="dcterms:W3CDTF">2026-03-14T03:50:00Z</dcterms:created>
  <dcterms:modified xsi:type="dcterms:W3CDTF">2026-07-01T22:47:00Z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id="TKJlPg2d"/&gt;&lt;style id="" hasBibliography="0" bibliographyStyleHasBeenSet="0"/&gt;&lt;prefs/&gt;&lt;/data&gt;</vt:lpwstr>
  </property>
</Properties>
</file>