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DABD42B" w14:textId="51386774" w:rsidR="001923DC" w:rsidRPr="006F52BF" w:rsidRDefault="006F52BF" w:rsidP="001923DC">
      <w:pPr>
        <w:jc w:val="center"/>
        <w:rPr>
          <w:rFonts w:ascii="Times New Roman" w:hAnsi="Times New Roman" w:cs="Times New Roman"/>
          <w:b/>
          <w:bCs/>
        </w:rPr>
      </w:pPr>
      <w:r>
        <w:rPr>
          <w:rFonts w:ascii="Times New Roman" w:eastAsia="Times New Roman" w:hAnsi="Times New Roman"/>
          <w:b/>
        </w:rPr>
        <w:t>Abordaje sociohistórico del diseño de convocatorias</w:t>
      </w:r>
      <w:r w:rsidR="00952BD8" w:rsidRPr="006F52BF">
        <w:rPr>
          <w:rFonts w:ascii="Times New Roman" w:eastAsia="Times New Roman" w:hAnsi="Times New Roman"/>
          <w:b/>
        </w:rPr>
        <w:t xml:space="preserve"> </w:t>
      </w:r>
      <w:r>
        <w:rPr>
          <w:rFonts w:ascii="Times New Roman" w:eastAsia="Times New Roman" w:hAnsi="Times New Roman"/>
          <w:b/>
        </w:rPr>
        <w:t xml:space="preserve">de ingreso </w:t>
      </w:r>
      <w:r w:rsidR="00952BD8" w:rsidRPr="006F52BF">
        <w:rPr>
          <w:rFonts w:ascii="Times New Roman" w:eastAsia="Times New Roman" w:hAnsi="Times New Roman"/>
          <w:b/>
        </w:rPr>
        <w:t>a la Carrera de Investigador del CONICET (1983-2025)</w:t>
      </w:r>
    </w:p>
    <w:p w14:paraId="43C49479" w14:textId="77777777" w:rsidR="005F3B2E" w:rsidRPr="006F52BF" w:rsidRDefault="005F3B2E" w:rsidP="001923DC">
      <w:pPr>
        <w:jc w:val="center"/>
        <w:rPr>
          <w:rFonts w:ascii="Times New Roman" w:hAnsi="Times New Roman" w:cs="Times New Roman"/>
        </w:rPr>
      </w:pPr>
      <w:bookmarkStart w:id="0" w:name="_GoBack"/>
      <w:bookmarkEnd w:id="0"/>
    </w:p>
    <w:p w14:paraId="2EB1211F" w14:textId="77777777" w:rsidR="00952BD8" w:rsidRPr="006F52BF" w:rsidRDefault="00952BD8" w:rsidP="00952BD8">
      <w:pPr>
        <w:spacing w:after="0" w:line="240" w:lineRule="auto"/>
        <w:jc w:val="right"/>
        <w:rPr>
          <w:rFonts w:ascii="Times New Roman" w:hAnsi="Times New Roman" w:cs="Times New Roman"/>
          <w:lang w:val="en-US"/>
        </w:rPr>
      </w:pPr>
      <w:r w:rsidRPr="006F52BF">
        <w:rPr>
          <w:rFonts w:ascii="Times New Roman" w:hAnsi="Times New Roman" w:cs="Times New Roman"/>
          <w:lang w:val="en-US"/>
        </w:rPr>
        <w:t>Fernando Svampa</w:t>
      </w:r>
    </w:p>
    <w:p w14:paraId="7D0026CD" w14:textId="570B8DFD" w:rsidR="005F3B2E" w:rsidRPr="006F52BF" w:rsidRDefault="00952BD8" w:rsidP="00952BD8">
      <w:pPr>
        <w:spacing w:after="0" w:line="240" w:lineRule="auto"/>
        <w:jc w:val="right"/>
        <w:rPr>
          <w:rFonts w:ascii="Times New Roman" w:hAnsi="Times New Roman" w:cs="Times New Roman"/>
          <w:lang w:val="en-US"/>
        </w:rPr>
      </w:pPr>
      <w:r w:rsidRPr="006F52BF">
        <w:rPr>
          <w:rFonts w:ascii="Times New Roman" w:hAnsi="Times New Roman" w:cs="Times New Roman"/>
          <w:lang w:val="en-US"/>
        </w:rPr>
        <w:t>Universidad Nacional de Río Negro-CITECDE, CONICET</w:t>
      </w:r>
    </w:p>
    <w:p w14:paraId="71530DFB" w14:textId="7DBCEFA4" w:rsidR="00952BD8" w:rsidRPr="006F52BF" w:rsidRDefault="00952BD8" w:rsidP="00952BD8">
      <w:pPr>
        <w:spacing w:after="0" w:line="240" w:lineRule="auto"/>
        <w:jc w:val="right"/>
        <w:rPr>
          <w:rFonts w:ascii="Times New Roman" w:hAnsi="Times New Roman" w:cs="Times New Roman"/>
        </w:rPr>
      </w:pPr>
      <w:r w:rsidRPr="006F52BF">
        <w:rPr>
          <w:rFonts w:ascii="Times New Roman" w:hAnsi="Times New Roman" w:cs="Times New Roman"/>
        </w:rPr>
        <w:t>fsvampa@unrn.edu.ar</w:t>
      </w:r>
    </w:p>
    <w:p w14:paraId="1FA0F857" w14:textId="77777777" w:rsidR="005F3B2E" w:rsidRPr="006F52BF" w:rsidRDefault="005F3B2E" w:rsidP="005F3B2E">
      <w:pPr>
        <w:rPr>
          <w:rFonts w:ascii="Times New Roman" w:hAnsi="Times New Roman" w:cs="Times New Roman"/>
        </w:rPr>
      </w:pPr>
    </w:p>
    <w:p w14:paraId="1275A9C7" w14:textId="2C3DEFD4" w:rsidR="005F3B2E" w:rsidRPr="006F52BF" w:rsidRDefault="00952BD8" w:rsidP="005F3B2E">
      <w:pPr>
        <w:spacing w:after="0" w:line="240" w:lineRule="auto"/>
        <w:jc w:val="right"/>
        <w:rPr>
          <w:rFonts w:ascii="Times New Roman" w:hAnsi="Times New Roman" w:cs="Times New Roman"/>
        </w:rPr>
      </w:pPr>
      <w:r w:rsidRPr="006F52BF">
        <w:rPr>
          <w:rFonts w:ascii="Times New Roman" w:hAnsi="Times New Roman" w:cs="Times New Roman"/>
        </w:rPr>
        <w:t xml:space="preserve">Aguiar Diego </w:t>
      </w:r>
    </w:p>
    <w:p w14:paraId="46FEEBE4" w14:textId="0EDEA17A" w:rsidR="005F3B2E" w:rsidRPr="006F52BF" w:rsidRDefault="00952BD8" w:rsidP="005F3B2E">
      <w:pPr>
        <w:spacing w:after="0" w:line="240" w:lineRule="auto"/>
        <w:jc w:val="right"/>
        <w:rPr>
          <w:rFonts w:ascii="Times New Roman" w:hAnsi="Times New Roman" w:cs="Times New Roman"/>
          <w:lang w:val="en-US"/>
        </w:rPr>
      </w:pPr>
      <w:r w:rsidRPr="006F52BF">
        <w:rPr>
          <w:rFonts w:ascii="Times New Roman" w:hAnsi="Times New Roman" w:cs="Times New Roman"/>
          <w:lang w:val="en-US"/>
        </w:rPr>
        <w:t>Universidad Nacional de Río Negro-CITECDE, CONICET</w:t>
      </w:r>
    </w:p>
    <w:p w14:paraId="0DE5884F" w14:textId="2CE0D18F" w:rsidR="00952BD8" w:rsidRPr="006F52BF" w:rsidRDefault="00952BD8" w:rsidP="00952BD8">
      <w:pPr>
        <w:spacing w:after="0" w:line="240" w:lineRule="auto"/>
        <w:jc w:val="right"/>
        <w:rPr>
          <w:rFonts w:ascii="Times New Roman" w:hAnsi="Times New Roman" w:cs="Times New Roman"/>
        </w:rPr>
      </w:pPr>
      <w:r w:rsidRPr="006F52BF">
        <w:rPr>
          <w:rFonts w:ascii="Times New Roman" w:hAnsi="Times New Roman" w:cs="Times New Roman"/>
        </w:rPr>
        <w:t>daguiar@unrn.edu.ar</w:t>
      </w:r>
    </w:p>
    <w:p w14:paraId="640847CC" w14:textId="77777777" w:rsidR="005F3B2E" w:rsidRPr="006F52BF" w:rsidRDefault="005F3B2E" w:rsidP="005F3B2E">
      <w:pPr>
        <w:spacing w:after="0" w:line="240" w:lineRule="auto"/>
        <w:jc w:val="right"/>
        <w:rPr>
          <w:rFonts w:ascii="Times New Roman" w:hAnsi="Times New Roman" w:cs="Times New Roman"/>
        </w:rPr>
      </w:pPr>
    </w:p>
    <w:p w14:paraId="3D73DB11" w14:textId="47D426B4" w:rsidR="005F3B2E" w:rsidRPr="006F52BF" w:rsidRDefault="00C802F5" w:rsidP="00952BD8">
      <w:pPr>
        <w:tabs>
          <w:tab w:val="center" w:pos="4252"/>
          <w:tab w:val="right" w:pos="8504"/>
        </w:tabs>
        <w:spacing w:after="0" w:line="240" w:lineRule="auto"/>
        <w:rPr>
          <w:rFonts w:ascii="Times New Roman" w:hAnsi="Times New Roman" w:cs="Times New Roman"/>
        </w:rPr>
      </w:pPr>
      <w:r w:rsidRPr="006F52BF">
        <w:rPr>
          <w:rFonts w:ascii="Times New Roman" w:hAnsi="Times New Roman" w:cs="Times New Roman"/>
        </w:rPr>
        <w:tab/>
      </w:r>
      <w:r w:rsidRPr="006F52BF">
        <w:rPr>
          <w:rFonts w:ascii="Times New Roman" w:hAnsi="Times New Roman" w:cs="Times New Roman"/>
        </w:rPr>
        <w:tab/>
      </w:r>
    </w:p>
    <w:p w14:paraId="1B43FD84" w14:textId="77777777" w:rsidR="001923DC" w:rsidRPr="006F52BF" w:rsidRDefault="001923DC" w:rsidP="001923DC">
      <w:pPr>
        <w:jc w:val="center"/>
        <w:rPr>
          <w:rFonts w:ascii="Times New Roman" w:hAnsi="Times New Roman" w:cs="Times New Roman"/>
        </w:rPr>
      </w:pPr>
    </w:p>
    <w:p w14:paraId="156C9DF0" w14:textId="77777777" w:rsidR="007B5B5F" w:rsidRPr="006F52B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6F52BF">
        <w:rPr>
          <w:rFonts w:ascii="Times New Roman" w:hAnsi="Times New Roman" w:cs="Times New Roman"/>
          <w:b/>
          <w:bCs/>
          <w:color w:val="EE0000"/>
        </w:rPr>
        <w:t>Instrucciones:</w:t>
      </w:r>
      <w:r w:rsidRPr="006F52BF">
        <w:rPr>
          <w:rFonts w:ascii="Times New Roman" w:hAnsi="Times New Roman" w:cs="Times New Roman"/>
          <w:color w:val="EE0000"/>
        </w:rPr>
        <w:t xml:space="preserve"> </w:t>
      </w:r>
    </w:p>
    <w:p w14:paraId="6730F5D0" w14:textId="4E8D1507" w:rsidR="00BA642E" w:rsidRPr="006F52B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6F52BF">
        <w:rPr>
          <w:rFonts w:ascii="Times New Roman" w:hAnsi="Times New Roman" w:cs="Times New Roman"/>
          <w:color w:val="EE0000"/>
        </w:rPr>
        <w:t>Las ponencias completas deberán tener una extensión de entre 5.000 y 8.000 palabras. Deben enviarse este archivo en formato Word</w:t>
      </w:r>
      <w:r w:rsidR="007B5B5F" w:rsidRPr="006F52BF">
        <w:rPr>
          <w:rFonts w:ascii="Times New Roman" w:hAnsi="Times New Roman" w:cs="Times New Roman"/>
          <w:color w:val="EE0000"/>
        </w:rPr>
        <w:t xml:space="preserve"> (en ningún caso PDF). </w:t>
      </w:r>
      <w:r w:rsidRPr="006F52BF">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6F52B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6F52B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6F52BF" w:rsidRDefault="00BA642E" w:rsidP="005F3B2E">
      <w:pPr>
        <w:rPr>
          <w:rFonts w:ascii="Times New Roman" w:hAnsi="Times New Roman" w:cs="Times New Roman"/>
          <w:b/>
          <w:bCs/>
        </w:rPr>
      </w:pPr>
    </w:p>
    <w:p w14:paraId="35A6682C" w14:textId="45233B71" w:rsidR="00BA642E" w:rsidRPr="006F52BF" w:rsidRDefault="00BA642E" w:rsidP="007B5B5F">
      <w:pPr>
        <w:spacing w:line="240" w:lineRule="auto"/>
        <w:jc w:val="both"/>
        <w:rPr>
          <w:rFonts w:ascii="Times New Roman" w:hAnsi="Times New Roman" w:cs="Times New Roman"/>
          <w:b/>
          <w:bCs/>
        </w:rPr>
      </w:pPr>
      <w:r w:rsidRPr="006F52BF">
        <w:rPr>
          <w:rFonts w:ascii="Times New Roman" w:hAnsi="Times New Roman" w:cs="Times New Roman"/>
          <w:b/>
          <w:bCs/>
          <w:lang w:val="en-US"/>
        </w:rPr>
        <w:t>Resumen:</w:t>
      </w:r>
      <w:r w:rsidR="007B5B5F" w:rsidRPr="006F52BF">
        <w:rPr>
          <w:rFonts w:ascii="Times New Roman" w:hAnsi="Times New Roman" w:cs="Times New Roman"/>
          <w:b/>
          <w:bCs/>
          <w:lang w:val="en-US"/>
        </w:rPr>
        <w:t xml:space="preserve"> </w:t>
      </w:r>
      <w:r w:rsidR="00BC62F9" w:rsidRPr="006F52BF">
        <w:rPr>
          <w:rFonts w:ascii="Times New Roman" w:eastAsia="Times New Roman" w:hAnsi="Times New Roman"/>
        </w:rPr>
        <w:t xml:space="preserve">La ponencia analiza los cambios y continuidades en el diseño de las convocatorias de ingreso a la Carrera de Investigador Científico y Tecnológico (CICyT) del CONICET entre 1983 y 2025, combinando análisis documental de bases y criterios de evaluación con series de stock e ingresos. El marco conceptual se apoya en la noción de culturas políticas de Ciencia y Tecnología para explicar las tensiones entre una cultura académica (autonomía disciplinar, evaluación por pares, productividad) y una cultura burocrática (planificación, segmentación de cupos, priorización de temas). A partir de este marco conceptual, se adopta una estrategia metodológica de carácter histórico-institucional, basada en el análisis documental de una selección intencional de convocatorias de ingreso a la CICyT, normativas internas y documentos institucionales del CONICET entre 1983 y 2025. La unidad de análisis no se define en términos de convocatorias individuales aisladas, sino de periodos históricos de diseño, entendidos </w:t>
      </w:r>
      <w:r w:rsidR="00BC62F9" w:rsidRPr="006F52BF">
        <w:rPr>
          <w:rFonts w:ascii="Times New Roman" w:eastAsia="Times New Roman" w:hAnsi="Times New Roman"/>
        </w:rPr>
        <w:lastRenderedPageBreak/>
        <w:t>como configuraciones relativamente estables de reglas, criterios, actores y orientaciones que caracterizan distintos períodos de la política científica argentina. Los resultados muestran la persistencia del núcleo meritocrático, junto con capas crecientes de orientación (Temas Estratégicos) y de gestión territorial (Fortalecimiento I+D+i), que adquieren mayor peso entre 2016 y 2025.</w:t>
      </w:r>
    </w:p>
    <w:p w14:paraId="2994BAB3" w14:textId="130BA57A" w:rsidR="00BA642E" w:rsidRPr="006F52BF" w:rsidRDefault="00BA642E" w:rsidP="007B5B5F">
      <w:pPr>
        <w:spacing w:line="240" w:lineRule="auto"/>
        <w:jc w:val="both"/>
        <w:rPr>
          <w:rFonts w:ascii="Times New Roman" w:hAnsi="Times New Roman" w:cs="Times New Roman"/>
          <w:b/>
          <w:bCs/>
        </w:rPr>
      </w:pPr>
      <w:r w:rsidRPr="006F52BF">
        <w:rPr>
          <w:rFonts w:ascii="Times New Roman" w:hAnsi="Times New Roman" w:cs="Times New Roman"/>
          <w:b/>
          <w:bCs/>
        </w:rPr>
        <w:t xml:space="preserve">Palabras clave: </w:t>
      </w:r>
      <w:r w:rsidR="00952BD8" w:rsidRPr="006F52BF">
        <w:rPr>
          <w:rFonts w:ascii="Times New Roman" w:eastAsia="Times New Roman" w:hAnsi="Times New Roman"/>
        </w:rPr>
        <w:t>CONICET; CICyT; universidad; convocatorias de ingreso; culturas políticas.</w:t>
      </w:r>
      <w:r w:rsidRPr="006F52BF">
        <w:rPr>
          <w:rFonts w:ascii="Times New Roman" w:hAnsi="Times New Roman" w:cs="Times New Roman"/>
        </w:rPr>
        <w:t xml:space="preserve"> </w:t>
      </w:r>
    </w:p>
    <w:p w14:paraId="6A5547A1" w14:textId="36B7FAC2" w:rsidR="00BA642E" w:rsidRPr="006F52BF" w:rsidRDefault="00BA642E" w:rsidP="007B5B5F">
      <w:pPr>
        <w:spacing w:line="240" w:lineRule="auto"/>
        <w:rPr>
          <w:rFonts w:ascii="Times New Roman" w:hAnsi="Times New Roman" w:cs="Times New Roman"/>
          <w:b/>
          <w:bCs/>
        </w:rPr>
      </w:pPr>
      <w:r w:rsidRPr="006F52BF">
        <w:rPr>
          <w:rFonts w:ascii="Times New Roman" w:hAnsi="Times New Roman" w:cs="Times New Roman"/>
          <w:b/>
          <w:bCs/>
        </w:rPr>
        <w:t>Introducción</w:t>
      </w:r>
    </w:p>
    <w:p w14:paraId="575AD452" w14:textId="682205C3"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El ingreso a la Carrera de Investigador Científico y Tecnológico (CICyT) del CONICET constituye uno de los dispositivos más relevantes para comprender la organización de la investigación en la Argentina. No se trata únicamente de un mecanismo administrativo de selección de personal científico, sino de un instrumento que define condiciones de profesionalización, criterios de legitimidad académica, modos de inserción institucional y formas de distribución territorial de las capacidades de investigación. En un sistema público de investigación donde el CONICET y las universidades nacionales comparten espacios, trayectorias, institutos, programas de formación y agendas de producción de conocimiento, las reglas de acceso a la CICyT tienen efectos que exceden al propio organismo y alcanzan directamente a la universidad pública.</w:t>
      </w:r>
      <w:r w:rsidR="007E6D54" w:rsidRPr="006F52BF">
        <w:rPr>
          <w:rFonts w:ascii="Times New Roman" w:hAnsi="Times New Roman" w:cs="Times New Roman"/>
          <w:lang w:val="en-US"/>
        </w:rPr>
        <w:t xml:space="preserve"> El interés por analizar</w:t>
      </w:r>
      <w:r w:rsidRPr="006F52BF">
        <w:rPr>
          <w:rFonts w:ascii="Times New Roman" w:hAnsi="Times New Roman" w:cs="Times New Roman"/>
          <w:lang w:val="en-US"/>
        </w:rPr>
        <w:t xml:space="preserve"> el diseño de las convocatorias de ingreso a la CICyT </w:t>
      </w:r>
      <w:r w:rsidR="007E6D54" w:rsidRPr="006F52BF">
        <w:rPr>
          <w:rFonts w:ascii="Times New Roman" w:hAnsi="Times New Roman" w:cs="Times New Roman"/>
          <w:lang w:val="en-US"/>
        </w:rPr>
        <w:t xml:space="preserve">radica en que  opera como un mecanismo estructurante del sistema público de investigación, en tanto define no solo quiénes acceden a la condición de investigadores estables, sino también bajo qué criterios, modalidades y orientaciones se configuran las trayectorias científicas (D'Onofrio, 2020). Así también, </w:t>
      </w:r>
      <w:r w:rsidRPr="006F52BF">
        <w:rPr>
          <w:rFonts w:ascii="Times New Roman" w:hAnsi="Times New Roman" w:cs="Times New Roman"/>
          <w:lang w:val="en-US"/>
        </w:rPr>
        <w:t>permite observar cómo se construyen, circulan y evalúan capacidades de investigación en diálogo con las universidades, con organismos estatales, con agendas de desarrollo y con demandas de transferencia y divulgación. La universidad aparece aquí no como un simple “lugar de trabajo” para investigadores del CONICET, sino como una contraparte institucional, académica y política: forma recursos humanos, legitima trayectorias, aloja unidades de investigación de doble dependencia, participa en disputas por la orientación de la política científica y se ve afectada por los criterios de evalua</w:t>
      </w:r>
      <w:r w:rsidR="007E6D54" w:rsidRPr="006F52BF">
        <w:rPr>
          <w:rFonts w:ascii="Times New Roman" w:hAnsi="Times New Roman" w:cs="Times New Roman"/>
          <w:lang w:val="en-US"/>
        </w:rPr>
        <w:t xml:space="preserve">ción y distribución de vacantes para ingreso a Carrera. </w:t>
      </w:r>
    </w:p>
    <w:p w14:paraId="529024EE" w14:textId="3B35BBE3"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El objetivo general de la ponencia es analizar los cambios y continuidades en el diseño de las convocatorias de ingreso a la CICyT entre 1983 y 2025. El argumento central sostiene que, a lo largo de cuatro décadas, las convocatorias mantuvieron un núcleo meritocrático-académico persistente, basado en la evaluación por pares, la productividad científica y la trayectoria individual; sin embargo, ese núcleo fue siendo recubierto por capas crecientes de orientación burocrática, expresadas en criterios de planificación, segmentación de cupos, priorización temática, federalización, perfiles institucionales y modalidades específicas de fortalecimiento. La hipótesis de trabajo es que no se produjo una sustitución lineal de la cultura académica por una cultura burocrática. Lo que se observa, más bien, es una configuración híbrida y tensionada: la cultura académica conserva una fuerte capacidad de definir estándares de excelencia y jerarquías de mérito, mientras que la cultura burocrática introduce reglas, modalidades y dispositivos orientados a hacer administrable el ingreso, a vincularlo con prioridades de política </w:t>
      </w:r>
      <w:r w:rsidRPr="006F52BF">
        <w:rPr>
          <w:rFonts w:ascii="Times New Roman" w:hAnsi="Times New Roman" w:cs="Times New Roman"/>
          <w:lang w:val="en-US"/>
        </w:rPr>
        <w:lastRenderedPageBreak/>
        <w:t>pública y a corregir parcialmente desigualdades territoriales o institucionales. Esta tensión se vuelve especialmente visible a partir de 2012 con la incorporación de Temas Estratégicos y se intensifica desde 2016 con la diversificación de modalidades en un contexto de restricción presupuestaria.</w:t>
      </w:r>
    </w:p>
    <w:p w14:paraId="7EE5A1D0" w14:textId="1111F2E5"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La ponencia se organiza en cinco apartados. En primer lugar, se presenta el enfoque teórico-metodológico. En segundo lugar, se reconstruyen los antecedentes de la CICyT y su vínculo con la universidad pública. En tercer lugar, se analizan los regímenes de diseño de las convocatorias entre 1983 y 2025. En cuarto lugar, se realiza una lectura integrada de las series de stock e ingresos y de la diversificación de modalidades. </w:t>
      </w:r>
      <w:r w:rsidR="00AE79C5" w:rsidRPr="006F52BF">
        <w:rPr>
          <w:rFonts w:ascii="Times New Roman" w:hAnsi="Times New Roman" w:cs="Times New Roman"/>
          <w:lang w:val="en-US"/>
        </w:rPr>
        <w:t>En Quinto lugar</w:t>
      </w:r>
      <w:r w:rsidRPr="006F52BF">
        <w:rPr>
          <w:rFonts w:ascii="Times New Roman" w:hAnsi="Times New Roman" w:cs="Times New Roman"/>
          <w:lang w:val="en-US"/>
        </w:rPr>
        <w:t xml:space="preserve">, se comparten </w:t>
      </w:r>
      <w:r w:rsidR="00AE79C5" w:rsidRPr="006F52BF">
        <w:rPr>
          <w:rFonts w:ascii="Times New Roman" w:hAnsi="Times New Roman" w:cs="Times New Roman"/>
          <w:lang w:val="en-US"/>
        </w:rPr>
        <w:t>las reflexiones finales</w:t>
      </w:r>
    </w:p>
    <w:p w14:paraId="4A7DA338" w14:textId="77777777" w:rsidR="00BC62F9" w:rsidRPr="006F52BF" w:rsidRDefault="00BC62F9" w:rsidP="00BC62F9">
      <w:pPr>
        <w:spacing w:line="240" w:lineRule="auto"/>
        <w:jc w:val="both"/>
        <w:rPr>
          <w:rFonts w:ascii="Times New Roman" w:hAnsi="Times New Roman" w:cs="Times New Roman"/>
          <w:b/>
          <w:lang w:val="en-US"/>
        </w:rPr>
      </w:pPr>
      <w:r w:rsidRPr="006F52BF">
        <w:rPr>
          <w:rFonts w:ascii="Times New Roman" w:hAnsi="Times New Roman" w:cs="Times New Roman"/>
          <w:b/>
          <w:lang w:val="en-US"/>
        </w:rPr>
        <w:t>Culturas políticas e instrumentos de política científica del CONICET</w:t>
      </w:r>
    </w:p>
    <w:p w14:paraId="50EB8285" w14:textId="1F809C2F"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El marco conceptual se apoya en la noción de culturas políticas de ciencia y tecnología propuesta por Elzinga y Jamison (1996). Desde esta perspectiva, las políticas científicas no se explican únicamente por decisiones técnicas o por la racionalidad formal de los instrumentos, sino por la interacción entre actores, valores, intereses y formas de legitimidad. Para el análisis de la CICyT resultan particularmente relevantes dos culturas: la académica y la burocrática. La primera se asocia con la autonomía disciplinar, el juicio experto, la evaluación por pares, la producción de publicaciones y la defensa de criterios internos de excelencia. La segunda se vincula con la planificación estatal, la administración de recursos, la definición de prioridades, la rendición de cuentas y la búsqueda de resultados social, económica o territorialmente relevantes. Pensar el ingreso a la CICyT desde esta clave permite desplazar la mirada desde los resultados individuales hacia el diseño del </w:t>
      </w:r>
      <w:r w:rsidR="00AE79C5" w:rsidRPr="006F52BF">
        <w:rPr>
          <w:rFonts w:ascii="Times New Roman" w:hAnsi="Times New Roman" w:cs="Times New Roman"/>
          <w:lang w:val="en-US"/>
        </w:rPr>
        <w:t>instrument (Svampa y Aguiar</w:t>
      </w:r>
      <w:r w:rsidR="00E91AD6" w:rsidRPr="006F52BF">
        <w:rPr>
          <w:rFonts w:ascii="Times New Roman" w:hAnsi="Times New Roman" w:cs="Times New Roman"/>
          <w:lang w:val="en-US"/>
        </w:rPr>
        <w:t>,</w:t>
      </w:r>
      <w:r w:rsidR="00AE79C5" w:rsidRPr="006F52BF">
        <w:rPr>
          <w:rFonts w:ascii="Times New Roman" w:hAnsi="Times New Roman" w:cs="Times New Roman"/>
          <w:lang w:val="en-US"/>
        </w:rPr>
        <w:t xml:space="preserve"> 2022</w:t>
      </w:r>
      <w:r w:rsidR="00E91AD6" w:rsidRPr="006F52BF">
        <w:rPr>
          <w:rFonts w:ascii="Times New Roman" w:hAnsi="Times New Roman" w:cs="Times New Roman"/>
          <w:lang w:val="en-US"/>
        </w:rPr>
        <w:t>a</w:t>
      </w:r>
      <w:r w:rsidR="00AE79C5" w:rsidRPr="006F52BF">
        <w:rPr>
          <w:rFonts w:ascii="Times New Roman" w:hAnsi="Times New Roman" w:cs="Times New Roman"/>
          <w:lang w:val="en-US"/>
        </w:rPr>
        <w:t>)</w:t>
      </w:r>
      <w:r w:rsidRPr="006F52BF">
        <w:rPr>
          <w:rFonts w:ascii="Times New Roman" w:hAnsi="Times New Roman" w:cs="Times New Roman"/>
          <w:lang w:val="en-US"/>
        </w:rPr>
        <w:t xml:space="preserve">. Las convocatorias no son ventanillas neutrales: fijan requisitos, jerarquizan productos, definen perfiles, distribuyen vacantes y establecen mediaciones entre </w:t>
      </w:r>
      <w:r w:rsidR="00AE79C5" w:rsidRPr="006F52BF">
        <w:rPr>
          <w:rFonts w:ascii="Times New Roman" w:hAnsi="Times New Roman" w:cs="Times New Roman"/>
          <w:lang w:val="en-US"/>
        </w:rPr>
        <w:t>postulantes a carrera</w:t>
      </w:r>
      <w:r w:rsidRPr="006F52BF">
        <w:rPr>
          <w:rFonts w:ascii="Times New Roman" w:hAnsi="Times New Roman" w:cs="Times New Roman"/>
          <w:lang w:val="en-US"/>
        </w:rPr>
        <w:t xml:space="preserve">, comisiones asesoras, Juntas de Calificación, Directorio y </w:t>
      </w:r>
      <w:r w:rsidR="00AE79C5" w:rsidRPr="006F52BF">
        <w:rPr>
          <w:rFonts w:ascii="Times New Roman" w:hAnsi="Times New Roman" w:cs="Times New Roman"/>
          <w:lang w:val="en-US"/>
        </w:rPr>
        <w:t xml:space="preserve">en menor medida con </w:t>
      </w:r>
      <w:r w:rsidRPr="006F52BF">
        <w:rPr>
          <w:rFonts w:ascii="Times New Roman" w:hAnsi="Times New Roman" w:cs="Times New Roman"/>
          <w:lang w:val="en-US"/>
        </w:rPr>
        <w:t>actores externos al CONICET. En términos de Sagasti y Aráoz (1975), un instrumento de política científica combina una base legal, una estructura organizacional y un conjunto de procedimientos operativos. Por eso, el diseño de una convocatoria puede leerse como una forma de gobierno de la investigación: organiza el ingreso, modela expectativas de carrera y orienta, de manera directa o indirecta, las prácticas de producción de conocimiento.</w:t>
      </w:r>
    </w:p>
    <w:p w14:paraId="3A3DE251" w14:textId="0CCE4368"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estrategia metodológica</w:t>
      </w:r>
      <w:r w:rsidR="00AE79C5" w:rsidRPr="006F52BF">
        <w:rPr>
          <w:rFonts w:ascii="Times New Roman" w:hAnsi="Times New Roman" w:cs="Times New Roman"/>
          <w:lang w:val="en-US"/>
        </w:rPr>
        <w:t xml:space="preserve"> se sustentas en un enfoque cualitativo con un abordaje</w:t>
      </w:r>
      <w:r w:rsidRPr="006F52BF">
        <w:rPr>
          <w:rFonts w:ascii="Times New Roman" w:hAnsi="Times New Roman" w:cs="Times New Roman"/>
          <w:lang w:val="en-US"/>
        </w:rPr>
        <w:t xml:space="preserve"> histórico-institucional</w:t>
      </w:r>
      <w:r w:rsidR="00AE79C5" w:rsidRPr="006F52BF">
        <w:rPr>
          <w:rFonts w:ascii="Times New Roman" w:hAnsi="Times New Roman" w:cs="Times New Roman"/>
          <w:lang w:val="en-US"/>
        </w:rPr>
        <w:t xml:space="preserve"> del CONICET y la CICyT entre 1983-2025</w:t>
      </w:r>
      <w:r w:rsidRPr="006F52BF">
        <w:rPr>
          <w:rFonts w:ascii="Times New Roman" w:hAnsi="Times New Roman" w:cs="Times New Roman"/>
          <w:lang w:val="en-US"/>
        </w:rPr>
        <w:t xml:space="preserve">. Se trabaja con análisis documental de normativas, resoluciones, actas de Directorio, bases de convocatorias, criterios de evaluación e informes institucionales del CONICET, complementado con series agregadas de miembros e ingresos a la CICyT. La unidad de análisis no es cada convocatoria tomada de manera aislada, sino los períodos históricos de diseño: configuraciones relativamente estables de reglas, actores, criterios y orientaciones que permiten comparar continuidades y rupturas entre períodos. </w:t>
      </w:r>
      <w:r w:rsidR="00AE79C5" w:rsidRPr="006F52BF">
        <w:rPr>
          <w:rFonts w:ascii="Times New Roman" w:hAnsi="Times New Roman" w:cs="Times New Roman"/>
          <w:lang w:val="en-US"/>
        </w:rPr>
        <w:t xml:space="preserve"> </w:t>
      </w:r>
      <w:r w:rsidRPr="006F52BF">
        <w:rPr>
          <w:rFonts w:ascii="Times New Roman" w:hAnsi="Times New Roman" w:cs="Times New Roman"/>
          <w:lang w:val="en-US"/>
        </w:rPr>
        <w:t xml:space="preserve">El recorte temporal se inicia en 1983 porque el retorno democrático abrió una etapa de normalización institucional del sistema científico y universitario argentino. No obstante, se recuperan antecedentes de la creación de la CICyT y de la reforma estatutaria de 1973, dado que marcan el momento donde se consolidaron rasgos que condicionaron el período posterior: la conversión de la </w:t>
      </w:r>
      <w:r w:rsidRPr="006F52BF">
        <w:rPr>
          <w:rFonts w:ascii="Times New Roman" w:hAnsi="Times New Roman" w:cs="Times New Roman"/>
          <w:lang w:val="en-US"/>
        </w:rPr>
        <w:lastRenderedPageBreak/>
        <w:t xml:space="preserve">carrera en una relación de empleo público, la dedicación exclusiva a la investigación y el progresivo distanciamiento entre carrera científica y </w:t>
      </w:r>
      <w:r w:rsidR="00AE79C5" w:rsidRPr="006F52BF">
        <w:rPr>
          <w:rFonts w:ascii="Times New Roman" w:hAnsi="Times New Roman" w:cs="Times New Roman"/>
          <w:lang w:val="en-US"/>
        </w:rPr>
        <w:t>de la política universitaria</w:t>
      </w:r>
      <w:r w:rsidRPr="006F52BF">
        <w:rPr>
          <w:rFonts w:ascii="Times New Roman" w:hAnsi="Times New Roman" w:cs="Times New Roman"/>
          <w:lang w:val="en-US"/>
        </w:rPr>
        <w:t>. El análisis culmina en 2025, momento en el que las modalidades de ingreso se mantienen formalmente, pero operan en un escenario de desfinanciamiento, reducción de vacantes y fuertes disputas por el sentido público de la ciencia (Svampa et al., 2025).</w:t>
      </w:r>
    </w:p>
    <w:p w14:paraId="732001AF"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periodización propuesta distingue cuatro grandes momentos: 1983-1989, marcado por la normalización democrática y la restitución de reglas; 1989-2003, caracterizado por restricciones presupuestarias, reformas estatales y modernización administrativa; 2003-2015, asociado con expansión del CONICET y direccionamiento incipiente; y 2016-2025, definido por restricción, segmentación de modalidades y fortalecimiento de capas burocráticas de orientación territorial y temática. Estos cortes no deben entenderse como etapas homogéneas, sino como predominancias analíticas que organizan la comparación.</w:t>
      </w:r>
    </w:p>
    <w:p w14:paraId="2DED829F" w14:textId="77777777" w:rsidR="00BC62F9" w:rsidRPr="006F52BF" w:rsidRDefault="00BC62F9" w:rsidP="00BC62F9">
      <w:pPr>
        <w:spacing w:line="240" w:lineRule="auto"/>
        <w:jc w:val="both"/>
        <w:rPr>
          <w:rFonts w:ascii="Times New Roman" w:hAnsi="Times New Roman" w:cs="Times New Roman"/>
          <w:b/>
          <w:lang w:val="en-US"/>
        </w:rPr>
      </w:pPr>
      <w:r w:rsidRPr="006F52BF">
        <w:rPr>
          <w:rFonts w:ascii="Times New Roman" w:hAnsi="Times New Roman" w:cs="Times New Roman"/>
          <w:b/>
          <w:lang w:val="en-US"/>
        </w:rPr>
        <w:t>La CICyT y la universidad pública: antecedentes de una relación tensionada</w:t>
      </w:r>
    </w:p>
    <w:p w14:paraId="0BB8E4E8" w14:textId="1397466F"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CICyT fue creada en 1961 en el marco de un CONICET concebido originalmente como organismo de promoción, coordinación y financiamiento de la investigación científica. En sus primeros años, la carrera funcionó como un sistema de categorización y suplemento para investigadores que, en muchos casos, desarrollaban sus actividades en universidades u otros organismos de ciencia y tecnología (Svampa y Aguiar, 2022a). En esa configuración inicial, el CONICET contribuía a profesionalizar la investigación, pero no necesariamente a separarla de la universidad. La CICyT operaba como un reconocimiento de trayectoria y como un incentivo para sostener la dedicación a la investigación en instituciones preexistentes</w:t>
      </w:r>
      <w:r w:rsidR="00A72921" w:rsidRPr="006F52BF">
        <w:rPr>
          <w:rFonts w:ascii="Times New Roman" w:hAnsi="Times New Roman" w:cs="Times New Roman"/>
          <w:lang w:val="en-US"/>
        </w:rPr>
        <w:t xml:space="preserve"> (Del Bello, 2007)</w:t>
      </w:r>
      <w:r w:rsidRPr="006F52BF">
        <w:rPr>
          <w:rFonts w:ascii="Times New Roman" w:hAnsi="Times New Roman" w:cs="Times New Roman"/>
          <w:lang w:val="en-US"/>
        </w:rPr>
        <w:t>.</w:t>
      </w:r>
    </w:p>
    <w:p w14:paraId="4F325546" w14:textId="1F904DED"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reforma estatutaria de 1973 modificó sustancialmente esta relación. La Ley 20.464 incorporó la CICyT y la Carrera del Personal de Apoyo</w:t>
      </w:r>
      <w:r w:rsidR="00A72921" w:rsidRPr="006F52BF">
        <w:rPr>
          <w:rFonts w:ascii="Times New Roman" w:hAnsi="Times New Roman" w:cs="Times New Roman"/>
          <w:lang w:val="en-US"/>
        </w:rPr>
        <w:t xml:space="preserve"> (CPA)</w:t>
      </w:r>
      <w:r w:rsidRPr="006F52BF">
        <w:rPr>
          <w:rFonts w:ascii="Times New Roman" w:hAnsi="Times New Roman" w:cs="Times New Roman"/>
          <w:lang w:val="en-US"/>
        </w:rPr>
        <w:t xml:space="preserve"> al régimen del personal civil de la administración pública nacional (Aguiar y Svampa, 2024). Con ello, la carrera dejó de ser principalmente un complemento de promoción y pasó a constituirse progresivamente como una estructura de empleo científico estatal. Al mismo tiempo, la dedicación exclusiva a la investigación favoreció un proceso de diferenciación respecto de la docencia universitaria. Esta transformación consolidó la centralidad del CONICET como empleador científico y reforzó una lógica de carrera orientada por estándares de investigación más que por funciones integradas de docencia, extensión y gestión universitaria.</w:t>
      </w:r>
    </w:p>
    <w:p w14:paraId="58FE32B9"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Durante la última dictadura cívico-militar, la distancia entre CONICET y universidades se profundizó. Aunque ambas instituciones fueron afectadas por mecanismos de control y persecución ideológica, la investigación universitaria sufrió un fuerte debilitamiento, mientras que el CONICET amplió recursos, institutos y personal de carrera (Bekerman, 2013). Esta expansión contribuyó a transferir capacidades desde la universidad hacia el Consejo y a consolidar la investigación como una función cada vez más concentrada en el organismo (Bekerman, 2016). </w:t>
      </w:r>
    </w:p>
    <w:p w14:paraId="5BFA39AE" w14:textId="3686A3BD" w:rsidR="00A72921"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Con el retorno democrático, las gestiones de Carlos Abeledo en el CONICET y Manuel Sadosky en la SECyT buscaron recomponer reglas de funcionamiento, revisar procedimientos y restablecer vínculos con el sistema universitario. En ese marco se </w:t>
      </w:r>
      <w:r w:rsidRPr="006F52BF">
        <w:rPr>
          <w:rFonts w:ascii="Times New Roman" w:hAnsi="Times New Roman" w:cs="Times New Roman"/>
          <w:lang w:val="en-US"/>
        </w:rPr>
        <w:lastRenderedPageBreak/>
        <w:t>promovieron instrumentos como los Proyectos de Investigación y Desarrollo</w:t>
      </w:r>
      <w:r w:rsidR="00A72921" w:rsidRPr="006F52BF">
        <w:rPr>
          <w:rFonts w:ascii="Times New Roman" w:hAnsi="Times New Roman" w:cs="Times New Roman"/>
          <w:lang w:val="en-US"/>
        </w:rPr>
        <w:t xml:space="preserve"> (PID)</w:t>
      </w:r>
      <w:r w:rsidRPr="006F52BF">
        <w:rPr>
          <w:rFonts w:ascii="Times New Roman" w:hAnsi="Times New Roman" w:cs="Times New Roman"/>
          <w:lang w:val="en-US"/>
        </w:rPr>
        <w:t xml:space="preserve">, los Proyectos de Investigación </w:t>
      </w:r>
      <w:r w:rsidR="00A72921" w:rsidRPr="006F52BF">
        <w:rPr>
          <w:rFonts w:ascii="Times New Roman" w:hAnsi="Times New Roman" w:cs="Times New Roman"/>
          <w:lang w:val="en-US"/>
        </w:rPr>
        <w:t>Annual (PIA)</w:t>
      </w:r>
      <w:r w:rsidRPr="006F52BF">
        <w:rPr>
          <w:rFonts w:ascii="Times New Roman" w:hAnsi="Times New Roman" w:cs="Times New Roman"/>
          <w:lang w:val="en-US"/>
        </w:rPr>
        <w:t xml:space="preserve">, el Sistema de Apoyo para Investigadores Universitarios (SAPIU) y el Programa de Apoyo a los Núcleos Universitarios de Investigación (PROANUI). </w:t>
      </w:r>
      <w:r w:rsidR="00A72921" w:rsidRPr="006F52BF">
        <w:rPr>
          <w:rFonts w:ascii="Times New Roman" w:eastAsia="Times New Roman" w:hAnsi="Times New Roman" w:cs="Times New Roman"/>
          <w:bCs/>
          <w:lang w:eastAsia="es-MX"/>
        </w:rPr>
        <w:t>La política del SAPIU surgió por parte del Directorio y la presidencia del CONICET, como un intento para ofrecer una alternativa que promoviera la articulación con la universidad, en vistas a los procesos de encapsulamiento meritocrático que venía caracterizando a la CICyT desde 1973</w:t>
      </w:r>
      <w:r w:rsidR="00A72921" w:rsidRPr="006F52BF">
        <w:rPr>
          <w:rFonts w:ascii="Times New Roman" w:eastAsia="Times New Roman" w:hAnsi="Times New Roman" w:cs="Times New Roman"/>
          <w:b/>
          <w:bCs/>
          <w:lang w:eastAsia="es-MX"/>
        </w:rPr>
        <w:t>.</w:t>
      </w:r>
      <w:r w:rsidR="00A72921" w:rsidRPr="006F52BF">
        <w:rPr>
          <w:rFonts w:ascii="Times New Roman" w:eastAsia="Times New Roman" w:hAnsi="Times New Roman" w:cs="Times New Roman"/>
          <w:bCs/>
          <w:lang w:eastAsia="es-MX"/>
        </w:rPr>
        <w:t xml:space="preserve"> El interés por la normalización democrática en el CONICET, implicó una revalorización del papel de las instituciones universitarias como espacios privilegiados de producción de conocimiento y formación de recursos humanos. En este sentido, el SAPIU a diferencia de la CICyT buscaba operar como un mecanismo de profesionalización de la investigación, pero también como un dispositivo de articulación entre el CONICET y el sistema universitario, en un contexto en el que se buscaba reconstruir la legitimidad social y política de las instituciones científicas tras el período autoritario. Si bien la normalización institucional habilitó condiciones más transparentes y formalizadas de ingreso, la expansión efectiva de oportunidades estuvo limitada por las restricciones presupuestarias y por la persistencia de criterios exclusívamente meritocráticos altamente selectivos en la CICyT. Aunque el SAPIU representó una iniciativa concreta por instalar un instrumento alternativa de profesionalización de la investigación en sintonía con las universidades, similar a los que existen en varios países, la misma no logró consolidarse como una política estructural del Consejo.</w:t>
      </w:r>
      <w:r w:rsidR="00A72921" w:rsidRPr="006F52BF">
        <w:rPr>
          <w:rFonts w:ascii="Times New Roman" w:hAnsi="Times New Roman" w:cs="Times New Roman"/>
          <w:lang w:val="en-US"/>
        </w:rPr>
        <w:t xml:space="preserve">  </w:t>
      </w:r>
      <w:r w:rsidRPr="006F52BF">
        <w:rPr>
          <w:rFonts w:ascii="Times New Roman" w:hAnsi="Times New Roman" w:cs="Times New Roman"/>
          <w:lang w:val="en-US"/>
        </w:rPr>
        <w:t xml:space="preserve">Estas iniciativas intentaron fortalecer la investigación en las universidades y ofrecer alternativas al encapsulamiento de la carrera científica en el CONICET (Svampa y Aguiar 2022b). Sin embargo, la crisis económica y la persistencia de una matriz evaluativa centrada en el mérito individual limitaron su consolidación. </w:t>
      </w:r>
    </w:p>
    <w:p w14:paraId="2AECCA4F" w14:textId="36FE931D"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década de 1990 introdujo nuevas tensiones. Las reformas del Estado, la creación de la Agencia Nacional de Promoción Científica y Tecnológica</w:t>
      </w:r>
      <w:r w:rsidR="00A72921" w:rsidRPr="006F52BF">
        <w:rPr>
          <w:rFonts w:ascii="Times New Roman" w:hAnsi="Times New Roman" w:cs="Times New Roman"/>
          <w:lang w:val="en-US"/>
        </w:rPr>
        <w:t xml:space="preserve"> (ANPCyT)</w:t>
      </w:r>
      <w:r w:rsidRPr="006F52BF">
        <w:rPr>
          <w:rFonts w:ascii="Times New Roman" w:hAnsi="Times New Roman" w:cs="Times New Roman"/>
          <w:lang w:val="en-US"/>
        </w:rPr>
        <w:t xml:space="preserve">, la Ley de Educación Superior y los mecanismos de evaluación y acreditación universitaria reconfiguraron el </w:t>
      </w:r>
      <w:r w:rsidR="00A72921" w:rsidRPr="006F52BF">
        <w:rPr>
          <w:rFonts w:ascii="Times New Roman" w:hAnsi="Times New Roman" w:cs="Times New Roman"/>
          <w:lang w:val="en-US"/>
        </w:rPr>
        <w:t xml:space="preserve">Sistema público de Investigación </w:t>
      </w:r>
      <w:r w:rsidRPr="006F52BF">
        <w:rPr>
          <w:rFonts w:ascii="Times New Roman" w:hAnsi="Times New Roman" w:cs="Times New Roman"/>
          <w:lang w:val="en-US"/>
        </w:rPr>
        <w:t>(Montesino et al., 2023). El CONICET atravesó una etapa de inestabilidad, intervención y reorganización gerencial. La universidad pública, por su parte, defendió su autonomía frente a políticas de ajuste y a dispositivos externos de evaluación. En este contexto, la CICyT mantuvo su centralidad como carrera de investigación, pero bajo condiciones de escasez, irregularidad de llamados y fuerte competencia por el ingreso.</w:t>
      </w:r>
    </w:p>
    <w:p w14:paraId="591A1024"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A partir de 2003, la expansión presupuestaria y la creación de unidades ejecutoras de doble dependencia con universidades públicas reactivaron la articulación CONICET-universidad. Sin embargo, la expansión no eliminó las desigualdades territoriales ni institucionales (Niembro, 2020). En muchos casos, los institutos de doble dependencia fortalecieron la presencia del CONICET dentro de la universidad, pero también consolidaron su capacidad de definir reglas de investigación, evaluación y carrera. La universidad siguió siendo un espacio fundamental para la formación doctoral, la legitimación disciplinar y la inserción territorial, aunque la carrera del CONICET continuó organizando una parte decisiva de las expectativas profesionales de los investigadores.</w:t>
      </w:r>
    </w:p>
    <w:p w14:paraId="57EA0DF1" w14:textId="77777777" w:rsidR="00BC62F9" w:rsidRPr="006F52BF" w:rsidRDefault="00BC62F9" w:rsidP="00BC62F9">
      <w:pPr>
        <w:spacing w:line="240" w:lineRule="auto"/>
        <w:jc w:val="both"/>
        <w:rPr>
          <w:rFonts w:ascii="Times New Roman" w:hAnsi="Times New Roman" w:cs="Times New Roman"/>
          <w:b/>
          <w:lang w:val="en-US"/>
        </w:rPr>
      </w:pPr>
      <w:r w:rsidRPr="006F52BF">
        <w:rPr>
          <w:rFonts w:ascii="Times New Roman" w:hAnsi="Times New Roman" w:cs="Times New Roman"/>
          <w:b/>
          <w:lang w:val="en-US"/>
        </w:rPr>
        <w:lastRenderedPageBreak/>
        <w:t>Cambios en el diseño de las convocatorias de ingreso a la CICyT</w:t>
      </w:r>
    </w:p>
    <w:p w14:paraId="7A05290D" w14:textId="2FDCB9E1" w:rsidR="00B55616" w:rsidRPr="006F52BF" w:rsidRDefault="00B55616" w:rsidP="00BC62F9">
      <w:pPr>
        <w:spacing w:line="240" w:lineRule="auto"/>
        <w:jc w:val="both"/>
        <w:rPr>
          <w:rFonts w:ascii="Times New Roman" w:hAnsi="Times New Roman" w:cs="Times New Roman"/>
          <w:lang w:val="en-US"/>
        </w:rPr>
      </w:pPr>
      <w:r w:rsidRPr="006F52BF">
        <w:rPr>
          <w:rFonts w:ascii="Times New Roman" w:eastAsia="Times New Roman" w:hAnsi="Times New Roman" w:cs="Times New Roman"/>
          <w:bCs/>
          <w:lang w:eastAsia="es-MX"/>
        </w:rPr>
        <w:t xml:space="preserve">Durante el </w:t>
      </w:r>
      <w:r w:rsidR="00EC6604" w:rsidRPr="006F52BF">
        <w:rPr>
          <w:rFonts w:ascii="Times New Roman" w:eastAsia="Times New Roman" w:hAnsi="Times New Roman" w:cs="Times New Roman"/>
          <w:bCs/>
          <w:lang w:eastAsia="es-MX"/>
        </w:rPr>
        <w:t>sub</w:t>
      </w:r>
      <w:r w:rsidRPr="006F52BF">
        <w:rPr>
          <w:rFonts w:ascii="Times New Roman" w:eastAsia="Times New Roman" w:hAnsi="Times New Roman" w:cs="Times New Roman"/>
          <w:bCs/>
          <w:lang w:eastAsia="es-MX"/>
        </w:rPr>
        <w:t>periodo de 1983-1989, los diseños de las convocatorias de ingreso a la carrera mantuvieron la lógica meritocrática dirigida a temas generales, sin especificación temática o lineamientos socio-productivos. Lo que se buscó desde el Directorio y la presidencia del CONICET, fue restituir las reglas formales de ingreso y promoción, sin influencia de factores ideológicos que se habían utilizado durante la dictadura cívico-militar y respetando los mecanismos normativos de funcionamiento y transparencia. Esta configuración expresaba una concepción del ingreso a la carrera científica como un proceso regulado fundamentalmente por el mérito individual y la evaluación por pares, en un contexto en el que la principal preocupación institucional era restablecer procedimientos legítimos tras el período de la dictadura cívico-militar, más que orientar activamente el ingreso a la carrera de investigación hacia objetivos de política pública específicos</w:t>
      </w:r>
      <w:r w:rsidR="00BC62F9" w:rsidRPr="006F52BF">
        <w:rPr>
          <w:rFonts w:ascii="Times New Roman" w:hAnsi="Times New Roman" w:cs="Times New Roman"/>
          <w:lang w:val="en-US"/>
        </w:rPr>
        <w:t xml:space="preserve"> (Svampa y Aguiar, 2025). La cultura académica ocupó un lugar predominante: el ingreso se legitimaba por la evaluación por pares, la trayectoria, las publicaciones, la formación de recursos humanos y la calidad del proyecto. Aunque existían programas nacionales orientados a áreas estratégicas, estos no se articularon de manera significativa con las convocatorias de ingreso a </w:t>
      </w:r>
      <w:r w:rsidRPr="006F52BF">
        <w:rPr>
          <w:rFonts w:ascii="Times New Roman" w:hAnsi="Times New Roman" w:cs="Times New Roman"/>
          <w:lang w:val="en-US"/>
        </w:rPr>
        <w:t>Carrera.</w:t>
      </w:r>
    </w:p>
    <w:p w14:paraId="4925C0B9" w14:textId="7BD328EC" w:rsidR="00BC62F9" w:rsidRPr="006F52BF" w:rsidRDefault="00B55616" w:rsidP="00BC62F9">
      <w:pPr>
        <w:spacing w:line="240" w:lineRule="auto"/>
        <w:jc w:val="both"/>
        <w:rPr>
          <w:rFonts w:ascii="Times New Roman" w:hAnsi="Times New Roman" w:cs="Times New Roman"/>
          <w:lang w:val="en-US"/>
        </w:rPr>
      </w:pPr>
      <w:r w:rsidRPr="006F52BF">
        <w:rPr>
          <w:rFonts w:ascii="Times New Roman" w:eastAsia="Times New Roman" w:hAnsi="Times New Roman" w:cs="Times New Roman"/>
        </w:rPr>
        <w:t>En</w:t>
      </w:r>
      <w:r w:rsidR="00760A46" w:rsidRPr="006F52BF">
        <w:rPr>
          <w:rFonts w:ascii="Times New Roman" w:eastAsia="Times New Roman" w:hAnsi="Times New Roman" w:cs="Times New Roman"/>
        </w:rPr>
        <w:t xml:space="preserve"> 1985 comenzaron a formalizarse mecanismos orientados a la promoción y al fomento de actividades de vinculación dentro del CONICET, a partir de la creación de la Oficina de Transferencia de Tecnología (OTT). Si bien esta institucionalización tuvo un acompañamiento limitado por parte de las Comisiones Asesoras y de la Junta de Calificación, habilitó a los miembros de la CICyT a realizar consultorías remuneradas y otras actividades de vinculación, siempre que no insumieran más del 20% de su tiempo de investigación (CONICET, 1989). </w:t>
      </w:r>
      <w:r w:rsidR="00760A46" w:rsidRPr="006F52BF">
        <w:rPr>
          <w:rFonts w:ascii="Times New Roman" w:eastAsia="Times New Roman" w:hAnsi="Times New Roman" w:cs="Times New Roman"/>
          <w:bCs/>
          <w:lang w:eastAsia="es-MX"/>
        </w:rPr>
        <w:t xml:space="preserve"> </w:t>
      </w:r>
      <w:r w:rsidR="00760A46" w:rsidRPr="006F52BF">
        <w:rPr>
          <w:rFonts w:ascii="Times New Roman" w:eastAsia="Times New Roman" w:hAnsi="Times New Roman" w:cs="Times New Roman"/>
        </w:rPr>
        <w:t>En este marco, otro cambio a señalar fue la creación de la categoría de Miembro Correspondiente de la Carrera del Investigador (a través de la Resolución N°1636 del 15 de octubre de 1987). Esta nueva categoría pretendió ser un aspecto del instrumento que consolidara los vínculos de la comunidad científica argentina, más allá de las fronteras geográficas del país (CONICET, 1989). La categoría de Miembro Correspondiente de la CICyT estaba dirigida a las personas así designadas por el Directorio del CONICET, que eran investigadores con residencia fuera de la Argentina, en condiciones de aportar al desarrollo del SPI. Los requisitos para ser idóneo de esta categoría, eran los mismos establecidos por el artículo N° 6 del estatuto de la CICyT, en mención específica de las clases de investigador independiente, principal o superior. Por último, en 1988 el directorio del Consejo aprobó el reglamento de la carrera del investigador clínico (a través de la Resolución N° 479). Esta iniciativa, según el primer artículo de su norma, estaba destinada a promover la investigación científica original en Medicina Clínica, sus disciplinas y especialidades (CONICET, 2006).</w:t>
      </w:r>
    </w:p>
    <w:p w14:paraId="6D851EC6" w14:textId="71365435" w:rsidR="007A3C24"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El </w:t>
      </w:r>
      <w:r w:rsidR="00EC6604" w:rsidRPr="006F52BF">
        <w:rPr>
          <w:rFonts w:ascii="Times New Roman" w:hAnsi="Times New Roman" w:cs="Times New Roman"/>
          <w:lang w:val="en-US"/>
        </w:rPr>
        <w:t>sub-</w:t>
      </w:r>
      <w:r w:rsidRPr="006F52BF">
        <w:rPr>
          <w:rFonts w:ascii="Times New Roman" w:hAnsi="Times New Roman" w:cs="Times New Roman"/>
          <w:lang w:val="en-US"/>
        </w:rPr>
        <w:t>período 1989-2003 puede dividirse en dos momentos. En la primera mitad de los noventa, las gestiones de Raúl Matera</w:t>
      </w:r>
      <w:r w:rsidR="00B55616" w:rsidRPr="006F52BF">
        <w:rPr>
          <w:rFonts w:ascii="Times New Roman" w:hAnsi="Times New Roman" w:cs="Times New Roman"/>
          <w:lang w:val="en-US"/>
        </w:rPr>
        <w:t xml:space="preserve"> (1989-1994)</w:t>
      </w:r>
      <w:r w:rsidRPr="006F52BF">
        <w:rPr>
          <w:rFonts w:ascii="Times New Roman" w:hAnsi="Times New Roman" w:cs="Times New Roman"/>
          <w:lang w:val="en-US"/>
        </w:rPr>
        <w:t xml:space="preserve"> y Eduardo Liotta </w:t>
      </w:r>
      <w:r w:rsidR="00B55616" w:rsidRPr="006F52BF">
        <w:rPr>
          <w:rFonts w:ascii="Times New Roman" w:hAnsi="Times New Roman" w:cs="Times New Roman"/>
          <w:lang w:val="en-US"/>
        </w:rPr>
        <w:t xml:space="preserve">(1994-1996) </w:t>
      </w:r>
      <w:r w:rsidRPr="006F52BF">
        <w:rPr>
          <w:rFonts w:ascii="Times New Roman" w:hAnsi="Times New Roman" w:cs="Times New Roman"/>
          <w:lang w:val="en-US"/>
        </w:rPr>
        <w:t xml:space="preserve">revirtieron algunas iniciativas de la normalización democrática y reforzaron lógicas corporativas internas. Las convocatorias fueron más irregulares, los cupos más reducidos y la carrera funcionó en un contexto de restricción presupuestaria. En este marco, el mérito académico operó como criterio de legitimidad, pero también como mecanismo de </w:t>
      </w:r>
      <w:r w:rsidRPr="006F52BF">
        <w:rPr>
          <w:rFonts w:ascii="Times New Roman" w:hAnsi="Times New Roman" w:cs="Times New Roman"/>
          <w:lang w:val="en-US"/>
        </w:rPr>
        <w:lastRenderedPageBreak/>
        <w:t>cierre competitivo: frente a la escasez, la evaluación por pares reforzó jerarquías preexistentes y favoreció a quienes ya se encontraban insertos en redes consolidadas de investigación.</w:t>
      </w:r>
      <w:r w:rsidR="00B55616" w:rsidRPr="006F52BF">
        <w:rPr>
          <w:rFonts w:ascii="Times New Roman" w:eastAsia="Times New Roman" w:hAnsi="Times New Roman" w:cs="Times New Roman"/>
          <w:bCs/>
          <w:lang w:eastAsia="es-MX"/>
        </w:rPr>
        <w:t xml:space="preserve"> La segunda etapa desarrollada entre 1996 y 2002, comprende el proceso de modernización tecnocrática-burocrática (Albornoz y Gordon, 2011) o de reforma y democratización del CONICET (Del Bello, 2007), bajo un tipo de gobernanza académica reformista (Svampa y Aguiar, 2022a) que se destacó, no tan solo por la intervención y reforma del CONICET, sino por el reordenamiento y crecimiento del SPI a nivel nacional.</w:t>
      </w:r>
      <w:r w:rsidR="00B55616" w:rsidRPr="006F52BF">
        <w:rPr>
          <w:rFonts w:ascii="Times New Roman" w:hAnsi="Times New Roman" w:cs="Times New Roman"/>
          <w:lang w:val="en-US"/>
        </w:rPr>
        <w:t xml:space="preserve"> </w:t>
      </w:r>
      <w:r w:rsidRPr="006F52BF">
        <w:rPr>
          <w:rFonts w:ascii="Times New Roman" w:hAnsi="Times New Roman" w:cs="Times New Roman"/>
          <w:lang w:val="en-US"/>
        </w:rPr>
        <w:t xml:space="preserve">En este contexto, la promulgación del Decreto Nº 747/96 con la llegada de Del Bello a la SECYT a mediados de 1996 y la inmediata intervención del CONICET, marcó el inicio y el impulso de un proceso integral de reforma y renovación de la institución. En este sentido, se dispuso la reorganización del CONICET con el propósito de mejorar la eficiencia de su estructura, definiendo las funciones en términos de misiones específicas dentro de la institución. Se adoptó un enfoque gerencial al asignar responsabilidades a la conducción, dando lugar a la creación de las Gerencias de Desarrollo Científico y Tecnológico, Evaluación y Acreditación, y Gestión Operativa. </w:t>
      </w:r>
      <w:r w:rsidR="007A3C24" w:rsidRPr="006F52BF">
        <w:rPr>
          <w:rFonts w:ascii="Times New Roman" w:eastAsia="Times New Roman" w:hAnsi="Times New Roman" w:cs="Times New Roman"/>
          <w:bCs/>
          <w:lang w:eastAsia="es-MX"/>
        </w:rPr>
        <w:t>Se volvió a re-estructurar el Directorio (por tercera vez durante la presidencia de Menem). Esta vez el Directorio estaría compuesto por ocho miembros y un Presidente. La designación final de los ocho miembros estaba a cargo del Poder Ejecutivo Nacional a partir de ternas. Cuatro de estas ternas representan a las cuatro grandes áreas del conocimiento y son electas por todos los miembros de la Carrera de Investigador Científico, a través de elecciones directas. Las otras cuatro ternas serían propuestas por instituciones representativas del agro, la industria, las provincias y las universidades. El Presidente es propuesto por el Ministerio de Educación (ámbito en el cual estaba la SECYT en ese momento) y designado por el Poder Ejecutivo Nacional.</w:t>
      </w:r>
    </w:p>
    <w:p w14:paraId="7B0CB9C8" w14:textId="77777777" w:rsidR="007A3C24" w:rsidRPr="006F52BF" w:rsidRDefault="007A3C24" w:rsidP="007A3C24">
      <w:pPr>
        <w:spacing w:line="240" w:lineRule="auto"/>
        <w:jc w:val="both"/>
        <w:rPr>
          <w:rFonts w:ascii="Times New Roman" w:hAnsi="Times New Roman" w:cs="Times New Roman"/>
          <w:lang w:val="en-US"/>
        </w:rPr>
      </w:pPr>
      <w:r w:rsidRPr="006F52BF">
        <w:rPr>
          <w:rFonts w:ascii="Times New Roman" w:eastAsia="Times New Roman" w:hAnsi="Times New Roman" w:cs="Times New Roman"/>
          <w:bCs/>
          <w:lang w:eastAsia="es-MX"/>
        </w:rPr>
        <w:t>En este marco, la CICyT a diferencia del ciclo anterior, en el cual la principal preocupación institucional era la restitución de reglas formales, entre 1989 y 2003 la carrera operó bajo condiciones de fuerte restricción presupuestaria, irregularidad en los llamados y reducción de los ingresos efectivos (</w:t>
      </w:r>
      <w:r w:rsidRPr="006F52BF">
        <w:rPr>
          <w:rFonts w:ascii="Times New Roman" w:eastAsia="Times New Roman" w:hAnsi="Times New Roman" w:cs="Times New Roman"/>
          <w:lang w:eastAsia="es-MX"/>
        </w:rPr>
        <w:t xml:space="preserve">Niembro, 2020; Adrogué </w:t>
      </w:r>
      <w:r w:rsidRPr="006F52BF">
        <w:rPr>
          <w:rFonts w:ascii="Times New Roman" w:eastAsia="Times New Roman" w:hAnsi="Times New Roman" w:cs="Times New Roman"/>
          <w:i/>
          <w:lang w:eastAsia="es-MX"/>
        </w:rPr>
        <w:t>et al.,</w:t>
      </w:r>
      <w:r w:rsidRPr="006F52BF">
        <w:rPr>
          <w:rFonts w:ascii="Times New Roman" w:eastAsia="Times New Roman" w:hAnsi="Times New Roman" w:cs="Times New Roman"/>
          <w:lang w:eastAsia="es-MX"/>
        </w:rPr>
        <w:t xml:space="preserve"> 2023; Aguiar y Svampa, 2024)</w:t>
      </w:r>
      <w:r w:rsidRPr="006F52BF">
        <w:rPr>
          <w:rFonts w:ascii="Times New Roman" w:eastAsia="Times New Roman" w:hAnsi="Times New Roman" w:cs="Times New Roman"/>
          <w:bCs/>
          <w:lang w:eastAsia="es-MX"/>
        </w:rPr>
        <w:t>.</w:t>
      </w:r>
      <w:r w:rsidRPr="006F52BF">
        <w:rPr>
          <w:rFonts w:ascii="Times New Roman" w:hAnsi="Times New Roman" w:cs="Times New Roman"/>
          <w:lang w:val="en-US"/>
        </w:rPr>
        <w:t xml:space="preserve"> En este contexto, con el primer llamado a ingreso a la CICyT realizado en 1997, Del Bello -con el acompañamiento del Directorio y de la Gerencia de Desarrollo Científico y Tecnológico- efectivizó la adjudicación de 160 ingresos a la Carrera del Investigador. La principal novedad de esta convocatoria fue el intento de la implementación de un mecanismo, impulsado desde la SECYT, orientado a promover una distribución regional más equitativa de las vacantes. Sin embargo, esta modalidad fue objeto de críticas por parte de la Junta de Calificaciones y de las Comisiones Asesoras disciplinares, en la medida en que incorporó criterios de asignación no basados exclusivamente en la calidad académica, como la incorporación de un criterio complementario vinculado al federalismo en la distribución de los recursos humanos del oganismo, que se encontraban muy concentrados en la zona núcleo del país (Capital Federal, y las provincias de Buenos Aires, Córdoba y Santa Fé). </w:t>
      </w:r>
    </w:p>
    <w:p w14:paraId="255DEEB6" w14:textId="2CD44D08" w:rsidR="007A3C24" w:rsidRPr="006F52BF" w:rsidRDefault="007A3C24" w:rsidP="007A3C24">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Por otro lado, en 1997 el Directorio del CONICET reactivó la Comisión Asesora de Tecnología, dirigida a investigadores comprometidos con la tecnología, como parte de un esfuerzo institucional para validar las actividades y los productos tecnológicos (que tenía sus inicios con la OTT creada en 1985). Su creación buscó ampliar los criterios de </w:t>
      </w:r>
      <w:r w:rsidRPr="006F52BF">
        <w:rPr>
          <w:rFonts w:ascii="Times New Roman" w:hAnsi="Times New Roman" w:cs="Times New Roman"/>
          <w:lang w:val="en-US"/>
        </w:rPr>
        <w:lastRenderedPageBreak/>
        <w:t>evaluación, incorporando la consideración de actividades y productos derivados de la investigación y desarrollo junto con</w:t>
      </w:r>
      <w:r w:rsidR="00E91AD6" w:rsidRPr="006F52BF">
        <w:rPr>
          <w:rFonts w:ascii="Times New Roman" w:hAnsi="Times New Roman" w:cs="Times New Roman"/>
          <w:lang w:val="en-US"/>
        </w:rPr>
        <w:t xml:space="preserve"> las publicaciones científicas</w:t>
      </w:r>
      <w:r w:rsidRPr="006F52BF">
        <w:rPr>
          <w:rFonts w:ascii="Times New Roman" w:hAnsi="Times New Roman" w:cs="Times New Roman"/>
          <w:lang w:val="en-US"/>
        </w:rPr>
        <w:t>. Sin embargo, esta innovación institucional no alteró sustantivamente la matriz evaluativa predominante: se mantuvo el esquema de comisiones integradas por especialistas disciplinares, con criterios definidos por esos mismos cuerpos y fuertemente apoyados en indicadores bibliométricos, así como la aplicación de instrumentos homogéneos para perspectivas de investigación diversas. Otro aspecto crucial en relación a la CICyT (como así también a los instrumentos de promoción) se refiere a la instauración de las Comisiones de Grandes Áreas del Conocimiento (Resoluciones 542/98 y 1749/98). A estos espacios se les asignaba la responsabilidad de proponer una lista de evaluadores mediante asignación por sorteo y elaboración de dictámenes. Además, estas comisiones estaban facultadas para redactar documentos vinculados a cuestiones de política científico-tecnológica. En este sentido, las Comisiones por Grandes Áreas asumían tanto funciones de asesoramiento burocrático como de evaluación académica. Sin embargo, las Comisiones Asesoras por Gran Área se centraron predominantemente en consideraciones académicas y meritocráticas, desaprovechando la oportunidad de aplicar criterios de oportunidad y pertinencia temática y geográfica que eran impulsadas desde la gestión del Secretario Juan Carlos Del Bello desde la SECYT a través del documento “Bases para una política científica y tecnológica” (SECYT, 1996) y en el Plan Nacional Plurianual de Ciencia y Tecnología 1998-2000 (SECYT, 1998)  (Jeppesen et al., 2015).</w:t>
      </w:r>
    </w:p>
    <w:p w14:paraId="2337A2E1" w14:textId="26DD0CD2" w:rsidR="00EC6604" w:rsidRPr="006F52BF" w:rsidRDefault="00EC6604" w:rsidP="00EC6604">
      <w:pPr>
        <w:spacing w:line="240" w:lineRule="auto"/>
        <w:jc w:val="both"/>
        <w:rPr>
          <w:rFonts w:ascii="Times New Roman" w:hAnsi="Times New Roman" w:cs="Times New Roman"/>
          <w:lang w:val="en-US"/>
        </w:rPr>
      </w:pPr>
      <w:r w:rsidRPr="006F52BF">
        <w:rPr>
          <w:rFonts w:ascii="Times New Roman" w:hAnsi="Times New Roman" w:cs="Times New Roman"/>
          <w:lang w:val="en-US"/>
        </w:rPr>
        <w:t>Durante el subperiodo</w:t>
      </w:r>
      <w:r w:rsidR="00BC62F9" w:rsidRPr="006F52BF">
        <w:rPr>
          <w:rFonts w:ascii="Times New Roman" w:hAnsi="Times New Roman" w:cs="Times New Roman"/>
          <w:lang w:val="en-US"/>
        </w:rPr>
        <w:t xml:space="preserve"> 2003</w:t>
      </w:r>
      <w:r w:rsidRPr="006F52BF">
        <w:rPr>
          <w:rFonts w:ascii="Times New Roman" w:hAnsi="Times New Roman" w:cs="Times New Roman"/>
          <w:lang w:val="en-US"/>
        </w:rPr>
        <w:t>-</w:t>
      </w:r>
      <w:r w:rsidR="00BC62F9" w:rsidRPr="006F52BF">
        <w:rPr>
          <w:rFonts w:ascii="Times New Roman" w:hAnsi="Times New Roman" w:cs="Times New Roman"/>
          <w:lang w:val="en-US"/>
        </w:rPr>
        <w:t>2015 se configuró un ciclo expansivo. El CONICET aumentó su presupuesto, multiplicó becas, ingresos a carrera y unidades ejecutoras, y adquirió una renovada centralidad en la política científica nacional (Adrogué et al., 2023</w:t>
      </w:r>
      <w:r w:rsidR="007A3C24" w:rsidRPr="006F52BF">
        <w:rPr>
          <w:rFonts w:ascii="Times New Roman" w:hAnsi="Times New Roman" w:cs="Times New Roman"/>
          <w:lang w:val="en-US"/>
        </w:rPr>
        <w:t>;</w:t>
      </w:r>
      <w:r w:rsidR="007A3C24" w:rsidRPr="006F52BF">
        <w:t xml:space="preserve"> </w:t>
      </w:r>
      <w:r w:rsidR="007A3C24" w:rsidRPr="006F52BF">
        <w:rPr>
          <w:rFonts w:ascii="Times New Roman" w:hAnsi="Times New Roman" w:cs="Times New Roman"/>
          <w:lang w:val="en-US"/>
        </w:rPr>
        <w:t>Aguiar y Svampa, 2024; Niembro y Svampa, 2024)</w:t>
      </w:r>
      <w:r w:rsidR="00BC62F9" w:rsidRPr="006F52BF">
        <w:rPr>
          <w:rFonts w:ascii="Times New Roman" w:hAnsi="Times New Roman" w:cs="Times New Roman"/>
          <w:lang w:val="en-US"/>
        </w:rPr>
        <w:t xml:space="preserve">. En esta etapa, la convocatoria general continuó siendo dominante, pero comenzaron a incorporarse criterios de direccionamiento. </w:t>
      </w:r>
      <w:r w:rsidRPr="006F52BF">
        <w:rPr>
          <w:rFonts w:ascii="Times New Roman" w:hAnsi="Times New Roman" w:cs="Times New Roman"/>
          <w:lang w:val="en-US"/>
        </w:rPr>
        <w:t>En la convocatoria de 2010, por primera vez, la cantidad de postulantes en condiciones de ser seleccionados para ingresar a la CICyT superaron la meta institucional establecida de 500 ingresos anuales. Esta situación puso de manifiesto una contradicción central del período: la aplicación estricta de los órdenes de mérito, basados en criterios tradicionales de calidad académica, tendieron a reproducir y evidenciar las desigualdades preexistentes entre regiones con distinta densidad de investigadores y capacidades institucionales (Niembro, 2020; Riquelme y Sassera, 2023). Frente a este escenario, el CONICET adoptó una serie de políticas orientadas a introducir criterios para corregir la distribución del ingreso, particularmente a través de la priorización geográfica de vacantes para candidatos que, cumpliendo con los requisitos académicos, se buscaba su inserción en instituciones localizadas en regiones con bajo desarrollo relativo de capacidades científicas y tecnológicas (Niembro, 2023; Adrogué y Fanelli, 2023). En este marco, la asignación de ingresantes a CICyT se estableció bajo el criterio de un cuarto para cada una de las Grandes Áreas (</w:t>
      </w:r>
      <w:r w:rsidR="00E91AD6" w:rsidRPr="006F52BF">
        <w:rPr>
          <w:rFonts w:ascii="Times New Roman" w:hAnsi="Times New Roman" w:cs="Times New Roman"/>
          <w:lang w:val="en-US"/>
        </w:rPr>
        <w:t>Naidorf</w:t>
      </w:r>
      <w:r w:rsidR="00E91AD6" w:rsidRPr="006F52BF">
        <w:rPr>
          <w:rFonts w:ascii="Times New Roman" w:hAnsi="Times New Roman" w:cs="Times New Roman"/>
          <w:lang w:val="en-US"/>
        </w:rPr>
        <w:t xml:space="preserve">, 2020; </w:t>
      </w:r>
      <w:r w:rsidRPr="006F52BF">
        <w:rPr>
          <w:rFonts w:ascii="Times New Roman" w:hAnsi="Times New Roman" w:cs="Times New Roman"/>
          <w:lang w:val="en-US"/>
        </w:rPr>
        <w:t xml:space="preserve">Fischer et al., 2023). Estas políticas aplicadas también en el programa de becas de doctorado y posdoctorado del CONICET, mostraron resultados desiguales: mientras que en el caso de las becas la lógica de recambio de cohortes facilitó una mayor redistribución territorial, en la CICyT los efectos resultan más limitados, debido al carácter estable y de largo plazo de las trayectorias de carrera (Adrogué et al., 2023). </w:t>
      </w:r>
    </w:p>
    <w:p w14:paraId="0E380B8F" w14:textId="774BA969" w:rsidR="00BC62F9" w:rsidRPr="006F52BF" w:rsidRDefault="00EC6604" w:rsidP="007A3C24">
      <w:pPr>
        <w:spacing w:line="240" w:lineRule="auto"/>
        <w:jc w:val="both"/>
        <w:rPr>
          <w:rFonts w:ascii="Times New Roman" w:hAnsi="Times New Roman" w:cs="Times New Roman"/>
          <w:lang w:val="en-US"/>
        </w:rPr>
      </w:pPr>
      <w:r w:rsidRPr="006F52BF">
        <w:rPr>
          <w:rFonts w:ascii="Times New Roman" w:hAnsi="Times New Roman" w:cs="Times New Roman"/>
          <w:lang w:val="en-US"/>
        </w:rPr>
        <w:lastRenderedPageBreak/>
        <w:t xml:space="preserve">Un segundo eje de diferenciación en las convocatorias de ingreso, surge partir del 2012 con la publicación del Plan Argentina Innovadora 2020, en el cual se definieron los núcleos socio-productivos y temas de investigación considerados estratégicos. En este marco, el CONICET incorporó los Temas Estratégicos en las convocatorias de ingreso a la CICyT y en la adjudicación de becas (Sarthou, 2023). Las primeras postulaciones de ingreso por Temas Estratégicos se evaluaron mediante una única comisión de Temas Estratégicos y Tecnología y, posteriormente, en 2017 se crean subcomisiones para intervenir específicamente en la evaluación de los ingresos a la CICyT (CONICET, 2017, acta 938). </w:t>
      </w:r>
      <w:r w:rsidR="00BC62F9" w:rsidRPr="006F52BF">
        <w:rPr>
          <w:rFonts w:ascii="Times New Roman" w:hAnsi="Times New Roman" w:cs="Times New Roman"/>
          <w:lang w:val="en-US"/>
        </w:rPr>
        <w:t>El mérito académico siguió siendo el núcleo de selección, pero se agregaron criterios de pertinencia, orientación temática y localización institucional. El sentido de estos cambios fue ambivalente. Por un lado, la expansión de vacantes permitió ampliar oportunidades y sostener trayectorias de jóvenes investigadores formados en programas de becas. Por otro lado, los criterios tradicionales continuaron reproduciendo desigualdades, en la medida en que las regiones y universidades con mayor densidad de investigadores, infraestructura, redes internacionales y capacidad de publicación acumulaban ventajas en la competencia meritocrática. La introducción de Temas Estratégicos no supuso una transformación radical, sino un injerto de planificación sobre un dispositivo evaluativo dominado por la cultura académica.</w:t>
      </w:r>
    </w:p>
    <w:p w14:paraId="6DEE6229" w14:textId="77777777" w:rsidR="00D24945" w:rsidRPr="006F52BF" w:rsidRDefault="00927213"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Entre 2016 y 2025, el CONICET atravesó tres gestiones institucionales vinculadas a administraciones nacionales con orientaciones políticas disímiles: la presidencia de Alejandro Ceccatto durante el gobierno de Mauricio Macri, la de Ana María Franchi durante la gestión de Alberto Fernández y, desde diciembre de 2023, la de Daniel Salamone como presidnete del CONICET durante el gobierno de Javier Milei. Este subperíodo marcó un cambio respecto del ciclo expansivo previo (2003-2015). Durante la gestión de Ceccatto se produjo una restricción significativa del financiamiento científico-tecnológico y una reducción de las vacantes para el ingreso a la CICyT. El CONICET pasó de una lógica de ampliación, caracterizada entre 2010 y 2015 por ingresos anuales elevados y un máximo histórico en 2015, a un régimen de restricción selectiva en el que la escasez de recursos redefinió los criterios de incorporación, evaluación y promoción. Desde 2016, los ingresos descendieron a menos de 500 investigadores por año y, aunque entre 2020 y 2021 se registraron leves recuperaciones, a partir de 2022 se consolidó un proceso de congelamiento progresivo en niveles históricamente bajos (Svampa et al., 2025; Adrogué et al., 2023; Aguiar y Svampa, 2024).</w:t>
      </w:r>
      <w:r w:rsidR="00BC62F9" w:rsidRPr="006F52BF">
        <w:rPr>
          <w:rFonts w:ascii="Times New Roman" w:hAnsi="Times New Roman" w:cs="Times New Roman"/>
          <w:lang w:val="en-US"/>
        </w:rPr>
        <w:t>En ese escenario, las convocatorias comenzaron a segmentarse en modalidades diferenciadas: General, Temas Estratégicos, Fortalecimiento I+D+i y convocatorias especiales. La línea de Fortalecimiento I+D+i, incorporada desde 2018, se orientó a universidades y organismos con menor desarrollo relativo de capacidades científicas, mediante perfiles institucionales y cupos específicos. A diferencia de la orientación incipiente del ciclo anterior, aquí la planificación se tradujo en arquitectura de convocatoria, aunque aplicada sobre un universo más reducido de ingresos (Svampa y Aguiar, 2026).</w:t>
      </w:r>
    </w:p>
    <w:p w14:paraId="2C383BA1" w14:textId="447B5403" w:rsidR="00927213"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La segmentación no eliminó la centralidad de la evaluación académica. Incluso en modalidades orientadas, los postulantes continuaron siendo evaluados por trayectoria, producción, proyecto, lugar de trabajo, dirección y consistencia del perfil. La cultura </w:t>
      </w:r>
      <w:r w:rsidRPr="006F52BF">
        <w:rPr>
          <w:rFonts w:ascii="Times New Roman" w:hAnsi="Times New Roman" w:cs="Times New Roman"/>
          <w:lang w:val="en-US"/>
        </w:rPr>
        <w:lastRenderedPageBreak/>
        <w:t>burocrática definió cupos, temas y perfiles; la cultura académica preservó el juicio experto, el orden de mérito y la legitimidad del dictamen. Por ello, las nuevas modalidades deben entenderse como arreglos híbridos. Su potencial democratizador dependió menos de su diseño formal que de las condiciones materiales de implementación. En un contexto expansivo, podían funcionar como mecanismos de redistribución; en un contexto restrictivo, pasaron a organizar la competencia por recursos escasos.</w:t>
      </w:r>
    </w:p>
    <w:p w14:paraId="544B704F" w14:textId="70E6C465" w:rsidR="00BC236F" w:rsidRPr="006F52BF" w:rsidRDefault="00952BD8" w:rsidP="007B5B5F">
      <w:pPr>
        <w:spacing w:line="240" w:lineRule="auto"/>
        <w:jc w:val="both"/>
        <w:rPr>
          <w:rFonts w:ascii="Times New Roman" w:hAnsi="Times New Roman" w:cs="Times New Roman"/>
        </w:rPr>
      </w:pPr>
      <w:r w:rsidRPr="006F52BF">
        <w:rPr>
          <w:rFonts w:ascii="Times New Roman" w:eastAsia="Times New Roman" w:hAnsi="Times New Roman"/>
        </w:rPr>
        <w:t>Tabla 1. Configuración histórica del ingreso a la CICyT y relación con la universidad pública</w:t>
      </w:r>
    </w:p>
    <w:tbl>
      <w:tblPr>
        <w:tblStyle w:val="Tablaconcuadrcula"/>
        <w:tblW w:w="0" w:type="auto"/>
        <w:jc w:val="center"/>
        <w:tblLook w:val="04A0" w:firstRow="1" w:lastRow="0" w:firstColumn="1" w:lastColumn="0" w:noHBand="0" w:noVBand="1"/>
      </w:tblPr>
      <w:tblGrid>
        <w:gridCol w:w="2027"/>
        <w:gridCol w:w="2159"/>
        <w:gridCol w:w="2166"/>
        <w:gridCol w:w="2142"/>
      </w:tblGrid>
      <w:tr w:rsidR="00952BD8" w:rsidRPr="006F52BF" w14:paraId="0A13E03F" w14:textId="77777777" w:rsidTr="00952BD8">
        <w:trPr>
          <w:jc w:val="center"/>
        </w:trPr>
        <w:tc>
          <w:tcPr>
            <w:tcW w:w="2027" w:type="dxa"/>
          </w:tcPr>
          <w:p w14:paraId="4802E044" w14:textId="3B48B851" w:rsidR="00952BD8" w:rsidRPr="006F52BF" w:rsidRDefault="00D24945" w:rsidP="00952BD8">
            <w:pPr>
              <w:rPr>
                <w:rFonts w:ascii="Times New Roman" w:eastAsia="Times New Roman" w:hAnsi="Times New Roman" w:cs="Times New Roman"/>
                <w:lang w:val="en-US"/>
              </w:rPr>
            </w:pPr>
            <w:r w:rsidRPr="006F52BF">
              <w:rPr>
                <w:rFonts w:ascii="Times New Roman" w:eastAsia="Times New Roman" w:hAnsi="Times New Roman" w:cs="Times New Roman"/>
                <w:b/>
                <w:sz w:val="20"/>
                <w:lang w:val="en-US"/>
              </w:rPr>
              <w:t>Subp</w:t>
            </w:r>
            <w:r w:rsidR="00952BD8" w:rsidRPr="006F52BF">
              <w:rPr>
                <w:rFonts w:ascii="Times New Roman" w:eastAsia="Times New Roman" w:hAnsi="Times New Roman" w:cs="Times New Roman"/>
                <w:b/>
                <w:sz w:val="20"/>
                <w:lang w:val="en-US"/>
              </w:rPr>
              <w:t>eríodo</w:t>
            </w:r>
          </w:p>
        </w:tc>
        <w:tc>
          <w:tcPr>
            <w:tcW w:w="2159" w:type="dxa"/>
          </w:tcPr>
          <w:p w14:paraId="31627363"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b/>
                <w:sz w:val="20"/>
                <w:lang w:val="en-US"/>
              </w:rPr>
              <w:t>Diseño predominante de convocatoria</w:t>
            </w:r>
          </w:p>
        </w:tc>
        <w:tc>
          <w:tcPr>
            <w:tcW w:w="2166" w:type="dxa"/>
          </w:tcPr>
          <w:p w14:paraId="28F158E9"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b/>
                <w:sz w:val="20"/>
                <w:lang w:val="en-US"/>
              </w:rPr>
              <w:t>Relación con universidad pública</w:t>
            </w:r>
          </w:p>
        </w:tc>
        <w:tc>
          <w:tcPr>
            <w:tcW w:w="2142" w:type="dxa"/>
          </w:tcPr>
          <w:p w14:paraId="4DECA21C"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b/>
                <w:sz w:val="20"/>
                <w:lang w:val="en-US"/>
              </w:rPr>
              <w:t>Cultura política predominante</w:t>
            </w:r>
          </w:p>
        </w:tc>
      </w:tr>
      <w:tr w:rsidR="00952BD8" w:rsidRPr="006F52BF" w14:paraId="20FCD9DC" w14:textId="77777777" w:rsidTr="00952BD8">
        <w:trPr>
          <w:jc w:val="center"/>
        </w:trPr>
        <w:tc>
          <w:tcPr>
            <w:tcW w:w="2027" w:type="dxa"/>
          </w:tcPr>
          <w:p w14:paraId="378E7CB8"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1983-1989</w:t>
            </w:r>
          </w:p>
        </w:tc>
        <w:tc>
          <w:tcPr>
            <w:tcW w:w="2159" w:type="dxa"/>
          </w:tcPr>
          <w:p w14:paraId="705382A5"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Convocatoria general de temas abiertos; restitución de reglas y evaluación por pares.</w:t>
            </w:r>
          </w:p>
        </w:tc>
        <w:tc>
          <w:tcPr>
            <w:tcW w:w="2166" w:type="dxa"/>
          </w:tcPr>
          <w:p w14:paraId="4EC7F20C"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Intentos de recomposición mediante SAPIU, PROANUI y financiamiento de proyectos universitarios.</w:t>
            </w:r>
          </w:p>
        </w:tc>
        <w:tc>
          <w:tcPr>
            <w:tcW w:w="2142" w:type="dxa"/>
          </w:tcPr>
          <w:p w14:paraId="679D84CF"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Cultura académica como restitución de legitimidad democrática.</w:t>
            </w:r>
          </w:p>
        </w:tc>
      </w:tr>
      <w:tr w:rsidR="00952BD8" w:rsidRPr="006F52BF" w14:paraId="498C75C0" w14:textId="77777777" w:rsidTr="00952BD8">
        <w:trPr>
          <w:jc w:val="center"/>
        </w:trPr>
        <w:tc>
          <w:tcPr>
            <w:tcW w:w="2027" w:type="dxa"/>
          </w:tcPr>
          <w:p w14:paraId="1F3E8C8A"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1989-2003</w:t>
            </w:r>
          </w:p>
        </w:tc>
        <w:tc>
          <w:tcPr>
            <w:tcW w:w="2159" w:type="dxa"/>
          </w:tcPr>
          <w:p w14:paraId="3DA245C7"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Llamados irregulares, cupos reducidos y reformas administrativas; criterios regionales puntuales.</w:t>
            </w:r>
          </w:p>
        </w:tc>
        <w:tc>
          <w:tcPr>
            <w:tcW w:w="2166" w:type="dxa"/>
          </w:tcPr>
          <w:p w14:paraId="155BAD40" w14:textId="6FD3BF02" w:rsidR="00952BD8" w:rsidRPr="006F52BF" w:rsidRDefault="00952BD8" w:rsidP="00D24945">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Distanciamiento y competencia en un contexto de reformas del Estado.</w:t>
            </w:r>
          </w:p>
        </w:tc>
        <w:tc>
          <w:tcPr>
            <w:tcW w:w="2142" w:type="dxa"/>
          </w:tcPr>
          <w:p w14:paraId="79122E70"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Cultura académica con efecto de cierre; intervención burocrática limitada.</w:t>
            </w:r>
          </w:p>
        </w:tc>
      </w:tr>
      <w:tr w:rsidR="00952BD8" w:rsidRPr="006F52BF" w14:paraId="4A79D2DE" w14:textId="77777777" w:rsidTr="00952BD8">
        <w:trPr>
          <w:jc w:val="center"/>
        </w:trPr>
        <w:tc>
          <w:tcPr>
            <w:tcW w:w="2027" w:type="dxa"/>
          </w:tcPr>
          <w:p w14:paraId="2C8E125B"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2003-2015</w:t>
            </w:r>
          </w:p>
        </w:tc>
        <w:tc>
          <w:tcPr>
            <w:tcW w:w="2159" w:type="dxa"/>
          </w:tcPr>
          <w:p w14:paraId="6162EB19"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Convocatoria general expansiva; incorporación de criterios geográficos y Temas Estratégicos desde 2012.</w:t>
            </w:r>
          </w:p>
        </w:tc>
        <w:tc>
          <w:tcPr>
            <w:tcW w:w="2166" w:type="dxa"/>
          </w:tcPr>
          <w:p w14:paraId="2AE20735"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Crecimiento de institutos de doble dependencia y formación doctoral; persistencia de concentración territorial.</w:t>
            </w:r>
          </w:p>
        </w:tc>
        <w:tc>
          <w:tcPr>
            <w:tcW w:w="2142" w:type="dxa"/>
          </w:tcPr>
          <w:p w14:paraId="3C3B5006"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Predominio académico con capas de orientación pública.</w:t>
            </w:r>
          </w:p>
        </w:tc>
      </w:tr>
      <w:tr w:rsidR="00952BD8" w:rsidRPr="006F52BF" w14:paraId="2C792414" w14:textId="77777777" w:rsidTr="00952BD8">
        <w:trPr>
          <w:jc w:val="center"/>
        </w:trPr>
        <w:tc>
          <w:tcPr>
            <w:tcW w:w="2027" w:type="dxa"/>
          </w:tcPr>
          <w:p w14:paraId="3E9B5C93"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2016-2025</w:t>
            </w:r>
          </w:p>
        </w:tc>
        <w:tc>
          <w:tcPr>
            <w:tcW w:w="2159" w:type="dxa"/>
          </w:tcPr>
          <w:p w14:paraId="693B49A5"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Segmentación en General, Temas Estratégicos, Fortalecimiento I+D+i y especiales; reducción de vacantes.</w:t>
            </w:r>
          </w:p>
        </w:tc>
        <w:tc>
          <w:tcPr>
            <w:tcW w:w="2166" w:type="dxa"/>
          </w:tcPr>
          <w:p w14:paraId="22851B68" w14:textId="2F13E655" w:rsidR="00952BD8" w:rsidRPr="006F52BF" w:rsidRDefault="008B4CD5"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Iniciativa de federalización con la modalidad de Fortalecimiento I+D+I orientada a universidades</w:t>
            </w:r>
            <w:r w:rsidR="00952BD8" w:rsidRPr="006F52BF">
              <w:rPr>
                <w:rFonts w:ascii="Times New Roman" w:eastAsia="Times New Roman" w:hAnsi="Times New Roman" w:cs="Times New Roman"/>
                <w:sz w:val="20"/>
                <w:lang w:val="en-US"/>
              </w:rPr>
              <w:t xml:space="preserve"> con menor desarrollo relativo, aunque con controversias de alcance y reasignación de cupos.</w:t>
            </w:r>
          </w:p>
        </w:tc>
        <w:tc>
          <w:tcPr>
            <w:tcW w:w="2142" w:type="dxa"/>
          </w:tcPr>
          <w:p w14:paraId="67791DCD" w14:textId="77777777" w:rsidR="00952BD8" w:rsidRPr="006F52BF" w:rsidRDefault="00952BD8" w:rsidP="00952BD8">
            <w:pPr>
              <w:rPr>
                <w:rFonts w:ascii="Times New Roman" w:eastAsia="Times New Roman" w:hAnsi="Times New Roman" w:cs="Times New Roman"/>
                <w:lang w:val="en-US"/>
              </w:rPr>
            </w:pPr>
            <w:r w:rsidRPr="006F52BF">
              <w:rPr>
                <w:rFonts w:ascii="Times New Roman" w:eastAsia="Times New Roman" w:hAnsi="Times New Roman" w:cs="Times New Roman"/>
                <w:sz w:val="20"/>
                <w:lang w:val="en-US"/>
              </w:rPr>
              <w:t>Hibridación: mérito académico central y planificación burocrática más visible.</w:t>
            </w:r>
          </w:p>
        </w:tc>
      </w:tr>
    </w:tbl>
    <w:p w14:paraId="28E75CE0" w14:textId="4084FD9B" w:rsidR="00952BD8" w:rsidRPr="006F52BF" w:rsidRDefault="00952BD8" w:rsidP="007B5B5F">
      <w:pPr>
        <w:spacing w:line="240" w:lineRule="auto"/>
        <w:jc w:val="both"/>
        <w:rPr>
          <w:rFonts w:ascii="Times New Roman" w:hAnsi="Times New Roman" w:cs="Times New Roman"/>
          <w:sz w:val="20"/>
        </w:rPr>
      </w:pPr>
      <w:r w:rsidRPr="006F52BF">
        <w:rPr>
          <w:rFonts w:ascii="Times New Roman" w:hAnsi="Times New Roman" w:cs="Times New Roman"/>
          <w:sz w:val="20"/>
          <w:lang w:val="en-US"/>
        </w:rPr>
        <w:t>Fuente: elaboración propia a partir de documentos institucionales del CONICET y bibliografía especializada.</w:t>
      </w:r>
    </w:p>
    <w:p w14:paraId="00F373E6" w14:textId="29782625" w:rsidR="00952BD8" w:rsidRPr="006F52BF" w:rsidRDefault="00952BD8" w:rsidP="007B5B5F">
      <w:pPr>
        <w:spacing w:line="240" w:lineRule="auto"/>
        <w:jc w:val="both"/>
        <w:rPr>
          <w:rFonts w:ascii="Times New Roman" w:hAnsi="Times New Roman" w:cs="Times New Roman"/>
        </w:rPr>
      </w:pPr>
    </w:p>
    <w:p w14:paraId="0F895658" w14:textId="77777777" w:rsidR="008B4CD5" w:rsidRPr="006F52BF" w:rsidRDefault="008B4CD5" w:rsidP="008B4CD5">
      <w:pPr>
        <w:spacing w:line="240" w:lineRule="auto"/>
        <w:jc w:val="both"/>
        <w:rPr>
          <w:rFonts w:ascii="Times New Roman" w:hAnsi="Times New Roman" w:cs="Times New Roman"/>
        </w:rPr>
      </w:pPr>
      <w:r w:rsidRPr="006F52BF">
        <w:rPr>
          <w:rFonts w:ascii="Times New Roman" w:hAnsi="Times New Roman" w:cs="Times New Roman"/>
        </w:rPr>
        <w:t xml:space="preserve">La Modalidad Fortalecimiento I+D+i se presenta en sus inicios como una iniciativa de federalización orientada a fortalecer instituciones universitarias con menor desarrollo relativo de capacidades científicas, en el marco de políticas destinadas a mitigar desigualdades territoriales en la distribución de recursos humanos e inversión en CyT </w:t>
      </w:r>
      <w:r w:rsidRPr="006F52BF">
        <w:rPr>
          <w:rFonts w:ascii="Times New Roman" w:hAnsi="Times New Roman" w:cs="Times New Roman"/>
        </w:rPr>
        <w:lastRenderedPageBreak/>
        <w:t>(CONICET, 2024). Sin embargo, se destacan tensiones en torno a este punto, especialmente por la incorporación de universidades localizadas en el Área Metropolitana de Buenos Aires (AMBA) y por la inclusión de universidades de mayor tamaño al considerar la cantidad de investigadores por Gran Área en el criterio para la definición de las instituciones participantes. “La Modalidad de Fortalecimiento de I+D+i en su origen por los criterios de otorgamiento de cupos a las universidades tenía una impronta más favorable a las provincias con menos investigadores del CONICET que en su reformulación en el año 2020 (Niembro y Aristimuño, 2020)</w:t>
      </w:r>
    </w:p>
    <w:p w14:paraId="72320D57" w14:textId="3E803F32" w:rsidR="00952BD8" w:rsidRPr="006F52BF" w:rsidRDefault="008B4CD5" w:rsidP="007B5B5F">
      <w:pPr>
        <w:spacing w:line="240" w:lineRule="auto"/>
        <w:jc w:val="both"/>
        <w:rPr>
          <w:rFonts w:ascii="Times New Roman" w:hAnsi="Times New Roman" w:cs="Times New Roman"/>
        </w:rPr>
      </w:pPr>
      <w:r w:rsidRPr="006F52BF">
        <w:rPr>
          <w:rFonts w:ascii="Times New Roman" w:hAnsi="Times New Roman" w:cs="Times New Roman"/>
        </w:rPr>
        <w:t>En términos operativos, los ingresos a CICyT por medio de esta línea de convocatoria dependían de la relación entre vacantes asignadas, perfiles definidos por universidades y organismos, volumen de postulaciones y resultados de evaluación. En cuanto a sus efectos territoriales, el patrón de ingresos a CICyT empezó a mostrar una distribución diferenciada, con sobrerrepresentación de regiones como el Noroeste y Noreste argentino (CONICET, 2024: 23) frente a regiones tradicionalmente dominantes como el área bonaerense/centro. En este sentido, la línea de Fortalecimiento I+D+i puede leerse como un instrumento de orientación territorial que cristaliza, por un lado, una racionalidad burocrática (planificación y corrección de desigualdades territoriales mediante perfiles, cupos y distribución regional); por el otro, se implementa sin abandonar el circuito de legitimación académica (orden de mérito y recomendación de órganos asesores). Aun cuando existían postulantes recomendados, se aplicaban reglas de selección apoyadas en el orden de mérito y en criterios de cobertura de cupo, incluyendo decisiones que buscaban “corregir” brechas entre grandes áreas en la cantidad de recomendados (CONICET, 2024).  Esto mantuvo visible la tensión entre culturas políticas: la cultura burocrática empujaba a que en la línea de Fortalecimiento de I+D+i federalice, reasigne, complete cupos, ordene perfiles, mientras la cultura académica preservaba el principio de legitimidad basado en evaluación experta. En este sentido, hay trabajos que muestran que los cupos de la línea de Fortalecimiento de I+D+I que no se utilizaban por alguna razón iban automáticamente a la línea general que favorecía a las universidades grandes de la zona central del país (UNC, UNLP, UBA) acentuando aún más la concentración en esa región de los investigadores del CONICET (Niembro et al., 2021).</w:t>
      </w:r>
    </w:p>
    <w:p w14:paraId="40EC2906" w14:textId="104AD26C"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b/>
          <w:lang w:val="en-US"/>
        </w:rPr>
        <w:t xml:space="preserve">Series de stock, ingresos y modalidades: </w:t>
      </w:r>
      <w:r w:rsidR="008D3E14" w:rsidRPr="006F52BF">
        <w:rPr>
          <w:rFonts w:ascii="Times New Roman" w:hAnsi="Times New Roman" w:cs="Times New Roman"/>
          <w:b/>
          <w:lang w:val="en-US"/>
        </w:rPr>
        <w:t>análisis integral de las convocatorias de ingreso a la CICyT (1983–2025)</w:t>
      </w:r>
    </w:p>
    <w:p w14:paraId="620FDB93" w14:textId="1D4572BA" w:rsidR="00952BD8" w:rsidRPr="006F52BF" w:rsidRDefault="00BC62F9"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La cantidad de miembros de carrera creció de manera sostenida en el largo plazo, aunque con ritmos muy distintos. Durante los años ochenta y noventa el crecimiento fue bajo, irregular y atravesado por restricciones. Desde 2003 se observa una expansión significativa del stock y de los ingresos anuales, con valores máximos hacia mediados de la década de 2010. A partir de 2016, en cambio, se desacelera el ingreso y aumenta la competencia por un número menor de vacantes. La Figura 1 resume esta dinámica, en el cual la curva de stock permite observar la consolidación de la CICyT como estructura de empleo científico estatal, mientras que las barras de ingresos muestran la mayor volatilidad del ingreso. Esta diferencia es relevante porque la carrera produce efectos acumulativos: una expansión o una restricción anual no solo afecta a los postulantes de ese año, sino que define la composición futura.</w:t>
      </w:r>
    </w:p>
    <w:p w14:paraId="21C2469A" w14:textId="73E3834A"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lastRenderedPageBreak/>
        <w:t>Figura 1. Evolución de la cantidad de miembros e ingresos anuales a la CICyT del CONICET (1985-2024)</w:t>
      </w:r>
    </w:p>
    <w:p w14:paraId="7A30ACA9" w14:textId="35608242" w:rsidR="00952BD8" w:rsidRPr="006F52BF" w:rsidRDefault="00952BD8" w:rsidP="00952BD8">
      <w:pPr>
        <w:spacing w:line="240" w:lineRule="auto"/>
        <w:jc w:val="both"/>
        <w:rPr>
          <w:rFonts w:ascii="Times New Roman" w:hAnsi="Times New Roman" w:cs="Times New Roman"/>
        </w:rPr>
      </w:pPr>
      <w:r w:rsidRPr="006F52BF">
        <w:rPr>
          <w:noProof/>
          <w:lang w:val="es-MX" w:eastAsia="es-MX"/>
        </w:rPr>
        <w:drawing>
          <wp:inline distT="0" distB="0" distL="0" distR="0" wp14:anchorId="57C39E4C" wp14:editId="55E00B27">
            <wp:extent cx="5399079" cy="2636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_cicyt_stock_ingresos.png"/>
                    <pic:cNvPicPr/>
                  </pic:nvPicPr>
                  <pic:blipFill>
                    <a:blip r:embed="rId7"/>
                    <a:stretch>
                      <a:fillRect/>
                    </a:stretch>
                  </pic:blipFill>
                  <pic:spPr>
                    <a:xfrm>
                      <a:off x="0" y="0"/>
                      <a:ext cx="5406838" cy="2640309"/>
                    </a:xfrm>
                    <a:prstGeom prst="rect">
                      <a:avLst/>
                    </a:prstGeom>
                  </pic:spPr>
                </pic:pic>
              </a:graphicData>
            </a:graphic>
          </wp:inline>
        </w:drawing>
      </w:r>
    </w:p>
    <w:p w14:paraId="177C1D44" w14:textId="77777777" w:rsidR="00BC62F9" w:rsidRPr="006F52BF" w:rsidRDefault="00952BD8" w:rsidP="00952BD8">
      <w:pPr>
        <w:spacing w:line="240" w:lineRule="auto"/>
        <w:contextualSpacing/>
        <w:jc w:val="both"/>
        <w:rPr>
          <w:rFonts w:ascii="Times New Roman" w:eastAsia="Times New Roman" w:hAnsi="Times New Roman"/>
          <w:sz w:val="20"/>
        </w:rPr>
      </w:pPr>
      <w:r w:rsidRPr="006F52BF">
        <w:rPr>
          <w:rFonts w:ascii="Times New Roman" w:eastAsia="Times New Roman" w:hAnsi="Times New Roman"/>
          <w:sz w:val="20"/>
        </w:rPr>
        <w:t xml:space="preserve">Nota: para 2024 se consigna stock disponible en la serie de trabajo; los ingresos anuales de 2024 no estaban completos en la base utilizada para esta versión. </w:t>
      </w:r>
    </w:p>
    <w:p w14:paraId="03BAA49D" w14:textId="43E4492C" w:rsidR="00952BD8" w:rsidRPr="006F52BF" w:rsidRDefault="00952BD8" w:rsidP="00952BD8">
      <w:pPr>
        <w:spacing w:line="240" w:lineRule="auto"/>
        <w:contextualSpacing/>
        <w:jc w:val="both"/>
        <w:rPr>
          <w:rFonts w:ascii="Times New Roman" w:eastAsia="Times New Roman" w:hAnsi="Times New Roman"/>
          <w:sz w:val="20"/>
        </w:rPr>
      </w:pPr>
      <w:r w:rsidRPr="006F52BF">
        <w:rPr>
          <w:rFonts w:ascii="Times New Roman" w:eastAsia="Times New Roman" w:hAnsi="Times New Roman"/>
          <w:sz w:val="20"/>
        </w:rPr>
        <w:t>Fuente: elaboración propia a partir de datos de trabajo del CONICET.</w:t>
      </w:r>
    </w:p>
    <w:p w14:paraId="27D7FE05" w14:textId="77777777" w:rsidR="00EC7A5B" w:rsidRPr="006F52BF" w:rsidRDefault="00EC7A5B" w:rsidP="00952BD8">
      <w:pPr>
        <w:spacing w:line="240" w:lineRule="auto"/>
        <w:contextualSpacing/>
        <w:jc w:val="both"/>
        <w:rPr>
          <w:rFonts w:ascii="Times New Roman" w:eastAsia="Times New Roman" w:hAnsi="Times New Roman"/>
          <w:sz w:val="20"/>
        </w:rPr>
      </w:pPr>
    </w:p>
    <w:p w14:paraId="17A0ED68" w14:textId="21B9FE3B" w:rsidR="008D3E14" w:rsidRPr="006F52BF" w:rsidRDefault="008D3E14" w:rsidP="00952BD8">
      <w:pPr>
        <w:spacing w:line="240" w:lineRule="auto"/>
        <w:jc w:val="both"/>
        <w:rPr>
          <w:rFonts w:ascii="Times New Roman" w:hAnsi="Times New Roman" w:cs="Times New Roman"/>
          <w:lang w:val="en-US"/>
        </w:rPr>
      </w:pPr>
      <w:r w:rsidRPr="006F52BF">
        <w:rPr>
          <w:rFonts w:ascii="Times New Roman" w:eastAsia="Times New Roman" w:hAnsi="Times New Roman" w:cs="Times New Roman"/>
          <w:lang w:eastAsia="es-MX"/>
        </w:rPr>
        <w:t>Se distinguen tres grandes modalidades históricas de acceso a la CICyT: la Convocatoria General que se mantiene como constante a lo largo de todo el período, las Convocatorias en Temas Estratégicos que se integran a los llamados a partir del 2012 y las Convocatorias de Fortalecimiento I+D+i (desde 2018). Si bien a partir de 2020 se incorporan otras modalidades específicas -como las Convocatorias Especiales-, estas se interpretan como subvariantes del esquema de modalidades del ingreso a CICyT.</w:t>
      </w:r>
      <w:r w:rsidR="00952BD8" w:rsidRPr="006F52BF">
        <w:rPr>
          <w:rFonts w:ascii="Times New Roman" w:hAnsi="Times New Roman" w:cs="Times New Roman"/>
          <w:lang w:val="en-US"/>
        </w:rPr>
        <w:t xml:space="preserve"> </w:t>
      </w:r>
    </w:p>
    <w:p w14:paraId="3161E3F6" w14:textId="1841647E" w:rsidR="00952BD8" w:rsidRPr="006F52BF" w:rsidRDefault="00952BD8" w:rsidP="00952BD8">
      <w:pPr>
        <w:spacing w:line="240" w:lineRule="auto"/>
        <w:jc w:val="both"/>
        <w:rPr>
          <w:rFonts w:ascii="Times New Roman" w:eastAsia="Times New Roman" w:hAnsi="Times New Roman"/>
        </w:rPr>
      </w:pPr>
      <w:r w:rsidRPr="006F52BF">
        <w:rPr>
          <w:rFonts w:ascii="Times New Roman" w:eastAsia="Times New Roman" w:hAnsi="Times New Roman"/>
        </w:rPr>
        <w:t>Figura 2. Ingresos a CICyT-CONICET según tipo de convocatoria (2013-2023)</w:t>
      </w:r>
    </w:p>
    <w:p w14:paraId="1FB8FAB6" w14:textId="509EB884" w:rsidR="00952BD8" w:rsidRPr="006F52BF" w:rsidRDefault="00952BD8" w:rsidP="00952BD8">
      <w:pPr>
        <w:spacing w:line="240" w:lineRule="auto"/>
        <w:jc w:val="both"/>
        <w:rPr>
          <w:rFonts w:ascii="Times New Roman" w:hAnsi="Times New Roman" w:cs="Times New Roman"/>
        </w:rPr>
      </w:pPr>
      <w:r w:rsidRPr="006F52BF">
        <w:rPr>
          <w:noProof/>
          <w:lang w:val="es-MX" w:eastAsia="es-MX"/>
        </w:rPr>
        <w:drawing>
          <wp:inline distT="0" distB="0" distL="0" distR="0" wp14:anchorId="670E50A5" wp14:editId="3AC4AE49">
            <wp:extent cx="5398135" cy="2506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_modalidades_ingreso.png"/>
                    <pic:cNvPicPr/>
                  </pic:nvPicPr>
                  <pic:blipFill>
                    <a:blip r:embed="rId8"/>
                    <a:stretch>
                      <a:fillRect/>
                    </a:stretch>
                  </pic:blipFill>
                  <pic:spPr>
                    <a:xfrm>
                      <a:off x="0" y="0"/>
                      <a:ext cx="5417248" cy="2515856"/>
                    </a:xfrm>
                    <a:prstGeom prst="rect">
                      <a:avLst/>
                    </a:prstGeom>
                  </pic:spPr>
                </pic:pic>
              </a:graphicData>
            </a:graphic>
          </wp:inline>
        </w:drawing>
      </w:r>
    </w:p>
    <w:p w14:paraId="1B8A4B29" w14:textId="63498260" w:rsidR="008D3E14" w:rsidRPr="006F52BF" w:rsidRDefault="008D3E14" w:rsidP="00EC7A5B">
      <w:pPr>
        <w:spacing w:line="240" w:lineRule="auto"/>
        <w:contextualSpacing/>
        <w:jc w:val="both"/>
        <w:rPr>
          <w:rFonts w:ascii="Times New Roman" w:eastAsia="Times New Roman" w:hAnsi="Times New Roman"/>
          <w:sz w:val="20"/>
        </w:rPr>
      </w:pPr>
      <w:r w:rsidRPr="006F52BF">
        <w:rPr>
          <w:rFonts w:ascii="Times New Roman" w:eastAsia="Times New Roman" w:hAnsi="Times New Roman"/>
          <w:sz w:val="20"/>
        </w:rPr>
        <w:lastRenderedPageBreak/>
        <w:t>Nota*. En el 2012 se incorpora la modaldiad de Temas estratégicos. En el 2018 se efectiviza la modalidad de fortalecimiento en I+D+I.</w:t>
      </w:r>
    </w:p>
    <w:p w14:paraId="4A83C377" w14:textId="60B5CC03" w:rsidR="00952BD8" w:rsidRPr="006F52BF" w:rsidRDefault="00952BD8" w:rsidP="00EC7A5B">
      <w:pPr>
        <w:spacing w:line="240" w:lineRule="auto"/>
        <w:contextualSpacing/>
        <w:jc w:val="both"/>
        <w:rPr>
          <w:rFonts w:ascii="Times New Roman" w:eastAsia="Times New Roman" w:hAnsi="Times New Roman"/>
          <w:sz w:val="20"/>
        </w:rPr>
      </w:pPr>
      <w:r w:rsidRPr="006F52BF">
        <w:rPr>
          <w:rFonts w:ascii="Times New Roman" w:eastAsia="Times New Roman" w:hAnsi="Times New Roman"/>
          <w:sz w:val="20"/>
        </w:rPr>
        <w:t>Fuente: elaboración propia a partir de datos de trabajo del CONICET.</w:t>
      </w:r>
    </w:p>
    <w:p w14:paraId="39607E95" w14:textId="77777777" w:rsidR="00EC7A5B" w:rsidRPr="006F52BF" w:rsidRDefault="00EC7A5B" w:rsidP="00EC7A5B">
      <w:pPr>
        <w:spacing w:line="240" w:lineRule="auto"/>
        <w:contextualSpacing/>
        <w:jc w:val="both"/>
        <w:rPr>
          <w:rFonts w:ascii="Times New Roman" w:eastAsia="Times New Roman" w:hAnsi="Times New Roman"/>
        </w:rPr>
      </w:pPr>
    </w:p>
    <w:p w14:paraId="49FBC24E" w14:textId="78DB5486" w:rsidR="00952BD8" w:rsidRPr="006F52BF" w:rsidRDefault="00952BD8" w:rsidP="00952BD8">
      <w:pPr>
        <w:spacing w:line="240" w:lineRule="auto"/>
        <w:jc w:val="both"/>
        <w:rPr>
          <w:rFonts w:ascii="Times New Roman" w:eastAsia="Times New Roman" w:hAnsi="Times New Roman"/>
        </w:rPr>
      </w:pPr>
      <w:r w:rsidRPr="006F52BF">
        <w:rPr>
          <w:rFonts w:ascii="Times New Roman" w:eastAsia="Times New Roman" w:hAnsi="Times New Roman"/>
        </w:rPr>
        <w:t>Tabla 2. Ingresos a CICyT según modalidad de convocatoria (2013-2023)</w:t>
      </w:r>
    </w:p>
    <w:tbl>
      <w:tblPr>
        <w:tblStyle w:val="Tablaconcuadrcula"/>
        <w:tblW w:w="0" w:type="auto"/>
        <w:jc w:val="center"/>
        <w:tblLook w:val="04A0" w:firstRow="1" w:lastRow="0" w:firstColumn="1" w:lastColumn="0" w:noHBand="0" w:noVBand="1"/>
      </w:tblPr>
      <w:tblGrid>
        <w:gridCol w:w="1598"/>
        <w:gridCol w:w="1660"/>
        <w:gridCol w:w="1738"/>
        <w:gridCol w:w="1806"/>
        <w:gridCol w:w="1692"/>
      </w:tblGrid>
      <w:tr w:rsidR="00952BD8" w:rsidRPr="006F52BF" w14:paraId="4377A353" w14:textId="77777777" w:rsidTr="00952BD8">
        <w:trPr>
          <w:jc w:val="center"/>
        </w:trPr>
        <w:tc>
          <w:tcPr>
            <w:tcW w:w="1598" w:type="dxa"/>
          </w:tcPr>
          <w:p w14:paraId="5A4A5FF5" w14:textId="77777777" w:rsidR="00952BD8" w:rsidRPr="006F52BF" w:rsidRDefault="00952BD8" w:rsidP="00686833">
            <w:r w:rsidRPr="006F52BF">
              <w:rPr>
                <w:rFonts w:ascii="Times New Roman" w:eastAsia="Times New Roman" w:hAnsi="Times New Roman"/>
                <w:b/>
                <w:sz w:val="20"/>
              </w:rPr>
              <w:t>Año</w:t>
            </w:r>
          </w:p>
        </w:tc>
        <w:tc>
          <w:tcPr>
            <w:tcW w:w="1660" w:type="dxa"/>
          </w:tcPr>
          <w:p w14:paraId="725016C3" w14:textId="77777777" w:rsidR="00952BD8" w:rsidRPr="006F52BF" w:rsidRDefault="00952BD8" w:rsidP="00686833">
            <w:r w:rsidRPr="006F52BF">
              <w:rPr>
                <w:rFonts w:ascii="Times New Roman" w:eastAsia="Times New Roman" w:hAnsi="Times New Roman"/>
                <w:b/>
                <w:sz w:val="20"/>
              </w:rPr>
              <w:t>General</w:t>
            </w:r>
          </w:p>
        </w:tc>
        <w:tc>
          <w:tcPr>
            <w:tcW w:w="1738" w:type="dxa"/>
          </w:tcPr>
          <w:p w14:paraId="0586321A" w14:textId="77777777" w:rsidR="00952BD8" w:rsidRPr="006F52BF" w:rsidRDefault="00952BD8" w:rsidP="00686833">
            <w:r w:rsidRPr="006F52BF">
              <w:rPr>
                <w:rFonts w:ascii="Times New Roman" w:eastAsia="Times New Roman" w:hAnsi="Times New Roman"/>
                <w:b/>
                <w:sz w:val="20"/>
              </w:rPr>
              <w:t>Temas Estratégicos</w:t>
            </w:r>
          </w:p>
        </w:tc>
        <w:tc>
          <w:tcPr>
            <w:tcW w:w="1806" w:type="dxa"/>
          </w:tcPr>
          <w:p w14:paraId="083CBB48" w14:textId="77777777" w:rsidR="00952BD8" w:rsidRPr="006F52BF" w:rsidRDefault="00952BD8" w:rsidP="00686833">
            <w:r w:rsidRPr="006F52BF">
              <w:rPr>
                <w:rFonts w:ascii="Times New Roman" w:eastAsia="Times New Roman" w:hAnsi="Times New Roman"/>
                <w:b/>
                <w:sz w:val="20"/>
              </w:rPr>
              <w:t>Fortalecimiento I+D+i</w:t>
            </w:r>
          </w:p>
        </w:tc>
        <w:tc>
          <w:tcPr>
            <w:tcW w:w="1692" w:type="dxa"/>
          </w:tcPr>
          <w:p w14:paraId="1CE9769A" w14:textId="77777777" w:rsidR="00952BD8" w:rsidRPr="006F52BF" w:rsidRDefault="00952BD8" w:rsidP="00686833">
            <w:r w:rsidRPr="006F52BF">
              <w:rPr>
                <w:rFonts w:ascii="Times New Roman" w:eastAsia="Times New Roman" w:hAnsi="Times New Roman"/>
                <w:b/>
                <w:sz w:val="20"/>
              </w:rPr>
              <w:t>Proyectos especiales</w:t>
            </w:r>
          </w:p>
        </w:tc>
      </w:tr>
      <w:tr w:rsidR="00952BD8" w:rsidRPr="006F52BF" w14:paraId="03C0EB79" w14:textId="77777777" w:rsidTr="00952BD8">
        <w:trPr>
          <w:jc w:val="center"/>
        </w:trPr>
        <w:tc>
          <w:tcPr>
            <w:tcW w:w="1598" w:type="dxa"/>
          </w:tcPr>
          <w:p w14:paraId="5FC17587" w14:textId="77777777" w:rsidR="00952BD8" w:rsidRPr="006F52BF" w:rsidRDefault="00952BD8" w:rsidP="00686833">
            <w:r w:rsidRPr="006F52BF">
              <w:rPr>
                <w:rFonts w:ascii="Times New Roman" w:eastAsia="Times New Roman" w:hAnsi="Times New Roman"/>
                <w:sz w:val="20"/>
              </w:rPr>
              <w:t>2013</w:t>
            </w:r>
          </w:p>
        </w:tc>
        <w:tc>
          <w:tcPr>
            <w:tcW w:w="1660" w:type="dxa"/>
          </w:tcPr>
          <w:p w14:paraId="1BC695BC" w14:textId="77777777" w:rsidR="00952BD8" w:rsidRPr="006F52BF" w:rsidRDefault="00952BD8" w:rsidP="00686833">
            <w:r w:rsidRPr="006F52BF">
              <w:rPr>
                <w:rFonts w:ascii="Times New Roman" w:eastAsia="Times New Roman" w:hAnsi="Times New Roman"/>
                <w:sz w:val="20"/>
              </w:rPr>
              <w:t>756</w:t>
            </w:r>
          </w:p>
        </w:tc>
        <w:tc>
          <w:tcPr>
            <w:tcW w:w="1738" w:type="dxa"/>
          </w:tcPr>
          <w:p w14:paraId="2C6B1109" w14:textId="77777777" w:rsidR="00952BD8" w:rsidRPr="006F52BF" w:rsidRDefault="00952BD8" w:rsidP="00686833">
            <w:r w:rsidRPr="006F52BF">
              <w:rPr>
                <w:rFonts w:ascii="Times New Roman" w:eastAsia="Times New Roman" w:hAnsi="Times New Roman"/>
                <w:sz w:val="20"/>
              </w:rPr>
              <w:t>97</w:t>
            </w:r>
          </w:p>
        </w:tc>
        <w:tc>
          <w:tcPr>
            <w:tcW w:w="1806" w:type="dxa"/>
          </w:tcPr>
          <w:p w14:paraId="2279418A" w14:textId="77777777" w:rsidR="00952BD8" w:rsidRPr="006F52BF" w:rsidRDefault="00952BD8" w:rsidP="00686833">
            <w:r w:rsidRPr="006F52BF">
              <w:rPr>
                <w:rFonts w:ascii="Times New Roman" w:eastAsia="Times New Roman" w:hAnsi="Times New Roman"/>
                <w:sz w:val="20"/>
              </w:rPr>
              <w:t>0</w:t>
            </w:r>
          </w:p>
        </w:tc>
        <w:tc>
          <w:tcPr>
            <w:tcW w:w="1692" w:type="dxa"/>
          </w:tcPr>
          <w:p w14:paraId="20D4189C" w14:textId="77777777" w:rsidR="00952BD8" w:rsidRPr="006F52BF" w:rsidRDefault="00952BD8" w:rsidP="00686833">
            <w:r w:rsidRPr="006F52BF">
              <w:rPr>
                <w:rFonts w:ascii="Times New Roman" w:eastAsia="Times New Roman" w:hAnsi="Times New Roman"/>
                <w:sz w:val="20"/>
              </w:rPr>
              <w:t>0</w:t>
            </w:r>
          </w:p>
        </w:tc>
      </w:tr>
      <w:tr w:rsidR="00952BD8" w:rsidRPr="006F52BF" w14:paraId="7F287863" w14:textId="77777777" w:rsidTr="00952BD8">
        <w:trPr>
          <w:jc w:val="center"/>
        </w:trPr>
        <w:tc>
          <w:tcPr>
            <w:tcW w:w="1598" w:type="dxa"/>
          </w:tcPr>
          <w:p w14:paraId="1B16296C" w14:textId="77777777" w:rsidR="00952BD8" w:rsidRPr="006F52BF" w:rsidRDefault="00952BD8" w:rsidP="00686833">
            <w:r w:rsidRPr="006F52BF">
              <w:rPr>
                <w:rFonts w:ascii="Times New Roman" w:eastAsia="Times New Roman" w:hAnsi="Times New Roman"/>
                <w:sz w:val="20"/>
              </w:rPr>
              <w:t>2014</w:t>
            </w:r>
          </w:p>
        </w:tc>
        <w:tc>
          <w:tcPr>
            <w:tcW w:w="1660" w:type="dxa"/>
          </w:tcPr>
          <w:p w14:paraId="3C3FCB02" w14:textId="77777777" w:rsidR="00952BD8" w:rsidRPr="006F52BF" w:rsidRDefault="00952BD8" w:rsidP="00686833">
            <w:r w:rsidRPr="006F52BF">
              <w:rPr>
                <w:rFonts w:ascii="Times New Roman" w:eastAsia="Times New Roman" w:hAnsi="Times New Roman"/>
                <w:sz w:val="20"/>
              </w:rPr>
              <w:t>866</w:t>
            </w:r>
          </w:p>
        </w:tc>
        <w:tc>
          <w:tcPr>
            <w:tcW w:w="1738" w:type="dxa"/>
          </w:tcPr>
          <w:p w14:paraId="765BDD18" w14:textId="77777777" w:rsidR="00952BD8" w:rsidRPr="006F52BF" w:rsidRDefault="00952BD8" w:rsidP="00686833">
            <w:r w:rsidRPr="006F52BF">
              <w:rPr>
                <w:rFonts w:ascii="Times New Roman" w:eastAsia="Times New Roman" w:hAnsi="Times New Roman"/>
                <w:sz w:val="20"/>
              </w:rPr>
              <w:t>91</w:t>
            </w:r>
          </w:p>
        </w:tc>
        <w:tc>
          <w:tcPr>
            <w:tcW w:w="1806" w:type="dxa"/>
          </w:tcPr>
          <w:p w14:paraId="3D3DEBF6" w14:textId="77777777" w:rsidR="00952BD8" w:rsidRPr="006F52BF" w:rsidRDefault="00952BD8" w:rsidP="00686833">
            <w:r w:rsidRPr="006F52BF">
              <w:rPr>
                <w:rFonts w:ascii="Times New Roman" w:eastAsia="Times New Roman" w:hAnsi="Times New Roman"/>
                <w:sz w:val="20"/>
              </w:rPr>
              <w:t>0</w:t>
            </w:r>
          </w:p>
        </w:tc>
        <w:tc>
          <w:tcPr>
            <w:tcW w:w="1692" w:type="dxa"/>
          </w:tcPr>
          <w:p w14:paraId="0B921B28" w14:textId="77777777" w:rsidR="00952BD8" w:rsidRPr="006F52BF" w:rsidRDefault="00952BD8" w:rsidP="00686833">
            <w:r w:rsidRPr="006F52BF">
              <w:rPr>
                <w:rFonts w:ascii="Times New Roman" w:eastAsia="Times New Roman" w:hAnsi="Times New Roman"/>
                <w:sz w:val="20"/>
              </w:rPr>
              <w:t>0</w:t>
            </w:r>
          </w:p>
        </w:tc>
      </w:tr>
      <w:tr w:rsidR="00952BD8" w:rsidRPr="006F52BF" w14:paraId="59F1C70C" w14:textId="77777777" w:rsidTr="00952BD8">
        <w:trPr>
          <w:jc w:val="center"/>
        </w:trPr>
        <w:tc>
          <w:tcPr>
            <w:tcW w:w="1598" w:type="dxa"/>
          </w:tcPr>
          <w:p w14:paraId="4E9F6A45" w14:textId="77777777" w:rsidR="00952BD8" w:rsidRPr="006F52BF" w:rsidRDefault="00952BD8" w:rsidP="00686833">
            <w:r w:rsidRPr="006F52BF">
              <w:rPr>
                <w:rFonts w:ascii="Times New Roman" w:eastAsia="Times New Roman" w:hAnsi="Times New Roman"/>
                <w:sz w:val="20"/>
              </w:rPr>
              <w:t>2015</w:t>
            </w:r>
          </w:p>
        </w:tc>
        <w:tc>
          <w:tcPr>
            <w:tcW w:w="1660" w:type="dxa"/>
          </w:tcPr>
          <w:p w14:paraId="54BCC018" w14:textId="77777777" w:rsidR="00952BD8" w:rsidRPr="006F52BF" w:rsidRDefault="00952BD8" w:rsidP="00686833">
            <w:r w:rsidRPr="006F52BF">
              <w:rPr>
                <w:rFonts w:ascii="Times New Roman" w:eastAsia="Times New Roman" w:hAnsi="Times New Roman"/>
                <w:sz w:val="20"/>
              </w:rPr>
              <w:t>859</w:t>
            </w:r>
          </w:p>
        </w:tc>
        <w:tc>
          <w:tcPr>
            <w:tcW w:w="1738" w:type="dxa"/>
          </w:tcPr>
          <w:p w14:paraId="68222931" w14:textId="77777777" w:rsidR="00952BD8" w:rsidRPr="006F52BF" w:rsidRDefault="00952BD8" w:rsidP="00686833">
            <w:r w:rsidRPr="006F52BF">
              <w:rPr>
                <w:rFonts w:ascii="Times New Roman" w:eastAsia="Times New Roman" w:hAnsi="Times New Roman"/>
                <w:sz w:val="20"/>
              </w:rPr>
              <w:t>84</w:t>
            </w:r>
          </w:p>
        </w:tc>
        <w:tc>
          <w:tcPr>
            <w:tcW w:w="1806" w:type="dxa"/>
          </w:tcPr>
          <w:p w14:paraId="019319CA" w14:textId="77777777" w:rsidR="00952BD8" w:rsidRPr="006F52BF" w:rsidRDefault="00952BD8" w:rsidP="00686833">
            <w:r w:rsidRPr="006F52BF">
              <w:rPr>
                <w:rFonts w:ascii="Times New Roman" w:eastAsia="Times New Roman" w:hAnsi="Times New Roman"/>
                <w:sz w:val="20"/>
              </w:rPr>
              <w:t>0</w:t>
            </w:r>
          </w:p>
        </w:tc>
        <w:tc>
          <w:tcPr>
            <w:tcW w:w="1692" w:type="dxa"/>
          </w:tcPr>
          <w:p w14:paraId="03511DD3" w14:textId="77777777" w:rsidR="00952BD8" w:rsidRPr="006F52BF" w:rsidRDefault="00952BD8" w:rsidP="00686833">
            <w:r w:rsidRPr="006F52BF">
              <w:rPr>
                <w:rFonts w:ascii="Times New Roman" w:eastAsia="Times New Roman" w:hAnsi="Times New Roman"/>
                <w:sz w:val="20"/>
              </w:rPr>
              <w:t>0</w:t>
            </w:r>
          </w:p>
        </w:tc>
      </w:tr>
      <w:tr w:rsidR="00952BD8" w:rsidRPr="006F52BF" w14:paraId="3AA7589E" w14:textId="77777777" w:rsidTr="00952BD8">
        <w:trPr>
          <w:jc w:val="center"/>
        </w:trPr>
        <w:tc>
          <w:tcPr>
            <w:tcW w:w="1598" w:type="dxa"/>
          </w:tcPr>
          <w:p w14:paraId="2B6E00D2" w14:textId="77777777" w:rsidR="00952BD8" w:rsidRPr="006F52BF" w:rsidRDefault="00952BD8" w:rsidP="00686833">
            <w:r w:rsidRPr="006F52BF">
              <w:rPr>
                <w:rFonts w:ascii="Times New Roman" w:eastAsia="Times New Roman" w:hAnsi="Times New Roman"/>
                <w:sz w:val="20"/>
              </w:rPr>
              <w:t>2016</w:t>
            </w:r>
          </w:p>
        </w:tc>
        <w:tc>
          <w:tcPr>
            <w:tcW w:w="1660" w:type="dxa"/>
          </w:tcPr>
          <w:p w14:paraId="36224145" w14:textId="77777777" w:rsidR="00952BD8" w:rsidRPr="006F52BF" w:rsidRDefault="00952BD8" w:rsidP="00686833">
            <w:r w:rsidRPr="006F52BF">
              <w:rPr>
                <w:rFonts w:ascii="Times New Roman" w:eastAsia="Times New Roman" w:hAnsi="Times New Roman"/>
                <w:sz w:val="20"/>
              </w:rPr>
              <w:t>462</w:t>
            </w:r>
          </w:p>
        </w:tc>
        <w:tc>
          <w:tcPr>
            <w:tcW w:w="1738" w:type="dxa"/>
          </w:tcPr>
          <w:p w14:paraId="5B2ECAC2" w14:textId="77777777" w:rsidR="00952BD8" w:rsidRPr="006F52BF" w:rsidRDefault="00952BD8" w:rsidP="00686833">
            <w:r w:rsidRPr="006F52BF">
              <w:rPr>
                <w:rFonts w:ascii="Times New Roman" w:eastAsia="Times New Roman" w:hAnsi="Times New Roman"/>
                <w:sz w:val="20"/>
              </w:rPr>
              <w:t>40</w:t>
            </w:r>
          </w:p>
        </w:tc>
        <w:tc>
          <w:tcPr>
            <w:tcW w:w="1806" w:type="dxa"/>
          </w:tcPr>
          <w:p w14:paraId="2D255463" w14:textId="77777777" w:rsidR="00952BD8" w:rsidRPr="006F52BF" w:rsidRDefault="00952BD8" w:rsidP="00686833">
            <w:r w:rsidRPr="006F52BF">
              <w:rPr>
                <w:rFonts w:ascii="Times New Roman" w:eastAsia="Times New Roman" w:hAnsi="Times New Roman"/>
                <w:sz w:val="20"/>
              </w:rPr>
              <w:t>0</w:t>
            </w:r>
          </w:p>
        </w:tc>
        <w:tc>
          <w:tcPr>
            <w:tcW w:w="1692" w:type="dxa"/>
          </w:tcPr>
          <w:p w14:paraId="0C2320A0" w14:textId="77777777" w:rsidR="00952BD8" w:rsidRPr="006F52BF" w:rsidRDefault="00952BD8" w:rsidP="00686833">
            <w:r w:rsidRPr="006F52BF">
              <w:rPr>
                <w:rFonts w:ascii="Times New Roman" w:eastAsia="Times New Roman" w:hAnsi="Times New Roman"/>
                <w:sz w:val="20"/>
              </w:rPr>
              <w:t>0</w:t>
            </w:r>
          </w:p>
        </w:tc>
      </w:tr>
      <w:tr w:rsidR="00952BD8" w:rsidRPr="006F52BF" w14:paraId="0B2312FE" w14:textId="77777777" w:rsidTr="00952BD8">
        <w:trPr>
          <w:jc w:val="center"/>
        </w:trPr>
        <w:tc>
          <w:tcPr>
            <w:tcW w:w="1598" w:type="dxa"/>
          </w:tcPr>
          <w:p w14:paraId="40FF6B9B" w14:textId="77777777" w:rsidR="00952BD8" w:rsidRPr="006F52BF" w:rsidRDefault="00952BD8" w:rsidP="00686833">
            <w:r w:rsidRPr="006F52BF">
              <w:rPr>
                <w:rFonts w:ascii="Times New Roman" w:eastAsia="Times New Roman" w:hAnsi="Times New Roman"/>
                <w:sz w:val="20"/>
              </w:rPr>
              <w:t>2017</w:t>
            </w:r>
          </w:p>
        </w:tc>
        <w:tc>
          <w:tcPr>
            <w:tcW w:w="1660" w:type="dxa"/>
          </w:tcPr>
          <w:p w14:paraId="21CFFAB8" w14:textId="77777777" w:rsidR="00952BD8" w:rsidRPr="006F52BF" w:rsidRDefault="00952BD8" w:rsidP="00686833">
            <w:r w:rsidRPr="006F52BF">
              <w:rPr>
                <w:rFonts w:ascii="Times New Roman" w:eastAsia="Times New Roman" w:hAnsi="Times New Roman"/>
                <w:sz w:val="20"/>
              </w:rPr>
              <w:t>300</w:t>
            </w:r>
          </w:p>
        </w:tc>
        <w:tc>
          <w:tcPr>
            <w:tcW w:w="1738" w:type="dxa"/>
          </w:tcPr>
          <w:p w14:paraId="42D21D6A" w14:textId="77777777" w:rsidR="00952BD8" w:rsidRPr="006F52BF" w:rsidRDefault="00952BD8" w:rsidP="00686833">
            <w:r w:rsidRPr="006F52BF">
              <w:rPr>
                <w:rFonts w:ascii="Times New Roman" w:eastAsia="Times New Roman" w:hAnsi="Times New Roman"/>
                <w:sz w:val="20"/>
              </w:rPr>
              <w:t>300</w:t>
            </w:r>
          </w:p>
        </w:tc>
        <w:tc>
          <w:tcPr>
            <w:tcW w:w="1806" w:type="dxa"/>
          </w:tcPr>
          <w:p w14:paraId="11BF4AAB" w14:textId="77777777" w:rsidR="00952BD8" w:rsidRPr="006F52BF" w:rsidRDefault="00952BD8" w:rsidP="00686833">
            <w:r w:rsidRPr="006F52BF">
              <w:rPr>
                <w:rFonts w:ascii="Times New Roman" w:eastAsia="Times New Roman" w:hAnsi="Times New Roman"/>
                <w:sz w:val="20"/>
              </w:rPr>
              <w:t>0</w:t>
            </w:r>
          </w:p>
        </w:tc>
        <w:tc>
          <w:tcPr>
            <w:tcW w:w="1692" w:type="dxa"/>
          </w:tcPr>
          <w:p w14:paraId="72A04FD2" w14:textId="77777777" w:rsidR="00952BD8" w:rsidRPr="006F52BF" w:rsidRDefault="00952BD8" w:rsidP="00686833">
            <w:r w:rsidRPr="006F52BF">
              <w:rPr>
                <w:rFonts w:ascii="Times New Roman" w:eastAsia="Times New Roman" w:hAnsi="Times New Roman"/>
                <w:sz w:val="20"/>
              </w:rPr>
              <w:t>0</w:t>
            </w:r>
          </w:p>
        </w:tc>
      </w:tr>
      <w:tr w:rsidR="00952BD8" w:rsidRPr="006F52BF" w14:paraId="1E8D350C" w14:textId="77777777" w:rsidTr="00952BD8">
        <w:trPr>
          <w:jc w:val="center"/>
        </w:trPr>
        <w:tc>
          <w:tcPr>
            <w:tcW w:w="1598" w:type="dxa"/>
          </w:tcPr>
          <w:p w14:paraId="5B9C5CBC" w14:textId="77777777" w:rsidR="00952BD8" w:rsidRPr="006F52BF" w:rsidRDefault="00952BD8" w:rsidP="00686833">
            <w:r w:rsidRPr="006F52BF">
              <w:rPr>
                <w:rFonts w:ascii="Times New Roman" w:eastAsia="Times New Roman" w:hAnsi="Times New Roman"/>
                <w:sz w:val="20"/>
              </w:rPr>
              <w:t>2018</w:t>
            </w:r>
          </w:p>
        </w:tc>
        <w:tc>
          <w:tcPr>
            <w:tcW w:w="1660" w:type="dxa"/>
          </w:tcPr>
          <w:p w14:paraId="189E768F" w14:textId="77777777" w:rsidR="00952BD8" w:rsidRPr="006F52BF" w:rsidRDefault="00952BD8" w:rsidP="00686833">
            <w:r w:rsidRPr="006F52BF">
              <w:rPr>
                <w:rFonts w:ascii="Times New Roman" w:eastAsia="Times New Roman" w:hAnsi="Times New Roman"/>
                <w:sz w:val="20"/>
              </w:rPr>
              <w:t>150</w:t>
            </w:r>
          </w:p>
        </w:tc>
        <w:tc>
          <w:tcPr>
            <w:tcW w:w="1738" w:type="dxa"/>
          </w:tcPr>
          <w:p w14:paraId="123712C2" w14:textId="77777777" w:rsidR="00952BD8" w:rsidRPr="006F52BF" w:rsidRDefault="00952BD8" w:rsidP="00686833">
            <w:r w:rsidRPr="006F52BF">
              <w:rPr>
                <w:rFonts w:ascii="Times New Roman" w:eastAsia="Times New Roman" w:hAnsi="Times New Roman"/>
                <w:sz w:val="20"/>
              </w:rPr>
              <w:t>150</w:t>
            </w:r>
          </w:p>
        </w:tc>
        <w:tc>
          <w:tcPr>
            <w:tcW w:w="1806" w:type="dxa"/>
          </w:tcPr>
          <w:p w14:paraId="65D768E7" w14:textId="77777777" w:rsidR="00952BD8" w:rsidRPr="006F52BF" w:rsidRDefault="00952BD8" w:rsidP="00686833">
            <w:r w:rsidRPr="006F52BF">
              <w:rPr>
                <w:rFonts w:ascii="Times New Roman" w:eastAsia="Times New Roman" w:hAnsi="Times New Roman"/>
                <w:sz w:val="20"/>
              </w:rPr>
              <w:t>150</w:t>
            </w:r>
          </w:p>
        </w:tc>
        <w:tc>
          <w:tcPr>
            <w:tcW w:w="1692" w:type="dxa"/>
          </w:tcPr>
          <w:p w14:paraId="13E04A40" w14:textId="77777777" w:rsidR="00952BD8" w:rsidRPr="006F52BF" w:rsidRDefault="00952BD8" w:rsidP="00686833">
            <w:r w:rsidRPr="006F52BF">
              <w:rPr>
                <w:rFonts w:ascii="Times New Roman" w:eastAsia="Times New Roman" w:hAnsi="Times New Roman"/>
                <w:sz w:val="20"/>
              </w:rPr>
              <w:t>0</w:t>
            </w:r>
          </w:p>
        </w:tc>
      </w:tr>
      <w:tr w:rsidR="00952BD8" w:rsidRPr="006F52BF" w14:paraId="2E94D78E" w14:textId="77777777" w:rsidTr="00952BD8">
        <w:trPr>
          <w:jc w:val="center"/>
        </w:trPr>
        <w:tc>
          <w:tcPr>
            <w:tcW w:w="1598" w:type="dxa"/>
          </w:tcPr>
          <w:p w14:paraId="2A38BEE3" w14:textId="77777777" w:rsidR="00952BD8" w:rsidRPr="006F52BF" w:rsidRDefault="00952BD8" w:rsidP="00686833">
            <w:r w:rsidRPr="006F52BF">
              <w:rPr>
                <w:rFonts w:ascii="Times New Roman" w:eastAsia="Times New Roman" w:hAnsi="Times New Roman"/>
                <w:sz w:val="20"/>
              </w:rPr>
              <w:t>2019</w:t>
            </w:r>
          </w:p>
        </w:tc>
        <w:tc>
          <w:tcPr>
            <w:tcW w:w="1660" w:type="dxa"/>
          </w:tcPr>
          <w:p w14:paraId="5DFFE6C6" w14:textId="77777777" w:rsidR="00952BD8" w:rsidRPr="006F52BF" w:rsidRDefault="00952BD8" w:rsidP="00686833">
            <w:r w:rsidRPr="006F52BF">
              <w:rPr>
                <w:rFonts w:ascii="Times New Roman" w:eastAsia="Times New Roman" w:hAnsi="Times New Roman"/>
                <w:sz w:val="20"/>
              </w:rPr>
              <w:t>208</w:t>
            </w:r>
          </w:p>
        </w:tc>
        <w:tc>
          <w:tcPr>
            <w:tcW w:w="1738" w:type="dxa"/>
          </w:tcPr>
          <w:p w14:paraId="3D4531BE" w14:textId="77777777" w:rsidR="00952BD8" w:rsidRPr="006F52BF" w:rsidRDefault="00952BD8" w:rsidP="00686833">
            <w:r w:rsidRPr="006F52BF">
              <w:rPr>
                <w:rFonts w:ascii="Times New Roman" w:eastAsia="Times New Roman" w:hAnsi="Times New Roman"/>
                <w:sz w:val="20"/>
              </w:rPr>
              <w:t>153</w:t>
            </w:r>
          </w:p>
        </w:tc>
        <w:tc>
          <w:tcPr>
            <w:tcW w:w="1806" w:type="dxa"/>
          </w:tcPr>
          <w:p w14:paraId="22920A83" w14:textId="77777777" w:rsidR="00952BD8" w:rsidRPr="006F52BF" w:rsidRDefault="00952BD8" w:rsidP="00686833">
            <w:r w:rsidRPr="006F52BF">
              <w:rPr>
                <w:rFonts w:ascii="Times New Roman" w:eastAsia="Times New Roman" w:hAnsi="Times New Roman"/>
                <w:sz w:val="20"/>
              </w:rPr>
              <w:t>88</w:t>
            </w:r>
          </w:p>
        </w:tc>
        <w:tc>
          <w:tcPr>
            <w:tcW w:w="1692" w:type="dxa"/>
          </w:tcPr>
          <w:p w14:paraId="57A9F7D0" w14:textId="77777777" w:rsidR="00952BD8" w:rsidRPr="006F52BF" w:rsidRDefault="00952BD8" w:rsidP="00686833">
            <w:r w:rsidRPr="006F52BF">
              <w:rPr>
                <w:rFonts w:ascii="Times New Roman" w:eastAsia="Times New Roman" w:hAnsi="Times New Roman"/>
                <w:sz w:val="20"/>
              </w:rPr>
              <w:t>0</w:t>
            </w:r>
          </w:p>
        </w:tc>
      </w:tr>
      <w:tr w:rsidR="00952BD8" w:rsidRPr="006F52BF" w14:paraId="2E3C7208" w14:textId="77777777" w:rsidTr="00952BD8">
        <w:trPr>
          <w:jc w:val="center"/>
        </w:trPr>
        <w:tc>
          <w:tcPr>
            <w:tcW w:w="1598" w:type="dxa"/>
          </w:tcPr>
          <w:p w14:paraId="1F1E3921" w14:textId="77777777" w:rsidR="00952BD8" w:rsidRPr="006F52BF" w:rsidRDefault="00952BD8" w:rsidP="00686833">
            <w:r w:rsidRPr="006F52BF">
              <w:rPr>
                <w:rFonts w:ascii="Times New Roman" w:eastAsia="Times New Roman" w:hAnsi="Times New Roman"/>
                <w:sz w:val="20"/>
              </w:rPr>
              <w:t>2020</w:t>
            </w:r>
          </w:p>
        </w:tc>
        <w:tc>
          <w:tcPr>
            <w:tcW w:w="1660" w:type="dxa"/>
          </w:tcPr>
          <w:p w14:paraId="658278F5" w14:textId="77777777" w:rsidR="00952BD8" w:rsidRPr="006F52BF" w:rsidRDefault="00952BD8" w:rsidP="00686833">
            <w:r w:rsidRPr="006F52BF">
              <w:rPr>
                <w:rFonts w:ascii="Times New Roman" w:eastAsia="Times New Roman" w:hAnsi="Times New Roman"/>
                <w:sz w:val="20"/>
              </w:rPr>
              <w:t>434</w:t>
            </w:r>
          </w:p>
        </w:tc>
        <w:tc>
          <w:tcPr>
            <w:tcW w:w="1738" w:type="dxa"/>
          </w:tcPr>
          <w:p w14:paraId="59674444" w14:textId="77777777" w:rsidR="00952BD8" w:rsidRPr="006F52BF" w:rsidRDefault="00952BD8" w:rsidP="00686833">
            <w:r w:rsidRPr="006F52BF">
              <w:rPr>
                <w:rFonts w:ascii="Times New Roman" w:eastAsia="Times New Roman" w:hAnsi="Times New Roman"/>
                <w:sz w:val="20"/>
              </w:rPr>
              <w:t>188</w:t>
            </w:r>
          </w:p>
        </w:tc>
        <w:tc>
          <w:tcPr>
            <w:tcW w:w="1806" w:type="dxa"/>
          </w:tcPr>
          <w:p w14:paraId="69B2C8CE" w14:textId="77777777" w:rsidR="00952BD8" w:rsidRPr="006F52BF" w:rsidRDefault="00952BD8" w:rsidP="00686833">
            <w:r w:rsidRPr="006F52BF">
              <w:rPr>
                <w:rFonts w:ascii="Times New Roman" w:eastAsia="Times New Roman" w:hAnsi="Times New Roman"/>
                <w:sz w:val="20"/>
              </w:rPr>
              <w:t>106</w:t>
            </w:r>
          </w:p>
        </w:tc>
        <w:tc>
          <w:tcPr>
            <w:tcW w:w="1692" w:type="dxa"/>
          </w:tcPr>
          <w:p w14:paraId="0ACE7A74" w14:textId="77777777" w:rsidR="00952BD8" w:rsidRPr="006F52BF" w:rsidRDefault="00952BD8" w:rsidP="00686833">
            <w:r w:rsidRPr="006F52BF">
              <w:rPr>
                <w:rFonts w:ascii="Times New Roman" w:eastAsia="Times New Roman" w:hAnsi="Times New Roman"/>
                <w:sz w:val="20"/>
              </w:rPr>
              <w:t>0</w:t>
            </w:r>
          </w:p>
        </w:tc>
      </w:tr>
      <w:tr w:rsidR="00952BD8" w:rsidRPr="006F52BF" w14:paraId="56FD1854" w14:textId="77777777" w:rsidTr="00952BD8">
        <w:trPr>
          <w:jc w:val="center"/>
        </w:trPr>
        <w:tc>
          <w:tcPr>
            <w:tcW w:w="1598" w:type="dxa"/>
          </w:tcPr>
          <w:p w14:paraId="5FEF7818" w14:textId="77777777" w:rsidR="00952BD8" w:rsidRPr="006F52BF" w:rsidRDefault="00952BD8" w:rsidP="00686833">
            <w:r w:rsidRPr="006F52BF">
              <w:rPr>
                <w:rFonts w:ascii="Times New Roman" w:eastAsia="Times New Roman" w:hAnsi="Times New Roman"/>
                <w:sz w:val="20"/>
              </w:rPr>
              <w:t>2021</w:t>
            </w:r>
          </w:p>
        </w:tc>
        <w:tc>
          <w:tcPr>
            <w:tcW w:w="1660" w:type="dxa"/>
          </w:tcPr>
          <w:p w14:paraId="00DF0CBC" w14:textId="77777777" w:rsidR="00952BD8" w:rsidRPr="006F52BF" w:rsidRDefault="00952BD8" w:rsidP="00686833">
            <w:r w:rsidRPr="006F52BF">
              <w:rPr>
                <w:rFonts w:ascii="Times New Roman" w:eastAsia="Times New Roman" w:hAnsi="Times New Roman"/>
                <w:sz w:val="20"/>
              </w:rPr>
              <w:t>446</w:t>
            </w:r>
          </w:p>
        </w:tc>
        <w:tc>
          <w:tcPr>
            <w:tcW w:w="1738" w:type="dxa"/>
          </w:tcPr>
          <w:p w14:paraId="07F83DE0" w14:textId="77777777" w:rsidR="00952BD8" w:rsidRPr="006F52BF" w:rsidRDefault="00952BD8" w:rsidP="00686833">
            <w:r w:rsidRPr="006F52BF">
              <w:rPr>
                <w:rFonts w:ascii="Times New Roman" w:eastAsia="Times New Roman" w:hAnsi="Times New Roman"/>
                <w:sz w:val="20"/>
              </w:rPr>
              <w:t>116</w:t>
            </w:r>
          </w:p>
        </w:tc>
        <w:tc>
          <w:tcPr>
            <w:tcW w:w="1806" w:type="dxa"/>
          </w:tcPr>
          <w:p w14:paraId="596A68FB" w14:textId="77777777" w:rsidR="00952BD8" w:rsidRPr="006F52BF" w:rsidRDefault="00952BD8" w:rsidP="00686833">
            <w:r w:rsidRPr="006F52BF">
              <w:rPr>
                <w:rFonts w:ascii="Times New Roman" w:eastAsia="Times New Roman" w:hAnsi="Times New Roman"/>
                <w:sz w:val="20"/>
              </w:rPr>
              <w:t>134</w:t>
            </w:r>
          </w:p>
        </w:tc>
        <w:tc>
          <w:tcPr>
            <w:tcW w:w="1692" w:type="dxa"/>
          </w:tcPr>
          <w:p w14:paraId="624A49C6" w14:textId="77777777" w:rsidR="00952BD8" w:rsidRPr="006F52BF" w:rsidRDefault="00952BD8" w:rsidP="00686833">
            <w:r w:rsidRPr="006F52BF">
              <w:rPr>
                <w:rFonts w:ascii="Times New Roman" w:eastAsia="Times New Roman" w:hAnsi="Times New Roman"/>
                <w:sz w:val="20"/>
              </w:rPr>
              <w:t>63</w:t>
            </w:r>
          </w:p>
        </w:tc>
      </w:tr>
      <w:tr w:rsidR="00952BD8" w:rsidRPr="006F52BF" w14:paraId="5D4E0170" w14:textId="77777777" w:rsidTr="00952BD8">
        <w:trPr>
          <w:jc w:val="center"/>
        </w:trPr>
        <w:tc>
          <w:tcPr>
            <w:tcW w:w="1598" w:type="dxa"/>
          </w:tcPr>
          <w:p w14:paraId="469B41D5" w14:textId="77777777" w:rsidR="00952BD8" w:rsidRPr="006F52BF" w:rsidRDefault="00952BD8" w:rsidP="00686833">
            <w:r w:rsidRPr="006F52BF">
              <w:rPr>
                <w:rFonts w:ascii="Times New Roman" w:eastAsia="Times New Roman" w:hAnsi="Times New Roman"/>
                <w:sz w:val="20"/>
              </w:rPr>
              <w:t>2022</w:t>
            </w:r>
          </w:p>
        </w:tc>
        <w:tc>
          <w:tcPr>
            <w:tcW w:w="1660" w:type="dxa"/>
          </w:tcPr>
          <w:p w14:paraId="4D3950C2" w14:textId="77777777" w:rsidR="00952BD8" w:rsidRPr="006F52BF" w:rsidRDefault="00952BD8" w:rsidP="00686833">
            <w:r w:rsidRPr="006F52BF">
              <w:rPr>
                <w:rFonts w:ascii="Times New Roman" w:eastAsia="Times New Roman" w:hAnsi="Times New Roman"/>
                <w:sz w:val="20"/>
              </w:rPr>
              <w:t>436</w:t>
            </w:r>
          </w:p>
        </w:tc>
        <w:tc>
          <w:tcPr>
            <w:tcW w:w="1738" w:type="dxa"/>
          </w:tcPr>
          <w:p w14:paraId="2ADC0E26" w14:textId="77777777" w:rsidR="00952BD8" w:rsidRPr="006F52BF" w:rsidRDefault="00952BD8" w:rsidP="00686833">
            <w:r w:rsidRPr="006F52BF">
              <w:rPr>
                <w:rFonts w:ascii="Times New Roman" w:eastAsia="Times New Roman" w:hAnsi="Times New Roman"/>
                <w:sz w:val="20"/>
              </w:rPr>
              <w:t>0</w:t>
            </w:r>
          </w:p>
        </w:tc>
        <w:tc>
          <w:tcPr>
            <w:tcW w:w="1806" w:type="dxa"/>
          </w:tcPr>
          <w:p w14:paraId="5717A251" w14:textId="77777777" w:rsidR="00952BD8" w:rsidRPr="006F52BF" w:rsidRDefault="00952BD8" w:rsidP="00686833">
            <w:r w:rsidRPr="006F52BF">
              <w:rPr>
                <w:rFonts w:ascii="Times New Roman" w:eastAsia="Times New Roman" w:hAnsi="Times New Roman"/>
                <w:sz w:val="20"/>
              </w:rPr>
              <w:t>100</w:t>
            </w:r>
          </w:p>
        </w:tc>
        <w:tc>
          <w:tcPr>
            <w:tcW w:w="1692" w:type="dxa"/>
          </w:tcPr>
          <w:p w14:paraId="40BAE773" w14:textId="77777777" w:rsidR="00952BD8" w:rsidRPr="006F52BF" w:rsidRDefault="00952BD8" w:rsidP="00686833">
            <w:r w:rsidRPr="006F52BF">
              <w:rPr>
                <w:rFonts w:ascii="Times New Roman" w:eastAsia="Times New Roman" w:hAnsi="Times New Roman"/>
                <w:sz w:val="20"/>
              </w:rPr>
              <w:t>60</w:t>
            </w:r>
          </w:p>
        </w:tc>
      </w:tr>
      <w:tr w:rsidR="00952BD8" w:rsidRPr="006F52BF" w14:paraId="1B322344" w14:textId="77777777" w:rsidTr="00952BD8">
        <w:trPr>
          <w:jc w:val="center"/>
        </w:trPr>
        <w:tc>
          <w:tcPr>
            <w:tcW w:w="1598" w:type="dxa"/>
          </w:tcPr>
          <w:p w14:paraId="149A1DA7" w14:textId="77777777" w:rsidR="00952BD8" w:rsidRPr="006F52BF" w:rsidRDefault="00952BD8" w:rsidP="00686833">
            <w:r w:rsidRPr="006F52BF">
              <w:rPr>
                <w:rFonts w:ascii="Times New Roman" w:eastAsia="Times New Roman" w:hAnsi="Times New Roman"/>
                <w:sz w:val="20"/>
              </w:rPr>
              <w:t>2023</w:t>
            </w:r>
          </w:p>
        </w:tc>
        <w:tc>
          <w:tcPr>
            <w:tcW w:w="1660" w:type="dxa"/>
          </w:tcPr>
          <w:p w14:paraId="77703BB9" w14:textId="77777777" w:rsidR="00952BD8" w:rsidRPr="006F52BF" w:rsidRDefault="00952BD8" w:rsidP="00686833">
            <w:r w:rsidRPr="006F52BF">
              <w:rPr>
                <w:rFonts w:ascii="Times New Roman" w:eastAsia="Times New Roman" w:hAnsi="Times New Roman"/>
                <w:sz w:val="20"/>
              </w:rPr>
              <w:t>210</w:t>
            </w:r>
          </w:p>
        </w:tc>
        <w:tc>
          <w:tcPr>
            <w:tcW w:w="1738" w:type="dxa"/>
          </w:tcPr>
          <w:p w14:paraId="27B020EB" w14:textId="77777777" w:rsidR="00952BD8" w:rsidRPr="006F52BF" w:rsidRDefault="00952BD8" w:rsidP="00686833">
            <w:r w:rsidRPr="006F52BF">
              <w:rPr>
                <w:rFonts w:ascii="Times New Roman" w:eastAsia="Times New Roman" w:hAnsi="Times New Roman"/>
                <w:sz w:val="20"/>
              </w:rPr>
              <w:t>60</w:t>
            </w:r>
          </w:p>
        </w:tc>
        <w:tc>
          <w:tcPr>
            <w:tcW w:w="1806" w:type="dxa"/>
          </w:tcPr>
          <w:p w14:paraId="2AEBA2D3" w14:textId="77777777" w:rsidR="00952BD8" w:rsidRPr="006F52BF" w:rsidRDefault="00952BD8" w:rsidP="00686833">
            <w:r w:rsidRPr="006F52BF">
              <w:rPr>
                <w:rFonts w:ascii="Times New Roman" w:eastAsia="Times New Roman" w:hAnsi="Times New Roman"/>
                <w:sz w:val="20"/>
              </w:rPr>
              <w:t>70</w:t>
            </w:r>
          </w:p>
        </w:tc>
        <w:tc>
          <w:tcPr>
            <w:tcW w:w="1692" w:type="dxa"/>
          </w:tcPr>
          <w:p w14:paraId="2CD24F1F" w14:textId="77777777" w:rsidR="00952BD8" w:rsidRPr="006F52BF" w:rsidRDefault="00952BD8" w:rsidP="00686833">
            <w:r w:rsidRPr="006F52BF">
              <w:rPr>
                <w:rFonts w:ascii="Times New Roman" w:eastAsia="Times New Roman" w:hAnsi="Times New Roman"/>
                <w:sz w:val="20"/>
              </w:rPr>
              <w:t>5</w:t>
            </w:r>
          </w:p>
        </w:tc>
      </w:tr>
    </w:tbl>
    <w:p w14:paraId="11468AE0" w14:textId="2D33BCDC" w:rsidR="00952BD8" w:rsidRPr="006F52BF" w:rsidRDefault="00952BD8" w:rsidP="00952BD8">
      <w:pPr>
        <w:spacing w:line="240" w:lineRule="auto"/>
        <w:jc w:val="both"/>
        <w:rPr>
          <w:rFonts w:ascii="Times New Roman" w:eastAsia="Times New Roman" w:hAnsi="Times New Roman"/>
        </w:rPr>
      </w:pPr>
      <w:r w:rsidRPr="006F52BF">
        <w:rPr>
          <w:rFonts w:ascii="Times New Roman" w:eastAsia="Times New Roman" w:hAnsi="Times New Roman"/>
        </w:rPr>
        <w:t>Fuente: elaboración propia a partir de datos de trabajo del CONICET.</w:t>
      </w:r>
    </w:p>
    <w:p w14:paraId="414261F2" w14:textId="77777777" w:rsidR="00BC62F9" w:rsidRPr="006F52BF" w:rsidRDefault="00BC62F9" w:rsidP="00BC62F9">
      <w:pPr>
        <w:spacing w:line="240" w:lineRule="auto"/>
        <w:jc w:val="both"/>
        <w:rPr>
          <w:rFonts w:ascii="Times New Roman" w:eastAsia="Times New Roman" w:hAnsi="Times New Roman"/>
        </w:rPr>
      </w:pPr>
      <w:r w:rsidRPr="006F52BF">
        <w:rPr>
          <w:rFonts w:ascii="Times New Roman" w:eastAsia="Times New Roman" w:hAnsi="Times New Roman"/>
        </w:rPr>
        <w:t>Hasta 2012, la convocatoria general había sido el formato prácticamente dominante. Desde 2013, los Temas Estratégicos aparecen como una modalidad complementaria, orientada a vincular la formación de investigadores con prioridades socio-productivas y tecnológicas definidas por la política científica nacional. Desde 2018, la línea de Fortalecimiento I+D+i agrega un criterio territorial e institucional más explícito, orientado a universidades y organismos con menor desarrollo relativo de capacidades. En 2021 y 2022 aparecen también proyectos especiales, aunque como subvariantes de un esquema más amplio de segmentación.</w:t>
      </w:r>
    </w:p>
    <w:p w14:paraId="4AB7AA0C" w14:textId="77777777" w:rsidR="008D3E14" w:rsidRPr="006F52BF" w:rsidRDefault="00BC62F9" w:rsidP="00952BD8">
      <w:pPr>
        <w:spacing w:line="240" w:lineRule="auto"/>
        <w:jc w:val="both"/>
        <w:rPr>
          <w:rFonts w:ascii="Times New Roman" w:eastAsia="Times New Roman" w:hAnsi="Times New Roman" w:cs="Times New Roman"/>
          <w:lang w:eastAsia="es-MX"/>
        </w:rPr>
      </w:pPr>
      <w:r w:rsidRPr="006F52BF">
        <w:rPr>
          <w:rFonts w:ascii="Times New Roman" w:eastAsia="Times New Roman" w:hAnsi="Times New Roman"/>
        </w:rPr>
        <w:t xml:space="preserve">La Figura 2 muestra que la modalidad General continuó siendo muy relevante durante casi todo el período 2013-2023. Sin embargo, la presencia de Temas Estratégicos y Fortalecimiento modifica el modo en que se organiza la competencia. El </w:t>
      </w:r>
      <w:r w:rsidR="008D3E14" w:rsidRPr="006F52BF">
        <w:rPr>
          <w:rFonts w:ascii="Times New Roman" w:eastAsia="Times New Roman" w:hAnsi="Times New Roman"/>
        </w:rPr>
        <w:t xml:space="preserve">ingresi </w:t>
      </w:r>
      <w:r w:rsidRPr="006F52BF">
        <w:rPr>
          <w:rFonts w:ascii="Times New Roman" w:eastAsia="Times New Roman" w:hAnsi="Times New Roman"/>
        </w:rPr>
        <w:t xml:space="preserve">ya no se define solamente por un orden general de mérito, sino por la combinación entre mérito, modalidad, perfil institucional y disponibilidad de cupos. </w:t>
      </w:r>
      <w:r w:rsidR="008D3E14" w:rsidRPr="006F52BF">
        <w:rPr>
          <w:rFonts w:ascii="Times New Roman" w:eastAsia="Times New Roman" w:hAnsi="Times New Roman" w:cs="Times New Roman"/>
          <w:lang w:eastAsia="es-MX"/>
        </w:rPr>
        <w:t xml:space="preserve">En conjunto, esta lectura sugiere que la diversificación de modalidades de convocatoria en el último subperiodo operó principalmente como un mecanismo de redistribución interna de vacantes en un contexto de restricción del acceso, más que como una estrategia de ampliación del ingreso a la carrera científica. En este sentido, el análisis longitudinal permite identificar un desplazamiento progresivo desde regímenes de autonomía académica hacia esquemas de regulación burocrática. Sin embargo, este proceso no implica una sustitución lineal de la cultura académica por una cultura burocrática, sino la conformación de </w:t>
      </w:r>
      <w:r w:rsidR="008D3E14" w:rsidRPr="006F52BF">
        <w:rPr>
          <w:rFonts w:ascii="Times New Roman" w:eastAsia="Times New Roman" w:hAnsi="Times New Roman" w:cs="Times New Roman"/>
          <w:bCs/>
          <w:lang w:eastAsia="es-MX"/>
        </w:rPr>
        <w:t>procesos híbridos</w:t>
      </w:r>
      <w:r w:rsidR="008D3E14" w:rsidRPr="006F52BF">
        <w:rPr>
          <w:rFonts w:ascii="Times New Roman" w:eastAsia="Times New Roman" w:hAnsi="Times New Roman" w:cs="Times New Roman"/>
          <w:lang w:eastAsia="es-MX"/>
        </w:rPr>
        <w:t>, en los que coexisten principios de autorregulación disciplinar con dispositivos de planificación estatal. Por un lado, se mantiene la centralidad del juicio experto y la evaluación por pares, organizada en circuitos institucionales que estandarizan el ordenamiento de méritos. Por otro lado, se profundiza una tecnificación del proceso mediante grillas, ponderadores y protocolos de revisión que administran la comparabilidad y refuerzan la trazabilidad procedimental</w:t>
      </w:r>
    </w:p>
    <w:p w14:paraId="328CD7ED" w14:textId="33547921"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b/>
          <w:lang w:val="en-US"/>
        </w:rPr>
        <w:lastRenderedPageBreak/>
        <w:t>Evaluación, transferencia y federalización: alcances y límites de la reorientación</w:t>
      </w:r>
    </w:p>
    <w:p w14:paraId="66635706" w14:textId="5651815D" w:rsidR="005075BD"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En las convocatorias generales recientes, la producción científico-tecnológica conserva el peso relativo más alto. Aunque se incorporan dimensiones como plan de investigación, lugar de trabajo, docencia, formación de recursos humanos, transferencia, extensión u “otra información relevante”, la productividad académica sigue organizando la jerarquización de postulantes. Incluso cuando se promueven discursos de evaluación responsable o multidimensional, la infraestructura evaluativa continúa apoyada en grillas, ponderaciones, dictámenes expertos y comparaciones entre trayectorias. Si el ingreso a carrera premia sobre todo publicaciones indexadas, los investigadores orientarán sus estrategias hacia ese tipo de producción. Si la transferencia, la extensión, la comunicación pública o la cooperación territorial tienen ponderaciones marginales, esas actividades permanecerán subordinadas, aun cuando los discursos institucionales las valoricen. En consecuencia, las reglas de ingreso no solo seleccionan candidatos: también señalan qué cuenta como conocimiento legítimo, qué trayectorias son reconocidas y qué formas de articulación con la sociedad quedan en segundo plano.</w:t>
      </w:r>
    </w:p>
    <w:p w14:paraId="4E6AB3AD" w14:textId="56491A6A" w:rsidR="005075BD" w:rsidRPr="006F52BF" w:rsidRDefault="005075BD" w:rsidP="00BC62F9">
      <w:pPr>
        <w:spacing w:line="240" w:lineRule="auto"/>
        <w:jc w:val="both"/>
        <w:rPr>
          <w:rFonts w:ascii="Times New Roman" w:eastAsia="Times New Roman" w:hAnsi="Times New Roman" w:cs="Times New Roman"/>
          <w:lang w:eastAsia="es-MX"/>
        </w:rPr>
      </w:pPr>
      <w:r w:rsidRPr="006F52BF">
        <w:rPr>
          <w:rFonts w:ascii="Times New Roman" w:hAnsi="Times New Roman" w:cs="Times New Roman"/>
          <w:lang w:val="en-US"/>
        </w:rPr>
        <w:t xml:space="preserve">Tabla 3. </w:t>
      </w:r>
      <w:r w:rsidRPr="006F52BF">
        <w:rPr>
          <w:rFonts w:ascii="Times New Roman" w:eastAsia="Times New Roman" w:hAnsi="Times New Roman" w:cs="Times New Roman"/>
          <w:lang w:eastAsia="es-MX"/>
        </w:rPr>
        <w:t>Puntajes máximos por dimensión y categoría para ingreso a CICyT en temas generales, 2020, 2021,2022.</w:t>
      </w:r>
    </w:p>
    <w:tbl>
      <w:tblPr>
        <w:tblW w:w="9137" w:type="dxa"/>
        <w:tblCellMar>
          <w:left w:w="70" w:type="dxa"/>
          <w:right w:w="70" w:type="dxa"/>
        </w:tblCellMar>
        <w:tblLook w:val="04A0" w:firstRow="1" w:lastRow="0" w:firstColumn="1" w:lastColumn="0" w:noHBand="0" w:noVBand="1"/>
      </w:tblPr>
      <w:tblGrid>
        <w:gridCol w:w="2718"/>
        <w:gridCol w:w="546"/>
        <w:gridCol w:w="513"/>
        <w:gridCol w:w="580"/>
        <w:gridCol w:w="568"/>
        <w:gridCol w:w="546"/>
        <w:gridCol w:w="525"/>
        <w:gridCol w:w="589"/>
        <w:gridCol w:w="568"/>
        <w:gridCol w:w="546"/>
        <w:gridCol w:w="513"/>
        <w:gridCol w:w="580"/>
        <w:gridCol w:w="568"/>
      </w:tblGrid>
      <w:tr w:rsidR="005075BD" w:rsidRPr="006F52BF" w14:paraId="238E23A2" w14:textId="77777777" w:rsidTr="00686833">
        <w:trPr>
          <w:trHeight w:val="300"/>
        </w:trPr>
        <w:tc>
          <w:tcPr>
            <w:tcW w:w="26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A7727E"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Dimensión</w:t>
            </w:r>
          </w:p>
        </w:tc>
        <w:tc>
          <w:tcPr>
            <w:tcW w:w="213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00983" w14:textId="77777777" w:rsidR="005075BD" w:rsidRPr="006F52BF" w:rsidRDefault="005075BD" w:rsidP="005075BD">
            <w:pPr>
              <w:spacing w:after="0" w:line="240" w:lineRule="auto"/>
              <w:contextualSpacing/>
              <w:jc w:val="center"/>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2020</w:t>
            </w:r>
          </w:p>
        </w:tc>
        <w:tc>
          <w:tcPr>
            <w:tcW w:w="222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9DA35" w14:textId="77777777" w:rsidR="005075BD" w:rsidRPr="006F52BF" w:rsidRDefault="005075BD" w:rsidP="005075BD">
            <w:pPr>
              <w:spacing w:after="0" w:line="240" w:lineRule="auto"/>
              <w:contextualSpacing/>
              <w:jc w:val="center"/>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2021</w:t>
            </w:r>
          </w:p>
        </w:tc>
        <w:tc>
          <w:tcPr>
            <w:tcW w:w="213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E126" w14:textId="77777777" w:rsidR="005075BD" w:rsidRPr="006F52BF" w:rsidRDefault="005075BD" w:rsidP="005075BD">
            <w:pPr>
              <w:spacing w:after="0" w:line="240" w:lineRule="auto"/>
              <w:contextualSpacing/>
              <w:jc w:val="center"/>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2022</w:t>
            </w:r>
          </w:p>
        </w:tc>
      </w:tr>
      <w:tr w:rsidR="005075BD" w:rsidRPr="006F52BF" w14:paraId="554505CB" w14:textId="77777777" w:rsidTr="00686833">
        <w:trPr>
          <w:trHeight w:val="454"/>
        </w:trPr>
        <w:tc>
          <w:tcPr>
            <w:tcW w:w="2633" w:type="dxa"/>
            <w:vMerge/>
            <w:tcBorders>
              <w:top w:val="single" w:sz="4" w:space="0" w:color="auto"/>
              <w:left w:val="single" w:sz="4" w:space="0" w:color="auto"/>
              <w:bottom w:val="single" w:sz="4" w:space="0" w:color="000000"/>
              <w:right w:val="single" w:sz="4" w:space="0" w:color="auto"/>
            </w:tcBorders>
            <w:vAlign w:val="center"/>
            <w:hideMark/>
          </w:tcPr>
          <w:p w14:paraId="1EF9B381"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p>
        </w:tc>
        <w:tc>
          <w:tcPr>
            <w:tcW w:w="2138" w:type="dxa"/>
            <w:gridSpan w:val="4"/>
            <w:vMerge/>
            <w:tcBorders>
              <w:top w:val="single" w:sz="4" w:space="0" w:color="auto"/>
              <w:left w:val="single" w:sz="4" w:space="0" w:color="auto"/>
              <w:bottom w:val="single" w:sz="4" w:space="0" w:color="auto"/>
              <w:right w:val="single" w:sz="4" w:space="0" w:color="auto"/>
            </w:tcBorders>
            <w:vAlign w:val="center"/>
            <w:hideMark/>
          </w:tcPr>
          <w:p w14:paraId="6C68116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p>
        </w:tc>
        <w:tc>
          <w:tcPr>
            <w:tcW w:w="2228" w:type="dxa"/>
            <w:gridSpan w:val="4"/>
            <w:vMerge/>
            <w:tcBorders>
              <w:top w:val="single" w:sz="4" w:space="0" w:color="auto"/>
              <w:left w:val="single" w:sz="4" w:space="0" w:color="auto"/>
              <w:bottom w:val="single" w:sz="4" w:space="0" w:color="auto"/>
              <w:right w:val="single" w:sz="4" w:space="0" w:color="auto"/>
            </w:tcBorders>
            <w:vAlign w:val="center"/>
            <w:hideMark/>
          </w:tcPr>
          <w:p w14:paraId="6F71CAA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p>
        </w:tc>
        <w:tc>
          <w:tcPr>
            <w:tcW w:w="2138" w:type="dxa"/>
            <w:gridSpan w:val="4"/>
            <w:vMerge/>
            <w:tcBorders>
              <w:top w:val="single" w:sz="4" w:space="0" w:color="auto"/>
              <w:left w:val="single" w:sz="4" w:space="0" w:color="auto"/>
              <w:bottom w:val="single" w:sz="4" w:space="0" w:color="auto"/>
              <w:right w:val="single" w:sz="4" w:space="0" w:color="auto"/>
            </w:tcBorders>
            <w:vAlign w:val="center"/>
            <w:hideMark/>
          </w:tcPr>
          <w:p w14:paraId="7B786844"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p>
        </w:tc>
      </w:tr>
      <w:tr w:rsidR="005075BD" w:rsidRPr="006F52BF" w14:paraId="0C72CD36" w14:textId="77777777" w:rsidTr="00686833">
        <w:trPr>
          <w:trHeight w:val="200"/>
        </w:trPr>
        <w:tc>
          <w:tcPr>
            <w:tcW w:w="2633" w:type="dxa"/>
            <w:vMerge/>
            <w:tcBorders>
              <w:top w:val="single" w:sz="4" w:space="0" w:color="auto"/>
              <w:left w:val="single" w:sz="4" w:space="0" w:color="auto"/>
              <w:bottom w:val="single" w:sz="4" w:space="0" w:color="000000"/>
              <w:right w:val="single" w:sz="4" w:space="0" w:color="auto"/>
            </w:tcBorders>
            <w:vAlign w:val="center"/>
            <w:hideMark/>
          </w:tcPr>
          <w:p w14:paraId="53FC17C8"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p>
        </w:tc>
        <w:tc>
          <w:tcPr>
            <w:tcW w:w="529" w:type="dxa"/>
            <w:tcBorders>
              <w:top w:val="nil"/>
              <w:left w:val="nil"/>
              <w:bottom w:val="single" w:sz="4" w:space="0" w:color="auto"/>
              <w:right w:val="single" w:sz="4" w:space="0" w:color="auto"/>
            </w:tcBorders>
            <w:shd w:val="clear" w:color="auto" w:fill="auto"/>
            <w:vAlign w:val="center"/>
            <w:hideMark/>
          </w:tcPr>
          <w:p w14:paraId="09294819"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Asis.</w:t>
            </w:r>
          </w:p>
        </w:tc>
        <w:tc>
          <w:tcPr>
            <w:tcW w:w="497" w:type="dxa"/>
            <w:tcBorders>
              <w:top w:val="nil"/>
              <w:left w:val="nil"/>
              <w:bottom w:val="single" w:sz="4" w:space="0" w:color="auto"/>
              <w:right w:val="single" w:sz="4" w:space="0" w:color="auto"/>
            </w:tcBorders>
            <w:shd w:val="clear" w:color="auto" w:fill="auto"/>
            <w:vAlign w:val="center"/>
            <w:hideMark/>
          </w:tcPr>
          <w:p w14:paraId="0FBFA4E7"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Adj.</w:t>
            </w:r>
          </w:p>
        </w:tc>
        <w:tc>
          <w:tcPr>
            <w:tcW w:w="561" w:type="dxa"/>
            <w:tcBorders>
              <w:top w:val="nil"/>
              <w:left w:val="nil"/>
              <w:bottom w:val="single" w:sz="4" w:space="0" w:color="auto"/>
              <w:right w:val="single" w:sz="4" w:space="0" w:color="auto"/>
            </w:tcBorders>
            <w:shd w:val="clear" w:color="auto" w:fill="auto"/>
            <w:vAlign w:val="center"/>
            <w:hideMark/>
          </w:tcPr>
          <w:p w14:paraId="4625DFC6"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Inde.</w:t>
            </w:r>
          </w:p>
        </w:tc>
        <w:tc>
          <w:tcPr>
            <w:tcW w:w="550" w:type="dxa"/>
            <w:tcBorders>
              <w:top w:val="nil"/>
              <w:left w:val="nil"/>
              <w:bottom w:val="single" w:sz="4" w:space="0" w:color="auto"/>
              <w:right w:val="single" w:sz="4" w:space="0" w:color="auto"/>
            </w:tcBorders>
            <w:shd w:val="clear" w:color="auto" w:fill="auto"/>
            <w:vAlign w:val="center"/>
            <w:hideMark/>
          </w:tcPr>
          <w:p w14:paraId="36068F10"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Prin.</w:t>
            </w:r>
          </w:p>
        </w:tc>
        <w:tc>
          <w:tcPr>
            <w:tcW w:w="529" w:type="dxa"/>
            <w:tcBorders>
              <w:top w:val="nil"/>
              <w:left w:val="nil"/>
              <w:bottom w:val="single" w:sz="4" w:space="0" w:color="auto"/>
              <w:right w:val="single" w:sz="4" w:space="0" w:color="auto"/>
            </w:tcBorders>
            <w:shd w:val="clear" w:color="auto" w:fill="auto"/>
            <w:vAlign w:val="center"/>
            <w:hideMark/>
          </w:tcPr>
          <w:p w14:paraId="34AB3460"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Asis.</w:t>
            </w:r>
          </w:p>
        </w:tc>
        <w:tc>
          <w:tcPr>
            <w:tcW w:w="544" w:type="dxa"/>
            <w:tcBorders>
              <w:top w:val="nil"/>
              <w:left w:val="nil"/>
              <w:bottom w:val="single" w:sz="4" w:space="0" w:color="auto"/>
              <w:right w:val="single" w:sz="4" w:space="0" w:color="auto"/>
            </w:tcBorders>
            <w:shd w:val="clear" w:color="auto" w:fill="auto"/>
            <w:vAlign w:val="center"/>
            <w:hideMark/>
          </w:tcPr>
          <w:p w14:paraId="27051F5E"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Adj.</w:t>
            </w:r>
          </w:p>
        </w:tc>
        <w:tc>
          <w:tcPr>
            <w:tcW w:w="595" w:type="dxa"/>
            <w:tcBorders>
              <w:top w:val="nil"/>
              <w:left w:val="nil"/>
              <w:bottom w:val="single" w:sz="4" w:space="0" w:color="auto"/>
              <w:right w:val="single" w:sz="4" w:space="0" w:color="auto"/>
            </w:tcBorders>
            <w:shd w:val="clear" w:color="auto" w:fill="auto"/>
            <w:vAlign w:val="center"/>
            <w:hideMark/>
          </w:tcPr>
          <w:p w14:paraId="0A91207C"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Inde.</w:t>
            </w:r>
          </w:p>
        </w:tc>
        <w:tc>
          <w:tcPr>
            <w:tcW w:w="559" w:type="dxa"/>
            <w:tcBorders>
              <w:top w:val="nil"/>
              <w:left w:val="nil"/>
              <w:bottom w:val="single" w:sz="4" w:space="0" w:color="auto"/>
              <w:right w:val="single" w:sz="4" w:space="0" w:color="auto"/>
            </w:tcBorders>
            <w:shd w:val="clear" w:color="auto" w:fill="auto"/>
            <w:vAlign w:val="center"/>
            <w:hideMark/>
          </w:tcPr>
          <w:p w14:paraId="7C97E586"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Prin.</w:t>
            </w:r>
          </w:p>
        </w:tc>
        <w:tc>
          <w:tcPr>
            <w:tcW w:w="529" w:type="dxa"/>
            <w:tcBorders>
              <w:top w:val="nil"/>
              <w:left w:val="nil"/>
              <w:bottom w:val="single" w:sz="4" w:space="0" w:color="auto"/>
              <w:right w:val="single" w:sz="4" w:space="0" w:color="auto"/>
            </w:tcBorders>
            <w:shd w:val="clear" w:color="auto" w:fill="auto"/>
            <w:vAlign w:val="center"/>
            <w:hideMark/>
          </w:tcPr>
          <w:p w14:paraId="6A4D3386"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Asis.</w:t>
            </w:r>
          </w:p>
        </w:tc>
        <w:tc>
          <w:tcPr>
            <w:tcW w:w="497" w:type="dxa"/>
            <w:tcBorders>
              <w:top w:val="nil"/>
              <w:left w:val="nil"/>
              <w:bottom w:val="single" w:sz="4" w:space="0" w:color="auto"/>
              <w:right w:val="single" w:sz="4" w:space="0" w:color="auto"/>
            </w:tcBorders>
            <w:shd w:val="clear" w:color="auto" w:fill="auto"/>
            <w:vAlign w:val="center"/>
            <w:hideMark/>
          </w:tcPr>
          <w:p w14:paraId="2EBE809C"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Adj.</w:t>
            </w:r>
          </w:p>
        </w:tc>
        <w:tc>
          <w:tcPr>
            <w:tcW w:w="561" w:type="dxa"/>
            <w:tcBorders>
              <w:top w:val="nil"/>
              <w:left w:val="nil"/>
              <w:bottom w:val="single" w:sz="4" w:space="0" w:color="auto"/>
              <w:right w:val="single" w:sz="4" w:space="0" w:color="auto"/>
            </w:tcBorders>
            <w:shd w:val="clear" w:color="auto" w:fill="auto"/>
            <w:vAlign w:val="center"/>
            <w:hideMark/>
          </w:tcPr>
          <w:p w14:paraId="5D58ADD9"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Inde.</w:t>
            </w:r>
          </w:p>
        </w:tc>
        <w:tc>
          <w:tcPr>
            <w:tcW w:w="550" w:type="dxa"/>
            <w:tcBorders>
              <w:top w:val="nil"/>
              <w:left w:val="nil"/>
              <w:bottom w:val="single" w:sz="4" w:space="0" w:color="auto"/>
              <w:right w:val="single" w:sz="4" w:space="0" w:color="auto"/>
            </w:tcBorders>
            <w:shd w:val="clear" w:color="auto" w:fill="auto"/>
            <w:vAlign w:val="center"/>
            <w:hideMark/>
          </w:tcPr>
          <w:p w14:paraId="2E123B1F"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Prin.</w:t>
            </w:r>
          </w:p>
        </w:tc>
      </w:tr>
      <w:tr w:rsidR="005075BD" w:rsidRPr="006F52BF" w14:paraId="1FAC7C3A" w14:textId="77777777" w:rsidTr="00686833">
        <w:trPr>
          <w:trHeight w:val="335"/>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2B3745E5"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Formación académica postdoctoral</w:t>
            </w:r>
          </w:p>
        </w:tc>
        <w:tc>
          <w:tcPr>
            <w:tcW w:w="529" w:type="dxa"/>
            <w:tcBorders>
              <w:top w:val="nil"/>
              <w:left w:val="nil"/>
              <w:bottom w:val="single" w:sz="4" w:space="0" w:color="auto"/>
              <w:right w:val="single" w:sz="4" w:space="0" w:color="auto"/>
            </w:tcBorders>
            <w:shd w:val="clear" w:color="auto" w:fill="auto"/>
            <w:vAlign w:val="center"/>
            <w:hideMark/>
          </w:tcPr>
          <w:p w14:paraId="02811B4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497" w:type="dxa"/>
            <w:tcBorders>
              <w:top w:val="nil"/>
              <w:left w:val="nil"/>
              <w:bottom w:val="single" w:sz="4" w:space="0" w:color="auto"/>
              <w:right w:val="single" w:sz="4" w:space="0" w:color="auto"/>
            </w:tcBorders>
            <w:shd w:val="clear" w:color="auto" w:fill="auto"/>
            <w:vAlign w:val="center"/>
            <w:hideMark/>
          </w:tcPr>
          <w:p w14:paraId="2E00A91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w:t>
            </w:r>
          </w:p>
        </w:tc>
        <w:tc>
          <w:tcPr>
            <w:tcW w:w="561" w:type="dxa"/>
            <w:tcBorders>
              <w:top w:val="nil"/>
              <w:left w:val="nil"/>
              <w:bottom w:val="single" w:sz="4" w:space="0" w:color="auto"/>
              <w:right w:val="single" w:sz="4" w:space="0" w:color="auto"/>
            </w:tcBorders>
            <w:shd w:val="clear" w:color="auto" w:fill="auto"/>
            <w:vAlign w:val="center"/>
            <w:hideMark/>
          </w:tcPr>
          <w:p w14:paraId="6A63D4E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0</w:t>
            </w:r>
          </w:p>
        </w:tc>
        <w:tc>
          <w:tcPr>
            <w:tcW w:w="550" w:type="dxa"/>
            <w:tcBorders>
              <w:top w:val="nil"/>
              <w:left w:val="nil"/>
              <w:bottom w:val="single" w:sz="4" w:space="0" w:color="auto"/>
              <w:right w:val="single" w:sz="4" w:space="0" w:color="auto"/>
            </w:tcBorders>
            <w:shd w:val="clear" w:color="auto" w:fill="auto"/>
            <w:vAlign w:val="center"/>
            <w:hideMark/>
          </w:tcPr>
          <w:p w14:paraId="12ECD62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0</w:t>
            </w:r>
          </w:p>
        </w:tc>
        <w:tc>
          <w:tcPr>
            <w:tcW w:w="529" w:type="dxa"/>
            <w:tcBorders>
              <w:top w:val="nil"/>
              <w:left w:val="nil"/>
              <w:bottom w:val="single" w:sz="4" w:space="0" w:color="auto"/>
              <w:right w:val="single" w:sz="4" w:space="0" w:color="auto"/>
            </w:tcBorders>
            <w:shd w:val="clear" w:color="auto" w:fill="auto"/>
            <w:vAlign w:val="center"/>
            <w:hideMark/>
          </w:tcPr>
          <w:p w14:paraId="22E05D4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44" w:type="dxa"/>
            <w:tcBorders>
              <w:top w:val="nil"/>
              <w:left w:val="nil"/>
              <w:bottom w:val="single" w:sz="4" w:space="0" w:color="auto"/>
              <w:right w:val="single" w:sz="4" w:space="0" w:color="auto"/>
            </w:tcBorders>
            <w:shd w:val="clear" w:color="auto" w:fill="auto"/>
            <w:vAlign w:val="center"/>
            <w:hideMark/>
          </w:tcPr>
          <w:p w14:paraId="14672EB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95" w:type="dxa"/>
            <w:tcBorders>
              <w:top w:val="nil"/>
              <w:left w:val="nil"/>
              <w:bottom w:val="single" w:sz="4" w:space="0" w:color="auto"/>
              <w:right w:val="single" w:sz="4" w:space="0" w:color="auto"/>
            </w:tcBorders>
            <w:shd w:val="clear" w:color="auto" w:fill="auto"/>
            <w:vAlign w:val="center"/>
            <w:hideMark/>
          </w:tcPr>
          <w:p w14:paraId="55788FC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9" w:type="dxa"/>
            <w:tcBorders>
              <w:top w:val="nil"/>
              <w:left w:val="nil"/>
              <w:bottom w:val="single" w:sz="4" w:space="0" w:color="auto"/>
              <w:right w:val="single" w:sz="4" w:space="0" w:color="auto"/>
            </w:tcBorders>
            <w:shd w:val="clear" w:color="auto" w:fill="auto"/>
            <w:vAlign w:val="center"/>
            <w:hideMark/>
          </w:tcPr>
          <w:p w14:paraId="0D30A8F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29" w:type="dxa"/>
            <w:tcBorders>
              <w:top w:val="nil"/>
              <w:left w:val="nil"/>
              <w:bottom w:val="single" w:sz="4" w:space="0" w:color="auto"/>
              <w:right w:val="single" w:sz="4" w:space="0" w:color="auto"/>
            </w:tcBorders>
            <w:shd w:val="clear" w:color="auto" w:fill="auto"/>
            <w:vAlign w:val="center"/>
            <w:hideMark/>
          </w:tcPr>
          <w:p w14:paraId="1ECE3C1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497" w:type="dxa"/>
            <w:tcBorders>
              <w:top w:val="nil"/>
              <w:left w:val="nil"/>
              <w:bottom w:val="single" w:sz="4" w:space="0" w:color="auto"/>
              <w:right w:val="single" w:sz="4" w:space="0" w:color="auto"/>
            </w:tcBorders>
            <w:shd w:val="clear" w:color="auto" w:fill="auto"/>
            <w:vAlign w:val="center"/>
            <w:hideMark/>
          </w:tcPr>
          <w:p w14:paraId="68E3C83E"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61" w:type="dxa"/>
            <w:tcBorders>
              <w:top w:val="nil"/>
              <w:left w:val="nil"/>
              <w:bottom w:val="single" w:sz="4" w:space="0" w:color="auto"/>
              <w:right w:val="single" w:sz="4" w:space="0" w:color="auto"/>
            </w:tcBorders>
            <w:shd w:val="clear" w:color="auto" w:fill="auto"/>
            <w:vAlign w:val="center"/>
            <w:hideMark/>
          </w:tcPr>
          <w:p w14:paraId="0585F1D5"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0" w:type="dxa"/>
            <w:tcBorders>
              <w:top w:val="nil"/>
              <w:left w:val="nil"/>
              <w:bottom w:val="single" w:sz="4" w:space="0" w:color="auto"/>
              <w:right w:val="single" w:sz="4" w:space="0" w:color="auto"/>
            </w:tcBorders>
            <w:shd w:val="clear" w:color="auto" w:fill="auto"/>
            <w:vAlign w:val="center"/>
            <w:hideMark/>
          </w:tcPr>
          <w:p w14:paraId="7E9B1CC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r>
      <w:tr w:rsidR="005075BD" w:rsidRPr="006F52BF" w14:paraId="3D918618" w14:textId="77777777" w:rsidTr="00686833">
        <w:trPr>
          <w:trHeight w:val="504"/>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372686E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Producción científico-tecnológica / Producción científica</w:t>
            </w:r>
          </w:p>
        </w:tc>
        <w:tc>
          <w:tcPr>
            <w:tcW w:w="529" w:type="dxa"/>
            <w:tcBorders>
              <w:top w:val="nil"/>
              <w:left w:val="nil"/>
              <w:bottom w:val="single" w:sz="4" w:space="0" w:color="auto"/>
              <w:right w:val="single" w:sz="4" w:space="0" w:color="auto"/>
            </w:tcBorders>
            <w:shd w:val="clear" w:color="auto" w:fill="auto"/>
            <w:vAlign w:val="center"/>
            <w:hideMark/>
          </w:tcPr>
          <w:p w14:paraId="5C1115FE"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62</w:t>
            </w:r>
          </w:p>
        </w:tc>
        <w:tc>
          <w:tcPr>
            <w:tcW w:w="497" w:type="dxa"/>
            <w:tcBorders>
              <w:top w:val="nil"/>
              <w:left w:val="nil"/>
              <w:bottom w:val="single" w:sz="4" w:space="0" w:color="auto"/>
              <w:right w:val="single" w:sz="4" w:space="0" w:color="auto"/>
            </w:tcBorders>
            <w:shd w:val="clear" w:color="auto" w:fill="auto"/>
            <w:vAlign w:val="center"/>
            <w:hideMark/>
          </w:tcPr>
          <w:p w14:paraId="16858A3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68</w:t>
            </w:r>
          </w:p>
        </w:tc>
        <w:tc>
          <w:tcPr>
            <w:tcW w:w="561" w:type="dxa"/>
            <w:tcBorders>
              <w:top w:val="nil"/>
              <w:left w:val="nil"/>
              <w:bottom w:val="single" w:sz="4" w:space="0" w:color="auto"/>
              <w:right w:val="single" w:sz="4" w:space="0" w:color="auto"/>
            </w:tcBorders>
            <w:shd w:val="clear" w:color="auto" w:fill="auto"/>
            <w:vAlign w:val="center"/>
            <w:hideMark/>
          </w:tcPr>
          <w:p w14:paraId="1C142AC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68</w:t>
            </w:r>
          </w:p>
        </w:tc>
        <w:tc>
          <w:tcPr>
            <w:tcW w:w="550" w:type="dxa"/>
            <w:tcBorders>
              <w:top w:val="nil"/>
              <w:left w:val="nil"/>
              <w:bottom w:val="single" w:sz="4" w:space="0" w:color="auto"/>
              <w:right w:val="single" w:sz="4" w:space="0" w:color="auto"/>
            </w:tcBorders>
            <w:shd w:val="clear" w:color="auto" w:fill="auto"/>
            <w:vAlign w:val="center"/>
            <w:hideMark/>
          </w:tcPr>
          <w:p w14:paraId="4CB938F4"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65</w:t>
            </w:r>
          </w:p>
        </w:tc>
        <w:tc>
          <w:tcPr>
            <w:tcW w:w="529" w:type="dxa"/>
            <w:tcBorders>
              <w:top w:val="nil"/>
              <w:left w:val="nil"/>
              <w:bottom w:val="single" w:sz="4" w:space="0" w:color="auto"/>
              <w:right w:val="single" w:sz="4" w:space="0" w:color="auto"/>
            </w:tcBorders>
            <w:shd w:val="clear" w:color="auto" w:fill="auto"/>
            <w:vAlign w:val="center"/>
            <w:hideMark/>
          </w:tcPr>
          <w:p w14:paraId="78CAD8B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44" w:type="dxa"/>
            <w:tcBorders>
              <w:top w:val="nil"/>
              <w:left w:val="nil"/>
              <w:bottom w:val="single" w:sz="4" w:space="0" w:color="auto"/>
              <w:right w:val="single" w:sz="4" w:space="0" w:color="auto"/>
            </w:tcBorders>
            <w:shd w:val="clear" w:color="auto" w:fill="auto"/>
            <w:vAlign w:val="center"/>
            <w:hideMark/>
          </w:tcPr>
          <w:p w14:paraId="18E973F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95" w:type="dxa"/>
            <w:tcBorders>
              <w:top w:val="nil"/>
              <w:left w:val="nil"/>
              <w:bottom w:val="single" w:sz="4" w:space="0" w:color="auto"/>
              <w:right w:val="single" w:sz="4" w:space="0" w:color="auto"/>
            </w:tcBorders>
            <w:shd w:val="clear" w:color="auto" w:fill="auto"/>
            <w:vAlign w:val="center"/>
            <w:hideMark/>
          </w:tcPr>
          <w:p w14:paraId="4F11E80D"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59" w:type="dxa"/>
            <w:tcBorders>
              <w:top w:val="nil"/>
              <w:left w:val="nil"/>
              <w:bottom w:val="single" w:sz="4" w:space="0" w:color="auto"/>
              <w:right w:val="single" w:sz="4" w:space="0" w:color="auto"/>
            </w:tcBorders>
            <w:shd w:val="clear" w:color="auto" w:fill="auto"/>
            <w:vAlign w:val="center"/>
            <w:hideMark/>
          </w:tcPr>
          <w:p w14:paraId="7D000C1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29" w:type="dxa"/>
            <w:tcBorders>
              <w:top w:val="nil"/>
              <w:left w:val="nil"/>
              <w:bottom w:val="single" w:sz="4" w:space="0" w:color="auto"/>
              <w:right w:val="single" w:sz="4" w:space="0" w:color="auto"/>
            </w:tcBorders>
            <w:shd w:val="clear" w:color="auto" w:fill="auto"/>
            <w:vAlign w:val="center"/>
            <w:hideMark/>
          </w:tcPr>
          <w:p w14:paraId="05DCD89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497" w:type="dxa"/>
            <w:tcBorders>
              <w:top w:val="nil"/>
              <w:left w:val="nil"/>
              <w:bottom w:val="single" w:sz="4" w:space="0" w:color="auto"/>
              <w:right w:val="single" w:sz="4" w:space="0" w:color="auto"/>
            </w:tcBorders>
            <w:shd w:val="clear" w:color="auto" w:fill="auto"/>
            <w:vAlign w:val="center"/>
            <w:hideMark/>
          </w:tcPr>
          <w:p w14:paraId="046E445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61" w:type="dxa"/>
            <w:tcBorders>
              <w:top w:val="nil"/>
              <w:left w:val="nil"/>
              <w:bottom w:val="single" w:sz="4" w:space="0" w:color="auto"/>
              <w:right w:val="single" w:sz="4" w:space="0" w:color="auto"/>
            </w:tcBorders>
            <w:shd w:val="clear" w:color="auto" w:fill="auto"/>
            <w:vAlign w:val="center"/>
            <w:hideMark/>
          </w:tcPr>
          <w:p w14:paraId="15419B6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c>
          <w:tcPr>
            <w:tcW w:w="550" w:type="dxa"/>
            <w:tcBorders>
              <w:top w:val="nil"/>
              <w:left w:val="nil"/>
              <w:bottom w:val="single" w:sz="4" w:space="0" w:color="auto"/>
              <w:right w:val="single" w:sz="4" w:space="0" w:color="auto"/>
            </w:tcBorders>
            <w:shd w:val="clear" w:color="auto" w:fill="auto"/>
            <w:vAlign w:val="center"/>
            <w:hideMark/>
          </w:tcPr>
          <w:p w14:paraId="10F26175"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45</w:t>
            </w:r>
          </w:p>
        </w:tc>
      </w:tr>
      <w:tr w:rsidR="005075BD" w:rsidRPr="006F52BF" w14:paraId="0BBDCF74" w14:textId="77777777" w:rsidTr="00686833">
        <w:trPr>
          <w:trHeight w:val="791"/>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12D2103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Plan de investigación y director</w:t>
            </w:r>
          </w:p>
        </w:tc>
        <w:tc>
          <w:tcPr>
            <w:tcW w:w="529" w:type="dxa"/>
            <w:tcBorders>
              <w:top w:val="nil"/>
              <w:left w:val="nil"/>
              <w:bottom w:val="single" w:sz="4" w:space="0" w:color="auto"/>
              <w:right w:val="single" w:sz="4" w:space="0" w:color="auto"/>
            </w:tcBorders>
            <w:shd w:val="clear" w:color="auto" w:fill="auto"/>
            <w:vAlign w:val="center"/>
            <w:hideMark/>
          </w:tcPr>
          <w:p w14:paraId="1FC53BD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w:t>
            </w:r>
          </w:p>
        </w:tc>
        <w:tc>
          <w:tcPr>
            <w:tcW w:w="497" w:type="dxa"/>
            <w:tcBorders>
              <w:top w:val="nil"/>
              <w:left w:val="nil"/>
              <w:bottom w:val="single" w:sz="4" w:space="0" w:color="auto"/>
              <w:right w:val="single" w:sz="4" w:space="0" w:color="auto"/>
            </w:tcBorders>
            <w:shd w:val="clear" w:color="auto" w:fill="auto"/>
            <w:vAlign w:val="center"/>
            <w:hideMark/>
          </w:tcPr>
          <w:p w14:paraId="6C9483F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61" w:type="dxa"/>
            <w:tcBorders>
              <w:top w:val="nil"/>
              <w:left w:val="nil"/>
              <w:bottom w:val="single" w:sz="4" w:space="0" w:color="auto"/>
              <w:right w:val="single" w:sz="4" w:space="0" w:color="auto"/>
            </w:tcBorders>
            <w:shd w:val="clear" w:color="auto" w:fill="auto"/>
            <w:vAlign w:val="center"/>
            <w:hideMark/>
          </w:tcPr>
          <w:p w14:paraId="18984A3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2563062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29" w:type="dxa"/>
            <w:tcBorders>
              <w:top w:val="nil"/>
              <w:left w:val="nil"/>
              <w:bottom w:val="single" w:sz="4" w:space="0" w:color="auto"/>
              <w:right w:val="single" w:sz="4" w:space="0" w:color="auto"/>
            </w:tcBorders>
            <w:shd w:val="clear" w:color="auto" w:fill="auto"/>
            <w:vAlign w:val="center"/>
            <w:hideMark/>
          </w:tcPr>
          <w:p w14:paraId="62EFE38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44" w:type="dxa"/>
            <w:tcBorders>
              <w:top w:val="nil"/>
              <w:left w:val="nil"/>
              <w:bottom w:val="single" w:sz="4" w:space="0" w:color="auto"/>
              <w:right w:val="single" w:sz="4" w:space="0" w:color="auto"/>
            </w:tcBorders>
            <w:shd w:val="clear" w:color="auto" w:fill="auto"/>
            <w:vAlign w:val="center"/>
            <w:hideMark/>
          </w:tcPr>
          <w:p w14:paraId="27F89852"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95" w:type="dxa"/>
            <w:tcBorders>
              <w:top w:val="nil"/>
              <w:left w:val="nil"/>
              <w:bottom w:val="single" w:sz="4" w:space="0" w:color="auto"/>
              <w:right w:val="single" w:sz="4" w:space="0" w:color="auto"/>
            </w:tcBorders>
            <w:shd w:val="clear" w:color="auto" w:fill="auto"/>
            <w:vAlign w:val="center"/>
            <w:hideMark/>
          </w:tcPr>
          <w:p w14:paraId="06F8594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9" w:type="dxa"/>
            <w:tcBorders>
              <w:top w:val="nil"/>
              <w:left w:val="nil"/>
              <w:bottom w:val="single" w:sz="4" w:space="0" w:color="auto"/>
              <w:right w:val="single" w:sz="4" w:space="0" w:color="auto"/>
            </w:tcBorders>
            <w:shd w:val="clear" w:color="auto" w:fill="auto"/>
            <w:vAlign w:val="center"/>
            <w:hideMark/>
          </w:tcPr>
          <w:p w14:paraId="0086E52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29" w:type="dxa"/>
            <w:tcBorders>
              <w:top w:val="nil"/>
              <w:left w:val="nil"/>
              <w:bottom w:val="single" w:sz="4" w:space="0" w:color="auto"/>
              <w:right w:val="single" w:sz="4" w:space="0" w:color="auto"/>
            </w:tcBorders>
            <w:shd w:val="clear" w:color="auto" w:fill="auto"/>
            <w:vAlign w:val="center"/>
            <w:hideMark/>
          </w:tcPr>
          <w:p w14:paraId="521288A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w:t>
            </w:r>
          </w:p>
        </w:tc>
        <w:tc>
          <w:tcPr>
            <w:tcW w:w="497" w:type="dxa"/>
            <w:tcBorders>
              <w:top w:val="nil"/>
              <w:left w:val="nil"/>
              <w:bottom w:val="single" w:sz="4" w:space="0" w:color="auto"/>
              <w:right w:val="single" w:sz="4" w:space="0" w:color="auto"/>
            </w:tcBorders>
            <w:shd w:val="clear" w:color="auto" w:fill="auto"/>
            <w:vAlign w:val="center"/>
            <w:hideMark/>
          </w:tcPr>
          <w:p w14:paraId="2C12177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w:t>
            </w:r>
          </w:p>
        </w:tc>
        <w:tc>
          <w:tcPr>
            <w:tcW w:w="561" w:type="dxa"/>
            <w:tcBorders>
              <w:top w:val="nil"/>
              <w:left w:val="nil"/>
              <w:bottom w:val="single" w:sz="4" w:space="0" w:color="auto"/>
              <w:right w:val="single" w:sz="4" w:space="0" w:color="auto"/>
            </w:tcBorders>
            <w:shd w:val="clear" w:color="auto" w:fill="auto"/>
            <w:vAlign w:val="center"/>
            <w:hideMark/>
          </w:tcPr>
          <w:p w14:paraId="4D1ADB2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c>
          <w:tcPr>
            <w:tcW w:w="550" w:type="dxa"/>
            <w:tcBorders>
              <w:top w:val="nil"/>
              <w:left w:val="nil"/>
              <w:bottom w:val="single" w:sz="4" w:space="0" w:color="auto"/>
              <w:right w:val="single" w:sz="4" w:space="0" w:color="auto"/>
            </w:tcBorders>
            <w:shd w:val="clear" w:color="auto" w:fill="auto"/>
            <w:vAlign w:val="center"/>
            <w:hideMark/>
          </w:tcPr>
          <w:p w14:paraId="1A56B72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r>
      <w:tr w:rsidR="005075BD" w:rsidRPr="006F52BF" w14:paraId="7884141B" w14:textId="77777777" w:rsidTr="00686833">
        <w:trPr>
          <w:trHeight w:val="429"/>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0BCC5F0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Lugar de trabajo</w:t>
            </w:r>
          </w:p>
        </w:tc>
        <w:tc>
          <w:tcPr>
            <w:tcW w:w="529" w:type="dxa"/>
            <w:tcBorders>
              <w:top w:val="nil"/>
              <w:left w:val="nil"/>
              <w:bottom w:val="single" w:sz="4" w:space="0" w:color="auto"/>
              <w:right w:val="single" w:sz="4" w:space="0" w:color="auto"/>
            </w:tcBorders>
            <w:shd w:val="clear" w:color="auto" w:fill="auto"/>
            <w:vAlign w:val="center"/>
            <w:hideMark/>
          </w:tcPr>
          <w:p w14:paraId="3A66206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497" w:type="dxa"/>
            <w:tcBorders>
              <w:top w:val="nil"/>
              <w:left w:val="nil"/>
              <w:bottom w:val="single" w:sz="4" w:space="0" w:color="auto"/>
              <w:right w:val="single" w:sz="4" w:space="0" w:color="auto"/>
            </w:tcBorders>
            <w:shd w:val="clear" w:color="auto" w:fill="auto"/>
            <w:vAlign w:val="center"/>
            <w:hideMark/>
          </w:tcPr>
          <w:p w14:paraId="7AF5E43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61" w:type="dxa"/>
            <w:tcBorders>
              <w:top w:val="nil"/>
              <w:left w:val="nil"/>
              <w:bottom w:val="single" w:sz="4" w:space="0" w:color="auto"/>
              <w:right w:val="single" w:sz="4" w:space="0" w:color="auto"/>
            </w:tcBorders>
            <w:shd w:val="clear" w:color="auto" w:fill="auto"/>
            <w:vAlign w:val="center"/>
            <w:hideMark/>
          </w:tcPr>
          <w:p w14:paraId="4641C35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0" w:type="dxa"/>
            <w:tcBorders>
              <w:top w:val="nil"/>
              <w:left w:val="nil"/>
              <w:bottom w:val="single" w:sz="4" w:space="0" w:color="auto"/>
              <w:right w:val="single" w:sz="4" w:space="0" w:color="auto"/>
            </w:tcBorders>
            <w:shd w:val="clear" w:color="auto" w:fill="auto"/>
            <w:vAlign w:val="center"/>
            <w:hideMark/>
          </w:tcPr>
          <w:p w14:paraId="63EEB51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29" w:type="dxa"/>
            <w:tcBorders>
              <w:top w:val="nil"/>
              <w:left w:val="nil"/>
              <w:bottom w:val="single" w:sz="4" w:space="0" w:color="auto"/>
              <w:right w:val="single" w:sz="4" w:space="0" w:color="auto"/>
            </w:tcBorders>
            <w:shd w:val="clear" w:color="auto" w:fill="auto"/>
            <w:vAlign w:val="center"/>
            <w:hideMark/>
          </w:tcPr>
          <w:p w14:paraId="57A63C2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44" w:type="dxa"/>
            <w:tcBorders>
              <w:top w:val="nil"/>
              <w:left w:val="nil"/>
              <w:bottom w:val="single" w:sz="4" w:space="0" w:color="auto"/>
              <w:right w:val="single" w:sz="4" w:space="0" w:color="auto"/>
            </w:tcBorders>
            <w:shd w:val="clear" w:color="auto" w:fill="auto"/>
            <w:vAlign w:val="center"/>
            <w:hideMark/>
          </w:tcPr>
          <w:p w14:paraId="1F5F57C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95" w:type="dxa"/>
            <w:tcBorders>
              <w:top w:val="nil"/>
              <w:left w:val="nil"/>
              <w:bottom w:val="single" w:sz="4" w:space="0" w:color="auto"/>
              <w:right w:val="single" w:sz="4" w:space="0" w:color="auto"/>
            </w:tcBorders>
            <w:shd w:val="clear" w:color="auto" w:fill="auto"/>
            <w:vAlign w:val="center"/>
            <w:hideMark/>
          </w:tcPr>
          <w:p w14:paraId="27B62C94"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9" w:type="dxa"/>
            <w:tcBorders>
              <w:top w:val="nil"/>
              <w:left w:val="nil"/>
              <w:bottom w:val="single" w:sz="4" w:space="0" w:color="auto"/>
              <w:right w:val="single" w:sz="4" w:space="0" w:color="auto"/>
            </w:tcBorders>
            <w:shd w:val="clear" w:color="auto" w:fill="auto"/>
            <w:vAlign w:val="center"/>
            <w:hideMark/>
          </w:tcPr>
          <w:p w14:paraId="12D8FCB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29" w:type="dxa"/>
            <w:tcBorders>
              <w:top w:val="nil"/>
              <w:left w:val="nil"/>
              <w:bottom w:val="single" w:sz="4" w:space="0" w:color="auto"/>
              <w:right w:val="single" w:sz="4" w:space="0" w:color="auto"/>
            </w:tcBorders>
            <w:shd w:val="clear" w:color="auto" w:fill="auto"/>
            <w:vAlign w:val="center"/>
            <w:hideMark/>
          </w:tcPr>
          <w:p w14:paraId="2963AEE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497" w:type="dxa"/>
            <w:tcBorders>
              <w:top w:val="nil"/>
              <w:left w:val="nil"/>
              <w:bottom w:val="single" w:sz="4" w:space="0" w:color="auto"/>
              <w:right w:val="single" w:sz="4" w:space="0" w:color="auto"/>
            </w:tcBorders>
            <w:shd w:val="clear" w:color="auto" w:fill="auto"/>
            <w:vAlign w:val="center"/>
            <w:hideMark/>
          </w:tcPr>
          <w:p w14:paraId="7038C2A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4C8F92F9"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3B06374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r>
      <w:tr w:rsidR="005075BD" w:rsidRPr="006F52BF" w14:paraId="10A08EBB" w14:textId="77777777" w:rsidTr="00686833">
        <w:trPr>
          <w:trHeight w:val="632"/>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7E04442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Plan de investigación + lugar + director</w:t>
            </w:r>
          </w:p>
        </w:tc>
        <w:tc>
          <w:tcPr>
            <w:tcW w:w="529" w:type="dxa"/>
            <w:tcBorders>
              <w:top w:val="nil"/>
              <w:left w:val="nil"/>
              <w:bottom w:val="single" w:sz="4" w:space="0" w:color="auto"/>
              <w:right w:val="single" w:sz="4" w:space="0" w:color="auto"/>
            </w:tcBorders>
            <w:shd w:val="clear" w:color="auto" w:fill="auto"/>
            <w:vAlign w:val="center"/>
            <w:hideMark/>
          </w:tcPr>
          <w:p w14:paraId="04B8294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497" w:type="dxa"/>
            <w:tcBorders>
              <w:top w:val="nil"/>
              <w:left w:val="nil"/>
              <w:bottom w:val="single" w:sz="4" w:space="0" w:color="auto"/>
              <w:right w:val="single" w:sz="4" w:space="0" w:color="auto"/>
            </w:tcBorders>
            <w:shd w:val="clear" w:color="auto" w:fill="auto"/>
            <w:vAlign w:val="center"/>
            <w:hideMark/>
          </w:tcPr>
          <w:p w14:paraId="28141B74"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61" w:type="dxa"/>
            <w:tcBorders>
              <w:top w:val="nil"/>
              <w:left w:val="nil"/>
              <w:bottom w:val="single" w:sz="4" w:space="0" w:color="auto"/>
              <w:right w:val="single" w:sz="4" w:space="0" w:color="auto"/>
            </w:tcBorders>
            <w:shd w:val="clear" w:color="auto" w:fill="auto"/>
            <w:vAlign w:val="center"/>
            <w:hideMark/>
          </w:tcPr>
          <w:p w14:paraId="266DED6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0" w:type="dxa"/>
            <w:tcBorders>
              <w:top w:val="nil"/>
              <w:left w:val="nil"/>
              <w:bottom w:val="single" w:sz="4" w:space="0" w:color="auto"/>
              <w:right w:val="single" w:sz="4" w:space="0" w:color="auto"/>
            </w:tcBorders>
            <w:shd w:val="clear" w:color="auto" w:fill="auto"/>
            <w:vAlign w:val="center"/>
            <w:hideMark/>
          </w:tcPr>
          <w:p w14:paraId="6238A3F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29" w:type="dxa"/>
            <w:tcBorders>
              <w:top w:val="nil"/>
              <w:left w:val="nil"/>
              <w:bottom w:val="single" w:sz="4" w:space="0" w:color="auto"/>
              <w:right w:val="single" w:sz="4" w:space="0" w:color="auto"/>
            </w:tcBorders>
            <w:shd w:val="clear" w:color="auto" w:fill="auto"/>
            <w:vAlign w:val="center"/>
            <w:hideMark/>
          </w:tcPr>
          <w:p w14:paraId="31F6182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30</w:t>
            </w:r>
          </w:p>
        </w:tc>
        <w:tc>
          <w:tcPr>
            <w:tcW w:w="544" w:type="dxa"/>
            <w:tcBorders>
              <w:top w:val="nil"/>
              <w:left w:val="nil"/>
              <w:bottom w:val="single" w:sz="4" w:space="0" w:color="auto"/>
              <w:right w:val="single" w:sz="4" w:space="0" w:color="auto"/>
            </w:tcBorders>
            <w:shd w:val="clear" w:color="auto" w:fill="auto"/>
            <w:vAlign w:val="center"/>
            <w:hideMark/>
          </w:tcPr>
          <w:p w14:paraId="4908CA69"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25</w:t>
            </w:r>
          </w:p>
        </w:tc>
        <w:tc>
          <w:tcPr>
            <w:tcW w:w="595" w:type="dxa"/>
            <w:tcBorders>
              <w:top w:val="nil"/>
              <w:left w:val="nil"/>
              <w:bottom w:val="single" w:sz="4" w:space="0" w:color="auto"/>
              <w:right w:val="single" w:sz="4" w:space="0" w:color="auto"/>
            </w:tcBorders>
            <w:shd w:val="clear" w:color="auto" w:fill="auto"/>
            <w:vAlign w:val="center"/>
            <w:hideMark/>
          </w:tcPr>
          <w:p w14:paraId="7149F3D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w:t>
            </w:r>
          </w:p>
        </w:tc>
        <w:tc>
          <w:tcPr>
            <w:tcW w:w="559" w:type="dxa"/>
            <w:tcBorders>
              <w:top w:val="nil"/>
              <w:left w:val="nil"/>
              <w:bottom w:val="single" w:sz="4" w:space="0" w:color="auto"/>
              <w:right w:val="single" w:sz="4" w:space="0" w:color="auto"/>
            </w:tcBorders>
            <w:shd w:val="clear" w:color="auto" w:fill="auto"/>
            <w:vAlign w:val="center"/>
            <w:hideMark/>
          </w:tcPr>
          <w:p w14:paraId="3D1D3755"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20</w:t>
            </w:r>
          </w:p>
        </w:tc>
        <w:tc>
          <w:tcPr>
            <w:tcW w:w="529" w:type="dxa"/>
            <w:tcBorders>
              <w:top w:val="nil"/>
              <w:left w:val="nil"/>
              <w:bottom w:val="single" w:sz="4" w:space="0" w:color="auto"/>
              <w:right w:val="single" w:sz="4" w:space="0" w:color="auto"/>
            </w:tcBorders>
            <w:shd w:val="clear" w:color="auto" w:fill="auto"/>
            <w:vAlign w:val="center"/>
            <w:hideMark/>
          </w:tcPr>
          <w:p w14:paraId="24E08DD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497" w:type="dxa"/>
            <w:tcBorders>
              <w:top w:val="nil"/>
              <w:left w:val="nil"/>
              <w:bottom w:val="single" w:sz="4" w:space="0" w:color="auto"/>
              <w:right w:val="single" w:sz="4" w:space="0" w:color="auto"/>
            </w:tcBorders>
            <w:shd w:val="clear" w:color="auto" w:fill="auto"/>
            <w:vAlign w:val="center"/>
            <w:hideMark/>
          </w:tcPr>
          <w:p w14:paraId="55AD983D"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61" w:type="dxa"/>
            <w:tcBorders>
              <w:top w:val="nil"/>
              <w:left w:val="nil"/>
              <w:bottom w:val="single" w:sz="4" w:space="0" w:color="auto"/>
              <w:right w:val="single" w:sz="4" w:space="0" w:color="auto"/>
            </w:tcBorders>
            <w:shd w:val="clear" w:color="auto" w:fill="auto"/>
            <w:vAlign w:val="center"/>
            <w:hideMark/>
          </w:tcPr>
          <w:p w14:paraId="7FB64C0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c>
          <w:tcPr>
            <w:tcW w:w="550" w:type="dxa"/>
            <w:tcBorders>
              <w:top w:val="nil"/>
              <w:left w:val="nil"/>
              <w:bottom w:val="single" w:sz="4" w:space="0" w:color="auto"/>
              <w:right w:val="single" w:sz="4" w:space="0" w:color="auto"/>
            </w:tcBorders>
            <w:shd w:val="clear" w:color="auto" w:fill="auto"/>
            <w:vAlign w:val="center"/>
            <w:hideMark/>
          </w:tcPr>
          <w:p w14:paraId="0F8F89A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w:t>
            </w:r>
          </w:p>
        </w:tc>
      </w:tr>
      <w:tr w:rsidR="005075BD" w:rsidRPr="006F52BF" w14:paraId="028CDC64" w14:textId="77777777" w:rsidTr="00686833">
        <w:trPr>
          <w:trHeight w:val="985"/>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7A90653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Formación de RRHH (dirección de becarios/investigadores/tesistas)</w:t>
            </w:r>
          </w:p>
        </w:tc>
        <w:tc>
          <w:tcPr>
            <w:tcW w:w="529" w:type="dxa"/>
            <w:tcBorders>
              <w:top w:val="nil"/>
              <w:left w:val="nil"/>
              <w:bottom w:val="single" w:sz="4" w:space="0" w:color="auto"/>
              <w:right w:val="single" w:sz="4" w:space="0" w:color="auto"/>
            </w:tcBorders>
            <w:shd w:val="clear" w:color="auto" w:fill="auto"/>
            <w:vAlign w:val="center"/>
            <w:hideMark/>
          </w:tcPr>
          <w:p w14:paraId="1087BB3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w:t>
            </w:r>
          </w:p>
        </w:tc>
        <w:tc>
          <w:tcPr>
            <w:tcW w:w="497" w:type="dxa"/>
            <w:tcBorders>
              <w:top w:val="nil"/>
              <w:left w:val="nil"/>
              <w:bottom w:val="single" w:sz="4" w:space="0" w:color="auto"/>
              <w:right w:val="single" w:sz="4" w:space="0" w:color="auto"/>
            </w:tcBorders>
            <w:shd w:val="clear" w:color="auto" w:fill="auto"/>
            <w:vAlign w:val="center"/>
            <w:hideMark/>
          </w:tcPr>
          <w:p w14:paraId="4224C99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1855DB8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50" w:type="dxa"/>
            <w:tcBorders>
              <w:top w:val="nil"/>
              <w:left w:val="nil"/>
              <w:bottom w:val="single" w:sz="4" w:space="0" w:color="auto"/>
              <w:right w:val="single" w:sz="4" w:space="0" w:color="auto"/>
            </w:tcBorders>
            <w:shd w:val="clear" w:color="auto" w:fill="auto"/>
            <w:vAlign w:val="center"/>
            <w:hideMark/>
          </w:tcPr>
          <w:p w14:paraId="30D39CB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c>
          <w:tcPr>
            <w:tcW w:w="529" w:type="dxa"/>
            <w:tcBorders>
              <w:top w:val="nil"/>
              <w:left w:val="nil"/>
              <w:bottom w:val="single" w:sz="4" w:space="0" w:color="auto"/>
              <w:right w:val="single" w:sz="4" w:space="0" w:color="auto"/>
            </w:tcBorders>
            <w:shd w:val="clear" w:color="auto" w:fill="auto"/>
            <w:vAlign w:val="center"/>
            <w:hideMark/>
          </w:tcPr>
          <w:p w14:paraId="412EF33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0</w:t>
            </w:r>
          </w:p>
        </w:tc>
        <w:tc>
          <w:tcPr>
            <w:tcW w:w="544" w:type="dxa"/>
            <w:tcBorders>
              <w:top w:val="nil"/>
              <w:left w:val="nil"/>
              <w:bottom w:val="single" w:sz="4" w:space="0" w:color="auto"/>
              <w:right w:val="single" w:sz="4" w:space="0" w:color="auto"/>
            </w:tcBorders>
            <w:shd w:val="clear" w:color="auto" w:fill="auto"/>
            <w:vAlign w:val="center"/>
            <w:hideMark/>
          </w:tcPr>
          <w:p w14:paraId="41345DD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95" w:type="dxa"/>
            <w:tcBorders>
              <w:top w:val="nil"/>
              <w:left w:val="nil"/>
              <w:bottom w:val="single" w:sz="4" w:space="0" w:color="auto"/>
              <w:right w:val="single" w:sz="4" w:space="0" w:color="auto"/>
            </w:tcBorders>
            <w:shd w:val="clear" w:color="auto" w:fill="auto"/>
            <w:vAlign w:val="center"/>
            <w:hideMark/>
          </w:tcPr>
          <w:p w14:paraId="10FFEB8D"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59" w:type="dxa"/>
            <w:tcBorders>
              <w:top w:val="nil"/>
              <w:left w:val="nil"/>
              <w:bottom w:val="single" w:sz="4" w:space="0" w:color="auto"/>
              <w:right w:val="single" w:sz="4" w:space="0" w:color="auto"/>
            </w:tcBorders>
            <w:shd w:val="clear" w:color="auto" w:fill="auto"/>
            <w:vAlign w:val="center"/>
            <w:hideMark/>
          </w:tcPr>
          <w:p w14:paraId="44FC44C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29" w:type="dxa"/>
            <w:tcBorders>
              <w:top w:val="nil"/>
              <w:left w:val="nil"/>
              <w:bottom w:val="single" w:sz="4" w:space="0" w:color="auto"/>
              <w:right w:val="single" w:sz="4" w:space="0" w:color="auto"/>
            </w:tcBorders>
            <w:shd w:val="clear" w:color="auto" w:fill="auto"/>
            <w:vAlign w:val="center"/>
            <w:hideMark/>
          </w:tcPr>
          <w:p w14:paraId="1CE78E3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0</w:t>
            </w:r>
          </w:p>
        </w:tc>
        <w:tc>
          <w:tcPr>
            <w:tcW w:w="497" w:type="dxa"/>
            <w:tcBorders>
              <w:top w:val="nil"/>
              <w:left w:val="nil"/>
              <w:bottom w:val="single" w:sz="4" w:space="0" w:color="auto"/>
              <w:right w:val="single" w:sz="4" w:space="0" w:color="auto"/>
            </w:tcBorders>
            <w:shd w:val="clear" w:color="auto" w:fill="auto"/>
            <w:vAlign w:val="center"/>
            <w:hideMark/>
          </w:tcPr>
          <w:p w14:paraId="7A479A7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27FE8454"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50" w:type="dxa"/>
            <w:tcBorders>
              <w:top w:val="nil"/>
              <w:left w:val="nil"/>
              <w:bottom w:val="single" w:sz="4" w:space="0" w:color="auto"/>
              <w:right w:val="single" w:sz="4" w:space="0" w:color="auto"/>
            </w:tcBorders>
            <w:shd w:val="clear" w:color="auto" w:fill="auto"/>
            <w:vAlign w:val="center"/>
            <w:hideMark/>
          </w:tcPr>
          <w:p w14:paraId="6A2758F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r>
      <w:tr w:rsidR="005075BD" w:rsidRPr="006F52BF" w14:paraId="10D1B2F5" w14:textId="77777777" w:rsidTr="00686833">
        <w:trPr>
          <w:trHeight w:val="1086"/>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70EFA7F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 xml:space="preserve">Participación / reuniones / becas / cursos / pasantías </w:t>
            </w:r>
            <w:r w:rsidRPr="006F52BF">
              <w:rPr>
                <w:rFonts w:ascii="Times New Roman" w:eastAsia="Times New Roman" w:hAnsi="Times New Roman" w:cs="Times New Roman"/>
                <w:i/>
                <w:iCs/>
                <w:color w:val="000000"/>
                <w:kern w:val="0"/>
                <w:sz w:val="20"/>
                <w:szCs w:val="20"/>
                <w:lang w:val="es-MX" w:eastAsia="es-MX"/>
                <w14:ligatures w14:val="none"/>
              </w:rPr>
              <w:t>(incl. posdoc cuando aplica)</w:t>
            </w:r>
          </w:p>
        </w:tc>
        <w:tc>
          <w:tcPr>
            <w:tcW w:w="529" w:type="dxa"/>
            <w:tcBorders>
              <w:top w:val="nil"/>
              <w:left w:val="nil"/>
              <w:bottom w:val="single" w:sz="4" w:space="0" w:color="auto"/>
              <w:right w:val="single" w:sz="4" w:space="0" w:color="auto"/>
            </w:tcBorders>
            <w:shd w:val="clear" w:color="auto" w:fill="auto"/>
            <w:vAlign w:val="center"/>
            <w:hideMark/>
          </w:tcPr>
          <w:p w14:paraId="350AAA8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6</w:t>
            </w:r>
          </w:p>
        </w:tc>
        <w:tc>
          <w:tcPr>
            <w:tcW w:w="497" w:type="dxa"/>
            <w:tcBorders>
              <w:top w:val="nil"/>
              <w:left w:val="nil"/>
              <w:bottom w:val="single" w:sz="4" w:space="0" w:color="auto"/>
              <w:right w:val="single" w:sz="4" w:space="0" w:color="auto"/>
            </w:tcBorders>
            <w:shd w:val="clear" w:color="auto" w:fill="auto"/>
            <w:vAlign w:val="center"/>
            <w:hideMark/>
          </w:tcPr>
          <w:p w14:paraId="753E10F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691E4FA3"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4AE2142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2</w:t>
            </w:r>
          </w:p>
        </w:tc>
        <w:tc>
          <w:tcPr>
            <w:tcW w:w="529" w:type="dxa"/>
            <w:tcBorders>
              <w:top w:val="nil"/>
              <w:left w:val="nil"/>
              <w:bottom w:val="single" w:sz="4" w:space="0" w:color="auto"/>
              <w:right w:val="single" w:sz="4" w:space="0" w:color="auto"/>
            </w:tcBorders>
            <w:shd w:val="clear" w:color="auto" w:fill="auto"/>
            <w:vAlign w:val="center"/>
            <w:hideMark/>
          </w:tcPr>
          <w:p w14:paraId="5E2B0FC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44" w:type="dxa"/>
            <w:tcBorders>
              <w:top w:val="nil"/>
              <w:left w:val="nil"/>
              <w:bottom w:val="single" w:sz="4" w:space="0" w:color="auto"/>
              <w:right w:val="single" w:sz="4" w:space="0" w:color="auto"/>
            </w:tcBorders>
            <w:shd w:val="clear" w:color="auto" w:fill="auto"/>
            <w:vAlign w:val="center"/>
            <w:hideMark/>
          </w:tcPr>
          <w:p w14:paraId="350829D1"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95" w:type="dxa"/>
            <w:tcBorders>
              <w:top w:val="nil"/>
              <w:left w:val="nil"/>
              <w:bottom w:val="single" w:sz="4" w:space="0" w:color="auto"/>
              <w:right w:val="single" w:sz="4" w:space="0" w:color="auto"/>
            </w:tcBorders>
            <w:shd w:val="clear" w:color="auto" w:fill="auto"/>
            <w:vAlign w:val="center"/>
            <w:hideMark/>
          </w:tcPr>
          <w:p w14:paraId="1539147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9" w:type="dxa"/>
            <w:tcBorders>
              <w:top w:val="nil"/>
              <w:left w:val="nil"/>
              <w:bottom w:val="single" w:sz="4" w:space="0" w:color="auto"/>
              <w:right w:val="single" w:sz="4" w:space="0" w:color="auto"/>
            </w:tcBorders>
            <w:shd w:val="clear" w:color="auto" w:fill="auto"/>
            <w:vAlign w:val="center"/>
            <w:hideMark/>
          </w:tcPr>
          <w:p w14:paraId="49D1DA8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29" w:type="dxa"/>
            <w:tcBorders>
              <w:top w:val="nil"/>
              <w:left w:val="nil"/>
              <w:bottom w:val="single" w:sz="4" w:space="0" w:color="auto"/>
              <w:right w:val="single" w:sz="4" w:space="0" w:color="auto"/>
            </w:tcBorders>
            <w:shd w:val="clear" w:color="auto" w:fill="auto"/>
            <w:vAlign w:val="center"/>
            <w:hideMark/>
          </w:tcPr>
          <w:p w14:paraId="12B9AF69"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497" w:type="dxa"/>
            <w:tcBorders>
              <w:top w:val="nil"/>
              <w:left w:val="nil"/>
              <w:bottom w:val="single" w:sz="4" w:space="0" w:color="auto"/>
              <w:right w:val="single" w:sz="4" w:space="0" w:color="auto"/>
            </w:tcBorders>
            <w:shd w:val="clear" w:color="auto" w:fill="auto"/>
            <w:vAlign w:val="center"/>
            <w:hideMark/>
          </w:tcPr>
          <w:p w14:paraId="788B095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61" w:type="dxa"/>
            <w:tcBorders>
              <w:top w:val="nil"/>
              <w:left w:val="nil"/>
              <w:bottom w:val="single" w:sz="4" w:space="0" w:color="auto"/>
              <w:right w:val="single" w:sz="4" w:space="0" w:color="auto"/>
            </w:tcBorders>
            <w:shd w:val="clear" w:color="auto" w:fill="auto"/>
            <w:vAlign w:val="center"/>
            <w:hideMark/>
          </w:tcPr>
          <w:p w14:paraId="08F313C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704B38D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r>
      <w:tr w:rsidR="005075BD" w:rsidRPr="006F52BF" w14:paraId="013982F5" w14:textId="77777777" w:rsidTr="00686833">
        <w:trPr>
          <w:trHeight w:val="495"/>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57CB22DD"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Tareas docentes desarrolladas</w:t>
            </w:r>
          </w:p>
        </w:tc>
        <w:tc>
          <w:tcPr>
            <w:tcW w:w="529" w:type="dxa"/>
            <w:tcBorders>
              <w:top w:val="nil"/>
              <w:left w:val="nil"/>
              <w:bottom w:val="single" w:sz="4" w:space="0" w:color="auto"/>
              <w:right w:val="single" w:sz="4" w:space="0" w:color="auto"/>
            </w:tcBorders>
            <w:shd w:val="clear" w:color="auto" w:fill="auto"/>
            <w:vAlign w:val="center"/>
            <w:hideMark/>
          </w:tcPr>
          <w:p w14:paraId="27056B8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3</w:t>
            </w:r>
          </w:p>
        </w:tc>
        <w:tc>
          <w:tcPr>
            <w:tcW w:w="497" w:type="dxa"/>
            <w:tcBorders>
              <w:top w:val="nil"/>
              <w:left w:val="nil"/>
              <w:bottom w:val="single" w:sz="4" w:space="0" w:color="auto"/>
              <w:right w:val="single" w:sz="4" w:space="0" w:color="auto"/>
            </w:tcBorders>
            <w:shd w:val="clear" w:color="auto" w:fill="auto"/>
            <w:vAlign w:val="center"/>
            <w:hideMark/>
          </w:tcPr>
          <w:p w14:paraId="15FADB75"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53C1E0E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4FDF0AF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29" w:type="dxa"/>
            <w:tcBorders>
              <w:top w:val="nil"/>
              <w:left w:val="nil"/>
              <w:bottom w:val="single" w:sz="4" w:space="0" w:color="auto"/>
              <w:right w:val="single" w:sz="4" w:space="0" w:color="auto"/>
            </w:tcBorders>
            <w:shd w:val="clear" w:color="auto" w:fill="auto"/>
            <w:vAlign w:val="center"/>
            <w:hideMark/>
          </w:tcPr>
          <w:p w14:paraId="3AB46CE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44" w:type="dxa"/>
            <w:tcBorders>
              <w:top w:val="nil"/>
              <w:left w:val="nil"/>
              <w:bottom w:val="single" w:sz="4" w:space="0" w:color="auto"/>
              <w:right w:val="single" w:sz="4" w:space="0" w:color="auto"/>
            </w:tcBorders>
            <w:shd w:val="clear" w:color="auto" w:fill="auto"/>
            <w:vAlign w:val="center"/>
            <w:hideMark/>
          </w:tcPr>
          <w:p w14:paraId="36C315EA"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95" w:type="dxa"/>
            <w:tcBorders>
              <w:top w:val="nil"/>
              <w:left w:val="nil"/>
              <w:bottom w:val="single" w:sz="4" w:space="0" w:color="auto"/>
              <w:right w:val="single" w:sz="4" w:space="0" w:color="auto"/>
            </w:tcBorders>
            <w:shd w:val="clear" w:color="auto" w:fill="auto"/>
            <w:vAlign w:val="center"/>
            <w:hideMark/>
          </w:tcPr>
          <w:p w14:paraId="752C81B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9" w:type="dxa"/>
            <w:tcBorders>
              <w:top w:val="nil"/>
              <w:left w:val="nil"/>
              <w:bottom w:val="single" w:sz="4" w:space="0" w:color="auto"/>
              <w:right w:val="single" w:sz="4" w:space="0" w:color="auto"/>
            </w:tcBorders>
            <w:shd w:val="clear" w:color="auto" w:fill="auto"/>
            <w:vAlign w:val="center"/>
            <w:hideMark/>
          </w:tcPr>
          <w:p w14:paraId="4779C6F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29" w:type="dxa"/>
            <w:tcBorders>
              <w:top w:val="nil"/>
              <w:left w:val="nil"/>
              <w:bottom w:val="single" w:sz="4" w:space="0" w:color="auto"/>
              <w:right w:val="single" w:sz="4" w:space="0" w:color="auto"/>
            </w:tcBorders>
            <w:shd w:val="clear" w:color="auto" w:fill="auto"/>
            <w:vAlign w:val="center"/>
            <w:hideMark/>
          </w:tcPr>
          <w:p w14:paraId="25D2B81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497" w:type="dxa"/>
            <w:tcBorders>
              <w:top w:val="nil"/>
              <w:left w:val="nil"/>
              <w:bottom w:val="single" w:sz="4" w:space="0" w:color="auto"/>
              <w:right w:val="single" w:sz="4" w:space="0" w:color="auto"/>
            </w:tcBorders>
            <w:shd w:val="clear" w:color="auto" w:fill="auto"/>
            <w:vAlign w:val="center"/>
            <w:hideMark/>
          </w:tcPr>
          <w:p w14:paraId="1FED135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650BA0E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50" w:type="dxa"/>
            <w:tcBorders>
              <w:top w:val="nil"/>
              <w:left w:val="nil"/>
              <w:bottom w:val="single" w:sz="4" w:space="0" w:color="auto"/>
              <w:right w:val="single" w:sz="4" w:space="0" w:color="auto"/>
            </w:tcBorders>
            <w:shd w:val="clear" w:color="auto" w:fill="auto"/>
            <w:vAlign w:val="center"/>
            <w:hideMark/>
          </w:tcPr>
          <w:p w14:paraId="0A29D0BC"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r>
      <w:tr w:rsidR="005075BD" w:rsidRPr="006F52BF" w14:paraId="2A8EB9E2" w14:textId="77777777" w:rsidTr="00686833">
        <w:trPr>
          <w:trHeight w:val="335"/>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1661AF7F"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Otra información relevante</w:t>
            </w:r>
          </w:p>
        </w:tc>
        <w:tc>
          <w:tcPr>
            <w:tcW w:w="529" w:type="dxa"/>
            <w:tcBorders>
              <w:top w:val="nil"/>
              <w:left w:val="nil"/>
              <w:bottom w:val="single" w:sz="4" w:space="0" w:color="auto"/>
              <w:right w:val="single" w:sz="4" w:space="0" w:color="auto"/>
            </w:tcBorders>
            <w:shd w:val="clear" w:color="auto" w:fill="auto"/>
            <w:vAlign w:val="center"/>
            <w:hideMark/>
          </w:tcPr>
          <w:p w14:paraId="3C966159"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3</w:t>
            </w:r>
          </w:p>
        </w:tc>
        <w:tc>
          <w:tcPr>
            <w:tcW w:w="497" w:type="dxa"/>
            <w:tcBorders>
              <w:top w:val="nil"/>
              <w:left w:val="nil"/>
              <w:bottom w:val="single" w:sz="4" w:space="0" w:color="auto"/>
              <w:right w:val="single" w:sz="4" w:space="0" w:color="auto"/>
            </w:tcBorders>
            <w:shd w:val="clear" w:color="auto" w:fill="auto"/>
            <w:vAlign w:val="center"/>
            <w:hideMark/>
          </w:tcPr>
          <w:p w14:paraId="702159E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5</w:t>
            </w:r>
          </w:p>
        </w:tc>
        <w:tc>
          <w:tcPr>
            <w:tcW w:w="561" w:type="dxa"/>
            <w:tcBorders>
              <w:top w:val="nil"/>
              <w:left w:val="nil"/>
              <w:bottom w:val="single" w:sz="4" w:space="0" w:color="auto"/>
              <w:right w:val="single" w:sz="4" w:space="0" w:color="auto"/>
            </w:tcBorders>
            <w:shd w:val="clear" w:color="auto" w:fill="auto"/>
            <w:vAlign w:val="center"/>
            <w:hideMark/>
          </w:tcPr>
          <w:p w14:paraId="4A81D3E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7</w:t>
            </w:r>
          </w:p>
        </w:tc>
        <w:tc>
          <w:tcPr>
            <w:tcW w:w="550" w:type="dxa"/>
            <w:tcBorders>
              <w:top w:val="nil"/>
              <w:left w:val="nil"/>
              <w:bottom w:val="single" w:sz="4" w:space="0" w:color="auto"/>
              <w:right w:val="single" w:sz="4" w:space="0" w:color="auto"/>
            </w:tcBorders>
            <w:shd w:val="clear" w:color="auto" w:fill="auto"/>
            <w:vAlign w:val="center"/>
            <w:hideMark/>
          </w:tcPr>
          <w:p w14:paraId="71ABCDC9"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8</w:t>
            </w:r>
          </w:p>
        </w:tc>
        <w:tc>
          <w:tcPr>
            <w:tcW w:w="529" w:type="dxa"/>
            <w:tcBorders>
              <w:top w:val="nil"/>
              <w:left w:val="nil"/>
              <w:bottom w:val="single" w:sz="4" w:space="0" w:color="auto"/>
              <w:right w:val="single" w:sz="4" w:space="0" w:color="auto"/>
            </w:tcBorders>
            <w:shd w:val="clear" w:color="auto" w:fill="auto"/>
            <w:vAlign w:val="center"/>
            <w:hideMark/>
          </w:tcPr>
          <w:p w14:paraId="67029C0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44" w:type="dxa"/>
            <w:tcBorders>
              <w:top w:val="nil"/>
              <w:left w:val="nil"/>
              <w:bottom w:val="single" w:sz="4" w:space="0" w:color="auto"/>
              <w:right w:val="single" w:sz="4" w:space="0" w:color="auto"/>
            </w:tcBorders>
            <w:shd w:val="clear" w:color="auto" w:fill="auto"/>
            <w:vAlign w:val="center"/>
            <w:hideMark/>
          </w:tcPr>
          <w:p w14:paraId="6A292DEE"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95" w:type="dxa"/>
            <w:tcBorders>
              <w:top w:val="nil"/>
              <w:left w:val="nil"/>
              <w:bottom w:val="single" w:sz="4" w:space="0" w:color="auto"/>
              <w:right w:val="single" w:sz="4" w:space="0" w:color="auto"/>
            </w:tcBorders>
            <w:shd w:val="clear" w:color="auto" w:fill="auto"/>
            <w:vAlign w:val="center"/>
            <w:hideMark/>
          </w:tcPr>
          <w:p w14:paraId="48D3FECB"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c>
          <w:tcPr>
            <w:tcW w:w="559" w:type="dxa"/>
            <w:tcBorders>
              <w:top w:val="nil"/>
              <w:left w:val="nil"/>
              <w:bottom w:val="single" w:sz="4" w:space="0" w:color="auto"/>
              <w:right w:val="single" w:sz="4" w:space="0" w:color="auto"/>
            </w:tcBorders>
            <w:shd w:val="clear" w:color="auto" w:fill="auto"/>
            <w:vAlign w:val="center"/>
            <w:hideMark/>
          </w:tcPr>
          <w:p w14:paraId="07E28AD7"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c>
          <w:tcPr>
            <w:tcW w:w="529" w:type="dxa"/>
            <w:tcBorders>
              <w:top w:val="nil"/>
              <w:left w:val="nil"/>
              <w:bottom w:val="single" w:sz="4" w:space="0" w:color="auto"/>
              <w:right w:val="single" w:sz="4" w:space="0" w:color="auto"/>
            </w:tcBorders>
            <w:shd w:val="clear" w:color="auto" w:fill="auto"/>
            <w:vAlign w:val="center"/>
            <w:hideMark/>
          </w:tcPr>
          <w:p w14:paraId="18F50C76"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497" w:type="dxa"/>
            <w:tcBorders>
              <w:top w:val="nil"/>
              <w:left w:val="nil"/>
              <w:bottom w:val="single" w:sz="4" w:space="0" w:color="auto"/>
              <w:right w:val="single" w:sz="4" w:space="0" w:color="auto"/>
            </w:tcBorders>
            <w:shd w:val="clear" w:color="auto" w:fill="auto"/>
            <w:vAlign w:val="center"/>
            <w:hideMark/>
          </w:tcPr>
          <w:p w14:paraId="0BEBC0BE"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10</w:t>
            </w:r>
          </w:p>
        </w:tc>
        <w:tc>
          <w:tcPr>
            <w:tcW w:w="561" w:type="dxa"/>
            <w:tcBorders>
              <w:top w:val="nil"/>
              <w:left w:val="nil"/>
              <w:bottom w:val="single" w:sz="4" w:space="0" w:color="auto"/>
              <w:right w:val="single" w:sz="4" w:space="0" w:color="auto"/>
            </w:tcBorders>
            <w:shd w:val="clear" w:color="auto" w:fill="auto"/>
            <w:vAlign w:val="center"/>
            <w:hideMark/>
          </w:tcPr>
          <w:p w14:paraId="6E4E0380"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c>
          <w:tcPr>
            <w:tcW w:w="550" w:type="dxa"/>
            <w:tcBorders>
              <w:top w:val="nil"/>
              <w:left w:val="nil"/>
              <w:bottom w:val="single" w:sz="4" w:space="0" w:color="auto"/>
              <w:right w:val="single" w:sz="4" w:space="0" w:color="auto"/>
            </w:tcBorders>
            <w:shd w:val="clear" w:color="auto" w:fill="auto"/>
            <w:vAlign w:val="center"/>
            <w:hideMark/>
          </w:tcPr>
          <w:p w14:paraId="41E93478" w14:textId="77777777" w:rsidR="005075BD" w:rsidRPr="006F52BF" w:rsidRDefault="005075BD" w:rsidP="005075BD">
            <w:pPr>
              <w:spacing w:after="0" w:line="240" w:lineRule="auto"/>
              <w:contextualSpacing/>
              <w:rPr>
                <w:rFonts w:ascii="Times New Roman" w:eastAsia="Times New Roman" w:hAnsi="Times New Roman" w:cs="Times New Roman"/>
                <w:color w:val="000000"/>
                <w:kern w:val="0"/>
                <w:sz w:val="20"/>
                <w:szCs w:val="20"/>
                <w:lang w:val="es-MX" w:eastAsia="es-MX"/>
                <w14:ligatures w14:val="none"/>
              </w:rPr>
            </w:pPr>
            <w:r w:rsidRPr="006F52BF">
              <w:rPr>
                <w:rFonts w:ascii="Times New Roman" w:eastAsia="Times New Roman" w:hAnsi="Times New Roman" w:cs="Times New Roman"/>
                <w:color w:val="000000"/>
                <w:kern w:val="0"/>
                <w:sz w:val="20"/>
                <w:szCs w:val="20"/>
                <w:lang w:val="es-MX" w:eastAsia="es-MX"/>
                <w14:ligatures w14:val="none"/>
              </w:rPr>
              <w:t>15</w:t>
            </w:r>
          </w:p>
        </w:tc>
      </w:tr>
      <w:tr w:rsidR="005075BD" w:rsidRPr="006F52BF" w14:paraId="7D9977C6" w14:textId="77777777" w:rsidTr="00686833">
        <w:trPr>
          <w:trHeight w:val="200"/>
        </w:trPr>
        <w:tc>
          <w:tcPr>
            <w:tcW w:w="2633" w:type="dxa"/>
            <w:tcBorders>
              <w:top w:val="nil"/>
              <w:left w:val="single" w:sz="4" w:space="0" w:color="auto"/>
              <w:bottom w:val="single" w:sz="4" w:space="0" w:color="auto"/>
              <w:right w:val="single" w:sz="4" w:space="0" w:color="auto"/>
            </w:tcBorders>
            <w:shd w:val="clear" w:color="auto" w:fill="auto"/>
            <w:vAlign w:val="center"/>
            <w:hideMark/>
          </w:tcPr>
          <w:p w14:paraId="407DE838"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TOTAL</w:t>
            </w:r>
          </w:p>
        </w:tc>
        <w:tc>
          <w:tcPr>
            <w:tcW w:w="529" w:type="dxa"/>
            <w:tcBorders>
              <w:top w:val="nil"/>
              <w:left w:val="nil"/>
              <w:bottom w:val="single" w:sz="4" w:space="0" w:color="auto"/>
              <w:right w:val="single" w:sz="4" w:space="0" w:color="auto"/>
            </w:tcBorders>
            <w:shd w:val="clear" w:color="auto" w:fill="auto"/>
            <w:vAlign w:val="center"/>
            <w:hideMark/>
          </w:tcPr>
          <w:p w14:paraId="3942935F"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497" w:type="dxa"/>
            <w:tcBorders>
              <w:top w:val="nil"/>
              <w:left w:val="nil"/>
              <w:bottom w:val="single" w:sz="4" w:space="0" w:color="auto"/>
              <w:right w:val="single" w:sz="4" w:space="0" w:color="auto"/>
            </w:tcBorders>
            <w:shd w:val="clear" w:color="auto" w:fill="auto"/>
            <w:vAlign w:val="center"/>
            <w:hideMark/>
          </w:tcPr>
          <w:p w14:paraId="4A1C73FC"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61" w:type="dxa"/>
            <w:tcBorders>
              <w:top w:val="nil"/>
              <w:left w:val="nil"/>
              <w:bottom w:val="single" w:sz="4" w:space="0" w:color="auto"/>
              <w:right w:val="single" w:sz="4" w:space="0" w:color="auto"/>
            </w:tcBorders>
            <w:shd w:val="clear" w:color="auto" w:fill="auto"/>
            <w:vAlign w:val="center"/>
            <w:hideMark/>
          </w:tcPr>
          <w:p w14:paraId="409A6788"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50" w:type="dxa"/>
            <w:tcBorders>
              <w:top w:val="nil"/>
              <w:left w:val="nil"/>
              <w:bottom w:val="single" w:sz="4" w:space="0" w:color="auto"/>
              <w:right w:val="single" w:sz="4" w:space="0" w:color="auto"/>
            </w:tcBorders>
            <w:shd w:val="clear" w:color="auto" w:fill="auto"/>
            <w:vAlign w:val="center"/>
            <w:hideMark/>
          </w:tcPr>
          <w:p w14:paraId="7E82B634"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29" w:type="dxa"/>
            <w:tcBorders>
              <w:top w:val="nil"/>
              <w:left w:val="nil"/>
              <w:bottom w:val="single" w:sz="4" w:space="0" w:color="auto"/>
              <w:right w:val="single" w:sz="4" w:space="0" w:color="auto"/>
            </w:tcBorders>
            <w:shd w:val="clear" w:color="auto" w:fill="auto"/>
            <w:vAlign w:val="center"/>
            <w:hideMark/>
          </w:tcPr>
          <w:p w14:paraId="7794D502"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44" w:type="dxa"/>
            <w:tcBorders>
              <w:top w:val="nil"/>
              <w:left w:val="nil"/>
              <w:bottom w:val="single" w:sz="4" w:space="0" w:color="auto"/>
              <w:right w:val="single" w:sz="4" w:space="0" w:color="auto"/>
            </w:tcBorders>
            <w:shd w:val="clear" w:color="auto" w:fill="auto"/>
            <w:vAlign w:val="center"/>
            <w:hideMark/>
          </w:tcPr>
          <w:p w14:paraId="23BCB220"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95" w:type="dxa"/>
            <w:tcBorders>
              <w:top w:val="nil"/>
              <w:left w:val="nil"/>
              <w:bottom w:val="single" w:sz="4" w:space="0" w:color="auto"/>
              <w:right w:val="single" w:sz="4" w:space="0" w:color="auto"/>
            </w:tcBorders>
            <w:shd w:val="clear" w:color="auto" w:fill="auto"/>
            <w:vAlign w:val="center"/>
            <w:hideMark/>
          </w:tcPr>
          <w:p w14:paraId="190A4DF8"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59" w:type="dxa"/>
            <w:tcBorders>
              <w:top w:val="nil"/>
              <w:left w:val="nil"/>
              <w:bottom w:val="single" w:sz="4" w:space="0" w:color="auto"/>
              <w:right w:val="single" w:sz="4" w:space="0" w:color="auto"/>
            </w:tcBorders>
            <w:shd w:val="clear" w:color="auto" w:fill="auto"/>
            <w:vAlign w:val="center"/>
            <w:hideMark/>
          </w:tcPr>
          <w:p w14:paraId="3B5DDC7D"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29" w:type="dxa"/>
            <w:tcBorders>
              <w:top w:val="nil"/>
              <w:left w:val="nil"/>
              <w:bottom w:val="single" w:sz="4" w:space="0" w:color="auto"/>
              <w:right w:val="single" w:sz="4" w:space="0" w:color="auto"/>
            </w:tcBorders>
            <w:shd w:val="clear" w:color="auto" w:fill="auto"/>
            <w:vAlign w:val="center"/>
            <w:hideMark/>
          </w:tcPr>
          <w:p w14:paraId="1AE0867F"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497" w:type="dxa"/>
            <w:tcBorders>
              <w:top w:val="nil"/>
              <w:left w:val="nil"/>
              <w:bottom w:val="single" w:sz="4" w:space="0" w:color="auto"/>
              <w:right w:val="single" w:sz="4" w:space="0" w:color="auto"/>
            </w:tcBorders>
            <w:shd w:val="clear" w:color="auto" w:fill="auto"/>
            <w:vAlign w:val="center"/>
            <w:hideMark/>
          </w:tcPr>
          <w:p w14:paraId="32947CDF"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61" w:type="dxa"/>
            <w:tcBorders>
              <w:top w:val="nil"/>
              <w:left w:val="nil"/>
              <w:bottom w:val="single" w:sz="4" w:space="0" w:color="auto"/>
              <w:right w:val="single" w:sz="4" w:space="0" w:color="auto"/>
            </w:tcBorders>
            <w:shd w:val="clear" w:color="auto" w:fill="auto"/>
            <w:vAlign w:val="center"/>
            <w:hideMark/>
          </w:tcPr>
          <w:p w14:paraId="05873C79"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c>
          <w:tcPr>
            <w:tcW w:w="550" w:type="dxa"/>
            <w:tcBorders>
              <w:top w:val="nil"/>
              <w:left w:val="nil"/>
              <w:bottom w:val="single" w:sz="4" w:space="0" w:color="auto"/>
              <w:right w:val="single" w:sz="4" w:space="0" w:color="auto"/>
            </w:tcBorders>
            <w:shd w:val="clear" w:color="auto" w:fill="auto"/>
            <w:vAlign w:val="center"/>
            <w:hideMark/>
          </w:tcPr>
          <w:p w14:paraId="3027B00C" w14:textId="77777777" w:rsidR="005075BD" w:rsidRPr="006F52BF" w:rsidRDefault="005075BD" w:rsidP="005075BD">
            <w:pPr>
              <w:spacing w:after="0" w:line="240" w:lineRule="auto"/>
              <w:contextualSpacing/>
              <w:rPr>
                <w:rFonts w:ascii="Times New Roman" w:eastAsia="Times New Roman" w:hAnsi="Times New Roman" w:cs="Times New Roman"/>
                <w:b/>
                <w:bCs/>
                <w:color w:val="000000"/>
                <w:kern w:val="0"/>
                <w:sz w:val="20"/>
                <w:szCs w:val="20"/>
                <w:lang w:val="es-MX" w:eastAsia="es-MX"/>
                <w14:ligatures w14:val="none"/>
              </w:rPr>
            </w:pPr>
            <w:r w:rsidRPr="006F52BF">
              <w:rPr>
                <w:rFonts w:ascii="Times New Roman" w:eastAsia="Times New Roman" w:hAnsi="Times New Roman" w:cs="Times New Roman"/>
                <w:b/>
                <w:bCs/>
                <w:color w:val="000000"/>
                <w:kern w:val="0"/>
                <w:sz w:val="20"/>
                <w:szCs w:val="20"/>
                <w:lang w:val="es-MX" w:eastAsia="es-MX"/>
                <w14:ligatures w14:val="none"/>
              </w:rPr>
              <w:t>100</w:t>
            </w:r>
          </w:p>
        </w:tc>
      </w:tr>
    </w:tbl>
    <w:p w14:paraId="11D3B6C9" w14:textId="16D2A1C6" w:rsidR="005075BD" w:rsidRPr="006F52BF" w:rsidRDefault="005075BD" w:rsidP="00BC62F9">
      <w:pPr>
        <w:spacing w:line="240" w:lineRule="auto"/>
        <w:jc w:val="both"/>
        <w:rPr>
          <w:rFonts w:ascii="Times New Roman" w:hAnsi="Times New Roman" w:cs="Times New Roman"/>
          <w:sz w:val="20"/>
          <w:lang w:val="en-US"/>
        </w:rPr>
      </w:pPr>
      <w:r w:rsidRPr="006F52BF">
        <w:rPr>
          <w:rFonts w:ascii="Times New Roman" w:hAnsi="Times New Roman" w:cs="Times New Roman"/>
          <w:sz w:val="20"/>
          <w:lang w:val="en-US"/>
        </w:rPr>
        <w:lastRenderedPageBreak/>
        <w:t>Fuente: Svampa y Aguiar (2026: 98)</w:t>
      </w:r>
    </w:p>
    <w:p w14:paraId="18610AD6" w14:textId="143FD4DA" w:rsidR="005075BD" w:rsidRPr="006F52BF" w:rsidRDefault="005075BD"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Tabla N.º 3 permite observar, en perspectiva comparada, la jerarquía relativa de las dimensiones evaluativas consideradas en la Convocatoria General de ingreso a la CICyT entre 2020 y 2022</w:t>
      </w:r>
      <w:r w:rsidR="00EC7A5B" w:rsidRPr="006F52BF">
        <w:rPr>
          <w:rFonts w:ascii="Times New Roman" w:hAnsi="Times New Roman" w:cs="Times New Roman"/>
          <w:lang w:val="en-US"/>
        </w:rPr>
        <w:t xml:space="preserve"> (Svampa y Aguiar, 2026)</w:t>
      </w:r>
      <w:r w:rsidRPr="006F52BF">
        <w:rPr>
          <w:rFonts w:ascii="Times New Roman" w:hAnsi="Times New Roman" w:cs="Times New Roman"/>
          <w:lang w:val="en-US"/>
        </w:rPr>
        <w:t>. En este sentido, permite identificar el tipo de racionalidad que estructuró el acceso a la carrera en un contexto de restricción y segmentación de las convocatorias. En primer lugar, la tabla muestra la persistencia de un núcleo meritocrático-académico: la dimensión producción/trayectoria mantiene el mayor peso relativo en todas las categorías y continúa funcionando como principal fuente de legitimidad evaluativa. No obstante, la comparación también evidencia un cambio relevante entre 2020 y el período 2021-2022. Mientras que en 2020 la producción concentraba un puntaje muy elevado -entre 62 y 68 puntos según la categoría-, en 2021 y 2022 se consolidó una matriz más estandarizada, con 45 puntos fijos asignados a producción y una mayor ponderación del plan de trabajo, junto con la dirección propuesta y el lugar de trabajo. Este desplazamiento no supone un reemplazo del principio meritocrático propio de la cultura académica, sino una reponderación del instrumento evaluativo, orientada a fortalecer dimensiones más gestionables, como la inserción institucional, la consistencia del plan y la adecuación del perfil. A su vez, esta matriz revaloriza componentes complementarios -como otra información relevante, docencia y formación de recursos humanos-, aunque sin modificar la centralidad de la productividad científica, especialmente medida a través de artículos en revistas indexadas.</w:t>
      </w:r>
    </w:p>
    <w:p w14:paraId="4A2AC894" w14:textId="51C39D56"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La línea de Fortalecimiento I+D+i es el caso más relevante para observar esta tensión. En su formulación, se presenta como una política de federalización y fortalecimiento de universidades u organismos con menor desarrollo relativo. Introduce perfiles, cupos y prioridades definidos junto con instituciones de destino. En términos de cultura burocrática, supone un avance en la planificación territorial de la investigación. Sin embargo, su implementación conserva el circuito de evaluación por pares y el ordenamiento de mérito. La legitimidad final del ingreso sigue dependiendo de la recomendación académica, aunque dentro de una arquitectura más direccionada. La tensión aparece también en los efectos de los cupos no cubiertos. Cuando las vacantes asignadas a perfiles de Fortalecimiento no se utilizan y se reasignan a la convocatoria General, el instrumento termina reforzando la concentración que buscaba corregir, dado que la línea general favorece a postulantes radicados en instituciones con mayores capacidades acumuladas. De este modo, la federalización no depende solo de declarar criterios territoriales, sino de sostener reglas de implementación capaces de evitar que los mecanismos compensatorios se diluyan en la competencia general. </w:t>
      </w:r>
    </w:p>
    <w:p w14:paraId="665DC1CF"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La tensión entre las culturas académica y burocrática en las distintas líneas de ingreso y en los criterios de evaluación también se expresaba en las diferencias entre los miembros del Directorio del CONICET. En los últimos años la cultura burocrática estuvo sobre todo representada por Tulio Del Bono y Miguel Ángel Laborde que defendían que por lo menos exista una distribución en tercios entre Temas Generales, Temas Estratégicos y Fortalecimiento de I+D+i. Con respecto a la convocatoria de ingreso en el 2020, cuando veían que la línea general, que representaba los “temas libres” terminaba teniendo más ingresos que las otras argumentaban: </w:t>
      </w:r>
    </w:p>
    <w:p w14:paraId="35E11F8E"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i/>
          <w:lang w:val="en-US"/>
        </w:rPr>
        <w:lastRenderedPageBreak/>
        <w:t>“(...) el incremento  en el  número  de  ingresos,  no  es  precisamente  para favorecer el federalismo sino para favorecer a los grupos concentrados en las principales ciudades y universidades del país. (...) Aumentar los ingresos a Temas Libres supone aceptar la plena vigencia del Modelo Lineal, cuestión que ya no se acepta en ninguna parte  del  mundo.  Supone también aceptar  que  si  dejamos  todo  librado a la demanda de los ingresantes (a los que luego se denomina “comunidad”),  una  “mano  invisible”  dispondrá  que  esos  ingresos  vayan,  necesariamente,  a  atender  las  necesidades  más  apremiantes de la sociedad</w:t>
      </w:r>
      <w:r w:rsidRPr="006F52BF">
        <w:rPr>
          <w:rFonts w:ascii="Times New Roman" w:hAnsi="Times New Roman" w:cs="Times New Roman"/>
          <w:lang w:val="en-US"/>
        </w:rPr>
        <w:t xml:space="preserve">” (Del Bono y Laborde, 2020: 22). </w:t>
      </w:r>
    </w:p>
    <w:p w14:paraId="4941AF86" w14:textId="6939E684" w:rsidR="00952BD8" w:rsidRPr="006F52BF" w:rsidRDefault="00BC62F9"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Incluso algunos de esos años no terminaron votando las distribuciones de ingresos que eran mayoritarias de la Línea General (Niembro, 2023).</w:t>
      </w:r>
      <w:r w:rsidR="005075BD" w:rsidRPr="006F52BF">
        <w:rPr>
          <w:rFonts w:ascii="Times New Roman" w:hAnsi="Times New Roman" w:cs="Times New Roman"/>
          <w:lang w:val="en-US"/>
        </w:rPr>
        <w:t xml:space="preserve"> </w:t>
      </w:r>
      <w:r w:rsidRPr="006F52BF">
        <w:rPr>
          <w:rFonts w:ascii="Times New Roman" w:hAnsi="Times New Roman" w:cs="Times New Roman"/>
          <w:lang w:val="en-US"/>
        </w:rPr>
        <w:t>La transferencia y la divulgación también ocupan un lugar ambivalente. Desde mediados de los años ochenta el CONICET reconoció actividades de vinculación, consultoría y transferencia, y desde los años 2000 se multiplicaron discursos e instrumentos orientados al desarrollo tecnológico y social. Sin embargo, la evaluación de carrera tendió a incorporar estas dimensiones como complementos, no como principios estructurantes. Los Proyectos de Desarrollo Tecnológico y Social y las modalidades estratégicas introdujeron lenguajes de pertinencia, demanda, adopción y resultados, pero no desplazaron el patrón de legitimación centrado en publicaciones, tr</w:t>
      </w:r>
      <w:r w:rsidR="00EC7A5B" w:rsidRPr="006F52BF">
        <w:rPr>
          <w:rFonts w:ascii="Times New Roman" w:hAnsi="Times New Roman" w:cs="Times New Roman"/>
          <w:lang w:val="en-US"/>
        </w:rPr>
        <w:t>ayectoria y juicio disciplinar.</w:t>
      </w:r>
    </w:p>
    <w:p w14:paraId="77F789FC"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b/>
          <w:lang w:val="en-US"/>
        </w:rPr>
        <w:t>Discusión: la universidad como espacio de disputa por la política científica</w:t>
      </w:r>
    </w:p>
    <w:p w14:paraId="5835402D" w14:textId="6848C87A"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La trayectoria reconstruida muestra que la universidad pública es un actor estructural en el funcionamiento de la CICyT. En primer lugar, porque constituye el principal espacio de formación de los recursos humanos que luego compiten por ingresos a carrera. Las trayectorias doctorales, las direcciones de tesis, los grupos de investigación y las redes disciplinares se construyen en gran medida dentro de universidades. En segundo lugar, porque los lugares de trabajo de muchos investigadores del CONICET son institutos de doble dependencia, centros universitarios o unidades académicas que articulan recursos del Consejo con infraestructura, estudiantes y agendas universitarias. En tercer lugar, porque la universidad participa políticamente en debates sobre autonomía, evaluación, financiamiento y o</w:t>
      </w:r>
      <w:r w:rsidR="00EC7A5B" w:rsidRPr="006F52BF">
        <w:rPr>
          <w:rFonts w:ascii="Times New Roman" w:hAnsi="Times New Roman" w:cs="Times New Roman"/>
          <w:lang w:val="en-US"/>
        </w:rPr>
        <w:t xml:space="preserve">rientación de la investigación. </w:t>
      </w:r>
      <w:r w:rsidRPr="006F52BF">
        <w:rPr>
          <w:rFonts w:ascii="Times New Roman" w:hAnsi="Times New Roman" w:cs="Times New Roman"/>
          <w:lang w:val="en-US"/>
        </w:rPr>
        <w:t>No obstante, la relación CONICET-universidad ha sido históricamente asimétrica. La carrera del CONICET ofrece estabilidad, reconocimiento y condiciones de dedicación que muchas veces las universidades no pueden garantizar mediante sus propios cargos docentes o de investigación. Esto produce una forma particular de dependencia: la universidad necesita investigadores del CONICET para sostener capacidades científicas, pero los criterios de carrera se definen principalmente en el Consejo. En contextos expansivos, esta articulación puede fortalecer a ambas instituciones; en contextos restrictivos, puede profundizar disputas por recursos, lugares de trabajo, perfiles y prioridades.</w:t>
      </w:r>
    </w:p>
    <w:p w14:paraId="0DEBEB73" w14:textId="073122B5"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El análisis de las convocatorias de la CICyT permite observar que la política científica del CONICET en torno a este instrumento osciló entre tres orientaciones: una orientación disciplinar-autonómica, centrada en la excelencia definida por comunidades académicas; una orientación planificadora, que busca vincular ingresos con prioridades estatales; y una orientación territorial, que procura corregir desigualdades regionales e institucionales. </w:t>
      </w:r>
      <w:r w:rsidR="00EC7A5B" w:rsidRPr="006F52BF">
        <w:rPr>
          <w:rFonts w:ascii="Times New Roman" w:hAnsi="Times New Roman" w:cs="Times New Roman"/>
          <w:lang w:val="en-US"/>
        </w:rPr>
        <w:t>Una lectura histórica de la</w:t>
      </w:r>
      <w:r w:rsidRPr="006F52BF">
        <w:rPr>
          <w:rFonts w:ascii="Times New Roman" w:hAnsi="Times New Roman" w:cs="Times New Roman"/>
          <w:lang w:val="en-US"/>
        </w:rPr>
        <w:t xml:space="preserve"> CICyT entre 1983-2025 muestra </w:t>
      </w:r>
      <w:r w:rsidRPr="006F52BF">
        <w:rPr>
          <w:rFonts w:ascii="Times New Roman" w:hAnsi="Times New Roman" w:cs="Times New Roman"/>
          <w:lang w:val="en-US"/>
        </w:rPr>
        <w:lastRenderedPageBreak/>
        <w:t>combinaciones inestables entre ellas, con predominio persistente de la cultura académica y creciente presencia de dispositivos burocráticos de gestión.</w:t>
      </w:r>
    </w:p>
    <w:p w14:paraId="206F7714" w14:textId="2D366EF7" w:rsidR="00952BD8"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En el escenario actual, esta discusión adquiere mayor relevancia. La reducción de vacantes, el deterioro presupuestario y los cuestionamientos al valor público de la ciencia vuelven más aguda la disputa por el diseño de los instrumentos (Svampa et al., 2025). Si las convocatorias se restringen, cada criterio de selección pesa más. Si las modalidades se fragmentan, la distribución de cupos se vuelve un mecanismo decisivo de política científica. Si la evaluación mantiene criterios estrechos de productividad, la universidad verá limitadas sus posibilidades de fortalecer investigación orientada a problemas territoriales, transferencia, extensión y divulgación</w:t>
      </w:r>
      <w:r w:rsidR="00EC7A5B" w:rsidRPr="006F52BF">
        <w:rPr>
          <w:rFonts w:ascii="Times New Roman" w:hAnsi="Times New Roman" w:cs="Times New Roman"/>
          <w:lang w:val="en-US"/>
        </w:rPr>
        <w:t>.</w:t>
      </w:r>
      <w:r w:rsidRPr="006F52BF">
        <w:rPr>
          <w:rFonts w:ascii="Times New Roman" w:hAnsi="Times New Roman" w:cs="Times New Roman"/>
          <w:lang w:val="en-US"/>
        </w:rPr>
        <w:t xml:space="preserve"> En consecuencia, el desafío es reconstruir instrumentos que combinen excelencia, equidad y pertinencia. Esto supone sostener la evaluación por pares, pero también transparentar ponderaciones, reconocer trayectorias diversas, valorar productos de transferencia y comunicación pública, fortalecer universidades de menor desarrollo relativo y articular los ingresos a CICyT con políticas universitarias de dedicaciones, posgrado e infraestructura. La universidad no puede quedar reducida a receptora de investigadores seleccionados por otro organismo; debe participar en la construcción de agendas, perfiles y capacidades de investigación de manera coordinada y federal.</w:t>
      </w:r>
    </w:p>
    <w:p w14:paraId="6F37FA8D"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b/>
          <w:lang w:val="en-US"/>
        </w:rPr>
        <w:t>Reflexiones finales</w:t>
      </w:r>
    </w:p>
    <w:p w14:paraId="26FE5179" w14:textId="77777777" w:rsidR="00BC62F9"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El análisis de las convocatorias de ingreso a la CICyT entre 1983 y 2025 permite comprender un instrumento de política científica atravesado por continuidades profundas y transformaciones graduales. La principal continuidad es la persistencia del núcleo meritocrático-académico: evaluación por pares, trayectoria, publicaciones, formación de recursos humanos y calidad del proyecto continúan organizando la legitimidad del ingreso. La principal transformación es la incorporación de capas de orientación burocrática: criterios geográficos, Temas Estratégicos, Fortalecimiento I+D+i, perfiles institucionales, grillas, ponderadores y protocolos de evaluación. Estas capas no reemplazan al mérito académico, sino que lo reorganizan. En algunos momentos, especialmente durante el ciclo expansivo 2003-2015, la orientación pudo funcionar como mecanismo de ampliación y diversificación. En otros, sobre todo desde 2016, la segmentación operó en un escenario de restricción, administrando un volumen menor de vacantes y aumentando la competencia entre modalidades. El sentido político de un instrumento depende, por lo tanto, de su articulación con las condiciones materiales del sistema: una misma regla puede democratizar oportunidades en un contexto expansivo o racionarlas en un contexto de ajuste.</w:t>
      </w:r>
    </w:p>
    <w:p w14:paraId="1B79971C" w14:textId="136C5726" w:rsidR="00952BD8" w:rsidRPr="006F52BF" w:rsidRDefault="00BC62F9" w:rsidP="00BC62F9">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La relación con la universidad pública constituye una dimensión clave de este proceso. La CICyT afecta la producción de conocimiento universitario porque define quiénes ingresan, dónde se insertan, qué trayectorias son reconocidas y qué actividades se consideran valiosas. A su vez, las universidades forman investigadores, alojan institutos, disputan agendas y sostienen territorios de producción científica. Por ello, cualquier reforma del ingreso a carrera debe pensarse de manera articulada con políticas universitarias, de posgrado, infraestructura, dedicaciones docentes y fortalecimiento regional. El abordaje histórico de la CICyT entre 1983-2025 muestra una tensión no </w:t>
      </w:r>
      <w:r w:rsidRPr="006F52BF">
        <w:rPr>
          <w:rFonts w:ascii="Times New Roman" w:hAnsi="Times New Roman" w:cs="Times New Roman"/>
          <w:lang w:val="en-US"/>
        </w:rPr>
        <w:lastRenderedPageBreak/>
        <w:t>resuelta entre autonomía académica y responsabilidad pública. La cultura académica protege la calidad, la independencia disciplinar y la legitimidad del juicio experto. La cultura burocrática introduce planificación, orientación, trazabilidad y preocupación por impactos sociales</w:t>
      </w:r>
      <w:r w:rsidR="00EC7A5B" w:rsidRPr="006F52BF">
        <w:rPr>
          <w:rFonts w:ascii="Times New Roman" w:hAnsi="Times New Roman" w:cs="Times New Roman"/>
          <w:lang w:val="en-US"/>
        </w:rPr>
        <w:t xml:space="preserve">, territoriales y productivos. </w:t>
      </w:r>
      <w:r w:rsidRPr="006F52BF">
        <w:rPr>
          <w:rFonts w:ascii="Times New Roman" w:hAnsi="Times New Roman" w:cs="Times New Roman"/>
          <w:lang w:val="en-US"/>
        </w:rPr>
        <w:t>Finalmente, la discusión sobre la CICyT invita a repensar la investigación en la universidad en tiempos de crisis. Frente al desfinanciamiento, la concentración territorial y los cuestionamientos al valor público de la ciencia, las convocatorias de ingreso no son un aspecto menor de la administración del CONICET</w:t>
      </w:r>
      <w:r w:rsidR="00EC7A5B" w:rsidRPr="006F52BF">
        <w:rPr>
          <w:rFonts w:ascii="Times New Roman" w:hAnsi="Times New Roman" w:cs="Times New Roman"/>
          <w:lang w:val="en-US"/>
        </w:rPr>
        <w:t>.</w:t>
      </w:r>
    </w:p>
    <w:p w14:paraId="22A6D195"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b/>
          <w:lang w:val="en-US"/>
        </w:rPr>
        <w:t>Referencias</w:t>
      </w:r>
    </w:p>
    <w:p w14:paraId="74C314BF" w14:textId="18B0CE1F" w:rsidR="00952BD8" w:rsidRPr="006F52BF" w:rsidRDefault="00E04FAB"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Adrogué, C. y García de Fanelli, A. (2023). Ingreso a la Carrera de Investigador Científico y Tecnológico del CONICET: 2006-2020. En C. Adrogué, M. A. Fischer, M. M. Formichella, A. M. García, M. N. Goldberg, C. V. Jeppesen, M. M. Marquina, C. A. Diego, C. J. Naidorf, J. A. Paz, G. C. Riquelme, J. S. Sassera y J. A. Yuni. </w:t>
      </w:r>
      <w:r w:rsidRPr="006F52BF">
        <w:rPr>
          <w:rFonts w:ascii="Times New Roman" w:hAnsi="Times New Roman" w:cs="Times New Roman"/>
          <w:i/>
          <w:lang w:val="en-US"/>
        </w:rPr>
        <w:t>Las trayectorias de investigadoras e investigadores del CONICET 1985-2020: Promociones, perspectiva de género y comportamientos por campo científico</w:t>
      </w:r>
      <w:r w:rsidRPr="006F52BF">
        <w:rPr>
          <w:rFonts w:ascii="Times New Roman" w:hAnsi="Times New Roman" w:cs="Times New Roman"/>
          <w:lang w:val="en-US"/>
        </w:rPr>
        <w:t xml:space="preserve"> (pp. 61-92). Buenos Aires: Consejo Nacional de Investigaciones Científicas y Técnicas.</w:t>
      </w:r>
    </w:p>
    <w:p w14:paraId="44217CBE"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Aguiar, D. y Svampa, F. (2024). La carrera del investigador del CONICET de Argentina entre 1983 y 2016. </w:t>
      </w:r>
      <w:r w:rsidRPr="006F52BF">
        <w:rPr>
          <w:rFonts w:ascii="Times New Roman" w:hAnsi="Times New Roman" w:cs="Times New Roman"/>
          <w:i/>
          <w:lang w:val="en-US"/>
        </w:rPr>
        <w:t>Ciencia, Tecnología y Política</w:t>
      </w:r>
      <w:r w:rsidRPr="006F52BF">
        <w:rPr>
          <w:rFonts w:ascii="Times New Roman" w:hAnsi="Times New Roman" w:cs="Times New Roman"/>
          <w:lang w:val="en-US"/>
        </w:rPr>
        <w:t>, 7(12), 61-71.</w:t>
      </w:r>
    </w:p>
    <w:p w14:paraId="569A914D" w14:textId="365E86F4"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Albornoz, M. y Gordon, A. (2011). La política de ciencia y tecnología en Argentina desde la recuperación de la democracia (1983-2009). En M. Albornoz y J. Sebastián (Eds.), </w:t>
      </w:r>
      <w:r w:rsidRPr="006F52BF">
        <w:rPr>
          <w:rFonts w:ascii="Times New Roman" w:hAnsi="Times New Roman" w:cs="Times New Roman"/>
          <w:i/>
          <w:lang w:val="en-US"/>
        </w:rPr>
        <w:t>Trayectorias de las políticas científicas y universitarias de Argen</w:t>
      </w:r>
      <w:r w:rsidR="00E91AD6" w:rsidRPr="006F52BF">
        <w:rPr>
          <w:rFonts w:ascii="Times New Roman" w:hAnsi="Times New Roman" w:cs="Times New Roman"/>
          <w:i/>
          <w:lang w:val="en-US"/>
        </w:rPr>
        <w:t>tina y España</w:t>
      </w:r>
      <w:r w:rsidR="00E91AD6" w:rsidRPr="006F52BF">
        <w:rPr>
          <w:rFonts w:ascii="Times New Roman" w:hAnsi="Times New Roman" w:cs="Times New Roman"/>
          <w:lang w:val="en-US"/>
        </w:rPr>
        <w:t xml:space="preserve"> (pp. 9-46). CSIC.</w:t>
      </w:r>
    </w:p>
    <w:p w14:paraId="02C51576"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Bekerman, F. (2018). </w:t>
      </w:r>
      <w:r w:rsidRPr="006F52BF">
        <w:rPr>
          <w:rFonts w:ascii="Times New Roman" w:hAnsi="Times New Roman" w:cs="Times New Roman"/>
          <w:i/>
          <w:lang w:val="en-US"/>
        </w:rPr>
        <w:t>La investigación científica argentina en dictadura. Transferencias y desplazamientos de recursos (1974-1983)</w:t>
      </w:r>
      <w:r w:rsidRPr="006F52BF">
        <w:rPr>
          <w:rFonts w:ascii="Times New Roman" w:hAnsi="Times New Roman" w:cs="Times New Roman"/>
          <w:lang w:val="en-US"/>
        </w:rPr>
        <w:t>. Editorial de la Universidad Nacional de Cuyo.</w:t>
      </w:r>
    </w:p>
    <w:p w14:paraId="5035F569"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Consejo Nacional de Investigaciones Científicas y Técnicas. (1989). Aportes para una memoria (enero 1984-julio 1988). Carrera de Investigador Científico y Tecnológico y Carrera del Personal de Apoyo a la Investigación y Desarrollo. EUDEBA.</w:t>
      </w:r>
    </w:p>
    <w:p w14:paraId="4114933D"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Consejo Nacional de Investigaciones Científicas y Técnicas. (2017). Acta de Directorio N.° 938. Buenos Aires: CONICET.</w:t>
      </w:r>
    </w:p>
    <w:p w14:paraId="4D6159AF"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Consejo Nacional de Investigaciones Científicas y Técnicas. (2023). Resolución N.° 406/2023. Reglamento de evaluación para el ingreso a la Carrera del Investigador Científico y Tecnológico. CONICET.</w:t>
      </w:r>
    </w:p>
    <w:p w14:paraId="2ABA7634"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Consejo Nacional de Investigaciones Científicas y Técnicas. (2024). Informe técnico sobre la línea de Fortalecimiento I+D+i. CONICET.</w:t>
      </w:r>
    </w:p>
    <w:p w14:paraId="4E556462" w14:textId="5CD3EEAC"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Del Bello, J. C. (2007). Contrarreforma (1990/96) y cambios en el CONICET a p</w:t>
      </w:r>
      <w:r w:rsidR="00E04FAB" w:rsidRPr="006F52BF">
        <w:rPr>
          <w:rFonts w:ascii="Times New Roman" w:hAnsi="Times New Roman" w:cs="Times New Roman"/>
          <w:lang w:val="en-US"/>
        </w:rPr>
        <w:t>artir de 1996. En SECYT (Comp.).</w:t>
      </w:r>
      <w:r w:rsidRPr="006F52BF">
        <w:rPr>
          <w:rFonts w:ascii="Times New Roman" w:hAnsi="Times New Roman" w:cs="Times New Roman"/>
          <w:lang w:val="en-US"/>
        </w:rPr>
        <w:t xml:space="preserve"> </w:t>
      </w:r>
      <w:r w:rsidRPr="006F52BF">
        <w:rPr>
          <w:rFonts w:ascii="Times New Roman" w:hAnsi="Times New Roman" w:cs="Times New Roman"/>
          <w:i/>
          <w:lang w:val="en-US"/>
        </w:rPr>
        <w:t>Ruptura y reconstrucción de la ciencia argentina</w:t>
      </w:r>
      <w:r w:rsidRPr="006F52BF">
        <w:rPr>
          <w:rFonts w:ascii="Times New Roman" w:hAnsi="Times New Roman" w:cs="Times New Roman"/>
          <w:lang w:val="en-US"/>
        </w:rPr>
        <w:t xml:space="preserve"> (pp. 79-82). SECYT.</w:t>
      </w:r>
    </w:p>
    <w:p w14:paraId="22169C22" w14:textId="77777777" w:rsidR="00E04FAB" w:rsidRPr="006F52BF" w:rsidRDefault="00E04FAB" w:rsidP="00E04FAB">
      <w:pPr>
        <w:snapToGrid w:val="0"/>
        <w:spacing w:after="0" w:line="360" w:lineRule="auto"/>
        <w:ind w:left="709" w:hanging="709"/>
        <w:contextualSpacing/>
        <w:jc w:val="both"/>
        <w:rPr>
          <w:rFonts w:ascii="Times New Roman" w:hAnsi="Times New Roman"/>
        </w:rPr>
      </w:pPr>
      <w:r w:rsidRPr="006F52BF">
        <w:rPr>
          <w:rFonts w:ascii="Times New Roman" w:hAnsi="Times New Roman"/>
        </w:rPr>
        <w:t xml:space="preserve">Del Bono, T. y Laborde, M. A. (2020). </w:t>
      </w:r>
      <w:r w:rsidRPr="006F52BF">
        <w:rPr>
          <w:rFonts w:ascii="Times New Roman" w:hAnsi="Times New Roman"/>
          <w:i/>
        </w:rPr>
        <w:t>Reflexiones sobre la convocatoria 2020.</w:t>
      </w:r>
      <w:r w:rsidRPr="006F52BF">
        <w:rPr>
          <w:rFonts w:ascii="Times New Roman" w:hAnsi="Times New Roman"/>
        </w:rPr>
        <w:t xml:space="preserve"> Buenos</w:t>
      </w:r>
    </w:p>
    <w:p w14:paraId="49782B01" w14:textId="587084DD" w:rsidR="00E04FAB" w:rsidRPr="006F52BF" w:rsidRDefault="00E04FAB" w:rsidP="00E04FAB">
      <w:pPr>
        <w:spacing w:line="240" w:lineRule="auto"/>
        <w:jc w:val="both"/>
        <w:rPr>
          <w:rFonts w:ascii="Times New Roman" w:hAnsi="Times New Roman" w:cs="Times New Roman"/>
          <w:lang w:val="en-US"/>
        </w:rPr>
      </w:pPr>
      <w:r w:rsidRPr="006F52BF">
        <w:rPr>
          <w:rFonts w:ascii="Times New Roman" w:hAnsi="Times New Roman"/>
        </w:rPr>
        <w:lastRenderedPageBreak/>
        <w:t>Aires: CONICET.</w:t>
      </w:r>
    </w:p>
    <w:p w14:paraId="339BBAFB"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Elzinga, A. y Jamison, A. (1996). El cambio de las agendas políticas en ciencia y tecnología. </w:t>
      </w:r>
      <w:r w:rsidRPr="006F52BF">
        <w:rPr>
          <w:rFonts w:ascii="Times New Roman" w:hAnsi="Times New Roman" w:cs="Times New Roman"/>
          <w:i/>
          <w:lang w:val="en-US"/>
        </w:rPr>
        <w:t>Zona Abierta</w:t>
      </w:r>
      <w:r w:rsidRPr="006F52BF">
        <w:rPr>
          <w:rFonts w:ascii="Times New Roman" w:hAnsi="Times New Roman" w:cs="Times New Roman"/>
          <w:lang w:val="en-US"/>
        </w:rPr>
        <w:t>, 75/76, 1-22.</w:t>
      </w:r>
    </w:p>
    <w:p w14:paraId="7AD9772A"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Jeppesen, C., Goldberg, M., Szpeiner, A. y Rodríguez Gauna, M. C. (2015). Estrategias, instrumentos y resultados de la política pública de recursos humanos en los últimos diez años. </w:t>
      </w:r>
      <w:r w:rsidRPr="006F52BF">
        <w:rPr>
          <w:rFonts w:ascii="Times New Roman" w:hAnsi="Times New Roman" w:cs="Times New Roman"/>
          <w:i/>
          <w:lang w:val="en-US"/>
        </w:rPr>
        <w:t>Sociedad</w:t>
      </w:r>
      <w:r w:rsidRPr="006F52BF">
        <w:rPr>
          <w:rFonts w:ascii="Times New Roman" w:hAnsi="Times New Roman" w:cs="Times New Roman"/>
          <w:lang w:val="en-US"/>
        </w:rPr>
        <w:t>, (34), 68-84.</w:t>
      </w:r>
    </w:p>
    <w:p w14:paraId="178BDDD3"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Niembro, A. (2020). ¿Federalización de la ciencia en Argentina? La carrera del investigador de CONICET (2010-2019). </w:t>
      </w:r>
      <w:r w:rsidRPr="006F52BF">
        <w:rPr>
          <w:rFonts w:ascii="Times New Roman" w:hAnsi="Times New Roman" w:cs="Times New Roman"/>
          <w:i/>
          <w:lang w:val="en-US"/>
        </w:rPr>
        <w:t>Ciencia, Docencia y Tecnología</w:t>
      </w:r>
      <w:r w:rsidRPr="006F52BF">
        <w:rPr>
          <w:rFonts w:ascii="Times New Roman" w:hAnsi="Times New Roman" w:cs="Times New Roman"/>
          <w:lang w:val="en-US"/>
        </w:rPr>
        <w:t>, 31(60), 1-33.</w:t>
      </w:r>
    </w:p>
    <w:p w14:paraId="6BC9980E"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Niembro, A. (2023). Controversias sobre la federalización de la ciencia y la tecnología en Argentina: cuatro ejemplos recientes (2020-2022). </w:t>
      </w:r>
      <w:r w:rsidRPr="006F52BF">
        <w:rPr>
          <w:rFonts w:ascii="Times New Roman" w:hAnsi="Times New Roman" w:cs="Times New Roman"/>
          <w:i/>
          <w:lang w:val="en-US"/>
        </w:rPr>
        <w:t>Estudios Sociales del Estado</w:t>
      </w:r>
      <w:r w:rsidRPr="006F52BF">
        <w:rPr>
          <w:rFonts w:ascii="Times New Roman" w:hAnsi="Times New Roman" w:cs="Times New Roman"/>
          <w:lang w:val="en-US"/>
        </w:rPr>
        <w:t>, 9(17).</w:t>
      </w:r>
    </w:p>
    <w:p w14:paraId="2FDB37F7" w14:textId="77777777"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Niembro, A., Aristimuño, F. y Del Bello, J. C. (2021). Federalización e ingresos de investigadores a CONICET en 2019 y 2020: ¿Del dicho al hecho hay mucho trecho? </w:t>
      </w:r>
      <w:r w:rsidRPr="006F52BF">
        <w:rPr>
          <w:rFonts w:ascii="Times New Roman" w:hAnsi="Times New Roman" w:cs="Times New Roman"/>
          <w:i/>
          <w:lang w:val="en-US"/>
        </w:rPr>
        <w:t>Perspectivas de Políticas Públicas</w:t>
      </w:r>
      <w:r w:rsidRPr="006F52BF">
        <w:rPr>
          <w:rFonts w:ascii="Times New Roman" w:hAnsi="Times New Roman" w:cs="Times New Roman"/>
          <w:lang w:val="en-US"/>
        </w:rPr>
        <w:t>, 10(20), 233-269.</w:t>
      </w:r>
    </w:p>
    <w:p w14:paraId="534C12CD" w14:textId="27462419"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Niembro, A. y Svampa, F. (2024). Territorial inequalities and (de)concentration of public investment in science: A study on CONICET (Argentina) and the tensions between academic excellence an</w:t>
      </w:r>
      <w:r w:rsidR="00E91AD6" w:rsidRPr="006F52BF">
        <w:rPr>
          <w:rFonts w:ascii="Times New Roman" w:hAnsi="Times New Roman" w:cs="Times New Roman"/>
          <w:lang w:val="en-US"/>
        </w:rPr>
        <w:t xml:space="preserve">d equity. </w:t>
      </w:r>
      <w:r w:rsidR="00E91AD6" w:rsidRPr="006F52BF">
        <w:rPr>
          <w:rFonts w:ascii="Times New Roman" w:hAnsi="Times New Roman" w:cs="Times New Roman"/>
          <w:i/>
          <w:lang w:val="en-US"/>
        </w:rPr>
        <w:t>Minerva</w:t>
      </w:r>
      <w:r w:rsidR="00E91AD6" w:rsidRPr="006F52BF">
        <w:rPr>
          <w:rFonts w:ascii="Times New Roman" w:hAnsi="Times New Roman" w:cs="Times New Roman"/>
          <w:lang w:val="en-US"/>
        </w:rPr>
        <w:t>, 63, 499-533.</w:t>
      </w:r>
    </w:p>
    <w:p w14:paraId="71466797" w14:textId="4F7010E8"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Sagasti, F. y Aráoz, A. (1975). Estudio de los instrumentos de política científica y tecnológica en los países de menor desarrollo. Orga</w:t>
      </w:r>
      <w:r w:rsidR="00E91AD6" w:rsidRPr="006F52BF">
        <w:rPr>
          <w:rFonts w:ascii="Times New Roman" w:hAnsi="Times New Roman" w:cs="Times New Roman"/>
          <w:lang w:val="en-US"/>
        </w:rPr>
        <w:t>nización de Estados Americanos.</w:t>
      </w:r>
    </w:p>
    <w:p w14:paraId="5AF8031C" w14:textId="20070542"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Sarthou, N. (2023). Las becas CONICET para Temas Estratégicos: balances y desafíos. </w:t>
      </w:r>
      <w:r w:rsidRPr="006F52BF">
        <w:rPr>
          <w:rFonts w:ascii="Times New Roman" w:hAnsi="Times New Roman" w:cs="Times New Roman"/>
          <w:i/>
          <w:lang w:val="en-US"/>
        </w:rPr>
        <w:t>Ciencia, Tecn</w:t>
      </w:r>
      <w:r w:rsidR="00E91AD6" w:rsidRPr="006F52BF">
        <w:rPr>
          <w:rFonts w:ascii="Times New Roman" w:hAnsi="Times New Roman" w:cs="Times New Roman"/>
          <w:i/>
          <w:lang w:val="en-US"/>
        </w:rPr>
        <w:t>ología y Política</w:t>
      </w:r>
      <w:r w:rsidR="00E91AD6" w:rsidRPr="006F52BF">
        <w:rPr>
          <w:rFonts w:ascii="Times New Roman" w:hAnsi="Times New Roman" w:cs="Times New Roman"/>
          <w:lang w:val="en-US"/>
        </w:rPr>
        <w:t>, 6(10), 1-15.</w:t>
      </w:r>
    </w:p>
    <w:p w14:paraId="779C331E" w14:textId="486175F0"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Svampa, F. y Aguiar, D. (2022</w:t>
      </w:r>
      <w:r w:rsidR="00E91AD6" w:rsidRPr="006F52BF">
        <w:rPr>
          <w:rFonts w:ascii="Times New Roman" w:hAnsi="Times New Roman" w:cs="Times New Roman"/>
          <w:lang w:val="en-US"/>
        </w:rPr>
        <w:t>a</w:t>
      </w:r>
      <w:r w:rsidRPr="006F52BF">
        <w:rPr>
          <w:rFonts w:ascii="Times New Roman" w:hAnsi="Times New Roman" w:cs="Times New Roman"/>
          <w:lang w:val="en-US"/>
        </w:rPr>
        <w:t xml:space="preserve">). Gobernanza y gobernabilidad en los actores directivos del CONICET entre 1983-2002. </w:t>
      </w:r>
      <w:r w:rsidRPr="006F52BF">
        <w:rPr>
          <w:rFonts w:ascii="Times New Roman" w:hAnsi="Times New Roman" w:cs="Times New Roman"/>
          <w:i/>
          <w:lang w:val="en-US"/>
        </w:rPr>
        <w:t>Ucronías</w:t>
      </w:r>
      <w:r w:rsidRPr="006F52BF">
        <w:rPr>
          <w:rFonts w:ascii="Times New Roman" w:hAnsi="Times New Roman" w:cs="Times New Roman"/>
          <w:lang w:val="en-US"/>
        </w:rPr>
        <w:t>, (6), 61-92.</w:t>
      </w:r>
    </w:p>
    <w:p w14:paraId="256D4571" w14:textId="5F97B618" w:rsidR="00E91AD6" w:rsidRPr="006F52BF" w:rsidRDefault="00E91AD6"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Svampa Fernando y Aguiar Diego (2022). Gobernanza y autonomía relativa en el Sistema Público de Investigación de la Argentina. Los cambios en la carrera de investigador científico y tecnológico del CONICET (1961-2003). </w:t>
      </w:r>
      <w:r w:rsidRPr="006F52BF">
        <w:rPr>
          <w:rFonts w:ascii="Times New Roman" w:hAnsi="Times New Roman" w:cs="Times New Roman"/>
          <w:i/>
          <w:lang w:val="en-US"/>
        </w:rPr>
        <w:t>Iberoamericana De Ciencia, Tecnología y Sociedad - CTS</w:t>
      </w:r>
      <w:r w:rsidRPr="006F52BF">
        <w:rPr>
          <w:rFonts w:ascii="Times New Roman" w:hAnsi="Times New Roman" w:cs="Times New Roman"/>
          <w:lang w:val="en-US"/>
        </w:rPr>
        <w:t xml:space="preserve">, 17, 181–211. </w:t>
      </w:r>
    </w:p>
    <w:p w14:paraId="50A52FCC" w14:textId="0394939E" w:rsidR="00952BD8" w:rsidRPr="006F52BF" w:rsidRDefault="00952BD8"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Svampa, F., Natapof, D. R., Kaderian, S. M., Bohoslavsky, J. P. y Aguiar, D. S. (2025). Gobernanza y derecho a la ciencia en Argentina: tensiones y transformaciones en el sistema científico y tecnológico (2003-2025). </w:t>
      </w:r>
      <w:r w:rsidR="00E04FAB" w:rsidRPr="006F52BF">
        <w:rPr>
          <w:rFonts w:ascii="Times New Roman" w:hAnsi="Times New Roman" w:cs="Times New Roman"/>
          <w:i/>
          <w:lang w:val="en-US"/>
        </w:rPr>
        <w:t>Revista Electrónica Instituto de Investigaciones Jurídicas y Sociales Ambrosio L. Gioja</w:t>
      </w:r>
      <w:r w:rsidRPr="006F52BF">
        <w:rPr>
          <w:rFonts w:ascii="Times New Roman" w:hAnsi="Times New Roman" w:cs="Times New Roman"/>
          <w:lang w:val="en-US"/>
        </w:rPr>
        <w:t>, (35), 198-234.</w:t>
      </w:r>
    </w:p>
    <w:p w14:paraId="4B77A6FD" w14:textId="56618E71" w:rsidR="00BC62F9" w:rsidRPr="006F52BF" w:rsidRDefault="00BC62F9" w:rsidP="00952BD8">
      <w:pPr>
        <w:spacing w:line="240" w:lineRule="auto"/>
        <w:jc w:val="both"/>
        <w:rPr>
          <w:rFonts w:ascii="Times New Roman" w:hAnsi="Times New Roman" w:cs="Times New Roman"/>
          <w:lang w:val="en-US"/>
        </w:rPr>
      </w:pPr>
      <w:r w:rsidRPr="006F52BF">
        <w:rPr>
          <w:rFonts w:ascii="Times New Roman" w:hAnsi="Times New Roman" w:cs="Times New Roman"/>
          <w:lang w:val="en-US"/>
        </w:rPr>
        <w:t xml:space="preserve">Svampa, F. y Aguiar. D. (2026). Culturas políticas y diseño de las convocatorias de ingreso a la CICyT del CONICET: mérito, orientación y segmentación (1983-2023). (2026). </w:t>
      </w:r>
      <w:r w:rsidRPr="006F52BF">
        <w:rPr>
          <w:rFonts w:ascii="Times New Roman" w:hAnsi="Times New Roman" w:cs="Times New Roman"/>
          <w:i/>
          <w:lang w:val="en-US"/>
        </w:rPr>
        <w:t>Ucronías</w:t>
      </w:r>
      <w:r w:rsidRPr="006F52BF">
        <w:rPr>
          <w:rFonts w:ascii="Times New Roman" w:hAnsi="Times New Roman" w:cs="Times New Roman"/>
          <w:lang w:val="en-US"/>
        </w:rPr>
        <w:t>, 13, 85-107.</w:t>
      </w:r>
    </w:p>
    <w:p w14:paraId="23CA62C6" w14:textId="2706DFBA" w:rsidR="00C802F5" w:rsidRPr="006F52BF" w:rsidRDefault="00C802F5" w:rsidP="007B5B5F">
      <w:pPr>
        <w:spacing w:line="240" w:lineRule="auto"/>
        <w:rPr>
          <w:rFonts w:ascii="Times New Roman" w:hAnsi="Times New Roman" w:cs="Times New Roman"/>
        </w:rPr>
      </w:pPr>
    </w:p>
    <w:p w14:paraId="7E83515B" w14:textId="7BF59CCC" w:rsidR="001923DC" w:rsidRPr="00BA642E" w:rsidRDefault="005F3B2E" w:rsidP="007B5B5F">
      <w:pPr>
        <w:spacing w:line="240" w:lineRule="auto"/>
        <w:jc w:val="center"/>
        <w:rPr>
          <w:rFonts w:ascii="Times New Roman" w:hAnsi="Times New Roman" w:cs="Times New Roman"/>
          <w:lang w:val="pt-BR"/>
        </w:rPr>
      </w:pPr>
      <w:r w:rsidRPr="006F52BF">
        <w:rPr>
          <w:rFonts w:ascii="Times New Roman" w:hAnsi="Times New Roman" w:cs="Times New Roman"/>
        </w:rPr>
        <w:t>/SUBIR EN FORMATO WORD/</w:t>
      </w: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79580" w14:textId="77777777" w:rsidR="005E2182" w:rsidRPr="00BA642E" w:rsidRDefault="005E2182" w:rsidP="00C802F5">
      <w:pPr>
        <w:spacing w:after="0" w:line="240" w:lineRule="auto"/>
      </w:pPr>
      <w:r w:rsidRPr="00BA642E">
        <w:separator/>
      </w:r>
    </w:p>
  </w:endnote>
  <w:endnote w:type="continuationSeparator" w:id="0">
    <w:p w14:paraId="0F874A1C" w14:textId="77777777" w:rsidR="005E2182" w:rsidRPr="00BA642E" w:rsidRDefault="005E218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MX" w:eastAsia="es-MX"/>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21190" w14:textId="77777777" w:rsidR="005E2182" w:rsidRPr="00BA642E" w:rsidRDefault="005E2182" w:rsidP="00C802F5">
      <w:pPr>
        <w:spacing w:after="0" w:line="240" w:lineRule="auto"/>
      </w:pPr>
      <w:r w:rsidRPr="00BA642E">
        <w:separator/>
      </w:r>
    </w:p>
  </w:footnote>
  <w:footnote w:type="continuationSeparator" w:id="0">
    <w:p w14:paraId="3C8B3B1D" w14:textId="77777777" w:rsidR="005E2182" w:rsidRPr="00BA642E" w:rsidRDefault="005E218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MX" w:eastAsia="es-MX"/>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5075BD"/>
    <w:rsid w:val="00550766"/>
    <w:rsid w:val="005E2182"/>
    <w:rsid w:val="005F3B2E"/>
    <w:rsid w:val="00686833"/>
    <w:rsid w:val="006F52BF"/>
    <w:rsid w:val="00701F64"/>
    <w:rsid w:val="00760A46"/>
    <w:rsid w:val="007A3C24"/>
    <w:rsid w:val="007B5B5F"/>
    <w:rsid w:val="007D233B"/>
    <w:rsid w:val="007E6D54"/>
    <w:rsid w:val="0085070B"/>
    <w:rsid w:val="008B4CD5"/>
    <w:rsid w:val="008D3E14"/>
    <w:rsid w:val="008F3617"/>
    <w:rsid w:val="00927213"/>
    <w:rsid w:val="00952BD8"/>
    <w:rsid w:val="00A17247"/>
    <w:rsid w:val="00A72921"/>
    <w:rsid w:val="00AE79C5"/>
    <w:rsid w:val="00B55616"/>
    <w:rsid w:val="00BA642E"/>
    <w:rsid w:val="00BC236F"/>
    <w:rsid w:val="00BC62F9"/>
    <w:rsid w:val="00C802F5"/>
    <w:rsid w:val="00C96B2C"/>
    <w:rsid w:val="00CC04C1"/>
    <w:rsid w:val="00D24945"/>
    <w:rsid w:val="00D843EC"/>
    <w:rsid w:val="00E04FAB"/>
    <w:rsid w:val="00E61B94"/>
    <w:rsid w:val="00E91AD6"/>
    <w:rsid w:val="00EC6604"/>
    <w:rsid w:val="00EC7A5B"/>
    <w:rsid w:val="00F40E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0A618A11-4A59-46CD-9D2E-E3E9172E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59"/>
    <w:rsid w:val="00952BD8"/>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5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2230-9E45-43D9-936D-2A2C84074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19</Pages>
  <Words>8936</Words>
  <Characters>49151</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Fernando Svampa</cp:lastModifiedBy>
  <cp:revision>4</cp:revision>
  <dcterms:created xsi:type="dcterms:W3CDTF">2026-03-14T03:50:00Z</dcterms:created>
  <dcterms:modified xsi:type="dcterms:W3CDTF">2026-06-30T17:37:00Z</dcterms:modified>
</cp:coreProperties>
</file>