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E4A66" w14:textId="77777777" w:rsidR="00B033AC" w:rsidRDefault="00B033AC" w:rsidP="00B033AC">
      <w:pPr>
        <w:tabs>
          <w:tab w:val="left" w:pos="1843"/>
        </w:tabs>
        <w:spacing w:line="240" w:lineRule="auto"/>
        <w:jc w:val="center"/>
        <w:rPr>
          <w:rFonts w:ascii="Times New Roman" w:eastAsia="Calibri" w:hAnsi="Times New Roman" w:cs="Times New Roman"/>
          <w:b/>
        </w:rPr>
      </w:pPr>
      <w:r w:rsidRPr="00FF76EE">
        <w:rPr>
          <w:rFonts w:ascii="Times New Roman" w:eastAsia="Calibri" w:hAnsi="Times New Roman" w:cs="Times New Roman"/>
          <w:b/>
        </w:rPr>
        <w:t>Adriana Puiggrós y sus usos educativos de Antonio Gramsci en el exilio mexicano (1974-1984): del americanismo al posmarxismo</w:t>
      </w:r>
    </w:p>
    <w:p w14:paraId="63E9062A" w14:textId="77777777" w:rsidR="00B033AC" w:rsidRDefault="00B033AC" w:rsidP="00B033AC">
      <w:pPr>
        <w:tabs>
          <w:tab w:val="left" w:pos="1843"/>
        </w:tabs>
        <w:spacing w:line="240" w:lineRule="auto"/>
        <w:jc w:val="center"/>
        <w:rPr>
          <w:rFonts w:ascii="Times New Roman" w:eastAsia="Calibri" w:hAnsi="Times New Roman" w:cs="Times New Roman"/>
          <w:b/>
        </w:rPr>
      </w:pPr>
    </w:p>
    <w:p w14:paraId="7D9E74A9" w14:textId="77777777" w:rsidR="00B033AC" w:rsidRPr="00FF76EE" w:rsidRDefault="00B033AC" w:rsidP="00B033AC">
      <w:pPr>
        <w:tabs>
          <w:tab w:val="left" w:pos="1843"/>
        </w:tabs>
        <w:spacing w:line="240" w:lineRule="auto"/>
        <w:jc w:val="right"/>
        <w:rPr>
          <w:rFonts w:ascii="Times New Roman" w:eastAsia="Calibri" w:hAnsi="Times New Roman" w:cs="Times New Roman"/>
          <w:bCs/>
        </w:rPr>
      </w:pPr>
      <w:r w:rsidRPr="00FF76EE">
        <w:rPr>
          <w:rFonts w:ascii="Times New Roman" w:eastAsia="Calibri" w:hAnsi="Times New Roman" w:cs="Times New Roman"/>
          <w:bCs/>
        </w:rPr>
        <w:t xml:space="preserve">Sebastián Gómez </w:t>
      </w:r>
    </w:p>
    <w:p w14:paraId="42EE7DD1" w14:textId="77777777" w:rsidR="00B033AC" w:rsidRPr="00FF76EE" w:rsidRDefault="00B033AC" w:rsidP="00B033AC">
      <w:pPr>
        <w:tabs>
          <w:tab w:val="left" w:pos="1843"/>
        </w:tabs>
        <w:spacing w:line="240" w:lineRule="auto"/>
        <w:jc w:val="right"/>
        <w:rPr>
          <w:rFonts w:ascii="Times New Roman" w:eastAsia="Calibri" w:hAnsi="Times New Roman" w:cs="Times New Roman"/>
          <w:bCs/>
        </w:rPr>
      </w:pPr>
      <w:r w:rsidRPr="00FF76EE">
        <w:rPr>
          <w:rFonts w:ascii="Times New Roman" w:eastAsia="Calibri" w:hAnsi="Times New Roman" w:cs="Times New Roman"/>
          <w:bCs/>
        </w:rPr>
        <w:t>UBA / CONICET</w:t>
      </w:r>
    </w:p>
    <w:p w14:paraId="525D8FAB" w14:textId="77777777" w:rsidR="00B033AC" w:rsidRPr="00FF76EE" w:rsidRDefault="00B033AC" w:rsidP="00B033AC">
      <w:pPr>
        <w:tabs>
          <w:tab w:val="left" w:pos="1843"/>
        </w:tabs>
        <w:spacing w:line="240" w:lineRule="auto"/>
        <w:jc w:val="right"/>
        <w:rPr>
          <w:rFonts w:ascii="Times New Roman" w:eastAsia="Calibri" w:hAnsi="Times New Roman" w:cs="Times New Roman"/>
          <w:bCs/>
        </w:rPr>
      </w:pPr>
      <w:r w:rsidRPr="00FF76EE">
        <w:rPr>
          <w:rFonts w:ascii="Times New Roman" w:eastAsia="Calibri" w:hAnsi="Times New Roman" w:cs="Times New Roman"/>
          <w:bCs/>
        </w:rPr>
        <w:t>sebastianjorgegomez@gmail.com</w:t>
      </w:r>
    </w:p>
    <w:p w14:paraId="6A5D7DAB" w14:textId="77777777" w:rsidR="00B033AC" w:rsidRPr="00FF76EE" w:rsidRDefault="00B033AC" w:rsidP="00B033AC">
      <w:pPr>
        <w:spacing w:line="240" w:lineRule="auto"/>
        <w:rPr>
          <w:rFonts w:ascii="Times New Roman" w:eastAsia="Calibri" w:hAnsi="Times New Roman" w:cs="Times New Roman"/>
          <w:b/>
        </w:rPr>
      </w:pPr>
    </w:p>
    <w:p w14:paraId="1FAAEE34" w14:textId="77777777" w:rsidR="00B033AC" w:rsidRPr="00FF76EE" w:rsidRDefault="00B033AC" w:rsidP="00B033AC">
      <w:pPr>
        <w:shd w:val="clear" w:color="auto" w:fill="FFFFFF"/>
        <w:spacing w:after="240" w:line="240" w:lineRule="auto"/>
        <w:jc w:val="both"/>
        <w:rPr>
          <w:rFonts w:ascii="Times New Roman" w:eastAsia="Calibri" w:hAnsi="Times New Roman" w:cs="Times New Roman"/>
        </w:rPr>
      </w:pPr>
      <w:r w:rsidRPr="00FF76EE">
        <w:rPr>
          <w:rFonts w:ascii="Times New Roman" w:eastAsia="Calibri" w:hAnsi="Times New Roman" w:cs="Times New Roman"/>
          <w:color w:val="0F1115"/>
        </w:rPr>
        <w:t xml:space="preserve">La ponencia aborda los usos de Antonio Gramsci por parte de Adriana Puiggrós durante su exilio en México, esto es, </w:t>
      </w:r>
      <w:r w:rsidRPr="00FF76EE">
        <w:rPr>
          <w:rFonts w:ascii="Times New Roman" w:eastAsia="Calibri" w:hAnsi="Times New Roman" w:cs="Times New Roman"/>
        </w:rPr>
        <w:t>entre septiembre de 1974 y diciembre de 1984</w:t>
      </w:r>
      <w:r w:rsidRPr="00FF76EE">
        <w:rPr>
          <w:rFonts w:ascii="Times New Roman" w:eastAsia="Calibri" w:hAnsi="Times New Roman" w:cs="Times New Roman"/>
          <w:color w:val="0F1115"/>
        </w:rPr>
        <w:t xml:space="preserve">. </w:t>
      </w:r>
      <w:r w:rsidRPr="00FF76EE">
        <w:rPr>
          <w:rFonts w:ascii="Times New Roman" w:eastAsia="Calibri" w:hAnsi="Times New Roman" w:cs="Times New Roman"/>
        </w:rPr>
        <w:t xml:space="preserve">La hipótesis es la siguiente: en un contexto de crisis del marxismo y revisión de certezas políticas, los estudios historiográficos de Puiggrós y sus empleos de Gramsci durante el exilio permanecieron modulados por el propósito de renovar la teoría marxista de la educación en latinoamericana; Gramsci, descubierto en México, fue parte de una búsqueda teórica que comenzó con una </w:t>
      </w:r>
      <w:r w:rsidRPr="00FF76EE">
        <w:rPr>
          <w:rFonts w:ascii="Times New Roman" w:eastAsia="Calibri" w:hAnsi="Times New Roman" w:cs="Times New Roman"/>
          <w:i/>
          <w:iCs/>
        </w:rPr>
        <w:t xml:space="preserve">reconstrucción sin deconstrucción </w:t>
      </w:r>
      <w:r w:rsidRPr="00FF76EE">
        <w:rPr>
          <w:rFonts w:ascii="Times New Roman" w:eastAsia="Calibri" w:hAnsi="Times New Roman" w:cs="Times New Roman"/>
        </w:rPr>
        <w:t xml:space="preserve">del marxismo y finalizó en una </w:t>
      </w:r>
      <w:r w:rsidRPr="00FF76EE">
        <w:rPr>
          <w:rFonts w:ascii="Times New Roman" w:eastAsia="Calibri" w:hAnsi="Times New Roman" w:cs="Times New Roman"/>
          <w:i/>
          <w:iCs/>
        </w:rPr>
        <w:t>deconstrucción sin reconstrucción</w:t>
      </w:r>
      <w:r w:rsidRPr="00FF76EE">
        <w:rPr>
          <w:rFonts w:ascii="Times New Roman" w:eastAsia="Calibri" w:hAnsi="Times New Roman" w:cs="Times New Roman"/>
        </w:rPr>
        <w:t xml:space="preserve"> de un marxismo en crisis. Este desplazamiento se advierte entre la profusa bibliografía de la autora durante el periodo; en particular, entre su primer libro, </w:t>
      </w:r>
      <w:r w:rsidRPr="00FF76EE">
        <w:rPr>
          <w:rFonts w:ascii="Times New Roman" w:eastAsia="Calibri" w:hAnsi="Times New Roman" w:cs="Times New Roman"/>
          <w:i/>
        </w:rPr>
        <w:t>Imperialismo y educación en América Latina</w:t>
      </w:r>
      <w:r w:rsidRPr="00FF76EE">
        <w:rPr>
          <w:rFonts w:ascii="Times New Roman" w:eastAsia="Calibri" w:hAnsi="Times New Roman" w:cs="Times New Roman"/>
        </w:rPr>
        <w:t xml:space="preserve"> (1980) y, su segundo, </w:t>
      </w:r>
      <w:r w:rsidRPr="00FF76EE">
        <w:rPr>
          <w:rFonts w:ascii="Times New Roman" w:eastAsia="Calibri" w:hAnsi="Times New Roman" w:cs="Times New Roman"/>
          <w:i/>
        </w:rPr>
        <w:t>La educación popular en América Latina</w:t>
      </w:r>
      <w:r w:rsidRPr="00FF76EE">
        <w:rPr>
          <w:rFonts w:ascii="Times New Roman" w:eastAsia="Calibri" w:hAnsi="Times New Roman" w:cs="Times New Roman"/>
        </w:rPr>
        <w:t xml:space="preserve"> (1984). Si bien en las contribuciones que deambularon entre una narrativa historiográfica, ensayística, periodística o política se anudaron propósitos diversos, la ponencia coloca el foco en su apuesta por la conformación de una teoría educativa marxista de corte latinoamericano.</w:t>
      </w:r>
    </w:p>
    <w:p w14:paraId="7B80F5A3" w14:textId="77777777" w:rsidR="00B033AC" w:rsidRPr="00FF76EE" w:rsidRDefault="00B033AC" w:rsidP="00B033AC">
      <w:pPr>
        <w:shd w:val="clear" w:color="auto" w:fill="FFFFFF"/>
        <w:spacing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Dentro de tramas colectivas (unidades académicas, organismos de exiliados, grupos políticos, etc.) Puiggrós emprendió una revisión de los convulsionados años 70 que no supuso una retirada del peronismo o del marxismo. Al interior de estas coordenadas políticas y teóricas en crisis, recurrió a Gramsci y continuó cultivando el vínculo peronismo-marxismo. Se trató de exploraciones ininteligibles por fuera de las condiciones del exilio mexicano que le permitieron el acceso a renovados insumos teóricos y una inserción académica estable.      </w:t>
      </w:r>
    </w:p>
    <w:p w14:paraId="1D5C69A0" w14:textId="77777777" w:rsidR="00B033AC" w:rsidRPr="00FF76EE" w:rsidRDefault="00B033AC" w:rsidP="00B033AC">
      <w:pPr>
        <w:shd w:val="clear" w:color="auto" w:fill="FFFFFF"/>
        <w:spacing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A propósito de las condiciones sociales de la circulación internacional de las ideas, hace ya tiempo Bourdieu (1997) sugirió que las categorías teóricas suelen ser apropiadas sin un conocimiento cabal del contexto originario de su producción. Es cierto que, como aseguraba el sociólogo francés, este hiato conduce de manera frecuente a “malos entendidos”, prejuicios y hasta simplificaciones. Pero también, parafraseando al deconstructivismo deleuziano, esta suerte de “malos entendidos” ha sido una oportunidad para la creatividad. La recepción latinoamericana de Gramsci es ilustrativa al respecto: aun cuando el sardo dedicó pocas reflexiones a América Latina, sus categorías se han insertado en terrenos sumamente novedosos, expandiendo la capacidad heurística del autor. A partir de reconocer la complejidad de este movimiento entre el campo de origen y el campo de recepción de autoras y autores, la ponencia construye los resultados a través de un enfoque cualitativo basado en la investigación documental y entrevistas </w:t>
      </w:r>
      <w:r w:rsidRPr="00FF76EE">
        <w:rPr>
          <w:rFonts w:ascii="Times New Roman" w:eastAsia="Calibri" w:hAnsi="Times New Roman" w:cs="Times New Roman"/>
        </w:rPr>
        <w:lastRenderedPageBreak/>
        <w:t>semiestructuradas. Entre los propósitos de la ponencia, destaca reponer la historicidad de los creativos usos de Gramsci por parte de Puiggrós que tuvieron amplia repercusión en América Latina.</w:t>
      </w:r>
    </w:p>
    <w:p w14:paraId="7D4CD8E4" w14:textId="77777777" w:rsidR="00B033AC" w:rsidRPr="00FF76EE" w:rsidRDefault="00B033AC" w:rsidP="00B033AC">
      <w:pPr>
        <w:spacing w:line="240" w:lineRule="auto"/>
        <w:rPr>
          <w:rFonts w:ascii="Times New Roman" w:hAnsi="Times New Roman" w:cs="Times New Roman"/>
          <w:u w:val="single"/>
        </w:rPr>
      </w:pPr>
    </w:p>
    <w:p w14:paraId="0829A4C2" w14:textId="77777777" w:rsidR="00B033AC" w:rsidRPr="00FF76EE" w:rsidRDefault="00B033AC" w:rsidP="00B033AC">
      <w:pPr>
        <w:spacing w:line="240" w:lineRule="auto"/>
        <w:rPr>
          <w:rFonts w:ascii="Times New Roman" w:eastAsia="Calibri" w:hAnsi="Times New Roman" w:cs="Times New Roman"/>
          <w:b/>
        </w:rPr>
      </w:pPr>
      <w:r w:rsidRPr="00FF76EE">
        <w:rPr>
          <w:rFonts w:ascii="Times New Roman" w:eastAsia="Calibri" w:hAnsi="Times New Roman" w:cs="Times New Roman"/>
          <w:b/>
        </w:rPr>
        <w:t>Palabras claves:</w:t>
      </w:r>
    </w:p>
    <w:p w14:paraId="40A258C1" w14:textId="77777777" w:rsidR="00B033AC" w:rsidRPr="00FF76EE" w:rsidRDefault="00B033AC" w:rsidP="00B033AC">
      <w:pPr>
        <w:spacing w:line="240" w:lineRule="auto"/>
        <w:rPr>
          <w:rFonts w:ascii="Times New Roman" w:eastAsia="Calibri" w:hAnsi="Times New Roman" w:cs="Times New Roman"/>
        </w:rPr>
      </w:pPr>
      <w:r w:rsidRPr="00FF76EE">
        <w:rPr>
          <w:rFonts w:ascii="Times New Roman" w:eastAsia="Calibri" w:hAnsi="Times New Roman" w:cs="Times New Roman"/>
        </w:rPr>
        <w:t>Crisis del marxismo; americanismo; posmarxismo</w:t>
      </w:r>
    </w:p>
    <w:p w14:paraId="2F33B962" w14:textId="77777777" w:rsidR="00B033AC" w:rsidRPr="00FF76EE" w:rsidRDefault="00B033AC" w:rsidP="00B033AC">
      <w:pPr>
        <w:spacing w:line="240" w:lineRule="auto"/>
        <w:rPr>
          <w:rFonts w:ascii="Times New Roman" w:eastAsia="Calibri" w:hAnsi="Times New Roman" w:cs="Times New Roman"/>
          <w:b/>
        </w:rPr>
      </w:pPr>
    </w:p>
    <w:p w14:paraId="6E5BB333" w14:textId="77777777" w:rsidR="00B033AC" w:rsidRPr="00FF76EE" w:rsidRDefault="00B033AC" w:rsidP="00B033AC">
      <w:pPr>
        <w:spacing w:line="240" w:lineRule="auto"/>
        <w:rPr>
          <w:rFonts w:ascii="Times New Roman" w:eastAsia="Calibri" w:hAnsi="Times New Roman" w:cs="Times New Roman"/>
          <w:b/>
        </w:rPr>
      </w:pPr>
    </w:p>
    <w:p w14:paraId="4EF69A1F" w14:textId="77777777" w:rsidR="00B033AC" w:rsidRPr="00FF76EE" w:rsidRDefault="00B033AC" w:rsidP="00B033AC">
      <w:pPr>
        <w:spacing w:line="240" w:lineRule="auto"/>
        <w:rPr>
          <w:rFonts w:ascii="Times New Roman" w:eastAsia="Calibri" w:hAnsi="Times New Roman" w:cs="Times New Roman"/>
          <w:b/>
        </w:rPr>
      </w:pPr>
    </w:p>
    <w:p w14:paraId="658374FF" w14:textId="77777777" w:rsidR="00B033AC" w:rsidRPr="00FF76EE" w:rsidRDefault="00B033AC" w:rsidP="00B033AC">
      <w:pPr>
        <w:spacing w:line="240" w:lineRule="auto"/>
        <w:rPr>
          <w:rFonts w:ascii="Times New Roman" w:eastAsia="Calibri" w:hAnsi="Times New Roman" w:cs="Times New Roman"/>
          <w:b/>
        </w:rPr>
      </w:pPr>
    </w:p>
    <w:p w14:paraId="7F2C3D64" w14:textId="77777777" w:rsidR="00B033AC" w:rsidRPr="00FF76EE" w:rsidRDefault="00B033AC" w:rsidP="00B033AC">
      <w:pPr>
        <w:spacing w:line="240" w:lineRule="auto"/>
        <w:rPr>
          <w:rFonts w:ascii="Times New Roman" w:eastAsia="Calibri" w:hAnsi="Times New Roman" w:cs="Times New Roman"/>
          <w:b/>
        </w:rPr>
      </w:pPr>
    </w:p>
    <w:p w14:paraId="5F3C0E9A" w14:textId="77777777" w:rsidR="00B033AC" w:rsidRPr="00FF76EE" w:rsidRDefault="00B033AC" w:rsidP="00B033AC">
      <w:pPr>
        <w:spacing w:line="240" w:lineRule="auto"/>
        <w:rPr>
          <w:rFonts w:ascii="Times New Roman" w:eastAsia="Calibri" w:hAnsi="Times New Roman" w:cs="Times New Roman"/>
          <w:b/>
        </w:rPr>
      </w:pPr>
    </w:p>
    <w:p w14:paraId="1E090BBB" w14:textId="77777777" w:rsidR="00B033AC" w:rsidRPr="00FF76EE" w:rsidRDefault="00B033AC" w:rsidP="00B033AC">
      <w:pPr>
        <w:spacing w:line="240" w:lineRule="auto"/>
        <w:rPr>
          <w:rFonts w:ascii="Times New Roman" w:eastAsia="Calibri" w:hAnsi="Times New Roman" w:cs="Times New Roman"/>
          <w:b/>
        </w:rPr>
      </w:pPr>
    </w:p>
    <w:p w14:paraId="5C13B9FB" w14:textId="77777777" w:rsidR="00B033AC" w:rsidRPr="00FF76EE" w:rsidRDefault="00B033AC" w:rsidP="00B033AC">
      <w:pPr>
        <w:spacing w:line="240" w:lineRule="auto"/>
        <w:rPr>
          <w:rFonts w:ascii="Times New Roman" w:eastAsia="Calibri" w:hAnsi="Times New Roman" w:cs="Times New Roman"/>
          <w:b/>
        </w:rPr>
      </w:pPr>
    </w:p>
    <w:p w14:paraId="7BD2C319" w14:textId="77777777" w:rsidR="00B033AC" w:rsidRPr="00FF76EE" w:rsidRDefault="00B033AC" w:rsidP="00B033AC">
      <w:pPr>
        <w:spacing w:line="240" w:lineRule="auto"/>
        <w:rPr>
          <w:rFonts w:ascii="Times New Roman" w:eastAsia="Calibri" w:hAnsi="Times New Roman" w:cs="Times New Roman"/>
          <w:b/>
        </w:rPr>
      </w:pPr>
    </w:p>
    <w:p w14:paraId="5F938C04" w14:textId="77777777" w:rsidR="00B033AC" w:rsidRPr="00FF76EE" w:rsidRDefault="00B033AC" w:rsidP="00B033AC">
      <w:pPr>
        <w:spacing w:line="240" w:lineRule="auto"/>
        <w:rPr>
          <w:rFonts w:ascii="Times New Roman" w:eastAsia="Calibri" w:hAnsi="Times New Roman" w:cs="Times New Roman"/>
          <w:b/>
        </w:rPr>
      </w:pPr>
    </w:p>
    <w:p w14:paraId="3A6F720F" w14:textId="77777777" w:rsidR="00B033AC" w:rsidRDefault="00B033AC" w:rsidP="00B033AC">
      <w:pPr>
        <w:spacing w:line="240" w:lineRule="auto"/>
        <w:rPr>
          <w:rFonts w:ascii="Times New Roman" w:eastAsia="Calibri" w:hAnsi="Times New Roman" w:cs="Times New Roman"/>
          <w:b/>
        </w:rPr>
      </w:pPr>
    </w:p>
    <w:p w14:paraId="78CDDF3B" w14:textId="77777777" w:rsidR="00A0600D" w:rsidRDefault="00A0600D" w:rsidP="00B033AC">
      <w:pPr>
        <w:spacing w:line="240" w:lineRule="auto"/>
        <w:rPr>
          <w:rFonts w:ascii="Times New Roman" w:eastAsia="Calibri" w:hAnsi="Times New Roman" w:cs="Times New Roman"/>
          <w:b/>
        </w:rPr>
      </w:pPr>
    </w:p>
    <w:p w14:paraId="67317D60" w14:textId="77777777" w:rsidR="00A0600D" w:rsidRDefault="00A0600D" w:rsidP="00B033AC">
      <w:pPr>
        <w:spacing w:line="240" w:lineRule="auto"/>
        <w:rPr>
          <w:rFonts w:ascii="Times New Roman" w:eastAsia="Calibri" w:hAnsi="Times New Roman" w:cs="Times New Roman"/>
          <w:b/>
        </w:rPr>
      </w:pPr>
    </w:p>
    <w:p w14:paraId="53DF2F35" w14:textId="77777777" w:rsidR="00A0600D" w:rsidRDefault="00A0600D" w:rsidP="00B033AC">
      <w:pPr>
        <w:spacing w:line="240" w:lineRule="auto"/>
        <w:rPr>
          <w:rFonts w:ascii="Times New Roman" w:eastAsia="Calibri" w:hAnsi="Times New Roman" w:cs="Times New Roman"/>
          <w:b/>
        </w:rPr>
      </w:pPr>
    </w:p>
    <w:p w14:paraId="3B4FB221" w14:textId="77777777" w:rsidR="00A0600D" w:rsidRDefault="00A0600D" w:rsidP="00B033AC">
      <w:pPr>
        <w:spacing w:line="240" w:lineRule="auto"/>
        <w:rPr>
          <w:rFonts w:ascii="Times New Roman" w:eastAsia="Calibri" w:hAnsi="Times New Roman" w:cs="Times New Roman"/>
          <w:b/>
        </w:rPr>
      </w:pPr>
    </w:p>
    <w:p w14:paraId="49E7A184" w14:textId="77777777" w:rsidR="00A0600D" w:rsidRDefault="00A0600D" w:rsidP="00B033AC">
      <w:pPr>
        <w:spacing w:line="240" w:lineRule="auto"/>
        <w:rPr>
          <w:rFonts w:ascii="Times New Roman" w:eastAsia="Calibri" w:hAnsi="Times New Roman" w:cs="Times New Roman"/>
          <w:b/>
        </w:rPr>
      </w:pPr>
    </w:p>
    <w:p w14:paraId="768C1912" w14:textId="77777777" w:rsidR="00A0600D" w:rsidRDefault="00A0600D" w:rsidP="00B033AC">
      <w:pPr>
        <w:spacing w:line="240" w:lineRule="auto"/>
        <w:rPr>
          <w:rFonts w:ascii="Times New Roman" w:eastAsia="Calibri" w:hAnsi="Times New Roman" w:cs="Times New Roman"/>
          <w:b/>
        </w:rPr>
      </w:pPr>
    </w:p>
    <w:p w14:paraId="6A427DDC" w14:textId="77777777" w:rsidR="00A0600D" w:rsidRDefault="00A0600D" w:rsidP="00B033AC">
      <w:pPr>
        <w:spacing w:line="240" w:lineRule="auto"/>
        <w:rPr>
          <w:rFonts w:ascii="Times New Roman" w:eastAsia="Calibri" w:hAnsi="Times New Roman" w:cs="Times New Roman"/>
          <w:b/>
        </w:rPr>
      </w:pPr>
    </w:p>
    <w:p w14:paraId="1209BD38" w14:textId="77777777" w:rsidR="00A0600D" w:rsidRDefault="00A0600D" w:rsidP="00B033AC">
      <w:pPr>
        <w:spacing w:line="240" w:lineRule="auto"/>
        <w:rPr>
          <w:rFonts w:ascii="Times New Roman" w:eastAsia="Calibri" w:hAnsi="Times New Roman" w:cs="Times New Roman"/>
          <w:b/>
        </w:rPr>
      </w:pPr>
    </w:p>
    <w:p w14:paraId="70628A7A" w14:textId="77777777" w:rsidR="00A0600D" w:rsidRPr="00FF76EE" w:rsidRDefault="00A0600D" w:rsidP="00B033AC">
      <w:pPr>
        <w:spacing w:line="240" w:lineRule="auto"/>
        <w:rPr>
          <w:rFonts w:ascii="Times New Roman" w:eastAsia="Calibri" w:hAnsi="Times New Roman" w:cs="Times New Roman"/>
          <w:b/>
        </w:rPr>
      </w:pPr>
    </w:p>
    <w:p w14:paraId="607785E9" w14:textId="77777777" w:rsidR="00B033AC" w:rsidRPr="00FF76EE" w:rsidRDefault="00B033AC" w:rsidP="00B033AC">
      <w:pPr>
        <w:spacing w:line="240" w:lineRule="auto"/>
        <w:rPr>
          <w:rFonts w:ascii="Times New Roman" w:eastAsia="Calibri" w:hAnsi="Times New Roman" w:cs="Times New Roman"/>
          <w:b/>
        </w:rPr>
      </w:pPr>
    </w:p>
    <w:p w14:paraId="64591B07" w14:textId="77777777" w:rsidR="00B033AC" w:rsidRPr="00FF76EE" w:rsidRDefault="00B033AC" w:rsidP="00B033AC">
      <w:pPr>
        <w:spacing w:line="240" w:lineRule="auto"/>
        <w:rPr>
          <w:rFonts w:ascii="Times New Roman" w:eastAsia="Calibri" w:hAnsi="Times New Roman" w:cs="Times New Roman"/>
          <w:b/>
        </w:rPr>
      </w:pPr>
    </w:p>
    <w:p w14:paraId="496EBE26" w14:textId="77777777" w:rsidR="00B033AC" w:rsidRPr="00FF76EE" w:rsidRDefault="00B033AC" w:rsidP="00B033AC">
      <w:pPr>
        <w:spacing w:line="240" w:lineRule="auto"/>
        <w:rPr>
          <w:rFonts w:ascii="Times New Roman" w:eastAsia="Calibri" w:hAnsi="Times New Roman" w:cs="Times New Roman"/>
          <w:b/>
        </w:rPr>
      </w:pPr>
    </w:p>
    <w:p w14:paraId="5A100150" w14:textId="77777777" w:rsidR="001E41EE" w:rsidRDefault="001E41EE" w:rsidP="001E41EE">
      <w:pPr>
        <w:tabs>
          <w:tab w:val="left" w:pos="1843"/>
        </w:tabs>
        <w:spacing w:line="240" w:lineRule="auto"/>
        <w:jc w:val="center"/>
        <w:rPr>
          <w:rFonts w:ascii="Times New Roman" w:eastAsia="Calibri" w:hAnsi="Times New Roman" w:cs="Times New Roman"/>
          <w:b/>
        </w:rPr>
      </w:pPr>
      <w:r w:rsidRPr="00FF76EE">
        <w:rPr>
          <w:rFonts w:ascii="Times New Roman" w:eastAsia="Calibri" w:hAnsi="Times New Roman" w:cs="Times New Roman"/>
          <w:b/>
        </w:rPr>
        <w:lastRenderedPageBreak/>
        <w:t>Adriana Puiggrós y sus usos educativos de Antonio Gramsci en el exilio mexicano (1974-1984): del americanismo al posmarxismo</w:t>
      </w:r>
    </w:p>
    <w:p w14:paraId="02B7A3B5" w14:textId="77777777" w:rsidR="001E41EE" w:rsidRDefault="001E41EE" w:rsidP="00B033AC">
      <w:pPr>
        <w:spacing w:line="240" w:lineRule="auto"/>
        <w:rPr>
          <w:rFonts w:ascii="Times New Roman" w:eastAsia="Calibri" w:hAnsi="Times New Roman" w:cs="Times New Roman"/>
          <w:b/>
        </w:rPr>
      </w:pPr>
    </w:p>
    <w:p w14:paraId="38819325" w14:textId="5950902B" w:rsidR="00B033AC" w:rsidRPr="00FF76EE" w:rsidRDefault="00B033AC" w:rsidP="00B033AC">
      <w:pPr>
        <w:spacing w:line="240" w:lineRule="auto"/>
        <w:rPr>
          <w:rFonts w:ascii="Times New Roman" w:eastAsia="Calibri" w:hAnsi="Times New Roman" w:cs="Times New Roman"/>
          <w:b/>
        </w:rPr>
      </w:pPr>
      <w:r w:rsidRPr="00FF76EE">
        <w:rPr>
          <w:rFonts w:ascii="Times New Roman" w:eastAsia="Calibri" w:hAnsi="Times New Roman" w:cs="Times New Roman"/>
          <w:b/>
        </w:rPr>
        <w:t>Introducción</w:t>
      </w:r>
    </w:p>
    <w:p w14:paraId="5DF6B606" w14:textId="4E15B6EB" w:rsidR="00B033AC" w:rsidRPr="00FF76EE" w:rsidRDefault="001E41EE" w:rsidP="00B033AC">
      <w:pPr>
        <w:spacing w:line="240" w:lineRule="auto"/>
        <w:ind w:firstLine="426"/>
        <w:jc w:val="both"/>
        <w:rPr>
          <w:rFonts w:ascii="Times New Roman" w:eastAsia="Calibri" w:hAnsi="Times New Roman" w:cs="Times New Roman"/>
        </w:rPr>
      </w:pPr>
      <w:r>
        <w:rPr>
          <w:rFonts w:ascii="Times New Roman" w:eastAsia="Calibri" w:hAnsi="Times New Roman" w:cs="Times New Roman"/>
        </w:rPr>
        <w:t>La</w:t>
      </w:r>
      <w:r w:rsidR="00B033AC" w:rsidRPr="00FF76EE">
        <w:rPr>
          <w:rFonts w:ascii="Times New Roman" w:eastAsia="Calibri" w:hAnsi="Times New Roman" w:cs="Times New Roman"/>
        </w:rPr>
        <w:t xml:space="preserve"> ponencia explora los usos educativos de Antonio Gramsci por parte de Adriana Puiggrós (1941) entre 1974 y 1984, esto es, durante sus años de exilio en el Distrito Federal, México. En este período, Puiggrós propuso coordenadas historiográficas y teóricas de vasta repercusión en el campo educativo latinoamericano; en su propuesta, el sardo se destacó como referente. La hipótesis es la siguiente: en un marco de revisión de certezas políticas y conceptuales, los estudios historiográficos de Puiggrós y sus empleos de Gramsci durante el exilio estuvieron modulados por el propósito de renovar la teoría marxista de la educación latinoamericana; Gramsci fue inscrito en una búsqueda teórica que comenzó con una </w:t>
      </w:r>
      <w:r w:rsidR="00B033AC" w:rsidRPr="00FF76EE">
        <w:rPr>
          <w:rFonts w:ascii="Times New Roman" w:eastAsia="Calibri" w:hAnsi="Times New Roman" w:cs="Times New Roman"/>
          <w:i/>
          <w:iCs/>
        </w:rPr>
        <w:t>reconstrucción sin deconstrucción del marxismo</w:t>
      </w:r>
      <w:r w:rsidR="00B033AC" w:rsidRPr="00FF76EE">
        <w:rPr>
          <w:rFonts w:ascii="Times New Roman" w:eastAsia="Calibri" w:hAnsi="Times New Roman" w:cs="Times New Roman"/>
        </w:rPr>
        <w:t xml:space="preserve"> y finalizó en una </w:t>
      </w:r>
      <w:r w:rsidR="00B033AC" w:rsidRPr="00FF76EE">
        <w:rPr>
          <w:rFonts w:ascii="Times New Roman" w:eastAsia="Calibri" w:hAnsi="Times New Roman" w:cs="Times New Roman"/>
          <w:i/>
          <w:iCs/>
        </w:rPr>
        <w:t>deconstrucción sin reconstrucción de un marxismo</w:t>
      </w:r>
      <w:r w:rsidR="00B033AC" w:rsidRPr="00FF76EE">
        <w:rPr>
          <w:rFonts w:ascii="Times New Roman" w:eastAsia="Calibri" w:hAnsi="Times New Roman" w:cs="Times New Roman"/>
        </w:rPr>
        <w:t xml:space="preserve"> en crisis.</w:t>
      </w:r>
    </w:p>
    <w:p w14:paraId="5CB1FE3D" w14:textId="4796ACF6" w:rsidR="00B033AC" w:rsidRPr="00FF76EE" w:rsidRDefault="001E41EE" w:rsidP="00B033AC">
      <w:pPr>
        <w:spacing w:line="240" w:lineRule="auto"/>
        <w:ind w:firstLine="426"/>
        <w:jc w:val="both"/>
        <w:rPr>
          <w:rFonts w:ascii="Times New Roman" w:eastAsia="Calibri" w:hAnsi="Times New Roman" w:cs="Times New Roman"/>
        </w:rPr>
      </w:pPr>
      <w:r>
        <w:rPr>
          <w:rFonts w:ascii="Times New Roman" w:eastAsia="Calibri" w:hAnsi="Times New Roman" w:cs="Times New Roman"/>
        </w:rPr>
        <w:t xml:space="preserve">El escrito </w:t>
      </w:r>
      <w:r w:rsidR="00B033AC" w:rsidRPr="00FF76EE">
        <w:rPr>
          <w:rFonts w:ascii="Times New Roman" w:eastAsia="Calibri" w:hAnsi="Times New Roman" w:cs="Times New Roman"/>
        </w:rPr>
        <w:t>se focaliza en la recepción de Gramsci por parte de Puiggrós durante su exilio en México. En estos diez años, la producción de la autora resultó prolífera: además de la intervención en periódicos, congresos y revistas, escribió dos libros que fueron corolario de sus tesis de maestría y doctorado. Entre esta profusa literatura que deambuló entre una narrativa historiográfica, ensayística, periodística o política, se anudaron propósitos diversos. La ponencia coloca el foco en su apuesta por la conformación de una teoría educativa marxista de corte latinoamericano</w:t>
      </w:r>
      <w:r>
        <w:rPr>
          <w:rFonts w:ascii="Times New Roman" w:eastAsia="Calibri" w:hAnsi="Times New Roman" w:cs="Times New Roman"/>
        </w:rPr>
        <w:t>.</w:t>
      </w:r>
    </w:p>
    <w:p w14:paraId="33733FE1" w14:textId="77777777" w:rsidR="00B033AC" w:rsidRPr="00FF76EE" w:rsidRDefault="00B033AC" w:rsidP="00B033AC">
      <w:pPr>
        <w:spacing w:line="240" w:lineRule="auto"/>
        <w:jc w:val="both"/>
        <w:rPr>
          <w:rFonts w:ascii="Times New Roman" w:eastAsia="Calibri" w:hAnsi="Times New Roman" w:cs="Times New Roman"/>
          <w:b/>
        </w:rPr>
      </w:pPr>
    </w:p>
    <w:p w14:paraId="67666CC8" w14:textId="77777777" w:rsidR="00B033AC" w:rsidRPr="00FF76EE" w:rsidRDefault="00B033AC" w:rsidP="00B033AC">
      <w:pPr>
        <w:spacing w:line="240" w:lineRule="auto"/>
        <w:jc w:val="both"/>
        <w:rPr>
          <w:rFonts w:ascii="Times New Roman" w:eastAsia="Calibri" w:hAnsi="Times New Roman" w:cs="Times New Roman"/>
          <w:b/>
        </w:rPr>
      </w:pPr>
      <w:r w:rsidRPr="00FF76EE">
        <w:rPr>
          <w:rFonts w:ascii="Times New Roman" w:eastAsia="Calibri" w:hAnsi="Times New Roman" w:cs="Times New Roman"/>
          <w:b/>
        </w:rPr>
        <w:t xml:space="preserve">Puiggrós en la geografía exiliar mexicana y Gramsci en el examen de la conciencia setentista </w:t>
      </w:r>
    </w:p>
    <w:p w14:paraId="5F6830E3" w14:textId="77777777" w:rsidR="00B033AC" w:rsidRPr="00FF76EE" w:rsidRDefault="00B033AC" w:rsidP="00B033AC">
      <w:pPr>
        <w:spacing w:before="240" w:line="240" w:lineRule="auto"/>
        <w:ind w:firstLine="360"/>
        <w:jc w:val="both"/>
        <w:rPr>
          <w:rFonts w:ascii="Times New Roman" w:eastAsia="Calibri" w:hAnsi="Times New Roman" w:cs="Times New Roman"/>
        </w:rPr>
      </w:pPr>
      <w:r w:rsidRPr="00FF76EE">
        <w:rPr>
          <w:rFonts w:ascii="Times New Roman" w:eastAsia="Calibri" w:hAnsi="Times New Roman" w:cs="Times New Roman"/>
        </w:rPr>
        <w:t>El exilio por razones políticas de los años 70 en Argentina no fue un fenómeno inédito, pero adquirió una masividad inaudita. No se trató de una migración organizada o financiada por algún organismo político o humanitario sino de un fenómeno preparado y decidido de manera personal o familiar. Con una larga tradición gubernamental en materia de refugio político y dada la hospitalidad de la política exterior del presidente Luis Echeverría, México y, especialmente, su capital, fueron uno de los principales espacios de acogida de compatriotas en los 70/80 (Yankelevich, 2004; Bernetti y Giardinelli, 2003;</w:t>
      </w:r>
      <w:r w:rsidRPr="00FF76EE">
        <w:rPr>
          <w:rFonts w:ascii="Times New Roman" w:eastAsia="Calibri" w:hAnsi="Times New Roman" w:cs="Times New Roman"/>
          <w:highlight w:val="white"/>
        </w:rPr>
        <w:t xml:space="preserve"> etc.).</w:t>
      </w:r>
      <w:r w:rsidRPr="00FF76EE">
        <w:rPr>
          <w:rFonts w:ascii="Times New Roman" w:eastAsia="Calibri" w:hAnsi="Times New Roman" w:cs="Times New Roman"/>
        </w:rPr>
        <w:t xml:space="preserve"> Desde fines de 1974, comenzaron a arribar decenas de argentinas y argentinos. Puiggrós fue la primera exiliada. Ante la persecución, asesinatos, amenazas a franjas críticas y la intervención de las universidades dispuestas por el nuevo Ministro de Educación en Argentina, Oscar Ivanissevich, llegó con su esposo en septiembre de 1974. Puiggrós era expresión de una inicial diáspora que se intensificó a partir del golpe de Estado en marzo de 1976; entrados los 70, alrededor de 4000 compatriotas coincidieron en México como espacio de refugio (Jensen y Yankelevich, 2007); una opción compartida por miles de sudamericanos que también escapaban de las dictaduras militares en el cono sur. </w:t>
      </w:r>
    </w:p>
    <w:p w14:paraId="3B285473" w14:textId="77777777" w:rsidR="00B033AC" w:rsidRPr="00FF76EE" w:rsidRDefault="00B033AC" w:rsidP="00B033AC">
      <w:pPr>
        <w:spacing w:before="240" w:line="240" w:lineRule="auto"/>
        <w:ind w:firstLine="360"/>
        <w:jc w:val="both"/>
        <w:rPr>
          <w:rFonts w:ascii="Times New Roman" w:eastAsia="Calibri" w:hAnsi="Times New Roman" w:cs="Times New Roman"/>
          <w:color w:val="FF0000"/>
        </w:rPr>
      </w:pPr>
      <w:r w:rsidRPr="00FF76EE">
        <w:rPr>
          <w:rFonts w:ascii="Times New Roman" w:eastAsia="Calibri" w:hAnsi="Times New Roman" w:cs="Times New Roman"/>
        </w:rPr>
        <w:lastRenderedPageBreak/>
        <w:t xml:space="preserve">Para la mayoría, México era completamente desconocido; no fue el caso de Puiggrós quien ya había acompañado a su padre al país azteca en los 60; el prestigio académico, las credenciales educativas y redes intelectuales facilitaron la pronta inserción. En contraste con las ambivalencias políticas e instituciones en Sudamérica, México abrió una oportunidad inédita para marxistas de la región: la inserción institucional estable. En 1974, Puiggrós ingresó a trabajar en la institución académica más importante de México, la Universidad Nacional Autónoma de México (UNAM), y dos años después, obtendrá una dedicación </w:t>
      </w:r>
      <w:r w:rsidRPr="00FF76EE">
        <w:rPr>
          <w:rFonts w:ascii="Times New Roman" w:eastAsia="Calibri" w:hAnsi="Times New Roman" w:cs="Times New Roman"/>
          <w:i/>
        </w:rPr>
        <w:t>full time</w:t>
      </w:r>
      <w:r w:rsidRPr="00FF76EE">
        <w:rPr>
          <w:rFonts w:ascii="Times New Roman" w:eastAsia="Calibri" w:hAnsi="Times New Roman" w:cs="Times New Roman"/>
        </w:rPr>
        <w:t xml:space="preserve">. La pedagoga será una de las primeras académicas en encontrar cobijo en una institución que terminará por albergar al 33% por ciento de intelectuales argentinas y argentinos en condición de exilio (Yankelevich, 2007). La paulatina integración de Puiggrós a la tierra azteca terminará por convertir al desarraigo en una peculiar identidad: asumirá como propio el acrónimo forjado por Mempo Giardinelli en su novela </w:t>
      </w:r>
      <w:r w:rsidRPr="00FF76EE">
        <w:rPr>
          <w:rFonts w:ascii="Times New Roman" w:eastAsia="Calibri" w:hAnsi="Times New Roman" w:cs="Times New Roman"/>
          <w:i/>
        </w:rPr>
        <w:t>El cielo con las manos</w:t>
      </w:r>
      <w:r w:rsidRPr="00FF76EE">
        <w:rPr>
          <w:rFonts w:ascii="Times New Roman" w:eastAsia="Calibri" w:hAnsi="Times New Roman" w:cs="Times New Roman"/>
        </w:rPr>
        <w:t xml:space="preserve">, “Argenmex”. </w:t>
      </w:r>
    </w:p>
    <w:p w14:paraId="153C8D68" w14:textId="77777777" w:rsidR="00B033AC" w:rsidRPr="00FF76EE" w:rsidRDefault="00B033AC" w:rsidP="00B033AC">
      <w:pPr>
        <w:spacing w:before="240" w:line="240" w:lineRule="auto"/>
        <w:ind w:firstLine="360"/>
        <w:jc w:val="both"/>
        <w:rPr>
          <w:rFonts w:ascii="Times New Roman" w:eastAsia="Calibri" w:hAnsi="Times New Roman" w:cs="Times New Roman"/>
        </w:rPr>
      </w:pPr>
      <w:r w:rsidRPr="00FF76EE">
        <w:rPr>
          <w:rFonts w:ascii="Times New Roman" w:eastAsia="Calibri" w:hAnsi="Times New Roman" w:cs="Times New Roman"/>
        </w:rPr>
        <w:t xml:space="preserve">En el exilio, compatriotas tejieron distintos organismos, ya sea para denunciar la política y crímenes de la dictadura, dirimir colectivamente los problemas del destierro, o bien proseguir debates y polémicas. En la geografía exiliar mexicana, dos organismos fueron los más importantes y comprometidos en la continuidad del debate y la intervención política: la Comisión Argentina de Solidaridad (CAS, conformada en 1975) y el Comité de Solidaridad con el Pueblo Argentino (COSPA, constituido en 1976). El COSPA albergó organizaciones que aún defendían la lucha armada; contó con una influencia preponderante de la organización Montoneros. El primer Secretario de la entidad fue Ricardo Obregón Cano, luego seguido por Rodolfo Puiggros; ambos pertenecientes al Movimiento Peronista Montonero (MPM), esto es, la formación política que los Montoneros inauguraron en abril de 1977 en la ciudad de Roma, Italia. COSPA y CAS animaron no pocas polémicas y enfrentamientos. </w:t>
      </w:r>
    </w:p>
    <w:p w14:paraId="4F098926" w14:textId="77777777" w:rsidR="00B033AC" w:rsidRPr="00FF76EE" w:rsidRDefault="00B033AC" w:rsidP="00B033AC">
      <w:pPr>
        <w:spacing w:before="240" w:line="240" w:lineRule="auto"/>
        <w:ind w:firstLine="360"/>
        <w:jc w:val="both"/>
        <w:rPr>
          <w:rFonts w:ascii="Times New Roman" w:eastAsia="Calibri" w:hAnsi="Times New Roman" w:cs="Times New Roman"/>
        </w:rPr>
      </w:pPr>
      <w:r w:rsidRPr="00FF76EE">
        <w:rPr>
          <w:rFonts w:ascii="Times New Roman" w:eastAsia="Calibri" w:hAnsi="Times New Roman" w:cs="Times New Roman"/>
        </w:rPr>
        <w:t xml:space="preserve">Vinculada a la Juventud Universitaria Peronista (JUP) a inicios de los 70, Puiggrós había cortado amarras con la conducción Montonera antes de exiliarse. Fundadora del CAS, en México la pedagoga ahondó las discrepancias con la organización. Se trataba de una distancia compleja para Puiggrós, al menos, en un doble sentido. Por un lado, en México no solo residió la máxima conducción de Montoneros (hasta 1978) sino que además fue el lugar con mayor ascendencia y presencia de militantes de la organización; esta gravitación sólo cambiará hacia 1979, cuando los efectos de las disidencias, de la denominada Contraofensiva Estratégica y de la elocuente derrota, llevarán al final de la organización político-militar urbana más importante de América Latina (Confino, 2021). Por otro, su padre, figura central en el exilio azteca, decidió una identificación plena con la orientación de Montoneros al integrarse a la conducción del MPM en 1977. Esta identificación política se entremezclaba con una identificación personal: su hijo, Sergio, oficial mayor de Montoneros, fue asesinado por la dictadura en junio de 1976. La distancia de Adriana Puiggrós con Montoneros suponía lidiar no solo con las opciones políticas familiares sino también con los esfuerzos de la organización por alejarla del círculo afectivo de su padre (en particular, luego de la fundación del MPM); incluso, en una yuxtaposición entre discrepancia política y dominio masculino, Montoneros le prohibió la publicación de libros a esta prometedora intelectual (Carli, 2023). </w:t>
      </w:r>
    </w:p>
    <w:p w14:paraId="3BDF63C0" w14:textId="77777777" w:rsidR="00B033AC" w:rsidRPr="00FF76EE" w:rsidRDefault="00B033AC" w:rsidP="00B033AC">
      <w:pPr>
        <w:spacing w:before="240" w:line="240" w:lineRule="auto"/>
        <w:ind w:firstLine="360"/>
        <w:jc w:val="both"/>
        <w:rPr>
          <w:rFonts w:ascii="Times New Roman" w:eastAsia="Calibri" w:hAnsi="Times New Roman" w:cs="Times New Roman"/>
          <w:color w:val="FF0000"/>
        </w:rPr>
      </w:pPr>
      <w:r w:rsidRPr="00FF76EE">
        <w:rPr>
          <w:rFonts w:ascii="Times New Roman" w:eastAsia="Calibri" w:hAnsi="Times New Roman" w:cs="Times New Roman"/>
        </w:rPr>
        <w:lastRenderedPageBreak/>
        <w:t>Formalizado desde 1977 con la presidencia de Esteban Righi (y luego de Noe Jitrik), desde sus orígenes, el CAS procuró resistir las hegemonías de corte partidario y mostrarse como un espacio amplio y no sectario en términos ideológicos. Luego del cisma del COSPA entre 1979/1980, el CAS se convirtió en el principal organismo exiliar argentino; cobijó un mosaico de posturas que coincidían en el rechazo a las organizaciones armadas. A comienzos de 1978, en el seno del CAS, surgió un colectivo conformado por ex militantes Montoneros que, de manera irónica, se dieron a llamar “Reflexivos”; reclamaban el derecho a repensar de manera radical el devenir reciente del país y, en particular, la política de Montoneros. De los reflexivos, participaron referentes de ramas de la Juventud Peronista (JP) en los 70; Puiggrós era la única mujer del grupo y una voz autorizada en el examen de la conciencia setentista: vinculada a la JUP, en 1974 fue la primera mujer decana en la historia de la UBA, al asumir el decanato de la Facultad de Filosofía y Letras (Friedemann, 2021).</w:t>
      </w:r>
    </w:p>
    <w:p w14:paraId="04029AA4" w14:textId="77777777" w:rsidR="00B033AC" w:rsidRPr="00FF76EE" w:rsidRDefault="00B033AC" w:rsidP="00B033AC">
      <w:pPr>
        <w:spacing w:before="240" w:line="240" w:lineRule="auto"/>
        <w:ind w:firstLine="360"/>
        <w:jc w:val="both"/>
        <w:rPr>
          <w:rFonts w:ascii="Times New Roman" w:eastAsia="Calibri" w:hAnsi="Times New Roman" w:cs="Times New Roman"/>
          <w:color w:val="FF0000"/>
        </w:rPr>
      </w:pPr>
      <w:r w:rsidRPr="00FF76EE">
        <w:rPr>
          <w:rFonts w:ascii="Times New Roman" w:eastAsia="Calibri" w:hAnsi="Times New Roman" w:cs="Times New Roman"/>
        </w:rPr>
        <w:t xml:space="preserve">De los “Reflexivos” formaron parte figuras tales como Nicolás Casullo, Sergio Caletti, Ernesto López, Héctor Schmucler, Ricardo Nudelman. Entre reflexiones, Puiggrós conocerá al periodista Jorge Bernetti quien será su nuevo compañero desde 1979. Los “Reflexivos” ofició, parafraseando a Raymond Williams (1977), como una estructura de sentimiento, es decir, como un modo de habitar coordenadas afectivas, éticas y teóricas que aún sin una expresión institucional, resultó de suma relevancia en las trayectorias de sus integrantes. A través de revistas o periódicos mexicanos, miembros del colectivo hicieron públicas las diferencias con Montoneros. Puiggrós participó de estas gestas colectivas: por ejemplo, con Héctor Schmucler, Jorge Bernetti y Sergio Caletti publicó en junio de 1979 en la importante revista mexicana </w:t>
      </w:r>
      <w:r w:rsidRPr="00FF76EE">
        <w:rPr>
          <w:rFonts w:ascii="Times New Roman" w:eastAsia="Calibri" w:hAnsi="Times New Roman" w:cs="Times New Roman"/>
          <w:i/>
        </w:rPr>
        <w:t>Proceso</w:t>
      </w:r>
      <w:r w:rsidRPr="00FF76EE">
        <w:rPr>
          <w:rFonts w:ascii="Times New Roman" w:eastAsia="Calibri" w:hAnsi="Times New Roman" w:cs="Times New Roman"/>
        </w:rPr>
        <w:t xml:space="preserve"> una severa crítica a la organización (Slipak, 2023).   </w:t>
      </w:r>
    </w:p>
    <w:p w14:paraId="72F3298A" w14:textId="77777777" w:rsidR="00B033AC" w:rsidRPr="00FF76EE" w:rsidRDefault="00B033AC" w:rsidP="00B033AC">
      <w:pPr>
        <w:spacing w:before="240" w:line="240" w:lineRule="auto"/>
        <w:ind w:firstLine="360"/>
        <w:jc w:val="both"/>
        <w:rPr>
          <w:rFonts w:ascii="Times New Roman" w:eastAsia="Calibri" w:hAnsi="Times New Roman" w:cs="Times New Roman"/>
        </w:rPr>
      </w:pPr>
      <w:r w:rsidRPr="00FF76EE">
        <w:rPr>
          <w:rFonts w:ascii="Times New Roman" w:eastAsia="Calibri" w:hAnsi="Times New Roman" w:cs="Times New Roman"/>
        </w:rPr>
        <w:t xml:space="preserve">Desde el CAS nació la revista más relevante en el debate exiliar entre franjas intelectuales vernáculas: </w:t>
      </w:r>
      <w:r w:rsidRPr="00FF76EE">
        <w:rPr>
          <w:rFonts w:ascii="Times New Roman" w:eastAsia="Calibri" w:hAnsi="Times New Roman" w:cs="Times New Roman"/>
          <w:i/>
        </w:rPr>
        <w:t xml:space="preserve">Controversia. Para el análisis de la realidad argentina </w:t>
      </w:r>
      <w:r w:rsidRPr="00FF76EE">
        <w:rPr>
          <w:rFonts w:ascii="Times New Roman" w:eastAsia="Calibri" w:hAnsi="Times New Roman" w:cs="Times New Roman"/>
        </w:rPr>
        <w:t>(Gago, 2012; Farias, 2021; etc.)</w:t>
      </w:r>
      <w:r w:rsidRPr="00FF76EE">
        <w:rPr>
          <w:rFonts w:ascii="Times New Roman" w:eastAsia="Calibri" w:hAnsi="Times New Roman" w:cs="Times New Roman"/>
          <w:i/>
        </w:rPr>
        <w:t xml:space="preserve">. </w:t>
      </w:r>
      <w:r w:rsidRPr="00FF76EE">
        <w:rPr>
          <w:rFonts w:ascii="Times New Roman" w:eastAsia="Calibri" w:hAnsi="Times New Roman" w:cs="Times New Roman"/>
        </w:rPr>
        <w:t xml:space="preserve">Con 13 números entre octubre de 1979 y agosto de 1981, su dirección estuvo a cargo de Jorge Tula. El CAS hizo de la pluralidad política una identidad de su organismo y también de la revista. Aunque no aplicó un principio plural a cuestiones de género, el Consejo de redacción contempló a sus dos segmentos intelectuales: la mesa socialista (José Aricó, Juan Caros Portantiero u Oscar Terán) y la mesa peronista donde convergieron el sector afín a Héctor Cámpora encabezado por el ex Ministro Esteban Righi y los “Reflexivos”. Si bien polémicas y debates entre estas corrientes fueron tan frecuentes como ásperos en la revista, también existieron puntos comunes de partida: el reconocimiento de un duelo político, la disposición a una autocrítica y la deconstrucción de la racionalidad política-teórica de los 60/70. </w:t>
      </w:r>
    </w:p>
    <w:p w14:paraId="758D9A86" w14:textId="77777777" w:rsidR="00B033AC" w:rsidRPr="00FF76EE" w:rsidRDefault="00B033AC" w:rsidP="00B033AC">
      <w:pPr>
        <w:spacing w:before="240" w:line="240" w:lineRule="auto"/>
        <w:ind w:firstLine="360"/>
        <w:jc w:val="both"/>
        <w:rPr>
          <w:rFonts w:ascii="Times New Roman" w:eastAsia="Calibri" w:hAnsi="Times New Roman" w:cs="Times New Roman"/>
          <w:color w:val="FF0000"/>
        </w:rPr>
      </w:pPr>
      <w:r w:rsidRPr="00FF76EE">
        <w:rPr>
          <w:rFonts w:ascii="Times New Roman" w:eastAsia="Calibri" w:hAnsi="Times New Roman" w:cs="Times New Roman"/>
        </w:rPr>
        <w:t xml:space="preserve">La hermenéutica de la derrota estructuró la reflexión de una revista que resultó una pieza clave en la constitución de una nueva agenda política e intelectual; entre otros, sobresalió el tópico de la democracia que se volvió parte central del contexto intelectual de los años 70/80 (Lesgart, 2003; Garategaray y Reano, 2021). También esta hermenéutica moduló usos de Gramsci en la revista. Sin embargo, la aceptación de la derrota política no supuso un paso lineal a opciones reformistas, o un rectilíneo </w:t>
      </w:r>
      <w:r w:rsidRPr="00FF76EE">
        <w:rPr>
          <w:rFonts w:ascii="Times New Roman" w:eastAsia="Calibri" w:hAnsi="Times New Roman" w:cs="Times New Roman"/>
        </w:rPr>
        <w:lastRenderedPageBreak/>
        <w:t xml:space="preserve">desplazamiento de la revolución a la democracia; de manera frecuente, franjas críticas en el exilio abordaron la cuestión democrática al interior del marxismo, o de manera más precisa, al interior de un marxismo en crisis. En este sentido, la revisión de certezas no supuso un liso abandono de la apuesta revolucionaria. Fue el caso de Puiggrós que mantuvo un vínculo asiduo con la insurgencia centroamericana, en particular la Revolución Sandinista en Nicaragua de 1979. La afinidad de la autora con el proceso sandinista no se detuvo en gestos teóricos (por ejemplo, Puiggrós, 1986 [1980a]); durante meses de 1980, Puiggrós se desempeñó como asesora del gobierno revolucionario en materia educativa, puntualmente, del viceministro de educación Miguel de Castilla (1979-1982). En contraposición con la perspectiva desescolarizante aún en boga, elaboró una propuesta para el conjunto del sistema educativo revolucionario. </w:t>
      </w:r>
    </w:p>
    <w:p w14:paraId="546E0F93" w14:textId="77777777" w:rsidR="00B033AC" w:rsidRPr="00FF76EE" w:rsidRDefault="00B033AC" w:rsidP="00B033AC">
      <w:pPr>
        <w:spacing w:before="240" w:line="240" w:lineRule="auto"/>
        <w:ind w:firstLine="360"/>
        <w:jc w:val="both"/>
        <w:rPr>
          <w:rFonts w:ascii="Times New Roman" w:eastAsia="Calibri" w:hAnsi="Times New Roman" w:cs="Times New Roman"/>
        </w:rPr>
      </w:pPr>
      <w:r w:rsidRPr="00FF76EE">
        <w:rPr>
          <w:rFonts w:ascii="Times New Roman" w:eastAsia="Calibri" w:hAnsi="Times New Roman" w:cs="Times New Roman"/>
        </w:rPr>
        <w:t xml:space="preserve">Entre los tópicos acuciantes de la vida vernácula que </w:t>
      </w:r>
      <w:r w:rsidRPr="00FF76EE">
        <w:rPr>
          <w:rFonts w:ascii="Times New Roman" w:eastAsia="Calibri" w:hAnsi="Times New Roman" w:cs="Times New Roman"/>
          <w:i/>
        </w:rPr>
        <w:t xml:space="preserve">Controversia </w:t>
      </w:r>
      <w:r w:rsidRPr="00FF76EE">
        <w:rPr>
          <w:rFonts w:ascii="Times New Roman" w:eastAsia="Calibri" w:hAnsi="Times New Roman" w:cs="Times New Roman"/>
        </w:rPr>
        <w:t xml:space="preserve">tematizó desde México, estuvo el peronismo (Tortti, 2018). La tentativa suponía un examen de la conciencia populista por parte de intelectuales que habían sido cautivados por las posibilidades emancipatorias del versátil movimiento en los 60/70. Como para otros intelectuales de la generación de los 30/40, la experiencia peronista había dejado huellas perdurables entre los animadores de la revista. Parafraseando al clásico trabajo de Mannheim sobre las generaciones (1993 [1928]) donde aduce la persistencia de las “primeras impresiones” y las “vivencias de juventud” en la formación de la conciencia, se podría decir que el peronismo constituyó un gran acontecimiento generacional que como un espectro acompañó la vida política de segmentos juveniles; entre ellos, de la propia Puiggrós. </w:t>
      </w:r>
    </w:p>
    <w:p w14:paraId="1D584ED9" w14:textId="77777777" w:rsidR="00B033AC" w:rsidRPr="00FF76EE" w:rsidRDefault="00B033AC" w:rsidP="00B033AC">
      <w:pPr>
        <w:spacing w:before="240" w:line="240" w:lineRule="auto"/>
        <w:ind w:firstLine="360"/>
        <w:jc w:val="both"/>
        <w:rPr>
          <w:rFonts w:ascii="Times New Roman" w:eastAsia="Calibri" w:hAnsi="Times New Roman" w:cs="Times New Roman"/>
          <w:color w:val="FF0000"/>
        </w:rPr>
      </w:pPr>
      <w:r w:rsidRPr="00FF76EE">
        <w:rPr>
          <w:rFonts w:ascii="Times New Roman" w:eastAsia="Calibri" w:hAnsi="Times New Roman" w:cs="Times New Roman"/>
        </w:rPr>
        <w:t xml:space="preserve">En el primer y segundo número de </w:t>
      </w:r>
      <w:r w:rsidRPr="00FF76EE">
        <w:rPr>
          <w:rFonts w:ascii="Times New Roman" w:eastAsia="Calibri" w:hAnsi="Times New Roman" w:cs="Times New Roman"/>
          <w:i/>
        </w:rPr>
        <w:t>Controversia</w:t>
      </w:r>
      <w:r w:rsidRPr="00FF76EE">
        <w:rPr>
          <w:rFonts w:ascii="Times New Roman" w:eastAsia="Calibri" w:hAnsi="Times New Roman" w:cs="Times New Roman"/>
        </w:rPr>
        <w:t xml:space="preserve">, la autora publicó un balance de la gestión universitaria entre 1973-1974; el balance se yuxtaponía con reflexiones sobre el populismo y la errática política de Montoneros.  En línea con los “Reflexivos”, su crítica al movimiento por sus rasgos autoritarios o desafección a cuestiones democráticas, no la conducía por fuera de la identidad peronista; tampoco, las profundas objeciones a los sesgos mesiánicos, vanguardistas y militaristas de Montoneros, supusieron el abandono de la izquierda peronista. A pesar de todo, continuaba habitando el enigma peronista desde adentro, convencida que la democratización del movimiento era decisiva para los destinos del país. Formada en los años 60/70 en una atmósfera profundamente anti liberal, Puiggrós compartió con los animadores de la revista </w:t>
      </w:r>
      <w:r w:rsidRPr="00FF76EE">
        <w:rPr>
          <w:rFonts w:ascii="Times New Roman" w:eastAsia="Calibri" w:hAnsi="Times New Roman" w:cs="Times New Roman"/>
          <w:i/>
        </w:rPr>
        <w:t xml:space="preserve">Controversia </w:t>
      </w:r>
      <w:r w:rsidRPr="00FF76EE">
        <w:rPr>
          <w:rFonts w:ascii="Times New Roman" w:eastAsia="Calibri" w:hAnsi="Times New Roman" w:cs="Times New Roman"/>
        </w:rPr>
        <w:t xml:space="preserve">la resignificación de la cuestión democrática. Si antes de pisar suelo mexicano, la democracia formal era básicamente un mecanismo digitado por las clases dominantes liberales para amortiguar la herejía nacionalista-popular, en el exilio Puiggrós comenzó a quitarle su ropaje instrumental y a reconocer a las instituciones y a los procedimientos democráticos como un valor en sí mismo. En un intrincado proceso, Puiggrós trató de incorporar la problemática democrática, tan sospechada e impregnada de liberalismo, a la tradición nacional-popular. Desde </w:t>
      </w:r>
      <w:r w:rsidRPr="00FF76EE">
        <w:rPr>
          <w:rFonts w:ascii="Times New Roman" w:eastAsia="Calibri" w:hAnsi="Times New Roman" w:cs="Times New Roman"/>
          <w:i/>
          <w:iCs/>
        </w:rPr>
        <w:t>Controversia</w:t>
      </w:r>
      <w:r w:rsidRPr="00FF76EE">
        <w:rPr>
          <w:rFonts w:ascii="Times New Roman" w:eastAsia="Calibri" w:hAnsi="Times New Roman" w:cs="Times New Roman"/>
        </w:rPr>
        <w:t xml:space="preserve">, la pedagoga evaluó que durante la gestión universitaria de 1973-1974 existió una escisión entre el nacionalismo popular y el reformismo: “En 1973, creíamos fervientemente que la autonomía universitaria, la libertad de cátedra, el co gobierno, la autogestión, yacían en el cajón de los objetos en desusos” (1979a, p. 11). En su escrutinio de aquellos convulsionados años, Puiggrós </w:t>
      </w:r>
      <w:r w:rsidRPr="00FF76EE">
        <w:rPr>
          <w:rFonts w:ascii="Times New Roman" w:eastAsia="Calibri" w:hAnsi="Times New Roman" w:cs="Times New Roman"/>
        </w:rPr>
        <w:lastRenderedPageBreak/>
        <w:t xml:space="preserve">encontró un nudo para explicar buena parte de la deficiencia: la ausencia de una compleja teoría revolucionaria, esto es, una teoría marxista susceptible de incorporar la cuestión democrática (ver también, Puiggrós, 1986 [1980b]).  </w:t>
      </w:r>
    </w:p>
    <w:p w14:paraId="5FD5A981" w14:textId="77777777" w:rsidR="00B033AC" w:rsidRPr="00FF76EE" w:rsidRDefault="00B033AC" w:rsidP="00B033AC">
      <w:pPr>
        <w:spacing w:before="240" w:line="240" w:lineRule="auto"/>
        <w:ind w:firstLine="360"/>
        <w:jc w:val="both"/>
        <w:rPr>
          <w:rFonts w:ascii="Times New Roman" w:eastAsia="Calibri" w:hAnsi="Times New Roman" w:cs="Times New Roman"/>
        </w:rPr>
      </w:pPr>
      <w:r w:rsidRPr="00FF76EE">
        <w:rPr>
          <w:rFonts w:ascii="Times New Roman" w:eastAsia="Calibri" w:hAnsi="Times New Roman" w:cs="Times New Roman"/>
        </w:rPr>
        <w:t xml:space="preserve">Existe una vasta literatura sobre las razones del </w:t>
      </w:r>
      <w:r w:rsidRPr="00FF76EE">
        <w:rPr>
          <w:rFonts w:ascii="Times New Roman" w:eastAsia="Calibri" w:hAnsi="Times New Roman" w:cs="Times New Roman"/>
          <w:i/>
        </w:rPr>
        <w:t xml:space="preserve">Gramsci boom </w:t>
      </w:r>
      <w:r w:rsidRPr="00FF76EE">
        <w:rPr>
          <w:rFonts w:ascii="Times New Roman" w:eastAsia="Calibri" w:hAnsi="Times New Roman" w:cs="Times New Roman"/>
        </w:rPr>
        <w:t xml:space="preserve">en México durante los 70/80 (ver, por ejemplo, Fuentes y Modonesi, 2020). Interesa subrayar un punto: el isomorfismo entre la atmósfera política y teórica de la intelectualidad exiliada y la reflexión de Gramsci en la prisión fascista de los años 20/30, esto es, derrota a manos del fascismo, recomposición del dominio burgués e imperiosa necesidad de forjar una alternativa política de nuevo tipo. En otras palabras, el desplazamiento de la temporalidad política (producto del aislamiento carcelario o la expatriación), dibujó coordenadas políticas y epistemológicas similares entre la condición del sardo de los años 20/30 y la intelectualidad exiliada de los 70/80. En definitiva, en la letra del sardo, intelectuales en exilio identificaban preocupaciones similares. </w:t>
      </w:r>
    </w:p>
    <w:p w14:paraId="22D4AF6E" w14:textId="77777777" w:rsidR="00B033AC" w:rsidRPr="00FF76EE" w:rsidRDefault="00B033AC" w:rsidP="00B033AC">
      <w:pPr>
        <w:spacing w:line="240" w:lineRule="auto"/>
        <w:ind w:firstLine="720"/>
        <w:jc w:val="both"/>
        <w:rPr>
          <w:rFonts w:ascii="Times New Roman" w:eastAsia="Calibri" w:hAnsi="Times New Roman" w:cs="Times New Roman"/>
        </w:rPr>
      </w:pPr>
    </w:p>
    <w:p w14:paraId="545AC236" w14:textId="77777777" w:rsidR="00B033AC" w:rsidRPr="00FF76EE" w:rsidRDefault="00B033AC" w:rsidP="00B033AC">
      <w:pPr>
        <w:spacing w:line="240" w:lineRule="auto"/>
        <w:jc w:val="both"/>
        <w:rPr>
          <w:rFonts w:ascii="Times New Roman" w:eastAsia="Calibri" w:hAnsi="Times New Roman" w:cs="Times New Roman"/>
          <w:color w:val="FF0000"/>
        </w:rPr>
      </w:pPr>
      <w:r w:rsidRPr="00FF76EE">
        <w:rPr>
          <w:rFonts w:ascii="Times New Roman" w:eastAsia="Calibri" w:hAnsi="Times New Roman" w:cs="Times New Roman"/>
          <w:b/>
        </w:rPr>
        <w:t xml:space="preserve">La reconstrucción de un marxismo educativo en crisis: el americanismo en el campo pedagógico latinoamericano </w:t>
      </w:r>
    </w:p>
    <w:p w14:paraId="38D974C0" w14:textId="77777777" w:rsidR="00B033AC" w:rsidRPr="00FF76EE" w:rsidRDefault="00B033AC" w:rsidP="00B033AC">
      <w:pPr>
        <w:spacing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Hacia mediados de los 70 y en el marco de la expansión del sistema universitario mexicano, se inauguraron posibilidades de posgrados en educación. El Departamento de Investigaciones (DIE) </w:t>
      </w:r>
      <w:r w:rsidRPr="00FF76EE">
        <w:rPr>
          <w:rFonts w:ascii="Times New Roman" w:eastAsia="Calibri" w:hAnsi="Times New Roman" w:cs="Times New Roman"/>
          <w:highlight w:val="white"/>
        </w:rPr>
        <w:t>abrió en 1976 la convocatoria para estudios de Maestría. Como en otros casos, los posgrados precisaron intereses: Puiggrós decidió focalizarse en el terreno de la historia de la educación latinoamericana. La pedagoga argentina fue la primera graduada (1979) al defender la tesis Progreso, desarrollo y crisis: proyectos educativos del Imperialismo para América Latina. Un años más tarde, publicó en formato libro la pionera investigación:</w:t>
      </w:r>
      <w:r w:rsidRPr="00FF76EE">
        <w:rPr>
          <w:rFonts w:ascii="Times New Roman" w:eastAsia="Calibri" w:hAnsi="Times New Roman" w:cs="Times New Roman"/>
        </w:rPr>
        <w:t xml:space="preserve"> </w:t>
      </w:r>
      <w:r w:rsidRPr="00FF76EE">
        <w:rPr>
          <w:rFonts w:ascii="Times New Roman" w:eastAsia="Calibri" w:hAnsi="Times New Roman" w:cs="Times New Roman"/>
          <w:i/>
        </w:rPr>
        <w:t xml:space="preserve">Imperialismo y educación en América Latina </w:t>
      </w:r>
      <w:r w:rsidRPr="00FF76EE">
        <w:rPr>
          <w:rFonts w:ascii="Times New Roman" w:eastAsia="Calibri" w:hAnsi="Times New Roman" w:cs="Times New Roman"/>
        </w:rPr>
        <w:t>(1980) por la editorial Nueva Imagen que a cargo del exiliado argentino Guillermo Schavelzon se había constituido en una referencia en la renovación de la teoría crítica.</w:t>
      </w:r>
      <w:r w:rsidRPr="00FF76EE">
        <w:rPr>
          <w:rFonts w:ascii="Times New Roman" w:eastAsia="Calibri" w:hAnsi="Times New Roman" w:cs="Times New Roman"/>
          <w:i/>
        </w:rPr>
        <w:t xml:space="preserve"> </w:t>
      </w:r>
      <w:r w:rsidRPr="00FF76EE">
        <w:rPr>
          <w:rFonts w:ascii="Times New Roman" w:eastAsia="Calibri" w:hAnsi="Times New Roman" w:cs="Times New Roman"/>
        </w:rPr>
        <w:t>Su primer libro tuvo una gran acogida y supuso la introducción en las reglas de legitimación de un campo intelectual y educativo cada vez más estructurado. Si bien Puiggrós ya había modulado una sensibilidad latinoamericana en los años 60/70, en el exilio mexicano América Latina se tornó una verdadera hipótesis de trabajo basada en su pretendida unidad histórica (Herrerías Ramírez, 2025).</w:t>
      </w:r>
    </w:p>
    <w:p w14:paraId="0960A925" w14:textId="77777777" w:rsidR="00B033AC" w:rsidRPr="00FF76EE" w:rsidRDefault="00B033AC" w:rsidP="00B033AC">
      <w:pPr>
        <w:spacing w:line="240" w:lineRule="auto"/>
        <w:ind w:firstLine="283"/>
        <w:jc w:val="both"/>
        <w:rPr>
          <w:rFonts w:ascii="Times New Roman" w:eastAsia="Calibri" w:hAnsi="Times New Roman" w:cs="Times New Roman"/>
          <w:color w:val="FF0000"/>
        </w:rPr>
      </w:pPr>
      <w:r w:rsidRPr="00FF76EE">
        <w:rPr>
          <w:rFonts w:ascii="Times New Roman" w:eastAsia="Calibri" w:hAnsi="Times New Roman" w:cs="Times New Roman"/>
        </w:rPr>
        <w:t xml:space="preserve">La aparición del libro de Puiggrós coincidió con un punto de inflexión en la teoría crítica: a mediados de abril de 1980 falleció en Francia Jean Paul Sartre, uno de los principales animadores y referentes del debate marxista en las décadas precedentes. “La última marcha del mayo francés”, denominaron algunos periódicos su multitudinario funeral; el fallecimiento de Sartre simbolizaba el cierre de un ciclo de efervescencia en el debate marxista. La crisis del marxismo enunciada por Althusser en 1977 mostraba que hace ya algunos años el marxismo había dejado de ser “la filosofía insuperable de nuestro tiempo”, tal como Sartre había afirmado en la </w:t>
      </w:r>
      <w:r w:rsidRPr="00FF76EE">
        <w:rPr>
          <w:rFonts w:ascii="Times New Roman" w:eastAsia="Calibri" w:hAnsi="Times New Roman" w:cs="Times New Roman"/>
          <w:i/>
        </w:rPr>
        <w:t>Crítica de la razón dialéctica</w:t>
      </w:r>
      <w:r w:rsidRPr="00FF76EE">
        <w:rPr>
          <w:rFonts w:ascii="Times New Roman" w:eastAsia="Calibri" w:hAnsi="Times New Roman" w:cs="Times New Roman"/>
        </w:rPr>
        <w:t xml:space="preserve"> (1960). Entre tantas razones de esta inflexión conceptual, gravitaban las derrotas políticas de los movimientos insurgentes en los países del tercer mundo. La propia dedicatoria del libro de Puiggrós denotaba el cambio en las correlaciones de fuerzas: “Para Sergio”, su </w:t>
      </w:r>
      <w:r w:rsidRPr="00FF76EE">
        <w:rPr>
          <w:rFonts w:ascii="Times New Roman" w:eastAsia="Calibri" w:hAnsi="Times New Roman" w:cs="Times New Roman"/>
        </w:rPr>
        <w:lastRenderedPageBreak/>
        <w:t xml:space="preserve">hermano. El volumen era una oportunidad para continuar simbolizando un trauma; aún cuando evaluó retornar al país ante el asesinato, terminó por asumir que el dolor debía enfrentarse desde el destierro. El libro ofrecía un homenaje póstumo y una tentativa para continuar, a través de las armas de la crítica, la contienda por una causa que los había mancomunado: resolver de manera revolucionaria la contradicción imperio - nación.  </w:t>
      </w:r>
    </w:p>
    <w:p w14:paraId="5C45972E" w14:textId="77777777" w:rsidR="00B033AC" w:rsidRPr="00FF76EE" w:rsidRDefault="00B033AC" w:rsidP="00B033AC">
      <w:pPr>
        <w:spacing w:before="240" w:after="240" w:line="240" w:lineRule="auto"/>
        <w:ind w:firstLine="283"/>
        <w:jc w:val="both"/>
        <w:rPr>
          <w:rFonts w:ascii="Times New Roman" w:eastAsia="Calibri" w:hAnsi="Times New Roman" w:cs="Times New Roman"/>
          <w:color w:val="FF0000"/>
        </w:rPr>
      </w:pPr>
      <w:r w:rsidRPr="00FF76EE">
        <w:rPr>
          <w:rFonts w:ascii="Times New Roman" w:eastAsia="Calibri" w:hAnsi="Times New Roman" w:cs="Times New Roman"/>
        </w:rPr>
        <w:t xml:space="preserve">Como se decía, uno de los animadores de la crisis del marxismo fue el autor faro de la teoría marxista heterodoxa de los 60: Althusser. A fines de los 70, el filósofo francés comenzó a dudar sobre las certezas y autosuficiencias teóricas de un marxismo que pasó a definir como una “teoría finita” (1977), es decir, una teoría que se limitaba al análisis de las contradicciones del modo de producción y vida capitalista y, por tanto, guardaba innumerables lagunas sobre variados y sensibles tópicos: la organización política, el Estado o la transición a una sociedad poscapitalista. México fue el principal espacio latinoamericano de discusión de la crisis del marxismo y entre los referentes teóricos debatidos sobresalió Gramsci (Casco, 2008; Cortés, 2014; Giller, 2017). </w:t>
      </w:r>
    </w:p>
    <w:p w14:paraId="74C59607"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En el marco de la crisis del marxismo, aparecieron diversas tentativas teóricas, entre ellas, aquellas que apostaron por una</w:t>
      </w:r>
      <w:r w:rsidRPr="00FF76EE">
        <w:rPr>
          <w:rFonts w:ascii="Times New Roman" w:eastAsia="Calibri" w:hAnsi="Times New Roman" w:cs="Times New Roman"/>
          <w:i/>
        </w:rPr>
        <w:t xml:space="preserve"> reconstrucción sin deconstrucción del marxismo</w:t>
      </w:r>
      <w:r w:rsidRPr="00FF76EE">
        <w:rPr>
          <w:rFonts w:ascii="Times New Roman" w:eastAsia="Calibri" w:hAnsi="Times New Roman" w:cs="Times New Roman"/>
        </w:rPr>
        <w:t xml:space="preserve"> (Sazbón, 1995), esto es, se empeñaron en rastrear en el propio Marx, o bien, en el heterogéneo marxismo, una reformulación teórica sin abandonar al marxismo. A partir de la reivindicación de la auto sustentación del marxismo, se buscaba mostrar su productividad heurística; la crisis del marxismo era una oportunidad para la renovación del paradigma. El primer libro de Puiggrós y sus usos de Gramsci son posibles colocarlos en esta modalidad.</w:t>
      </w:r>
    </w:p>
    <w:p w14:paraId="5B196DF9"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En el primer libro de Puiggrós se advierte una exploración y retorno a aquellos años de efervescencia del debate marxista y, en particular, gramsciano, en Europa Latina. En su estructuración del marco teórico, articuló disímiles lecturas educativas del sardo en Italia, tales como Manacorda (comunista) o Broccoli (socialista). Se trataba de una exploración novedosa para la autora. En rigor, el sardo ya circulaba en América Latina desde los años 50; Argentina fue pionera en su traducción y difusión. Sin embargo, buena parte de la intelectualidad crítica latinoamericana incursionó en sus escritos en el altiplano azteca. La propia Puiggrós reconoció en su libro el tardío descubrimiento del sardo:</w:t>
      </w:r>
    </w:p>
    <w:p w14:paraId="799CC4CB" w14:textId="77777777" w:rsidR="00B033AC" w:rsidRPr="00FF76EE" w:rsidRDefault="00B033AC" w:rsidP="00B033AC">
      <w:pPr>
        <w:spacing w:line="240" w:lineRule="auto"/>
        <w:jc w:val="both"/>
        <w:rPr>
          <w:rFonts w:ascii="Times New Roman" w:eastAsia="Calibri" w:hAnsi="Times New Roman" w:cs="Times New Roman"/>
        </w:rPr>
      </w:pPr>
    </w:p>
    <w:p w14:paraId="0E3689B3" w14:textId="77777777" w:rsidR="00B033AC" w:rsidRPr="00FF76EE" w:rsidRDefault="00B033AC" w:rsidP="00B033AC">
      <w:pPr>
        <w:spacing w:line="240" w:lineRule="auto"/>
        <w:ind w:left="567" w:right="566"/>
        <w:jc w:val="both"/>
        <w:rPr>
          <w:rFonts w:ascii="Times New Roman" w:eastAsia="Calibri" w:hAnsi="Times New Roman" w:cs="Times New Roman"/>
        </w:rPr>
      </w:pPr>
      <w:r w:rsidRPr="00FF76EE">
        <w:rPr>
          <w:rFonts w:ascii="Times New Roman" w:eastAsia="Calibri" w:hAnsi="Times New Roman" w:cs="Times New Roman"/>
        </w:rPr>
        <w:t>En lo que respecta a la teoría marxista de la educación, durante la década de 1960 y a comienzos de la del 70 dominó la versión althusseriana. Desarrollos tales como las ideas educativas de Gramsci fueron desconocidas por la mayor parte de los pedagogos, maestros y estudiantes, a pesar de que las obras de este autor habían sido publicadas por editoriales argentinas (2015 [1980], p. 18).</w:t>
      </w:r>
    </w:p>
    <w:p w14:paraId="5D4D4582" w14:textId="77777777" w:rsidR="00B033AC" w:rsidRPr="00FF76EE" w:rsidRDefault="00B033AC" w:rsidP="00B033AC">
      <w:pPr>
        <w:spacing w:line="240" w:lineRule="auto"/>
        <w:ind w:firstLine="283"/>
        <w:jc w:val="both"/>
        <w:rPr>
          <w:rFonts w:ascii="Times New Roman" w:eastAsia="Calibri" w:hAnsi="Times New Roman" w:cs="Times New Roman"/>
        </w:rPr>
      </w:pPr>
    </w:p>
    <w:p w14:paraId="78706FE1"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En su búsqueda por saldar cuentas con el pasado y reconstruir al marxismo educativo latinoamericano, Puiggrós sugirió una suerte de incompatibilidad entre Gramsci y </w:t>
      </w:r>
      <w:r w:rsidRPr="00FF76EE">
        <w:rPr>
          <w:rFonts w:ascii="Times New Roman" w:eastAsia="Calibri" w:hAnsi="Times New Roman" w:cs="Times New Roman"/>
        </w:rPr>
        <w:lastRenderedPageBreak/>
        <w:t xml:space="preserve">Althusser. Para la autora, en nuestras pampas el aparato ideológico escolar no era dominante en la reproducción de las relaciones sociales de producción; además la instrumentalidad del Estado y sus aparatos sugerida por el francés, era impermeable a los desórdenes e impugnaciones sociales, tan habituales en la periferia del globo. Pero el propósito de Puiggrós no se detenía en señalar una incongruencia entre corpus teórico francés y empiria periférica; además suponía una formulación de una nueva teoría marxista de la educación, por lo que saldó cuentas con aquel faro althusseriano que también la había iluminado en los 60/70. Para la pedagoga, Althussser y los neoalthusserianos (como Baudelot y Establet, Puiggrós, 1994 [1981]), terminaban por fragmentar la totalidad en procesos económicos, políticos o sociales; así la ideología y la educación que se constituían por fuera del sistema de producción, operaban como un cemento destinado a reunificar aquellos procesos escindidos. Según Puiggrós, la perspectiva althusseriana era una suerte de neopositivismo que agrietaba la totalidad social y, por tanto, era incapaz de colocar las contradictorias dinámicas educativas dentro del “modelo marxista estructura/superestructura” (2015 [1980], p.  26). </w:t>
      </w:r>
    </w:p>
    <w:p w14:paraId="0C80FAE9" w14:textId="77777777" w:rsidR="00B033AC" w:rsidRPr="00FF76EE" w:rsidRDefault="00B033AC" w:rsidP="00B033AC">
      <w:pPr>
        <w:spacing w:line="240" w:lineRule="auto"/>
        <w:ind w:firstLine="283"/>
        <w:jc w:val="both"/>
        <w:rPr>
          <w:rFonts w:ascii="Times New Roman" w:eastAsia="Calibri" w:hAnsi="Times New Roman" w:cs="Times New Roman"/>
        </w:rPr>
      </w:pPr>
      <w:r w:rsidRPr="00FF76EE">
        <w:rPr>
          <w:rFonts w:ascii="Times New Roman" w:eastAsia="Calibri" w:hAnsi="Times New Roman" w:cs="Times New Roman"/>
        </w:rPr>
        <w:t>En el marco de esta animosidad hacia el althusserianismo, en su libro Puiggrós decidió reconstruir la teoría marxista educativa con otros referentes, como Gramsci. Luego de una larga introducción y antes de comenzar el análisis, la autora colocó una nota al pie donde explicitó sus deudas con el sardo para el análisis del dominio imperial sobre América Latina en el terreno educativo:</w:t>
      </w:r>
    </w:p>
    <w:p w14:paraId="4B266CF9" w14:textId="77777777" w:rsidR="00B033AC" w:rsidRPr="00FF76EE" w:rsidRDefault="00B033AC" w:rsidP="00B033AC">
      <w:pPr>
        <w:spacing w:line="240" w:lineRule="auto"/>
        <w:ind w:firstLine="567"/>
        <w:jc w:val="both"/>
        <w:rPr>
          <w:rFonts w:ascii="Times New Roman" w:eastAsia="Calibri" w:hAnsi="Times New Roman" w:cs="Times New Roman"/>
        </w:rPr>
      </w:pPr>
    </w:p>
    <w:p w14:paraId="1C2F6C5E" w14:textId="77777777" w:rsidR="00B033AC" w:rsidRPr="00FF76EE" w:rsidRDefault="00B033AC" w:rsidP="00B033AC">
      <w:pPr>
        <w:spacing w:line="240" w:lineRule="auto"/>
        <w:ind w:left="708" w:right="582"/>
        <w:jc w:val="both"/>
        <w:rPr>
          <w:rFonts w:ascii="Times New Roman" w:eastAsia="Calibri" w:hAnsi="Times New Roman" w:cs="Times New Roman"/>
        </w:rPr>
      </w:pPr>
      <w:r w:rsidRPr="00FF76EE">
        <w:rPr>
          <w:rFonts w:ascii="Times New Roman" w:eastAsia="Calibri" w:hAnsi="Times New Roman" w:cs="Times New Roman"/>
        </w:rPr>
        <w:t>Norteamericanismo: estamos utilizando el concepto -traducido al español como americanismo- con el que trabaja Gramsci en su artículo “Americanismo y fordismo”, haciendo referencia con él a una situación global en la cual están orgánicamente ligados procesos económico-sociales e ideológicos (...). Nos interesa destacar la diferencia en lo que respecta a traducir este concepto como norteamericanismo y no como americanismo, ya que la segunda traducción, la más usual, tiene connotaciones etnocéntricas (2015 [1980])</w:t>
      </w:r>
    </w:p>
    <w:p w14:paraId="625D18CE" w14:textId="77777777" w:rsidR="00B033AC" w:rsidRPr="00FF76EE" w:rsidRDefault="00B033AC" w:rsidP="00B033AC">
      <w:pPr>
        <w:spacing w:line="240" w:lineRule="auto"/>
        <w:ind w:left="708" w:right="582"/>
        <w:jc w:val="both"/>
        <w:rPr>
          <w:rFonts w:ascii="Times New Roman" w:eastAsia="Calibri" w:hAnsi="Times New Roman" w:cs="Times New Roman"/>
        </w:rPr>
      </w:pPr>
    </w:p>
    <w:p w14:paraId="288D7BB1"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La traducción lejos de una mera búsqueda de equivalencia entre significantes supone un creativo proceso de mediación intercultural. Transitando por la zona de ambivalencia de toda traducción (Bhabha, 2002), Puiggrós realizó una original propuesta sobre la categoría gramsciana de americanismo, que además de favorecer la articulación entre el momento teórico y el objeto histórico, explicitó la condición </w:t>
      </w:r>
      <w:r w:rsidRPr="00FF76EE">
        <w:rPr>
          <w:rFonts w:ascii="Times New Roman" w:eastAsia="Calibri" w:hAnsi="Times New Roman" w:cs="Times New Roman"/>
          <w:highlight w:val="white"/>
        </w:rPr>
        <w:t>culturalmente situada y políticamente comprometida del acto de traducir.</w:t>
      </w:r>
    </w:p>
    <w:p w14:paraId="56CEFB82"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La influencia de la lectura gramsciana de Manacorda en el primer libro de Puiggrós resulta marcada. Responsable de la orientación educativa del PCI, el comunista romano fue el orincipal divulgador educativo de Gramsci tanto en Italia como en el extranjero (Covato y Meta, 2021; Silvestri, 2024). Propuso una particular lectura de las notas carcelarias a través de la categoría gramsciana de “americanismo”, esto es, el modo de </w:t>
      </w:r>
      <w:r w:rsidRPr="00FF76EE">
        <w:rPr>
          <w:rFonts w:ascii="Times New Roman" w:eastAsia="Calibri" w:hAnsi="Times New Roman" w:cs="Times New Roman"/>
        </w:rPr>
        <w:lastRenderedPageBreak/>
        <w:t>producción capitalista tendencialmente preponderante en los años 20/30 (1977 [1970]; 1981 [1972]). El romano suscribió a la hipótesis criptográfica sugerida por Felice Platone en la edición temática: Gramsci para sortear la censura fascista había optado por un juego de códigos conceptuales donde ciertos significantes tenían un significado velado. Manacorda aplicó la hipótesis al americanismo que refería, de modo encubierto, al industrialismo soviético y sus planes quinquenales. El nexo entre capitalismo y organización fordista no era orgánico, sino transitorio. En definitiva, en la lectura de Manacorda, las reflexiones educativas de Gramsci estaban destinadas a adecuar la humanidad a las nuevas exigencias científico-técnicas.</w:t>
      </w:r>
    </w:p>
    <w:p w14:paraId="5D938BA2"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La propuesta de lectura de Manacorda no sólo era pionera para el campo pedagógico italiano; incluso, para los propios estudios gramscianos. Las primeras interpretaciones de Gramsci promovidas por el PCI como parte de su estrategia de conquista de intelectuales antifascistas, enfatizaron el costado humanista del sardo, por lo que dejaron a un lado temáticas de perfil materialista o económico; además, por entonces el PCI adhería a la tesis del capitalismo italiano como realidad estancada que no concordaba con el carácter innovador del americanismo/fordismo sugerido por Gramsci. La interpretación manacordiana debatía en buena medida con las tendencias de la nueva izquierda italiana que con posterioridad a los movimientos del 68, mostraban la actualidad de la revolución e impugnaban al reformismo comunista (Maltese, 2010; Baldacci, 2022).        </w:t>
      </w:r>
    </w:p>
    <w:p w14:paraId="0060A4CA"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En las notas carcelarias, el americanismo se vincula con el fordismo; la expresión sintética es “Americanismo y fordismo”, tal como aparece en algunos planes de trabajo carcelarios y como se titula el Cuaderno 22. Como otras categorías, americanismo conlleva ambigüedades y oscilaciones: al tiempo que señala los límites de EEUU al no haber superado todavía la fase económico-corporativa (atravesada por Europa en la Edad media), representa un punto de no retorno, esto es, un nueva fase desarrollo de las relaciones de producción y de la lucha hegemónica. En este sentido, Gramsci sostiene que en el americanismo “la hegemonía nace de la fábrica” y no tiene necesidad de ejercerse más que por una cantidad mínima de intermediarios profesionales de la política y la ideología (Cuaderno, 22, 2). Estas ambigüedades sobre la grandeza y miseria del americanismo, se vinculan con las dudas de Gramsci sobre la capacidad de la hegemonía americana de resolver la crisis orgánica de los 20/30 marcada por el pasaje del viejo individualismo económico a la economía programática. </w:t>
      </w:r>
    </w:p>
    <w:p w14:paraId="169E922E" w14:textId="77777777" w:rsidR="00B033AC" w:rsidRPr="00FF76EE" w:rsidRDefault="00B033AC" w:rsidP="00B033AC">
      <w:pPr>
        <w:spacing w:before="240" w:after="240" w:line="240" w:lineRule="auto"/>
        <w:ind w:firstLine="283"/>
        <w:jc w:val="both"/>
        <w:rPr>
          <w:rFonts w:ascii="Times New Roman" w:eastAsia="Calibri" w:hAnsi="Times New Roman" w:cs="Times New Roman"/>
          <w:color w:val="FF0000"/>
        </w:rPr>
      </w:pPr>
      <w:r w:rsidRPr="00FF76EE">
        <w:rPr>
          <w:rFonts w:ascii="Times New Roman" w:eastAsia="Calibri" w:hAnsi="Times New Roman" w:cs="Times New Roman"/>
        </w:rPr>
        <w:t xml:space="preserve">Luego de la segunda posguerra emergió con claridad lo que en los años 20/30 asomaba como una incerteza: la capacidad de expansión de la hegemonía americana. Sin posibilidad de acceso a la edición cronológica de los </w:t>
      </w:r>
      <w:r w:rsidRPr="00FF76EE">
        <w:rPr>
          <w:rFonts w:ascii="Times New Roman" w:eastAsia="Calibri" w:hAnsi="Times New Roman" w:cs="Times New Roman"/>
          <w:i/>
        </w:rPr>
        <w:t>Cuadernos</w:t>
      </w:r>
      <w:r w:rsidRPr="00FF76EE">
        <w:rPr>
          <w:rFonts w:ascii="Times New Roman" w:eastAsia="Calibri" w:hAnsi="Times New Roman" w:cs="Times New Roman"/>
        </w:rPr>
        <w:t xml:space="preserve">, Puiggrós conjugó la categoría de americanismo con las reflexiones gramscianas sobre las superestructuras y el Estado integral en las formaciones societales europeas, es decir, entre dos temáticas que remiten a Cuadernos distintos. El fenómeno del americanismo no contaba para Gramsci con una superestructura compleja, pero la autora recurrió a una serie de categorías del sardo para analizar la incidencia político-cultural-educativa del imperialismo: hegemonía, intelectuales, bloque histórico, sociedad política, sociedad civil, bloque ideológico o material ideológico. Como parte de los efectos del </w:t>
      </w:r>
      <w:r w:rsidRPr="00FF76EE">
        <w:rPr>
          <w:rFonts w:ascii="Times New Roman" w:eastAsia="Calibri" w:hAnsi="Times New Roman" w:cs="Times New Roman"/>
          <w:i/>
        </w:rPr>
        <w:t>68 global</w:t>
      </w:r>
      <w:r w:rsidRPr="00FF76EE">
        <w:rPr>
          <w:rFonts w:ascii="Times New Roman" w:eastAsia="Calibri" w:hAnsi="Times New Roman" w:cs="Times New Roman"/>
        </w:rPr>
        <w:t xml:space="preserve">, </w:t>
      </w:r>
      <w:r w:rsidRPr="00FF76EE">
        <w:rPr>
          <w:rFonts w:ascii="Times New Roman" w:eastAsia="Calibri" w:hAnsi="Times New Roman" w:cs="Times New Roman"/>
        </w:rPr>
        <w:lastRenderedPageBreak/>
        <w:t xml:space="preserve">la compleja relación entre estructura y superestructura en el pensamiento gramsciano había sido estudiada por diversos intérpretes; entre ellos, por el socialista francés Hugues Portelli (1972) que circuló profusamente en Latinoamérica e influyó en la perspectiva de Puiggrós. </w:t>
      </w:r>
    </w:p>
    <w:p w14:paraId="5C5ABC69"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En tanto agentes encargados de organizar y difundir la hegemonía, la definición de los intelectuales se torna amplia en los </w:t>
      </w:r>
      <w:r w:rsidRPr="00FF76EE">
        <w:rPr>
          <w:rFonts w:ascii="Times New Roman" w:eastAsia="Calibri" w:hAnsi="Times New Roman" w:cs="Times New Roman"/>
          <w:i/>
        </w:rPr>
        <w:t>Cuadernos</w:t>
      </w:r>
      <w:r w:rsidRPr="00FF76EE">
        <w:rPr>
          <w:rFonts w:ascii="Times New Roman" w:eastAsia="Calibri" w:hAnsi="Times New Roman" w:cs="Times New Roman"/>
        </w:rPr>
        <w:t xml:space="preserve">, lo que supone una distinción entre diversos tipos, tales como tradicionales y orgánicos, es decir, entre aquellos encargados de la elaboración de un sofisticado </w:t>
      </w:r>
      <w:r w:rsidRPr="00FF76EE">
        <w:rPr>
          <w:rFonts w:ascii="Times New Roman" w:eastAsia="Calibri" w:hAnsi="Times New Roman" w:cs="Times New Roman"/>
          <w:i/>
        </w:rPr>
        <w:t xml:space="preserve">corpus </w:t>
      </w:r>
      <w:r w:rsidRPr="00FF76EE">
        <w:rPr>
          <w:rFonts w:ascii="Times New Roman" w:eastAsia="Calibri" w:hAnsi="Times New Roman" w:cs="Times New Roman"/>
        </w:rPr>
        <w:t xml:space="preserve">de ideas y otros vinculados de manera más estrecha a las necesidades científico-técnicas de la producción. Puiggrós captó con astucia que la distinción gramsciana opera más como un </w:t>
      </w:r>
      <w:r w:rsidRPr="00FF76EE">
        <w:rPr>
          <w:rFonts w:ascii="Times New Roman" w:eastAsia="Calibri" w:hAnsi="Times New Roman" w:cs="Times New Roman"/>
          <w:i/>
        </w:rPr>
        <w:t xml:space="preserve">continuum </w:t>
      </w:r>
      <w:r w:rsidRPr="00FF76EE">
        <w:rPr>
          <w:rFonts w:ascii="Times New Roman" w:eastAsia="Calibri" w:hAnsi="Times New Roman" w:cs="Times New Roman"/>
        </w:rPr>
        <w:t xml:space="preserve">entre extremos que como una delimitación estrecha, por lo que distinguió entre distintos tipos de intelectuales. De Broccoli (1977 [1972]) quien, en debate implícito con Manacorda, se centró en las reflexiones sobre hegemonía e intelectuales de Gramsci, la autora parece haber extraído la categoría “intelectuales subalternos”. A través de ella, conceptualizó el papel de los maestros, es decir, de estos agentes intermediarios entre el conformismo norteamericano y el folklore popular latinoamericano (Puiggrós, 2015 [1980], p. 154). </w:t>
      </w:r>
    </w:p>
    <w:p w14:paraId="1FFAFE37"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El primer libro de Puiggrós guardaba deudas con su formación marxista de los años 60/70 en Argentina. En línea con la heterogénea y difusa, pero reconocible, izquierda nacional de aquellos años que estuvo animada por los denominados maestros de juventudes (como su propio padre, Hernández Arregui o Arturo Jauretche), para Puiggrós el problema de primer orden seguía siendo el papel de los intelectuales en la gramática del poder imperial en las sociedades periféricas; con elementos propios del anti intelectualismo, la izquierda nacional consideraba que la intelectualidad local estaba impregnada por un liberalismo que establecía cisuras con las profundidades populares. Como parte de la conformación de una teoría educativa marxista latinoamericana, Puiggrós recurrió a la categoría de Trotsky de desarrollo desigual y combinado: “desigual”, remitía al dispar acceso al sistema educativo; “combinado”, a la hibridación de formas culturales y modelos educativos que no correspondían linealmente al modo de producción capitalista. Con todo, el libro de la pedagoga daba cuenta de una formación marxista modulada, en buena medida, en su país de origen; en ese sentido, las novedades teóricas suministradas por Gramsci servían para continuar develando el papel de los intelectuales (foráneos y locales) en el dominio educativo imperial. </w:t>
      </w:r>
    </w:p>
    <w:p w14:paraId="7AF74983" w14:textId="77777777" w:rsidR="00B033AC" w:rsidRPr="00FF76EE" w:rsidRDefault="00B033AC" w:rsidP="00B033AC">
      <w:pPr>
        <w:spacing w:before="240" w:after="240" w:line="240" w:lineRule="auto"/>
        <w:ind w:firstLine="283"/>
        <w:jc w:val="both"/>
        <w:rPr>
          <w:rFonts w:ascii="Times New Roman" w:eastAsia="Calibri" w:hAnsi="Times New Roman" w:cs="Times New Roman"/>
          <w:color w:val="FF0000"/>
        </w:rPr>
      </w:pPr>
      <w:r w:rsidRPr="00FF76EE">
        <w:rPr>
          <w:rFonts w:ascii="Times New Roman" w:eastAsia="Calibri" w:hAnsi="Times New Roman" w:cs="Times New Roman"/>
        </w:rPr>
        <w:t>A modo de balance, se podría decir que si bien Puiggrós mostró en su libro los complejos vínculos entre los sistemas educativos y las formaciones sociales latinoamericanas, no escapó a una totalidad sintética: la clase dominante imperial-oligárquica y su concepción del mund</w:t>
      </w:r>
      <w:r w:rsidRPr="00FF76EE">
        <w:rPr>
          <w:rFonts w:ascii="Times New Roman" w:eastAsia="Calibri" w:hAnsi="Times New Roman" w:cs="Times New Roman"/>
          <w:color w:val="00000A"/>
        </w:rPr>
        <w:t xml:space="preserve">o terminaban por dotar de unidad y homogeneidad al conjunto del campo educativo latinoamericano. Su </w:t>
      </w:r>
      <w:r w:rsidRPr="00FF76EE">
        <w:rPr>
          <w:rFonts w:ascii="Times New Roman" w:eastAsia="Calibri" w:hAnsi="Times New Roman" w:cs="Times New Roman"/>
        </w:rPr>
        <w:t>análisis presuponía una contradicción fundante del orden socio-educativo de la región: imperialismo/oligarquía y sectores populares.</w:t>
      </w:r>
      <w:r w:rsidRPr="00FF76EE">
        <w:rPr>
          <w:rFonts w:ascii="Times New Roman" w:eastAsia="Calibri" w:hAnsi="Times New Roman" w:cs="Times New Roman"/>
          <w:color w:val="00000A"/>
        </w:rPr>
        <w:t xml:space="preserve"> Gramsci era colocado en estas coordenadas</w:t>
      </w:r>
      <w:r w:rsidRPr="00FF76EE">
        <w:rPr>
          <w:rFonts w:ascii="Times New Roman" w:eastAsia="Calibri" w:hAnsi="Times New Roman" w:cs="Times New Roman"/>
        </w:rPr>
        <w:t xml:space="preserve">. Aunque la lucha por la hegemonía se evocaba, el diagrama teórico dejaba poco espacio para las impugnaciones sociales y educativas. La autora se distanciaba del crítico reproductivismo, pero, al igual que la intelectualidad de la izquierda nacional de los 60/70, su pionera propuesta y usos </w:t>
      </w:r>
      <w:r w:rsidRPr="00FF76EE">
        <w:rPr>
          <w:rFonts w:ascii="Times New Roman" w:eastAsia="Calibri" w:hAnsi="Times New Roman" w:cs="Times New Roman"/>
        </w:rPr>
        <w:lastRenderedPageBreak/>
        <w:t>del sardo no superaban por entonces la lógica de denuncia de un orden socio-educativo injusto.</w:t>
      </w:r>
    </w:p>
    <w:p w14:paraId="7BCC1601" w14:textId="77777777" w:rsidR="00B033AC" w:rsidRPr="00FF76EE" w:rsidRDefault="00B033AC" w:rsidP="00B033AC">
      <w:pPr>
        <w:spacing w:before="240" w:after="240" w:line="240" w:lineRule="auto"/>
        <w:ind w:firstLine="283"/>
        <w:jc w:val="both"/>
        <w:rPr>
          <w:rFonts w:ascii="Times New Roman" w:eastAsia="Calibri" w:hAnsi="Times New Roman" w:cs="Times New Roman"/>
          <w:color w:val="FF0000"/>
        </w:rPr>
      </w:pPr>
    </w:p>
    <w:p w14:paraId="5F752876" w14:textId="77777777" w:rsidR="00B033AC" w:rsidRPr="00FF76EE" w:rsidRDefault="00B033AC" w:rsidP="00B033AC">
      <w:pPr>
        <w:spacing w:before="240" w:after="240" w:line="240" w:lineRule="auto"/>
        <w:jc w:val="both"/>
        <w:rPr>
          <w:rFonts w:ascii="Times New Roman" w:eastAsia="Calibri" w:hAnsi="Times New Roman" w:cs="Times New Roman"/>
          <w:b/>
        </w:rPr>
      </w:pPr>
      <w:r w:rsidRPr="00FF76EE">
        <w:rPr>
          <w:rFonts w:ascii="Times New Roman" w:eastAsia="Calibri" w:hAnsi="Times New Roman" w:cs="Times New Roman"/>
          <w:b/>
        </w:rPr>
        <w:t>Derecho al posmarxismo: Gramsci entre alternativas pedagógicas latinoamericanas</w:t>
      </w:r>
    </w:p>
    <w:p w14:paraId="2C9E19B3"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 xml:space="preserve">Como se decía, hacia fines de los 70 irrumpe la denominada “crisis del marxismo”. La tentativa de reconstrucción sin deconstrucción, convivió con otras, como la </w:t>
      </w:r>
      <w:r w:rsidRPr="00FF76EE">
        <w:rPr>
          <w:rFonts w:ascii="Times New Roman" w:eastAsia="Calibri" w:hAnsi="Times New Roman" w:cs="Times New Roman"/>
          <w:i/>
        </w:rPr>
        <w:t xml:space="preserve">deconstrucción sin reconstrucción del marxismo </w:t>
      </w:r>
      <w:r w:rsidRPr="00FF76EE">
        <w:rPr>
          <w:rFonts w:ascii="Times New Roman" w:eastAsia="Calibri" w:hAnsi="Times New Roman" w:cs="Times New Roman"/>
        </w:rPr>
        <w:t xml:space="preserve">(Sazbón, 1995). Ilustrativo al respecto resultó el posmarxismo que partía de la tradición marxista, pero sometía a revisión nudos edificantes, tales como la centralidad de la lucha de clases, la determinación en última instancia de los fenómenos ideológicos o políticos por parte de la economía, el vínculo estructura - superestructura, o la pretensión de una totalización cerrada al estilo hegeliano. Si bien la nominación posmarxismo comenzará a circular a mediados de los años 80, sus raíces remiten, en buena medida, a la crisis del marxismo de los años 70.  Un autor decisivo en la modulación del posmarxismo e influyente en el campo intelectual y educativo mexicano como en la propia Puiggrós, resultó Ernesto Laclau; en México el argentino encontró un sitio idóneo para esbozar una tentativa de renovación teórica que años más tarde asumirá el mote de posmarxista. Huellas laclausianas se advierten en la tesis doctoral en Pedagogía en la UNAM de Puiggrós, Proyecto político y educación en América Latina (1983); escrita desde las oficinas del CAS, dio lugar a su segundo libro, </w:t>
      </w:r>
      <w:r w:rsidRPr="00FF76EE">
        <w:rPr>
          <w:rFonts w:ascii="Times New Roman" w:eastAsia="Calibri" w:hAnsi="Times New Roman" w:cs="Times New Roman"/>
          <w:i/>
        </w:rPr>
        <w:t>La educación popular en América Latina</w:t>
      </w:r>
      <w:r w:rsidRPr="00FF76EE">
        <w:rPr>
          <w:rFonts w:ascii="Times New Roman" w:eastAsia="Calibri" w:hAnsi="Times New Roman" w:cs="Times New Roman"/>
        </w:rPr>
        <w:t xml:space="preserve"> (1984), también publicado en México por la editorial Nueva Imagen. Con esta incursión, la autora promovió la constitución de una nueva área académica con peso específico en un campo pedagógico en expansión: la educación popular latinoamericana.</w:t>
      </w:r>
      <w:r w:rsidRPr="00FF76EE">
        <w:rPr>
          <w:rFonts w:ascii="Times New Roman" w:eastAsia="Calibri" w:hAnsi="Times New Roman" w:cs="Times New Roman"/>
          <w:vertAlign w:val="superscript"/>
        </w:rPr>
        <w:footnoteReference w:id="1"/>
      </w:r>
      <w:r w:rsidRPr="00FF76EE">
        <w:rPr>
          <w:rFonts w:ascii="Times New Roman" w:eastAsia="Calibri" w:hAnsi="Times New Roman" w:cs="Times New Roman"/>
        </w:rPr>
        <w:t xml:space="preserve"> En tal operación no es posible soslayar los efectos de la insurrección popular sandinista (1979) que, por primera vez, en la historia latinoamericana colocó a la educación popular como eje vertebral del proceso revolucionario (Jara, 2020).</w:t>
      </w:r>
    </w:p>
    <w:p w14:paraId="484CB1E8" w14:textId="77777777" w:rsidR="00B033AC" w:rsidRPr="00FF76EE" w:rsidRDefault="00B033AC" w:rsidP="00B033AC">
      <w:pPr>
        <w:spacing w:before="240" w:after="240" w:line="240" w:lineRule="auto"/>
        <w:ind w:firstLine="283"/>
        <w:jc w:val="both"/>
        <w:rPr>
          <w:rFonts w:ascii="Times New Roman" w:eastAsia="Calibri" w:hAnsi="Times New Roman" w:cs="Times New Roman"/>
        </w:rPr>
      </w:pPr>
      <w:r w:rsidRPr="00FF76EE">
        <w:rPr>
          <w:rFonts w:ascii="Times New Roman" w:eastAsia="Calibri" w:hAnsi="Times New Roman" w:cs="Times New Roman"/>
        </w:rPr>
        <w:t>El encuentro de Puiggrós con su amigo Laclau en tierra azteca suponía un reencuentro. En los años 60, ambos habían coincidido temporalmente en la militancia en el Partido Socialista de la Izquierda Nacional (</w:t>
      </w:r>
      <w:r w:rsidRPr="00FF76EE">
        <w:rPr>
          <w:rFonts w:ascii="Times New Roman" w:eastAsia="Calibri" w:hAnsi="Times New Roman" w:cs="Times New Roman"/>
          <w:highlight w:val="white"/>
        </w:rPr>
        <w:t>PSIN)</w:t>
      </w:r>
      <w:r w:rsidRPr="00FF76EE">
        <w:rPr>
          <w:rFonts w:ascii="Times New Roman" w:eastAsia="Calibri" w:hAnsi="Times New Roman" w:cs="Times New Roman"/>
        </w:rPr>
        <w:t>, aunque el argentino enfatizó más el polo del marxismo y Puiggrós la identidad peronista, lo que contrajo distancias: Laclau siguió en el PSIN hasta 1969 y Puiggrós incursionó en organizaciones de neto perfil peronista. Como otras franjas intelectuales vernáculas, ante el golpe de Estado de 1966 y la intervención de las universidades, Laclau decidió trasladarse a Inglaterra en 1969. En los 70, a través de gestiones del mexicano Julio Labastida, el autor argentino frecuentó el país azteca. Entre las publicaciones de aquel período, destaca su libro</w:t>
      </w:r>
      <w:r w:rsidRPr="00FF76EE">
        <w:rPr>
          <w:rFonts w:ascii="Times New Roman" w:eastAsia="Calibri" w:hAnsi="Times New Roman" w:cs="Times New Roman"/>
          <w:i/>
        </w:rPr>
        <w:t xml:space="preserve"> Política e Ideología en la teoría marxista </w:t>
      </w:r>
      <w:r w:rsidRPr="00FF76EE">
        <w:rPr>
          <w:rFonts w:ascii="Times New Roman" w:eastAsia="Calibri" w:hAnsi="Times New Roman" w:cs="Times New Roman"/>
        </w:rPr>
        <w:t xml:space="preserve">(1978). En la última parte del libro, el argentino se concentró en un argumento: la gravitación del discurso en la constitución de las clases sociales y los </w:t>
      </w:r>
      <w:r w:rsidRPr="00FF76EE">
        <w:rPr>
          <w:rFonts w:ascii="Times New Roman" w:eastAsia="Calibri" w:hAnsi="Times New Roman" w:cs="Times New Roman"/>
        </w:rPr>
        <w:lastRenderedPageBreak/>
        <w:t xml:space="preserve">sujetos; sentaba las bases de una pionera perspectiva que formaba parte del denominado giro discursivo en las ciencias sociales de los años 70. Desde este prisma, el autor efectuó una apropiación original de Gramsci, en particular, de la noción de hegemonía que comenzó a ser leída a través de la sugestiva categoría de articulación. La novedosa propuesta posmarxista de Laclau se propagó en diferentes espacios mexicanos; entre ellos, destacan sus intervenciones en los seminarios “Hegemonía y alternativas políticas en América Latina” (Morelia, febrero de 1980) y “Análisis del discurso político latinoamericano” (UNAM, 1982). Este último organizado por Gilberto Giménez fue central en el viraje epistemológico de una pléyade de intelectuales; entre ellas, de Adriana Puiggrós. Aunque Laclau subestimaba el valor teórico del fenómeno educativo, la pedagoga se empeñó en mostrar la productiva heurística para el campo educativo de la embrionaria perspectiva posmarxista laclausiana </w:t>
      </w:r>
      <w:r w:rsidRPr="00FF76EE">
        <w:rPr>
          <w:rFonts w:ascii="Times New Roman" w:eastAsia="Calibri" w:hAnsi="Times New Roman" w:cs="Times New Roman"/>
          <w:highlight w:val="white"/>
        </w:rPr>
        <w:t>(Buenfil Burgos, 2019).</w:t>
      </w:r>
      <w:r w:rsidRPr="00FF76EE">
        <w:rPr>
          <w:rFonts w:ascii="Times New Roman" w:eastAsia="Calibri" w:hAnsi="Times New Roman" w:cs="Times New Roman"/>
        </w:rPr>
        <w:t xml:space="preserve"> </w:t>
      </w:r>
    </w:p>
    <w:p w14:paraId="4151EEDE" w14:textId="77777777" w:rsidR="00B033AC" w:rsidRPr="00FF76EE" w:rsidRDefault="00B033AC" w:rsidP="00B033AC">
      <w:pPr>
        <w:spacing w:before="240" w:after="240" w:line="240" w:lineRule="auto"/>
        <w:ind w:firstLine="283"/>
        <w:jc w:val="both"/>
        <w:rPr>
          <w:rFonts w:ascii="Times New Roman" w:eastAsia="Calibri" w:hAnsi="Times New Roman" w:cs="Times New Roman"/>
          <w:color w:val="FF0000"/>
          <w:highlight w:val="red"/>
        </w:rPr>
      </w:pPr>
      <w:r w:rsidRPr="00FF76EE">
        <w:rPr>
          <w:rFonts w:ascii="Times New Roman" w:eastAsia="Calibri" w:hAnsi="Times New Roman" w:cs="Times New Roman"/>
        </w:rPr>
        <w:t>Como otras tentativas posmarxistas, la deconstrucción del marxismo de Laclau no consistía en un reemplazo de viejas categorías por nuevas sino en volver visibles ciertas lógicas que operaban en ellas y subvertirlas. Desde una incipiente perspectiva pos fundacionalista, Laclau proponía una desontologización de Gramsci que suponía escindirlo de la tradición economicista del marxismo de la II internacional y el leninismo de la III. La escisión laclausiana fundamentaba el empleo de la categoría de hegemonía en clave de articulación parcial del sentido entre actores disgregados; el momento discursivo-hegemónico se volvía central en la constitución del sujeto social y de una totalidad siempre abierta y procesual. Esta exploración teórica tenía como uno de sus propósitos dilucidar, desde una nueva perspectiva, al populismo latinoamericano y las identidades políticas populares suscitadas por él.</w:t>
      </w:r>
      <w:r w:rsidRPr="00FF76EE">
        <w:rPr>
          <w:rFonts w:ascii="Times New Roman" w:eastAsia="Calibri" w:hAnsi="Times New Roman" w:cs="Times New Roman"/>
          <w:vertAlign w:val="superscript"/>
        </w:rPr>
        <w:footnoteReference w:id="2"/>
      </w:r>
      <w:r w:rsidRPr="00FF76EE">
        <w:rPr>
          <w:rFonts w:ascii="Times New Roman" w:eastAsia="Calibri" w:hAnsi="Times New Roman" w:cs="Times New Roman"/>
        </w:rPr>
        <w:t xml:space="preserve"> Pero también permitía explorar una respuesta a un acuciante problema para aquella franjas que, como Puiggrós, bregaban por una renovación de la izquierda peronista: la cuestión democrática. La abierta, contingente y procesual categoría de articulación era cautivante al ensayar una democratización de la propuesta política del nacionalismo popular.</w:t>
      </w:r>
    </w:p>
    <w:p w14:paraId="7F458F77" w14:textId="77777777" w:rsidR="00B033AC" w:rsidRPr="00FF76EE" w:rsidRDefault="00B033AC" w:rsidP="00B033AC">
      <w:pPr>
        <w:spacing w:line="240" w:lineRule="auto"/>
        <w:ind w:firstLine="284"/>
        <w:jc w:val="both"/>
        <w:rPr>
          <w:rFonts w:ascii="Times New Roman" w:eastAsia="Calibri" w:hAnsi="Times New Roman" w:cs="Times New Roman"/>
        </w:rPr>
      </w:pPr>
      <w:r w:rsidRPr="00FF76EE">
        <w:rPr>
          <w:rFonts w:ascii="Times New Roman" w:eastAsia="Calibri" w:hAnsi="Times New Roman" w:cs="Times New Roman"/>
        </w:rPr>
        <w:t>En los 70/80, Laclau mantuvo un vínculo productivo con una figura ampliamente discutida en los 60/70 en la teoría crítica: Althusser. En un contexto de revisión de las certezas teóricas precedentes, de manera frecuente intelectuales proyectaron en las formulaciones teóricas althusserianas sus propios sesgos (Starcenbaum, 2011); fue el caso de Puiggrós, como vimos. Sin embargo, la propuesta de Laclau, en su fase althusseriana de los 70, suponía seguir pensando con el filósofo francés (Mazzolini, 2022); pero no tanto con aquel de los Aparatos Ideológicos de Estado (AIE) (1969), sino con aquel de “Contradicción y sobredeterminación” (1962) que arremetía contra el marxismo hegeliano y diagramaba una totalidad basada en contradicciones sobredeterminadas; la pedagoga se apropió de este lectura selectiva de Althusser.</w:t>
      </w:r>
    </w:p>
    <w:p w14:paraId="2A9DB9C0" w14:textId="77777777" w:rsidR="00B033AC" w:rsidRPr="00FF76EE" w:rsidRDefault="00B033AC" w:rsidP="00B033AC">
      <w:pPr>
        <w:spacing w:line="240" w:lineRule="auto"/>
        <w:ind w:firstLine="284"/>
        <w:jc w:val="both"/>
        <w:rPr>
          <w:rFonts w:ascii="Times New Roman" w:eastAsia="Calibri" w:hAnsi="Times New Roman" w:cs="Times New Roman"/>
        </w:rPr>
      </w:pPr>
      <w:r w:rsidRPr="00FF76EE">
        <w:rPr>
          <w:rFonts w:ascii="Times New Roman" w:eastAsia="Calibri" w:hAnsi="Times New Roman" w:cs="Times New Roman"/>
        </w:rPr>
        <w:t xml:space="preserve">Si en el primer libro de Puiggrós, la renovación teórica aún guardaba deudas con problemáticas de su formación marxista de los 60/70 en Argentina, el segundo daba </w:t>
      </w:r>
      <w:r w:rsidRPr="00FF76EE">
        <w:rPr>
          <w:rFonts w:ascii="Times New Roman" w:eastAsia="Calibri" w:hAnsi="Times New Roman" w:cs="Times New Roman"/>
        </w:rPr>
        <w:lastRenderedPageBreak/>
        <w:t xml:space="preserve">cuenta de un verdadero viraje epistemológico; en ambos libros, Gramsci animó la renovación teórica, pero en el segundo el sardo fue inscrito dentro un giro teórico radical. La preocupación ya no era situar al sistema educativo latinoamericano dentro del modelo marxista estructura/superestructura; desde la apertura del libro, Puiggrós no dejaba dudas que su perspectiva teórica había cambiado: </w:t>
      </w:r>
    </w:p>
    <w:p w14:paraId="7FEBB56A" w14:textId="77777777" w:rsidR="00B033AC" w:rsidRPr="00FF76EE" w:rsidRDefault="00B033AC" w:rsidP="00B033AC">
      <w:pPr>
        <w:spacing w:line="240" w:lineRule="auto"/>
        <w:ind w:firstLine="284"/>
        <w:jc w:val="both"/>
        <w:rPr>
          <w:rFonts w:ascii="Times New Roman" w:eastAsia="Calibri" w:hAnsi="Times New Roman" w:cs="Times New Roman"/>
        </w:rPr>
      </w:pPr>
    </w:p>
    <w:p w14:paraId="109BAC55" w14:textId="77777777" w:rsidR="00B033AC" w:rsidRPr="00FF76EE" w:rsidRDefault="00B033AC" w:rsidP="00B033AC">
      <w:pPr>
        <w:spacing w:line="240" w:lineRule="auto"/>
        <w:ind w:left="566" w:right="582"/>
        <w:jc w:val="both"/>
        <w:rPr>
          <w:rFonts w:ascii="Times New Roman" w:eastAsia="Calibri" w:hAnsi="Times New Roman" w:cs="Times New Roman"/>
        </w:rPr>
      </w:pPr>
      <w:r w:rsidRPr="00FF76EE">
        <w:rPr>
          <w:rFonts w:ascii="Times New Roman" w:eastAsia="Calibri" w:hAnsi="Times New Roman" w:cs="Times New Roman"/>
        </w:rPr>
        <w:t>Será tesis central de este trabajo que la educación, como toda práctica social, es productora de una pluralidad de sentidos y susceptible de ser producida y leída desde diferentes ángulos (ideológico, político, económico, psicológico) a partir de los procesos histórico sociales (1994 [1980a], p. 13).</w:t>
      </w:r>
    </w:p>
    <w:p w14:paraId="3F2EE011" w14:textId="77777777" w:rsidR="00B033AC" w:rsidRPr="00FF76EE" w:rsidRDefault="00B033AC" w:rsidP="00B033AC">
      <w:pPr>
        <w:spacing w:line="240" w:lineRule="auto"/>
        <w:ind w:firstLine="284"/>
        <w:jc w:val="both"/>
        <w:rPr>
          <w:rFonts w:ascii="Times New Roman" w:eastAsia="Calibri" w:hAnsi="Times New Roman" w:cs="Times New Roman"/>
        </w:rPr>
      </w:pPr>
    </w:p>
    <w:p w14:paraId="0456C5F2" w14:textId="77777777" w:rsidR="00B033AC" w:rsidRPr="00FF76EE" w:rsidRDefault="00B033AC" w:rsidP="00B033AC">
      <w:pPr>
        <w:spacing w:line="240" w:lineRule="auto"/>
        <w:ind w:firstLine="284"/>
        <w:jc w:val="both"/>
        <w:rPr>
          <w:rFonts w:ascii="Times New Roman" w:eastAsia="Calibri" w:hAnsi="Times New Roman" w:cs="Times New Roman"/>
        </w:rPr>
      </w:pPr>
      <w:r w:rsidRPr="00FF76EE">
        <w:rPr>
          <w:rFonts w:ascii="Times New Roman" w:eastAsia="Calibri" w:hAnsi="Times New Roman" w:cs="Times New Roman"/>
        </w:rPr>
        <w:t>La imaginación historiográfica de Puiggrós partía de una premisa laclausiana: la inexistencia de sujetos previos al discurso. Dentro de la totalidad móvil y contingente posmarxista, era posible deslindar procesos educativos, pero solo a condición de ponderar que estaban “sobredeterminados dentro de la compleja red de prácticas y sentidos sociales” (p. 13). Como en su primer libro, la escena teórica aparecía beligerante, pero ahora la disputa entre sectores sociales se modulaba por la articulación de la hegemonía. Esta articulación laclausiana presuponía una concepción plural de la hegemonía que arrojaba luz sobre los ambivalentes conflictos (clase, género, generacionales, etc.) como sobre la falta de equivalencia entre posición social de clase y proyecto hegemónico. De igual modo, para evitar una pluralidad hegemónica contraria a cualquier pretensión de totalidad, el incipiente posmarxismo laclausiano estableció un eje alrededor del cual se dirimían las prácticas articulatorias que fue asumido por Puiggrós: la contradicción entre el sujeto Pueblo y el bloque de poder. Se trataba de un diagrama político-teórico que actualizaba las antiguas búsquedas de la izquierda peronista por evitar el reduccionismo clasista o el economicismo marxista.</w:t>
      </w:r>
    </w:p>
    <w:p w14:paraId="0FF47942" w14:textId="77777777" w:rsidR="00B033AC" w:rsidRPr="00FF76EE" w:rsidRDefault="00B033AC" w:rsidP="00B033AC">
      <w:pPr>
        <w:spacing w:line="240" w:lineRule="auto"/>
        <w:ind w:firstLine="284"/>
        <w:jc w:val="both"/>
        <w:rPr>
          <w:rFonts w:ascii="Times New Roman" w:eastAsia="Calibri" w:hAnsi="Times New Roman" w:cs="Times New Roman"/>
          <w:vertAlign w:val="superscript"/>
        </w:rPr>
      </w:pPr>
      <w:r w:rsidRPr="00FF76EE">
        <w:rPr>
          <w:rFonts w:ascii="Times New Roman" w:eastAsia="Calibri" w:hAnsi="Times New Roman" w:cs="Times New Roman"/>
        </w:rPr>
        <w:t>La pluralidad de la hegemonía laclausiana le permitió a Puiggrós extender la presencia de la práctica educativa al conjunto social: “lo pedagógico está en todas partes” (1998 [1984], p. 13). Esto no suponía una falta de especificidad del proceso educativo como indicar que la hegemonía era en sí misma pedagógica. De manera original para el posmarxismo educativo, Puiggrós se detuvo en un pasaje gramsciano central para los estudios educativos: “Toda relación de ‘hegemonía’ es necesariamente una relación pedagógica” (Cuaderno 10, I, 44). La institucionalidad educativa estaba atravesada por múltiples prácticas articuladas bajo la lógica de la lucha hegemónica, por lo que la inteligibilidad del objeto de la tesis, los “Discursos pedagógicos populares”, exigía el análisis del aparato educativo. Puiggrós continuó con sus reservas respecto al ensayo de Althusser sobre los AIE; pero a través de Laclau y otros autores que animaron el giro discursivo, contempló argumentos de aquel ensayo, como la materialidad de la ideología o la noción de interpelación.</w:t>
      </w:r>
      <w:r w:rsidRPr="00FF76EE">
        <w:rPr>
          <w:rFonts w:ascii="Times New Roman" w:eastAsia="Calibri" w:hAnsi="Times New Roman" w:cs="Times New Roman"/>
          <w:vertAlign w:val="superscript"/>
        </w:rPr>
        <w:t xml:space="preserve"> </w:t>
      </w:r>
      <w:r w:rsidRPr="00FF76EE">
        <w:rPr>
          <w:rFonts w:ascii="Times New Roman" w:eastAsia="Calibri" w:hAnsi="Times New Roman" w:cs="Times New Roman"/>
          <w:vertAlign w:val="superscript"/>
        </w:rPr>
        <w:footnoteReference w:id="3"/>
      </w:r>
    </w:p>
    <w:p w14:paraId="30DC9020" w14:textId="77777777" w:rsidR="00B033AC" w:rsidRPr="00FF76EE" w:rsidRDefault="00B033AC" w:rsidP="00B033AC">
      <w:pPr>
        <w:spacing w:line="240" w:lineRule="auto"/>
        <w:ind w:firstLine="284"/>
        <w:jc w:val="both"/>
        <w:rPr>
          <w:rFonts w:ascii="Times New Roman" w:eastAsia="Calibri" w:hAnsi="Times New Roman" w:cs="Times New Roman"/>
          <w:color w:val="FF0000"/>
        </w:rPr>
      </w:pPr>
      <w:r w:rsidRPr="00FF76EE">
        <w:rPr>
          <w:rFonts w:ascii="Times New Roman" w:eastAsia="Calibri" w:hAnsi="Times New Roman" w:cs="Times New Roman"/>
        </w:rPr>
        <w:lastRenderedPageBreak/>
        <w:t xml:space="preserve">En su recorrido teórico, Puiggrós no sólo continuó la escisión de Gramsci respecto a la tradición soviética; también buscó concatenaciones teóricas entre el sardo y otros autores latinoamericanos, ampliamente discutidos en el exilio mexicano: por un lado, Carlos Mariátegui que, en muchos casos, constituyó una novedad teórica para intelectuales argentinos; por otro, Paulo Freire quien, de manera pionera Puiggrós había difundido en Argentina en los 70 (Friedermann, 2023). Como en el caso de Gramsci, estos autores eran leídos bajo un prisma posmarxista; formaban parte de la construcción de una teoría marxista latinoamericana donde habitaba una promesa: ante los regímenes autoritarios (del cono sur pero también aquellos comunistas), el nacionalismo popular era capaz de constituir propuestas sociales y educativas tan plurales como democráticas; en definitiva, la conjunción democrática entre autogestión educativa popular y gobierno estatal no era una quimera en América Latina.          </w:t>
      </w:r>
    </w:p>
    <w:p w14:paraId="1891E97A" w14:textId="77777777" w:rsidR="00B033AC" w:rsidRPr="00FF76EE" w:rsidRDefault="00B033AC" w:rsidP="00B033AC">
      <w:pPr>
        <w:spacing w:line="240" w:lineRule="auto"/>
        <w:ind w:firstLine="284"/>
        <w:jc w:val="both"/>
        <w:rPr>
          <w:rFonts w:ascii="Times New Roman" w:eastAsia="Calibri" w:hAnsi="Times New Roman" w:cs="Times New Roman"/>
        </w:rPr>
      </w:pPr>
    </w:p>
    <w:p w14:paraId="30B6BC99" w14:textId="77777777" w:rsidR="00B033AC" w:rsidRPr="00FF76EE" w:rsidRDefault="00B033AC" w:rsidP="00B033AC">
      <w:pPr>
        <w:spacing w:line="240" w:lineRule="auto"/>
        <w:jc w:val="both"/>
        <w:rPr>
          <w:rFonts w:ascii="Times New Roman" w:eastAsia="Calibri" w:hAnsi="Times New Roman" w:cs="Times New Roman"/>
          <w:b/>
        </w:rPr>
      </w:pPr>
      <w:r w:rsidRPr="00FF76EE">
        <w:rPr>
          <w:rFonts w:ascii="Times New Roman" w:eastAsia="Calibri" w:hAnsi="Times New Roman" w:cs="Times New Roman"/>
          <w:b/>
        </w:rPr>
        <w:t xml:space="preserve">A modo de cierre </w:t>
      </w:r>
    </w:p>
    <w:p w14:paraId="6D6DF3CD" w14:textId="77777777" w:rsidR="00B033AC" w:rsidRPr="00FF76EE" w:rsidRDefault="00B033AC" w:rsidP="00B033AC">
      <w:pPr>
        <w:spacing w:line="240" w:lineRule="auto"/>
        <w:ind w:firstLine="284"/>
        <w:jc w:val="both"/>
        <w:rPr>
          <w:rFonts w:ascii="Times New Roman" w:eastAsia="Calibri" w:hAnsi="Times New Roman" w:cs="Times New Roman"/>
        </w:rPr>
      </w:pPr>
      <w:r w:rsidRPr="00FF76EE">
        <w:rPr>
          <w:rFonts w:ascii="Times New Roman" w:eastAsia="Calibri" w:hAnsi="Times New Roman" w:cs="Times New Roman"/>
        </w:rPr>
        <w:t xml:space="preserve">En 1983, Carlos Ulanovsky, escribió la primera crónica del exilio argentino en México: </w:t>
      </w:r>
      <w:r w:rsidRPr="00FF76EE">
        <w:rPr>
          <w:rFonts w:ascii="Times New Roman" w:eastAsia="Calibri" w:hAnsi="Times New Roman" w:cs="Times New Roman"/>
          <w:i/>
        </w:rPr>
        <w:t xml:space="preserve">Seamos felices mientras estemos aquí </w:t>
      </w:r>
      <w:r w:rsidRPr="00FF76EE">
        <w:rPr>
          <w:rFonts w:ascii="Times New Roman" w:eastAsia="Calibri" w:hAnsi="Times New Roman" w:cs="Times New Roman"/>
        </w:rPr>
        <w:t xml:space="preserve">(1983). Se podría decir que Puiggrós hizo propia la propuesta del periodista en sus años mexicanos: que los dolores del destierro no terminen por obturar las inéditas oportunidades. Si bien ningún exilio es dorado, México abrió posibilidades inéditas para la pedagoga, tales como la inserción académica estable, el acceso a renovadas referencias y debates teóricos (por ejemplo, Antonio Gramsci) como así también tomar una distancia reflexiva de los avatares políticos vernáculos. </w:t>
      </w:r>
    </w:p>
    <w:p w14:paraId="2E2EDE7C" w14:textId="77777777" w:rsidR="00B033AC" w:rsidRPr="00FF76EE" w:rsidRDefault="00B033AC" w:rsidP="00B033AC">
      <w:pPr>
        <w:spacing w:line="240" w:lineRule="auto"/>
        <w:ind w:firstLine="284"/>
        <w:jc w:val="both"/>
        <w:rPr>
          <w:rFonts w:ascii="Times New Roman" w:eastAsia="Calibri" w:hAnsi="Times New Roman" w:cs="Times New Roman"/>
        </w:rPr>
      </w:pPr>
      <w:r w:rsidRPr="00FF76EE">
        <w:rPr>
          <w:rFonts w:ascii="Times New Roman" w:eastAsia="Calibri" w:hAnsi="Times New Roman" w:cs="Times New Roman"/>
        </w:rPr>
        <w:t>Los 80 implicaron un reexamen epistemológico para franjas intelectuales críticas en el marco de la crisis del marxismo; México se conformó en un verdadero laboratorio teórico. En el marco de querellas políticas aún abiertas sobre los convulsionados 70, Puiggrós realizó disímiles incursiones teóricas. Descubierto en el exilio, Gramsci acompañó las exploraciones de la pedagoga por forjar una nueva teoría marxista educativa para América Latina; estas exploraciones comenzaron con una reconstrucción sin deconstrucción del marxismo y finalizaron con una deconstrucción sin reconstrucción del marxismo. Si en el primer libro de Puiggrós, la novedad gramsciana era incorporada dentro de las problemáticas de su formación marxista de los 60/70 en Argentina, en el segundo el sardo pasó a formar parte de un verdadero viraje teórico. El pasaje resultaba cautivante: el posmarxismo laclausiana/gramsciano prometía renovar en clave democrática las prácticas políticas y pedagógicas del imprevisible espectro nacionalista popular.</w:t>
      </w:r>
    </w:p>
    <w:p w14:paraId="5719FACF" w14:textId="77777777" w:rsidR="00B033AC" w:rsidRPr="00FF76EE" w:rsidRDefault="00B033AC" w:rsidP="00B033AC">
      <w:pPr>
        <w:spacing w:line="240" w:lineRule="auto"/>
        <w:ind w:firstLine="284"/>
        <w:jc w:val="both"/>
        <w:rPr>
          <w:rFonts w:ascii="Times New Roman" w:eastAsia="Calibri" w:hAnsi="Times New Roman" w:cs="Times New Roman"/>
        </w:rPr>
      </w:pPr>
    </w:p>
    <w:p w14:paraId="1AB7C725" w14:textId="77777777" w:rsidR="00B033AC" w:rsidRPr="00FF76EE" w:rsidRDefault="00B033AC" w:rsidP="00B033AC">
      <w:pPr>
        <w:spacing w:before="240" w:after="240" w:line="240" w:lineRule="auto"/>
        <w:rPr>
          <w:rFonts w:ascii="Times New Roman" w:eastAsia="Calibri" w:hAnsi="Times New Roman" w:cs="Times New Roman"/>
          <w:b/>
        </w:rPr>
      </w:pPr>
      <w:r w:rsidRPr="00FF76EE">
        <w:rPr>
          <w:rFonts w:ascii="Times New Roman" w:eastAsia="Calibri" w:hAnsi="Times New Roman" w:cs="Times New Roman"/>
          <w:b/>
        </w:rPr>
        <w:lastRenderedPageBreak/>
        <w:t>Bibliografía</w:t>
      </w:r>
    </w:p>
    <w:p w14:paraId="175F9828"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Althusser, L. (1967 [1962]). Contradicción y sobredeterminación. En Althusser, L. La Revolución teórica de Marx. Siglo XXI.</w:t>
      </w:r>
      <w:r w:rsidRPr="00FF76EE">
        <w:rPr>
          <w:rFonts w:ascii="Times New Roman" w:eastAsia="Calibri" w:hAnsi="Times New Roman" w:cs="Times New Roman"/>
        </w:rPr>
        <w:br/>
        <w:t xml:space="preserve">Althusser, L. (1970 [1969]). </w:t>
      </w:r>
      <w:r w:rsidRPr="00FF76EE">
        <w:rPr>
          <w:rFonts w:ascii="Times New Roman" w:eastAsia="Calibri" w:hAnsi="Times New Roman" w:cs="Times New Roman"/>
          <w:i/>
        </w:rPr>
        <w:t>Ideología y aparatos ideológicos de Estado</w:t>
      </w:r>
      <w:r w:rsidRPr="00FF76EE">
        <w:rPr>
          <w:rFonts w:ascii="Times New Roman" w:eastAsia="Calibri" w:hAnsi="Times New Roman" w:cs="Times New Roman"/>
        </w:rPr>
        <w:t>. Nueva Visión</w:t>
      </w:r>
    </w:p>
    <w:p w14:paraId="495CF579" w14:textId="77777777" w:rsidR="00B033AC" w:rsidRPr="00FF76EE" w:rsidRDefault="00B033AC" w:rsidP="00B033AC">
      <w:pPr>
        <w:spacing w:before="240" w:after="240" w:line="240" w:lineRule="auto"/>
        <w:jc w:val="both"/>
        <w:rPr>
          <w:rFonts w:ascii="Times New Roman" w:eastAsia="Calibri" w:hAnsi="Times New Roman" w:cs="Times New Roman"/>
          <w:highlight w:val="white"/>
        </w:rPr>
      </w:pPr>
      <w:r w:rsidRPr="00FF76EE">
        <w:rPr>
          <w:rFonts w:ascii="Times New Roman" w:eastAsia="Calibri" w:hAnsi="Times New Roman" w:cs="Times New Roman"/>
        </w:rPr>
        <w:t xml:space="preserve">Althusser, L. (1980 [1977]). “¡Por fin la crisis del marxismo!” En Karol, K., </w:t>
      </w:r>
      <w:r w:rsidRPr="00FF76EE">
        <w:rPr>
          <w:rFonts w:ascii="Times New Roman" w:eastAsia="Calibri" w:hAnsi="Times New Roman" w:cs="Times New Roman"/>
          <w:i/>
        </w:rPr>
        <w:t>et.al.</w:t>
      </w:r>
      <w:r w:rsidRPr="00FF76EE">
        <w:rPr>
          <w:rFonts w:ascii="Times New Roman" w:eastAsia="Calibri" w:hAnsi="Times New Roman" w:cs="Times New Roman"/>
        </w:rPr>
        <w:t xml:space="preserve"> </w:t>
      </w:r>
      <w:r w:rsidRPr="00FF76EE">
        <w:rPr>
          <w:rFonts w:ascii="Times New Roman" w:eastAsia="Calibri" w:hAnsi="Times New Roman" w:cs="Times New Roman"/>
          <w:i/>
        </w:rPr>
        <w:t>Poder y oposición en las sociedades</w:t>
      </w:r>
      <w:r w:rsidRPr="00FF76EE">
        <w:rPr>
          <w:rFonts w:ascii="Times New Roman" w:eastAsia="Calibri" w:hAnsi="Times New Roman" w:cs="Times New Roman"/>
          <w:i/>
          <w:highlight w:val="white"/>
        </w:rPr>
        <w:t xml:space="preserve"> postrevolucionarias.</w:t>
      </w:r>
      <w:r w:rsidRPr="00FF76EE">
        <w:rPr>
          <w:rFonts w:ascii="Times New Roman" w:eastAsia="Calibri" w:hAnsi="Times New Roman" w:cs="Times New Roman"/>
          <w:highlight w:val="white"/>
        </w:rPr>
        <w:t xml:space="preserve"> Laia.</w:t>
      </w:r>
    </w:p>
    <w:p w14:paraId="0E41EC9D"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Baldacci, M. (2022).</w:t>
      </w:r>
      <w:r w:rsidRPr="00FF76EE">
        <w:rPr>
          <w:rFonts w:ascii="Times New Roman" w:eastAsia="Calibri" w:hAnsi="Times New Roman" w:cs="Times New Roman"/>
          <w:i/>
        </w:rPr>
        <w:t xml:space="preserve"> </w:t>
      </w:r>
      <w:hyperlink r:id="rId6">
        <w:r w:rsidRPr="00FF76EE">
          <w:rPr>
            <w:rFonts w:ascii="Times New Roman" w:eastAsia="Calibri" w:hAnsi="Times New Roman" w:cs="Times New Roman"/>
            <w:i/>
          </w:rPr>
          <w:t>Más allá de la subalternidad. Praxis y educación en Antonio Gramsci</w:t>
        </w:r>
      </w:hyperlink>
      <w:r w:rsidRPr="00FF76EE">
        <w:rPr>
          <w:rFonts w:ascii="Times New Roman" w:eastAsia="Calibri" w:hAnsi="Times New Roman" w:cs="Times New Roman"/>
          <w:i/>
        </w:rPr>
        <w:t xml:space="preserve">. </w:t>
      </w:r>
      <w:r w:rsidRPr="00FF76EE">
        <w:rPr>
          <w:rFonts w:ascii="Times New Roman" w:eastAsia="Calibri" w:hAnsi="Times New Roman" w:cs="Times New Roman"/>
        </w:rPr>
        <w:t xml:space="preserve"> La Cebra.</w:t>
      </w:r>
    </w:p>
    <w:p w14:paraId="121F0BB8"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Bernetti, J. Caletti, R. Puiggrós, A. y Scumucler, H. (1979), Trayectoria y papel de Montoneros, </w:t>
      </w:r>
      <w:r w:rsidRPr="00FF76EE">
        <w:rPr>
          <w:rFonts w:ascii="Times New Roman" w:eastAsia="Calibri" w:hAnsi="Times New Roman" w:cs="Times New Roman"/>
          <w:i/>
        </w:rPr>
        <w:t xml:space="preserve">Proceso, </w:t>
      </w:r>
      <w:r w:rsidRPr="00FF76EE">
        <w:rPr>
          <w:rFonts w:ascii="Times New Roman" w:eastAsia="Calibri" w:hAnsi="Times New Roman" w:cs="Times New Roman"/>
        </w:rPr>
        <w:t xml:space="preserve">132. </w:t>
      </w:r>
    </w:p>
    <w:p w14:paraId="4C114CA9"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Bernetti, J. &amp; Giardinelli, M. (2003). </w:t>
      </w:r>
      <w:r w:rsidRPr="00FF76EE">
        <w:rPr>
          <w:rFonts w:ascii="Times New Roman" w:eastAsia="Calibri" w:hAnsi="Times New Roman" w:cs="Times New Roman"/>
          <w:i/>
        </w:rPr>
        <w:t>México: El exilio que hemos vivido</w:t>
      </w:r>
      <w:r w:rsidRPr="00FF76EE">
        <w:rPr>
          <w:rFonts w:ascii="Times New Roman" w:eastAsia="Calibri" w:hAnsi="Times New Roman" w:cs="Times New Roman"/>
        </w:rPr>
        <w:t>. Universidad Nacional de Quilmes.</w:t>
      </w:r>
    </w:p>
    <w:p w14:paraId="4EB6DFC9"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Bhabha, H. K. (2002). </w:t>
      </w:r>
      <w:r w:rsidRPr="00FF76EE">
        <w:rPr>
          <w:rFonts w:ascii="Times New Roman" w:eastAsia="Calibri" w:hAnsi="Times New Roman" w:cs="Times New Roman"/>
          <w:i/>
        </w:rPr>
        <w:t>El lugar de la cultura</w:t>
      </w:r>
      <w:r w:rsidRPr="00FF76EE">
        <w:rPr>
          <w:rFonts w:ascii="Times New Roman" w:eastAsia="Calibri" w:hAnsi="Times New Roman" w:cs="Times New Roman"/>
        </w:rPr>
        <w:t>. Manantial.</w:t>
      </w:r>
    </w:p>
    <w:p w14:paraId="58B40D8A" w14:textId="77777777" w:rsidR="00B033AC" w:rsidRPr="00FF76EE" w:rsidRDefault="00B033AC" w:rsidP="00B033AC">
      <w:pPr>
        <w:spacing w:before="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Borón, A. &amp; Cuéllar, O. (1983). Notas críticas acerca de una concepción idealista de la hegemonía. </w:t>
      </w:r>
      <w:r w:rsidRPr="00FF76EE">
        <w:rPr>
          <w:rFonts w:ascii="Times New Roman" w:eastAsia="Calibri" w:hAnsi="Times New Roman" w:cs="Times New Roman"/>
          <w:i/>
        </w:rPr>
        <w:t>Revista Mexicana de Sociología</w:t>
      </w:r>
      <w:r w:rsidRPr="00FF76EE">
        <w:rPr>
          <w:rFonts w:ascii="Times New Roman" w:eastAsia="Calibri" w:hAnsi="Times New Roman" w:cs="Times New Roman"/>
        </w:rPr>
        <w:t xml:space="preserve">, </w:t>
      </w:r>
      <w:r w:rsidRPr="00FF76EE">
        <w:rPr>
          <w:rFonts w:ascii="Times New Roman" w:eastAsia="Calibri" w:hAnsi="Times New Roman" w:cs="Times New Roman"/>
          <w:i/>
        </w:rPr>
        <w:t>45</w:t>
      </w:r>
      <w:r w:rsidRPr="00FF76EE">
        <w:rPr>
          <w:rFonts w:ascii="Times New Roman" w:eastAsia="Calibri" w:hAnsi="Times New Roman" w:cs="Times New Roman"/>
        </w:rPr>
        <w:t>(4), 1141–1158.</w:t>
      </w:r>
    </w:p>
    <w:p w14:paraId="0E785A13" w14:textId="77777777" w:rsidR="00B033AC" w:rsidRPr="00FF76EE" w:rsidRDefault="00B033AC" w:rsidP="00B033AC">
      <w:pPr>
        <w:spacing w:before="240" w:after="240" w:line="240" w:lineRule="auto"/>
        <w:jc w:val="both"/>
        <w:rPr>
          <w:rFonts w:ascii="Times New Roman" w:eastAsia="Calibri" w:hAnsi="Times New Roman" w:cs="Times New Roman"/>
          <w:color w:val="FF0000"/>
        </w:rPr>
      </w:pPr>
      <w:r w:rsidRPr="00FF76EE">
        <w:rPr>
          <w:rFonts w:ascii="Times New Roman" w:eastAsia="Calibri" w:hAnsi="Times New Roman" w:cs="Times New Roman"/>
        </w:rPr>
        <w:t>Bourdieu, P. (1997). ¿Qué es hacer hablar a un autor? En Bourdieu, P. Capital cultural, escuela y espacio social. Siglo XXI</w:t>
      </w:r>
      <w:r w:rsidRPr="00FF76EE">
        <w:rPr>
          <w:rFonts w:ascii="Times New Roman" w:eastAsia="Calibri" w:hAnsi="Times New Roman" w:cs="Times New Roman"/>
          <w:color w:val="FF0000"/>
        </w:rPr>
        <w:t>.</w:t>
      </w:r>
    </w:p>
    <w:p w14:paraId="3A2456CE"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Broccoli, A. (1977). </w:t>
      </w:r>
      <w:r w:rsidRPr="00FF76EE">
        <w:rPr>
          <w:rFonts w:ascii="Times New Roman" w:eastAsia="Calibri" w:hAnsi="Times New Roman" w:cs="Times New Roman"/>
          <w:i/>
        </w:rPr>
        <w:t>Antonio Gramsci y la educación como hegemonía</w:t>
      </w:r>
      <w:r w:rsidRPr="00FF76EE">
        <w:rPr>
          <w:rFonts w:ascii="Times New Roman" w:eastAsia="Calibri" w:hAnsi="Times New Roman" w:cs="Times New Roman"/>
        </w:rPr>
        <w:t>. Nueva Imagen.</w:t>
      </w:r>
    </w:p>
    <w:p w14:paraId="1F22F6C1" w14:textId="77777777" w:rsidR="00B033AC" w:rsidRPr="00FF76EE" w:rsidRDefault="00B033AC" w:rsidP="00B033AC">
      <w:pPr>
        <w:spacing w:before="240" w:after="240" w:line="240" w:lineRule="auto"/>
        <w:jc w:val="both"/>
        <w:rPr>
          <w:rFonts w:ascii="Times New Roman" w:eastAsia="Calibri" w:hAnsi="Times New Roman" w:cs="Times New Roman"/>
          <w:color w:val="222222"/>
        </w:rPr>
      </w:pPr>
      <w:r w:rsidRPr="00FF76EE">
        <w:rPr>
          <w:rFonts w:ascii="Times New Roman" w:eastAsia="Calibri" w:hAnsi="Times New Roman" w:cs="Times New Roman"/>
          <w:color w:val="222222"/>
        </w:rPr>
        <w:t xml:space="preserve">Buenfil Burgos, R. N. (2019). </w:t>
      </w:r>
      <w:r w:rsidRPr="00FF76EE">
        <w:rPr>
          <w:rFonts w:ascii="Times New Roman" w:eastAsia="Calibri" w:hAnsi="Times New Roman" w:cs="Times New Roman"/>
          <w:i/>
          <w:color w:val="222222"/>
        </w:rPr>
        <w:t xml:space="preserve">Ernesto Laclau y la investigación educativa en Latinoamérica: implicaciones y apropiaciones del Análisis Político del Discurso. </w:t>
      </w:r>
      <w:r w:rsidRPr="00FF76EE">
        <w:rPr>
          <w:rFonts w:ascii="Times New Roman" w:eastAsia="Calibri" w:hAnsi="Times New Roman" w:cs="Times New Roman"/>
          <w:color w:val="222222"/>
        </w:rPr>
        <w:t>CLACSO.</w:t>
      </w:r>
    </w:p>
    <w:p w14:paraId="1B60FC65" w14:textId="77777777" w:rsidR="00B033AC" w:rsidRPr="00FF76EE" w:rsidRDefault="00B033AC" w:rsidP="00B033AC">
      <w:pPr>
        <w:spacing w:before="240" w:after="240" w:line="240" w:lineRule="auto"/>
        <w:jc w:val="both"/>
        <w:rPr>
          <w:rFonts w:ascii="Times New Roman" w:hAnsi="Times New Roman" w:cs="Times New Roman"/>
        </w:rPr>
      </w:pPr>
      <w:r w:rsidRPr="00FF76EE">
        <w:rPr>
          <w:rFonts w:ascii="Times New Roman" w:eastAsia="Calibri" w:hAnsi="Times New Roman" w:cs="Times New Roman"/>
        </w:rPr>
        <w:t xml:space="preserve">Carli, S. (2023). </w:t>
      </w:r>
      <w:hyperlink r:id="rId7">
        <w:r w:rsidRPr="00FF76EE">
          <w:rPr>
            <w:rFonts w:ascii="Times New Roman" w:eastAsia="Calibri" w:hAnsi="Times New Roman" w:cs="Times New Roman"/>
            <w:i/>
          </w:rPr>
          <w:t xml:space="preserve">La universidad pública como espacio biográfico. </w:t>
        </w:r>
      </w:hyperlink>
      <w:hyperlink r:id="rId8">
        <w:r w:rsidRPr="00FF76EE">
          <w:rPr>
            <w:rFonts w:ascii="Times New Roman" w:eastAsia="Calibri" w:hAnsi="Times New Roman" w:cs="Times New Roman"/>
          </w:rPr>
          <w:t>Prometeo</w:t>
        </w:r>
      </w:hyperlink>
      <w:r w:rsidRPr="00FF76EE">
        <w:rPr>
          <w:rFonts w:ascii="Times New Roman" w:hAnsi="Times New Roman" w:cs="Times New Roman"/>
        </w:rPr>
        <w:t>.</w:t>
      </w:r>
    </w:p>
    <w:p w14:paraId="72BF5D98" w14:textId="77777777" w:rsidR="00B033AC" w:rsidRPr="00FF76EE" w:rsidRDefault="00B033AC" w:rsidP="00B033AC">
      <w:pPr>
        <w:spacing w:before="240" w:after="240" w:line="240" w:lineRule="auto"/>
        <w:jc w:val="both"/>
        <w:rPr>
          <w:rFonts w:ascii="Times New Roman" w:eastAsia="Calibri" w:hAnsi="Times New Roman" w:cs="Times New Roman"/>
        </w:rPr>
      </w:pPr>
      <w:hyperlink r:id="rId9">
        <w:r w:rsidRPr="00FF76EE">
          <w:rPr>
            <w:rFonts w:ascii="Times New Roman" w:eastAsia="Calibri" w:hAnsi="Times New Roman" w:cs="Times New Roman"/>
          </w:rPr>
          <w:t xml:space="preserve">Casco, J. M. (2008). El exilio intelectual en México. Notas sobre la experiencia argentina 1974-1983. </w:t>
        </w:r>
      </w:hyperlink>
      <w:hyperlink r:id="rId10">
        <w:r w:rsidRPr="00FF76EE">
          <w:rPr>
            <w:rFonts w:ascii="Times New Roman" w:eastAsia="Calibri" w:hAnsi="Times New Roman" w:cs="Times New Roman"/>
            <w:i/>
          </w:rPr>
          <w:t>Apuntes de investigación del CECYP</w:t>
        </w:r>
      </w:hyperlink>
      <w:hyperlink r:id="rId11">
        <w:r w:rsidRPr="00FF76EE">
          <w:rPr>
            <w:rFonts w:ascii="Times New Roman" w:eastAsia="Calibri" w:hAnsi="Times New Roman" w:cs="Times New Roman"/>
          </w:rPr>
          <w:t>, (13), 149-164.</w:t>
        </w:r>
        <w:r w:rsidRPr="00FF76EE">
          <w:rPr>
            <w:rFonts w:ascii="Times New Roman" w:eastAsia="Calibri" w:hAnsi="Times New Roman" w:cs="Times New Roman"/>
          </w:rPr>
          <w:br/>
        </w:r>
        <w:r w:rsidRPr="00FF76EE">
          <w:rPr>
            <w:rFonts w:ascii="Times New Roman" w:eastAsia="Calibri" w:hAnsi="Times New Roman" w:cs="Times New Roman"/>
          </w:rPr>
          <w:br/>
        </w:r>
      </w:hyperlink>
      <w:r w:rsidRPr="00FF76EE">
        <w:rPr>
          <w:rFonts w:ascii="Times New Roman" w:eastAsia="Calibri" w:hAnsi="Times New Roman" w:cs="Times New Roman"/>
        </w:rPr>
        <w:t xml:space="preserve">Confino, H. (2021). </w:t>
      </w:r>
      <w:r w:rsidRPr="00FF76EE">
        <w:rPr>
          <w:rFonts w:ascii="Times New Roman" w:eastAsia="Calibri" w:hAnsi="Times New Roman" w:cs="Times New Roman"/>
          <w:i/>
        </w:rPr>
        <w:t>La Contraofensiva: el final de Montoneros.</w:t>
      </w:r>
      <w:r w:rsidRPr="00FF76EE">
        <w:rPr>
          <w:rFonts w:ascii="Times New Roman" w:eastAsia="Calibri" w:hAnsi="Times New Roman" w:cs="Times New Roman"/>
        </w:rPr>
        <w:t xml:space="preserve"> Fondo de Cultura Económica,</w:t>
      </w:r>
    </w:p>
    <w:p w14:paraId="3276852F" w14:textId="77777777" w:rsidR="00B033AC" w:rsidRPr="00FF76EE" w:rsidRDefault="00B033AC" w:rsidP="00B033AC">
      <w:pPr>
        <w:spacing w:before="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Cortés, M. (2014). Contactos y diferencias: la "crisis del marxismo" en América Latina y en Europa. </w:t>
      </w:r>
      <w:r w:rsidRPr="00FF76EE">
        <w:rPr>
          <w:rFonts w:ascii="Times New Roman" w:eastAsia="Calibri" w:hAnsi="Times New Roman" w:cs="Times New Roman"/>
          <w:i/>
        </w:rPr>
        <w:t>Cuadernos Americanos Nueva Época</w:t>
      </w:r>
      <w:r w:rsidRPr="00FF76EE">
        <w:rPr>
          <w:rFonts w:ascii="Times New Roman" w:eastAsia="Calibri" w:hAnsi="Times New Roman" w:cs="Times New Roman"/>
        </w:rPr>
        <w:t>, 2(148), 139–163.</w:t>
      </w:r>
    </w:p>
    <w:p w14:paraId="07E02462" w14:textId="77777777" w:rsidR="00B033AC" w:rsidRPr="00FF76EE" w:rsidRDefault="00B033AC" w:rsidP="00B033AC">
      <w:pPr>
        <w:spacing w:before="240" w:after="240" w:line="240" w:lineRule="auto"/>
        <w:jc w:val="both"/>
        <w:rPr>
          <w:rFonts w:ascii="Times New Roman" w:eastAsia="Calibri" w:hAnsi="Times New Roman" w:cs="Times New Roman"/>
          <w:highlight w:val="white"/>
        </w:rPr>
      </w:pPr>
      <w:r w:rsidRPr="00FF76EE">
        <w:rPr>
          <w:rFonts w:ascii="Times New Roman" w:eastAsia="Calibri" w:hAnsi="Times New Roman" w:cs="Times New Roman"/>
          <w:highlight w:val="white"/>
        </w:rPr>
        <w:t xml:space="preserve">Covato, C. y Meta, C. (Eds.). (2020). </w:t>
      </w:r>
      <w:r w:rsidRPr="00FF76EE">
        <w:rPr>
          <w:rFonts w:ascii="Times New Roman" w:eastAsia="Calibri" w:hAnsi="Times New Roman" w:cs="Times New Roman"/>
          <w:i/>
          <w:highlight w:val="white"/>
        </w:rPr>
        <w:t>Mario Alighiero Manacorda, un intellettuale militante. Tra storia, pedagogia e politica</w:t>
      </w:r>
      <w:r w:rsidRPr="00FF76EE">
        <w:rPr>
          <w:rFonts w:ascii="Times New Roman" w:eastAsia="Calibri" w:hAnsi="Times New Roman" w:cs="Times New Roman"/>
          <w:highlight w:val="white"/>
        </w:rPr>
        <w:t>. Roma Tre Press.</w:t>
      </w:r>
    </w:p>
    <w:p w14:paraId="3CE081F1"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De Ipola, E. de. (1982). </w:t>
      </w:r>
      <w:r w:rsidRPr="00FF76EE">
        <w:rPr>
          <w:rFonts w:ascii="Times New Roman" w:eastAsia="Calibri" w:hAnsi="Times New Roman" w:cs="Times New Roman"/>
          <w:i/>
        </w:rPr>
        <w:t>Ideología y discurso populista</w:t>
      </w:r>
      <w:r w:rsidRPr="00FF76EE">
        <w:rPr>
          <w:rFonts w:ascii="Times New Roman" w:eastAsia="Calibri" w:hAnsi="Times New Roman" w:cs="Times New Roman"/>
        </w:rPr>
        <w:t>. Folios Ediciones.</w:t>
      </w:r>
    </w:p>
    <w:p w14:paraId="0BE5D930"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lastRenderedPageBreak/>
        <w:t>Del Barco, O. (1980). Esbozo de una crítica a la teoría y práctica leninistas. Universidad Autónoma de Puebla.</w:t>
      </w:r>
    </w:p>
    <w:p w14:paraId="0BC9C9BA"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Farías, M. C. O. (2021). ¿La revolución como pasado, la democracia como expectativa? </w:t>
      </w:r>
      <w:r w:rsidRPr="00FF76EE">
        <w:rPr>
          <w:rFonts w:ascii="Times New Roman" w:eastAsia="Calibri" w:hAnsi="Times New Roman" w:cs="Times New Roman"/>
          <w:i/>
        </w:rPr>
        <w:t xml:space="preserve">Controversia </w:t>
      </w:r>
      <w:r w:rsidRPr="00FF76EE">
        <w:rPr>
          <w:rFonts w:ascii="Times New Roman" w:eastAsia="Calibri" w:hAnsi="Times New Roman" w:cs="Times New Roman"/>
        </w:rPr>
        <w:t>y las transformaciones de la izquierda intelectual argentina en el exilio (1979-1981). Tesis Doctoral, FFyL-UBA.</w:t>
      </w:r>
    </w:p>
    <w:p w14:paraId="574C9C64"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Friedemann, S. (2021). </w:t>
      </w:r>
      <w:r w:rsidRPr="00FF76EE">
        <w:rPr>
          <w:rFonts w:ascii="Times New Roman" w:eastAsia="Calibri" w:hAnsi="Times New Roman" w:cs="Times New Roman"/>
          <w:i/>
        </w:rPr>
        <w:t>La Universidad Nacional y Popular de Buenos Aires, 1973-1974.</w:t>
      </w:r>
      <w:r w:rsidRPr="00FF76EE">
        <w:rPr>
          <w:rFonts w:ascii="Times New Roman" w:eastAsia="Calibri" w:hAnsi="Times New Roman" w:cs="Times New Roman"/>
        </w:rPr>
        <w:t xml:space="preserve"> Prometeo.</w:t>
      </w:r>
    </w:p>
    <w:p w14:paraId="31188E88"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Friedemann, S. (2023). </w:t>
      </w:r>
      <w:r w:rsidRPr="00FF76EE">
        <w:rPr>
          <w:rFonts w:ascii="Times New Roman" w:eastAsia="Calibri" w:hAnsi="Times New Roman" w:cs="Times New Roman"/>
          <w:i/>
        </w:rPr>
        <w:t xml:space="preserve">El nacionalismo popular pedagógico en las décadas de 1960 y 1970. </w:t>
      </w:r>
      <w:r w:rsidRPr="00FF76EE">
        <w:rPr>
          <w:rFonts w:ascii="Times New Roman" w:eastAsia="Calibri" w:hAnsi="Times New Roman" w:cs="Times New Roman"/>
        </w:rPr>
        <w:t>Puiggrós, A. y Pulfer, D.</w:t>
      </w:r>
      <w:r w:rsidRPr="00FF76EE">
        <w:rPr>
          <w:rFonts w:ascii="Times New Roman" w:eastAsia="Calibri" w:hAnsi="Times New Roman" w:cs="Times New Roman"/>
          <w:i/>
        </w:rPr>
        <w:t xml:space="preserve"> Corrientes educativas en la historia argentina. </w:t>
      </w:r>
      <w:r w:rsidRPr="00FF76EE">
        <w:rPr>
          <w:rFonts w:ascii="Times New Roman" w:eastAsia="Calibri" w:hAnsi="Times New Roman" w:cs="Times New Roman"/>
        </w:rPr>
        <w:t>Unipe Editorial Universitaria.</w:t>
      </w:r>
    </w:p>
    <w:p w14:paraId="1620C7F5" w14:textId="77777777" w:rsidR="00B033AC" w:rsidRPr="00FF76EE" w:rsidRDefault="00B033AC" w:rsidP="00B033AC">
      <w:pPr>
        <w:spacing w:before="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Fuentes, D. y Modonesi, M. (Coords.). (2020). </w:t>
      </w:r>
      <w:r w:rsidRPr="00FF76EE">
        <w:rPr>
          <w:rFonts w:ascii="Times New Roman" w:eastAsia="Calibri" w:hAnsi="Times New Roman" w:cs="Times New Roman"/>
          <w:i/>
        </w:rPr>
        <w:t>Gramsci en México</w:t>
      </w:r>
      <w:r w:rsidRPr="00FF76EE">
        <w:rPr>
          <w:rFonts w:ascii="Times New Roman" w:eastAsia="Calibri" w:hAnsi="Times New Roman" w:cs="Times New Roman"/>
        </w:rPr>
        <w:t>. Universidad Autónoma Metropolitana / Editorial Ítaca.</w:t>
      </w:r>
    </w:p>
    <w:p w14:paraId="02A3BF99"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Gago, V. (2012). </w:t>
      </w:r>
      <w:r w:rsidRPr="00FF76EE">
        <w:rPr>
          <w:rFonts w:ascii="Times New Roman" w:eastAsia="Calibri" w:hAnsi="Times New Roman" w:cs="Times New Roman"/>
          <w:i/>
        </w:rPr>
        <w:t>Controversia: una lengua del exilio.</w:t>
      </w:r>
      <w:r w:rsidRPr="00FF76EE">
        <w:rPr>
          <w:rFonts w:ascii="Times New Roman" w:eastAsia="Calibri" w:hAnsi="Times New Roman" w:cs="Times New Roman"/>
        </w:rPr>
        <w:t xml:space="preserve"> Ediciones Biblioteca Nacional.</w:t>
      </w:r>
    </w:p>
    <w:p w14:paraId="5EFA0FE5"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Garategaray, M., &amp; Reano, A. (2021). </w:t>
      </w:r>
      <w:r w:rsidRPr="00FF76EE">
        <w:rPr>
          <w:rFonts w:ascii="Times New Roman" w:eastAsia="Calibri" w:hAnsi="Times New Roman" w:cs="Times New Roman"/>
          <w:i/>
        </w:rPr>
        <w:t>La transición democrática como contexto intelectual: debates políticos en la Argentina de los años ochenta</w:t>
      </w:r>
      <w:r w:rsidRPr="00FF76EE">
        <w:rPr>
          <w:rFonts w:ascii="Times New Roman" w:eastAsia="Calibri" w:hAnsi="Times New Roman" w:cs="Times New Roman"/>
        </w:rPr>
        <w:t>. Universidad Nacional de General Sarmiento.</w:t>
      </w:r>
    </w:p>
    <w:p w14:paraId="3A40B0B1"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Germani, G. (1979). Democracia y autoritarismo en la sociedad moderna. Crítica y Utopía, 1, pp. 25-63. </w:t>
      </w:r>
    </w:p>
    <w:p w14:paraId="5EC74161"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Giller, D. (2017). Crítica de la razón marxista: “crisis del marxismo” en </w:t>
      </w:r>
      <w:r w:rsidRPr="00FF76EE">
        <w:rPr>
          <w:rFonts w:ascii="Times New Roman" w:eastAsia="Calibri" w:hAnsi="Times New Roman" w:cs="Times New Roman"/>
          <w:i/>
        </w:rPr>
        <w:t>Controversia</w:t>
      </w:r>
      <w:r w:rsidRPr="00FF76EE">
        <w:rPr>
          <w:rFonts w:ascii="Times New Roman" w:eastAsia="Calibri" w:hAnsi="Times New Roman" w:cs="Times New Roman"/>
        </w:rPr>
        <w:t xml:space="preserve"> (1979–1981). </w:t>
      </w:r>
      <w:r w:rsidRPr="00FF76EE">
        <w:rPr>
          <w:rFonts w:ascii="Times New Roman" w:eastAsia="Calibri" w:hAnsi="Times New Roman" w:cs="Times New Roman"/>
          <w:i/>
        </w:rPr>
        <w:t>Revista Mexicana de Sociología</w:t>
      </w:r>
      <w:r w:rsidRPr="00FF76EE">
        <w:rPr>
          <w:rFonts w:ascii="Times New Roman" w:eastAsia="Calibri" w:hAnsi="Times New Roman" w:cs="Times New Roman"/>
        </w:rPr>
        <w:t xml:space="preserve">, </w:t>
      </w:r>
      <w:r w:rsidRPr="00FF76EE">
        <w:rPr>
          <w:rFonts w:ascii="Times New Roman" w:eastAsia="Calibri" w:hAnsi="Times New Roman" w:cs="Times New Roman"/>
          <w:i/>
        </w:rPr>
        <w:t xml:space="preserve">79, </w:t>
      </w:r>
      <w:r w:rsidRPr="00FF76EE">
        <w:rPr>
          <w:rFonts w:ascii="Times New Roman" w:eastAsia="Calibri" w:hAnsi="Times New Roman" w:cs="Times New Roman"/>
        </w:rPr>
        <w:t>pp. 487-513.</w:t>
      </w:r>
    </w:p>
    <w:p w14:paraId="1D24003B" w14:textId="77777777" w:rsidR="00B033AC" w:rsidRPr="00FF76EE" w:rsidRDefault="00B033AC" w:rsidP="00B033AC">
      <w:pPr>
        <w:spacing w:before="240" w:after="240" w:line="240" w:lineRule="auto"/>
        <w:jc w:val="both"/>
        <w:rPr>
          <w:rFonts w:ascii="Times New Roman" w:eastAsia="Calibri" w:hAnsi="Times New Roman" w:cs="Times New Roman"/>
          <w:highlight w:val="white"/>
        </w:rPr>
      </w:pPr>
      <w:r w:rsidRPr="00FF76EE">
        <w:rPr>
          <w:rFonts w:ascii="Times New Roman" w:eastAsia="Calibri" w:hAnsi="Times New Roman" w:cs="Times New Roman"/>
          <w:highlight w:val="white"/>
        </w:rPr>
        <w:t xml:space="preserve">Gramsci, A. (2001). </w:t>
      </w:r>
      <w:r w:rsidRPr="00FF76EE">
        <w:rPr>
          <w:rFonts w:ascii="Times New Roman" w:eastAsia="Calibri" w:hAnsi="Times New Roman" w:cs="Times New Roman"/>
          <w:i/>
          <w:highlight w:val="white"/>
        </w:rPr>
        <w:t>Cuadernos de la cárcel</w:t>
      </w:r>
      <w:r w:rsidRPr="00FF76EE">
        <w:rPr>
          <w:rFonts w:ascii="Times New Roman" w:eastAsia="Calibri" w:hAnsi="Times New Roman" w:cs="Times New Roman"/>
          <w:highlight w:val="white"/>
        </w:rPr>
        <w:t>. Ediciones Era.</w:t>
      </w:r>
    </w:p>
    <w:p w14:paraId="092990AF"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Herrerías Ramírez, A. (2025). Aportaciones de la obra de Adriana Puiggrós al pensamiento pedagógico latinoamericano. Tesis de Maestría, Universidad Nacional Autónoma de México.  </w:t>
      </w:r>
    </w:p>
    <w:p w14:paraId="1AA0345C"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Jara, O. (2020). </w:t>
      </w:r>
      <w:r w:rsidRPr="00FF76EE">
        <w:rPr>
          <w:rFonts w:ascii="Times New Roman" w:eastAsia="Calibri" w:hAnsi="Times New Roman" w:cs="Times New Roman"/>
          <w:i/>
        </w:rPr>
        <w:t>La educación popular latinoamericana: Historia y claves éticas, políticas y pedagógicas</w:t>
      </w:r>
      <w:r w:rsidRPr="00FF76EE">
        <w:rPr>
          <w:rFonts w:ascii="Times New Roman" w:eastAsia="Calibri" w:hAnsi="Times New Roman" w:cs="Times New Roman"/>
        </w:rPr>
        <w:t>. EdUNLU y Editorial El Colectivo.</w:t>
      </w:r>
    </w:p>
    <w:p w14:paraId="0F057C66"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Jensen, S., &amp; Yankelevich, P. (2007). Una aproximación cuantitativa para el estudio del exilio político argentino en México y Cataluña (1974-1983). </w:t>
      </w:r>
      <w:r w:rsidRPr="00FF76EE">
        <w:rPr>
          <w:rFonts w:ascii="Times New Roman" w:eastAsia="Calibri" w:hAnsi="Times New Roman" w:cs="Times New Roman"/>
          <w:i/>
        </w:rPr>
        <w:t>Estudios demográficos y urbanos</w:t>
      </w:r>
      <w:r w:rsidRPr="00FF76EE">
        <w:rPr>
          <w:rFonts w:ascii="Times New Roman" w:eastAsia="Calibri" w:hAnsi="Times New Roman" w:cs="Times New Roman"/>
        </w:rPr>
        <w:t xml:space="preserve">, </w:t>
      </w:r>
      <w:r w:rsidRPr="00FF76EE">
        <w:rPr>
          <w:rFonts w:ascii="Times New Roman" w:eastAsia="Calibri" w:hAnsi="Times New Roman" w:cs="Times New Roman"/>
          <w:i/>
        </w:rPr>
        <w:t>22</w:t>
      </w:r>
      <w:r w:rsidRPr="00FF76EE">
        <w:rPr>
          <w:rFonts w:ascii="Times New Roman" w:eastAsia="Calibri" w:hAnsi="Times New Roman" w:cs="Times New Roman"/>
        </w:rPr>
        <w:t>(2), 399-442.</w:t>
      </w:r>
      <w:r w:rsidRPr="00FF76EE">
        <w:rPr>
          <w:rFonts w:ascii="Times New Roman" w:eastAsia="Calibri" w:hAnsi="Times New Roman" w:cs="Times New Roman"/>
        </w:rPr>
        <w:br/>
        <w:t xml:space="preserve">Laclau, E. (1978). </w:t>
      </w:r>
      <w:r w:rsidRPr="00FF76EE">
        <w:rPr>
          <w:rFonts w:ascii="Times New Roman" w:eastAsia="Calibri" w:hAnsi="Times New Roman" w:cs="Times New Roman"/>
          <w:i/>
        </w:rPr>
        <w:t>Política e ideología en la teoría marxista: Capitalismo, fascismo, populismo</w:t>
      </w:r>
      <w:r w:rsidRPr="00FF76EE">
        <w:rPr>
          <w:rFonts w:ascii="Times New Roman" w:eastAsia="Calibri" w:hAnsi="Times New Roman" w:cs="Times New Roman"/>
        </w:rPr>
        <w:t xml:space="preserve">. Siglo XXI Editores. </w:t>
      </w:r>
    </w:p>
    <w:p w14:paraId="608219C3"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Lesgart, C. (2003). </w:t>
      </w:r>
      <w:r w:rsidRPr="00FF76EE">
        <w:rPr>
          <w:rFonts w:ascii="Times New Roman" w:eastAsia="Calibri" w:hAnsi="Times New Roman" w:cs="Times New Roman"/>
          <w:i/>
        </w:rPr>
        <w:t>Usos de la transición a la democracia: Ensayo, ciencia y política en la década del '80</w:t>
      </w:r>
      <w:r w:rsidRPr="00FF76EE">
        <w:rPr>
          <w:rFonts w:ascii="Times New Roman" w:eastAsia="Calibri" w:hAnsi="Times New Roman" w:cs="Times New Roman"/>
        </w:rPr>
        <w:t>. Homo Sapiens.</w:t>
      </w:r>
    </w:p>
    <w:p w14:paraId="7A233D54" w14:textId="77777777" w:rsidR="00B033AC" w:rsidRPr="00FF76EE" w:rsidRDefault="00B033AC" w:rsidP="00B033AC">
      <w:pPr>
        <w:spacing w:line="240" w:lineRule="auto"/>
        <w:jc w:val="both"/>
        <w:rPr>
          <w:rFonts w:ascii="Times New Roman" w:eastAsia="Calibri" w:hAnsi="Times New Roman" w:cs="Times New Roman"/>
          <w:highlight w:val="white"/>
        </w:rPr>
      </w:pPr>
      <w:r w:rsidRPr="00FF76EE">
        <w:rPr>
          <w:rFonts w:ascii="Times New Roman" w:eastAsia="Calibri" w:hAnsi="Times New Roman" w:cs="Times New Roman"/>
          <w:highlight w:val="white"/>
        </w:rPr>
        <w:lastRenderedPageBreak/>
        <w:t xml:space="preserve">Maltese, P. (2010). </w:t>
      </w:r>
      <w:r w:rsidRPr="00FF76EE">
        <w:rPr>
          <w:rFonts w:ascii="Times New Roman" w:eastAsia="Calibri" w:hAnsi="Times New Roman" w:cs="Times New Roman"/>
          <w:i/>
          <w:highlight w:val="white"/>
        </w:rPr>
        <w:t>Letture pedagogiche di Gramsci</w:t>
      </w:r>
      <w:r w:rsidRPr="00FF76EE">
        <w:rPr>
          <w:rFonts w:ascii="Times New Roman" w:eastAsia="Calibri" w:hAnsi="Times New Roman" w:cs="Times New Roman"/>
          <w:highlight w:val="white"/>
        </w:rPr>
        <w:t xml:space="preserve">. Anicia.  </w:t>
      </w:r>
    </w:p>
    <w:p w14:paraId="34F4CA82" w14:textId="77777777" w:rsidR="00B033AC" w:rsidRPr="00FF76EE" w:rsidRDefault="00B033AC" w:rsidP="00B033AC">
      <w:pPr>
        <w:spacing w:before="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Manacorda, M. (1977). </w:t>
      </w:r>
      <w:r w:rsidRPr="00FF76EE">
        <w:rPr>
          <w:rFonts w:ascii="Times New Roman" w:eastAsia="Calibri" w:hAnsi="Times New Roman" w:cs="Times New Roman"/>
          <w:i/>
        </w:rPr>
        <w:t>El principio educativo en Gramsci: Americanismo y conformismo</w:t>
      </w:r>
      <w:r w:rsidRPr="00FF76EE">
        <w:rPr>
          <w:rFonts w:ascii="Times New Roman" w:eastAsia="Calibri" w:hAnsi="Times New Roman" w:cs="Times New Roman"/>
        </w:rPr>
        <w:t>. Sígueme.</w:t>
      </w:r>
    </w:p>
    <w:p w14:paraId="2E09B4F8" w14:textId="77777777" w:rsidR="00B033AC" w:rsidRPr="00FF76EE" w:rsidRDefault="00B033AC" w:rsidP="00B033AC">
      <w:pPr>
        <w:spacing w:before="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Manacorda, M. (1981). </w:t>
      </w:r>
      <w:r w:rsidRPr="00FF76EE">
        <w:rPr>
          <w:rFonts w:ascii="Times New Roman" w:eastAsia="Calibri" w:hAnsi="Times New Roman" w:cs="Times New Roman"/>
          <w:i/>
        </w:rPr>
        <w:t>La alternativa pedagógica</w:t>
      </w:r>
      <w:r w:rsidRPr="00FF76EE">
        <w:rPr>
          <w:rFonts w:ascii="Times New Roman" w:eastAsia="Calibri" w:hAnsi="Times New Roman" w:cs="Times New Roman"/>
        </w:rPr>
        <w:t>. Fontamarra.</w:t>
      </w:r>
    </w:p>
    <w:p w14:paraId="45705C78"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Mannheim, K. (1928 [1993]). </w:t>
      </w:r>
      <w:r w:rsidRPr="00FF76EE">
        <w:rPr>
          <w:rFonts w:ascii="Times New Roman" w:eastAsia="Calibri" w:hAnsi="Times New Roman" w:cs="Times New Roman"/>
          <w:i/>
        </w:rPr>
        <w:t>El problema de las generaciones</w:t>
      </w:r>
      <w:r w:rsidRPr="00FF76EE">
        <w:rPr>
          <w:rFonts w:ascii="Times New Roman" w:eastAsia="Calibri" w:hAnsi="Times New Roman" w:cs="Times New Roman"/>
        </w:rPr>
        <w:t xml:space="preserve">. </w:t>
      </w:r>
      <w:r w:rsidRPr="00FF76EE">
        <w:rPr>
          <w:rFonts w:ascii="Times New Roman" w:eastAsia="Calibri" w:hAnsi="Times New Roman" w:cs="Times New Roman"/>
          <w:i/>
        </w:rPr>
        <w:t>Revista Española de Investigaciones Sociológicas</w:t>
      </w:r>
      <w:r w:rsidRPr="00FF76EE">
        <w:rPr>
          <w:rFonts w:ascii="Times New Roman" w:eastAsia="Calibri" w:hAnsi="Times New Roman" w:cs="Times New Roman"/>
        </w:rPr>
        <w:t>, 62, pp. 193-242.</w:t>
      </w:r>
    </w:p>
    <w:p w14:paraId="02984149"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Mazzolini, M. (2022). Hegemonía y populismo en Laclau: un recorrido genealógico. En Villacañas, J. y Garrido, A. </w:t>
      </w:r>
      <w:r w:rsidRPr="00FF76EE">
        <w:rPr>
          <w:rFonts w:ascii="Times New Roman" w:eastAsia="Calibri" w:hAnsi="Times New Roman" w:cs="Times New Roman"/>
          <w:i/>
        </w:rPr>
        <w:t>Efecto Gramsci.</w:t>
      </w:r>
      <w:r w:rsidRPr="00FF76EE">
        <w:rPr>
          <w:rFonts w:ascii="Times New Roman" w:eastAsia="Calibri" w:hAnsi="Times New Roman" w:cs="Times New Roman"/>
        </w:rPr>
        <w:t xml:space="preserve"> Lengua de Trapo. </w:t>
      </w:r>
    </w:p>
    <w:p w14:paraId="260D5142"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Portelli, H. (1972). </w:t>
      </w:r>
      <w:r w:rsidRPr="00FF76EE">
        <w:rPr>
          <w:rFonts w:ascii="Times New Roman" w:eastAsia="Calibri" w:hAnsi="Times New Roman" w:cs="Times New Roman"/>
          <w:i/>
        </w:rPr>
        <w:t>Gramsci y el bloque histórico</w:t>
      </w:r>
      <w:r w:rsidRPr="00FF76EE">
        <w:rPr>
          <w:rFonts w:ascii="Times New Roman" w:eastAsia="Calibri" w:hAnsi="Times New Roman" w:cs="Times New Roman"/>
        </w:rPr>
        <w:t>. Siglo XXI.</w:t>
      </w:r>
    </w:p>
    <w:p w14:paraId="67F30C3F"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(1979a). La universidad argentina de 1973-1974. </w:t>
      </w:r>
      <w:r w:rsidRPr="00FF76EE">
        <w:rPr>
          <w:rFonts w:ascii="Times New Roman" w:eastAsia="Calibri" w:hAnsi="Times New Roman" w:cs="Times New Roman"/>
          <w:i/>
        </w:rPr>
        <w:t>Controversia, México</w:t>
      </w:r>
      <w:r w:rsidRPr="00FF76EE">
        <w:rPr>
          <w:rFonts w:ascii="Times New Roman" w:eastAsia="Calibri" w:hAnsi="Times New Roman" w:cs="Times New Roman"/>
        </w:rPr>
        <w:t xml:space="preserve">, </w:t>
      </w:r>
      <w:r w:rsidRPr="00FF76EE">
        <w:rPr>
          <w:rFonts w:ascii="Times New Roman" w:eastAsia="Calibri" w:hAnsi="Times New Roman" w:cs="Times New Roman"/>
          <w:i/>
        </w:rPr>
        <w:t>1</w:t>
      </w:r>
      <w:r w:rsidRPr="00FF76EE">
        <w:rPr>
          <w:rFonts w:ascii="Times New Roman" w:eastAsia="Calibri" w:hAnsi="Times New Roman" w:cs="Times New Roman"/>
        </w:rPr>
        <w:t>, pp. 11-12.</w:t>
      </w:r>
    </w:p>
    <w:p w14:paraId="7229B15D"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(1979b). La universidad argentina de 1973-1974. </w:t>
      </w:r>
      <w:r w:rsidRPr="00FF76EE">
        <w:rPr>
          <w:rFonts w:ascii="Times New Roman" w:eastAsia="Calibri" w:hAnsi="Times New Roman" w:cs="Times New Roman"/>
          <w:i/>
        </w:rPr>
        <w:t>Controversia</w:t>
      </w:r>
      <w:r w:rsidRPr="00FF76EE">
        <w:rPr>
          <w:rFonts w:ascii="Times New Roman" w:eastAsia="Calibri" w:hAnsi="Times New Roman" w:cs="Times New Roman"/>
        </w:rPr>
        <w:t>, 2-3, pp. 16-19.</w:t>
      </w:r>
    </w:p>
    <w:p w14:paraId="44862CE1"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(2015 [1980]). </w:t>
      </w:r>
      <w:r w:rsidRPr="00FF76EE">
        <w:rPr>
          <w:rFonts w:ascii="Times New Roman" w:eastAsia="Calibri" w:hAnsi="Times New Roman" w:cs="Times New Roman"/>
          <w:i/>
        </w:rPr>
        <w:t>Imperialismo y educación en América Latina</w:t>
      </w:r>
      <w:r w:rsidRPr="00FF76EE">
        <w:rPr>
          <w:rFonts w:ascii="Times New Roman" w:eastAsia="Calibri" w:hAnsi="Times New Roman" w:cs="Times New Roman"/>
        </w:rPr>
        <w:t>. Colihue</w:t>
      </w:r>
    </w:p>
    <w:p w14:paraId="6A748363"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(1986 [1980a]). La fragmentación de la pedagogía y los problemas educativos latinoamericanos. En Puiggrós, A. </w:t>
      </w:r>
      <w:r w:rsidRPr="00FF76EE">
        <w:rPr>
          <w:rFonts w:ascii="Times New Roman" w:eastAsia="Calibri" w:hAnsi="Times New Roman" w:cs="Times New Roman"/>
          <w:i/>
        </w:rPr>
        <w:t>Democracia y autoritarismo en la pedagogía argentina y latinoamericana</w:t>
      </w:r>
      <w:r w:rsidRPr="00FF76EE">
        <w:rPr>
          <w:rFonts w:ascii="Times New Roman" w:eastAsia="Calibri" w:hAnsi="Times New Roman" w:cs="Times New Roman"/>
        </w:rPr>
        <w:t>. Galerna.</w:t>
      </w:r>
    </w:p>
    <w:p w14:paraId="12E14A07"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(1986 [1980b]). Educación y revolución en Nicaragua. En Puiggrós, A. </w:t>
      </w:r>
      <w:r w:rsidRPr="00FF76EE">
        <w:rPr>
          <w:rFonts w:ascii="Times New Roman" w:eastAsia="Calibri" w:hAnsi="Times New Roman" w:cs="Times New Roman"/>
          <w:i/>
        </w:rPr>
        <w:t>Democracia y autoritarismo en la pedagogía argentina y latinoamericana</w:t>
      </w:r>
      <w:r w:rsidRPr="00FF76EE">
        <w:rPr>
          <w:rFonts w:ascii="Times New Roman" w:eastAsia="Calibri" w:hAnsi="Times New Roman" w:cs="Times New Roman"/>
        </w:rPr>
        <w:t>. Galerna.</w:t>
      </w:r>
    </w:p>
    <w:p w14:paraId="67E1B8F2"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(1986 [1981a]). Discurso populista y educación en América Latina. En Puiggrós, A. </w:t>
      </w:r>
      <w:r w:rsidRPr="00FF76EE">
        <w:rPr>
          <w:rFonts w:ascii="Times New Roman" w:eastAsia="Calibri" w:hAnsi="Times New Roman" w:cs="Times New Roman"/>
          <w:i/>
        </w:rPr>
        <w:t>Democracia y autoritarismo en la pedagogía argentina y latinoamericana</w:t>
      </w:r>
      <w:r w:rsidRPr="00FF76EE">
        <w:rPr>
          <w:rFonts w:ascii="Times New Roman" w:eastAsia="Calibri" w:hAnsi="Times New Roman" w:cs="Times New Roman"/>
        </w:rPr>
        <w:t>. Galerna.</w:t>
      </w:r>
    </w:p>
    <w:p w14:paraId="598103EA"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(1986 [1981b]). Dominación hegemónica, lucha de clases y discurso pedagógica: una propuesta metodológica para el análisis de la educación latinoamericana. En Puiggrós, A.  </w:t>
      </w:r>
      <w:r w:rsidRPr="00FF76EE">
        <w:rPr>
          <w:rFonts w:ascii="Times New Roman" w:eastAsia="Calibri" w:hAnsi="Times New Roman" w:cs="Times New Roman"/>
          <w:i/>
        </w:rPr>
        <w:t>Democracia y autoritarismo en la pedagogía argentina y latinoamericana</w:t>
      </w:r>
      <w:r w:rsidRPr="00FF76EE">
        <w:rPr>
          <w:rFonts w:ascii="Times New Roman" w:eastAsia="Calibri" w:hAnsi="Times New Roman" w:cs="Times New Roman"/>
        </w:rPr>
        <w:t>. Galerna.</w:t>
      </w:r>
    </w:p>
    <w:p w14:paraId="45800658"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(1986 [1982]). Investigación y formación de pedagogos. En Puiggrós, A. (1986). </w:t>
      </w:r>
      <w:r w:rsidRPr="00FF76EE">
        <w:rPr>
          <w:rFonts w:ascii="Times New Roman" w:eastAsia="Calibri" w:hAnsi="Times New Roman" w:cs="Times New Roman"/>
          <w:i/>
        </w:rPr>
        <w:t>Democracia y autoritarismo en la pedagogía argentina y latinoamericana</w:t>
      </w:r>
      <w:r w:rsidRPr="00FF76EE">
        <w:rPr>
          <w:rFonts w:ascii="Times New Roman" w:eastAsia="Calibri" w:hAnsi="Times New Roman" w:cs="Times New Roman"/>
        </w:rPr>
        <w:t>. Galerna.</w:t>
      </w:r>
    </w:p>
    <w:p w14:paraId="5B802BBE"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Puiggrós, A. (1994 [1981]). La sociología de la educación en Baudelot y Establet. En Torres, A. y Rivera, G. </w:t>
      </w:r>
      <w:r w:rsidRPr="00FF76EE">
        <w:rPr>
          <w:rFonts w:ascii="Times New Roman" w:eastAsia="Calibri" w:hAnsi="Times New Roman" w:cs="Times New Roman"/>
          <w:i/>
        </w:rPr>
        <w:t>Sociología de la educación. Corrientes contemporáneas.</w:t>
      </w:r>
      <w:r w:rsidRPr="00FF76EE">
        <w:rPr>
          <w:rFonts w:ascii="Times New Roman" w:eastAsia="Calibri" w:hAnsi="Times New Roman" w:cs="Times New Roman"/>
        </w:rPr>
        <w:t xml:space="preserve"> Miño y Dávila.</w:t>
      </w:r>
    </w:p>
    <w:p w14:paraId="5F1B06B1"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lastRenderedPageBreak/>
        <w:t xml:space="preserve">Puiggrós, A. (1998 [1984). </w:t>
      </w:r>
      <w:r w:rsidRPr="00FF76EE">
        <w:rPr>
          <w:rFonts w:ascii="Times New Roman" w:eastAsia="Calibri" w:hAnsi="Times New Roman" w:cs="Times New Roman"/>
          <w:i/>
        </w:rPr>
        <w:t>La educación popular en América Latina</w:t>
      </w:r>
      <w:r w:rsidRPr="00FF76EE">
        <w:rPr>
          <w:rFonts w:ascii="Times New Roman" w:eastAsia="Calibri" w:hAnsi="Times New Roman" w:cs="Times New Roman"/>
        </w:rPr>
        <w:t>. Miño y Dávila</w:t>
      </w:r>
      <w:r w:rsidRPr="00FF76EE">
        <w:rPr>
          <w:rFonts w:ascii="Times New Roman" w:eastAsia="Calibri" w:hAnsi="Times New Roman" w:cs="Times New Roman"/>
        </w:rPr>
        <w:br/>
        <w:t xml:space="preserve">Puiggrós, A. (2010). </w:t>
      </w:r>
      <w:r w:rsidRPr="00FF76EE">
        <w:rPr>
          <w:rFonts w:ascii="Times New Roman" w:eastAsia="Calibri" w:hAnsi="Times New Roman" w:cs="Times New Roman"/>
          <w:i/>
        </w:rPr>
        <w:t>Rodolfo Puiggrós: retrato familiar de un intelectual militante</w:t>
      </w:r>
      <w:r w:rsidRPr="00FF76EE">
        <w:rPr>
          <w:rFonts w:ascii="Times New Roman" w:eastAsia="Calibri" w:hAnsi="Times New Roman" w:cs="Times New Roman"/>
        </w:rPr>
        <w:t>. Taurus.</w:t>
      </w:r>
    </w:p>
    <w:p w14:paraId="2ADC9902" w14:textId="77777777" w:rsidR="00B033AC" w:rsidRPr="00FF76EE" w:rsidRDefault="00B033AC" w:rsidP="00B033AC">
      <w:pPr>
        <w:spacing w:before="240" w:line="240" w:lineRule="auto"/>
        <w:jc w:val="both"/>
        <w:rPr>
          <w:rFonts w:ascii="Times New Roman" w:eastAsia="Calibri" w:hAnsi="Times New Roman" w:cs="Times New Roman"/>
          <w:highlight w:val="white"/>
        </w:rPr>
      </w:pPr>
      <w:r w:rsidRPr="00FF76EE">
        <w:rPr>
          <w:rFonts w:ascii="Times New Roman" w:eastAsia="Calibri" w:hAnsi="Times New Roman" w:cs="Times New Roman"/>
          <w:highlight w:val="white"/>
        </w:rPr>
        <w:t xml:space="preserve">Sazbón, J. (1995). "Crisis del Marxismo": un antecedente fundador. </w:t>
      </w:r>
      <w:r w:rsidRPr="00FF76EE">
        <w:rPr>
          <w:rFonts w:ascii="Times New Roman" w:eastAsia="Calibri" w:hAnsi="Times New Roman" w:cs="Times New Roman"/>
          <w:i/>
          <w:highlight w:val="white"/>
        </w:rPr>
        <w:t>Estudios Sociales: Revista Universitaria Semestral</w:t>
      </w:r>
      <w:r w:rsidRPr="00FF76EE">
        <w:rPr>
          <w:rFonts w:ascii="Times New Roman" w:eastAsia="Calibri" w:hAnsi="Times New Roman" w:cs="Times New Roman"/>
          <w:highlight w:val="white"/>
        </w:rPr>
        <w:t>, 8, 9-29.</w:t>
      </w:r>
    </w:p>
    <w:p w14:paraId="6BE699FF" w14:textId="77777777" w:rsidR="00B033AC" w:rsidRPr="00FF76EE" w:rsidRDefault="00B033AC" w:rsidP="00B033AC">
      <w:pPr>
        <w:spacing w:before="240" w:line="240" w:lineRule="auto"/>
        <w:jc w:val="both"/>
        <w:rPr>
          <w:rFonts w:ascii="Times New Roman" w:eastAsia="Calibri" w:hAnsi="Times New Roman" w:cs="Times New Roman"/>
          <w:highlight w:val="white"/>
        </w:rPr>
      </w:pPr>
      <w:r w:rsidRPr="00FF76EE">
        <w:rPr>
          <w:rFonts w:ascii="Times New Roman" w:eastAsia="Calibri" w:hAnsi="Times New Roman" w:cs="Times New Roman"/>
          <w:color w:val="404040"/>
          <w:highlight w:val="white"/>
        </w:rPr>
        <w:t>Sigal,</w:t>
      </w:r>
      <w:r w:rsidRPr="00FF76EE">
        <w:rPr>
          <w:rFonts w:ascii="Times New Roman" w:eastAsia="Calibri" w:hAnsi="Times New Roman" w:cs="Times New Roman"/>
          <w:highlight w:val="white"/>
        </w:rPr>
        <w:t xml:space="preserve"> S. (1991). </w:t>
      </w:r>
      <w:r w:rsidRPr="00FF76EE">
        <w:rPr>
          <w:rFonts w:ascii="Times New Roman" w:eastAsia="Calibri" w:hAnsi="Times New Roman" w:cs="Times New Roman"/>
          <w:i/>
          <w:highlight w:val="white"/>
        </w:rPr>
        <w:t>Intelectuales y poder en la década del sesenta</w:t>
      </w:r>
      <w:r w:rsidRPr="00FF76EE">
        <w:rPr>
          <w:rFonts w:ascii="Times New Roman" w:eastAsia="Calibri" w:hAnsi="Times New Roman" w:cs="Times New Roman"/>
          <w:highlight w:val="white"/>
        </w:rPr>
        <w:t>. Puntosur Editores.</w:t>
      </w:r>
    </w:p>
    <w:p w14:paraId="08AEB54A"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Silvestri, L. (2024). La diffusione delle opere di Mario Alighiero Manacorda nel mondo: un caso di World History of Education. </w:t>
      </w:r>
      <w:r w:rsidRPr="00FF76EE">
        <w:rPr>
          <w:rFonts w:ascii="Times New Roman" w:eastAsia="Calibri" w:hAnsi="Times New Roman" w:cs="Times New Roman"/>
          <w:i/>
        </w:rPr>
        <w:t>History of Education &amp; Children's Literature</w:t>
      </w:r>
      <w:r w:rsidRPr="00FF76EE">
        <w:rPr>
          <w:rFonts w:ascii="Times New Roman" w:eastAsia="Calibri" w:hAnsi="Times New Roman" w:cs="Times New Roman"/>
        </w:rPr>
        <w:t>, 19(1), 131-146.</w:t>
      </w:r>
    </w:p>
    <w:p w14:paraId="316D8FDB"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Slipak, D. (2023). </w:t>
      </w:r>
      <w:r w:rsidRPr="00FF76EE">
        <w:rPr>
          <w:rFonts w:ascii="Times New Roman" w:eastAsia="Calibri" w:hAnsi="Times New Roman" w:cs="Times New Roman"/>
          <w:i/>
        </w:rPr>
        <w:t>Discutir Montoneros desde adentro</w:t>
      </w:r>
      <w:r w:rsidRPr="00FF76EE">
        <w:rPr>
          <w:rFonts w:ascii="Times New Roman" w:eastAsia="Calibri" w:hAnsi="Times New Roman" w:cs="Times New Roman"/>
        </w:rPr>
        <w:t>. Siglo XXI.</w:t>
      </w:r>
    </w:p>
    <w:p w14:paraId="53349255"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Starcenbaum, M. (2011). El marxismo incómodo: Althusser en la experiencia de Pasado y Presente (1965-1983). </w:t>
      </w:r>
      <w:r w:rsidRPr="00FF76EE">
        <w:rPr>
          <w:rFonts w:ascii="Times New Roman" w:eastAsia="Calibri" w:hAnsi="Times New Roman" w:cs="Times New Roman"/>
          <w:i/>
        </w:rPr>
        <w:t>Revista izquierdas</w:t>
      </w:r>
      <w:r w:rsidRPr="00FF76EE">
        <w:rPr>
          <w:rFonts w:ascii="Times New Roman" w:eastAsia="Calibri" w:hAnsi="Times New Roman" w:cs="Times New Roman"/>
        </w:rPr>
        <w:t>, (11), 35-53.</w:t>
      </w:r>
    </w:p>
    <w:p w14:paraId="22DEB58D" w14:textId="77777777" w:rsidR="00B033AC" w:rsidRPr="00FF76EE" w:rsidRDefault="00B033AC" w:rsidP="00B033AC">
      <w:pPr>
        <w:spacing w:before="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Suasnábar, C. (2013). </w:t>
      </w:r>
      <w:r w:rsidRPr="00FF76EE">
        <w:rPr>
          <w:rFonts w:ascii="Times New Roman" w:eastAsia="Calibri" w:hAnsi="Times New Roman" w:cs="Times New Roman"/>
          <w:i/>
        </w:rPr>
        <w:t xml:space="preserve">Intelectuales, exilios y educación. </w:t>
      </w:r>
      <w:r w:rsidRPr="00FF76EE">
        <w:rPr>
          <w:rFonts w:ascii="Times New Roman" w:eastAsia="Calibri" w:hAnsi="Times New Roman" w:cs="Times New Roman"/>
        </w:rPr>
        <w:t>Prohistoria.</w:t>
      </w:r>
    </w:p>
    <w:p w14:paraId="54E7A090"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Tortti, M. C. (2018). “Voces en Controversia”: la revisión de la experiencia revolucionaria argentina en la revista mexicana (1979-1981). </w:t>
      </w:r>
      <w:r w:rsidRPr="00FF76EE">
        <w:rPr>
          <w:rFonts w:ascii="Times New Roman" w:eastAsia="Calibri" w:hAnsi="Times New Roman" w:cs="Times New Roman"/>
          <w:i/>
        </w:rPr>
        <w:t>Revista de Historia Social y de las Mentalidades</w:t>
      </w:r>
      <w:r w:rsidRPr="00FF76EE">
        <w:rPr>
          <w:rFonts w:ascii="Times New Roman" w:eastAsia="Calibri" w:hAnsi="Times New Roman" w:cs="Times New Roman"/>
        </w:rPr>
        <w:t xml:space="preserve">, </w:t>
      </w:r>
      <w:r w:rsidRPr="00FF76EE">
        <w:rPr>
          <w:rFonts w:ascii="Times New Roman" w:eastAsia="Calibri" w:hAnsi="Times New Roman" w:cs="Times New Roman"/>
          <w:i/>
        </w:rPr>
        <w:t>22</w:t>
      </w:r>
      <w:r w:rsidRPr="00FF76EE">
        <w:rPr>
          <w:rFonts w:ascii="Times New Roman" w:eastAsia="Calibri" w:hAnsi="Times New Roman" w:cs="Times New Roman"/>
        </w:rPr>
        <w:t>(2), 169-198.</w:t>
      </w:r>
    </w:p>
    <w:p w14:paraId="550792F2"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Ulanovsky, C. (1983). </w:t>
      </w:r>
      <w:r w:rsidRPr="00FF76EE">
        <w:rPr>
          <w:rFonts w:ascii="Times New Roman" w:eastAsia="Calibri" w:hAnsi="Times New Roman" w:cs="Times New Roman"/>
          <w:i/>
        </w:rPr>
        <w:t>Seamos felices mientras estemos aquí</w:t>
      </w:r>
      <w:r w:rsidRPr="00FF76EE">
        <w:rPr>
          <w:rFonts w:ascii="Times New Roman" w:eastAsia="Calibri" w:hAnsi="Times New Roman" w:cs="Times New Roman"/>
        </w:rPr>
        <w:t>. Folios Ediciones.</w:t>
      </w:r>
    </w:p>
    <w:p w14:paraId="1E9D3791"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Williams, R. (1977). </w:t>
      </w:r>
      <w:r w:rsidRPr="00FF76EE">
        <w:rPr>
          <w:rFonts w:ascii="Times New Roman" w:eastAsia="Calibri" w:hAnsi="Times New Roman" w:cs="Times New Roman"/>
          <w:i/>
        </w:rPr>
        <w:t>Marxismo y Literatura</w:t>
      </w:r>
      <w:r w:rsidRPr="00FF76EE">
        <w:rPr>
          <w:rFonts w:ascii="Times New Roman" w:eastAsia="Calibri" w:hAnsi="Times New Roman" w:cs="Times New Roman"/>
        </w:rPr>
        <w:t>. Ediciones península.</w:t>
      </w:r>
    </w:p>
    <w:p w14:paraId="10696D80"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Yankelevich, P. (coord.) (1998). </w:t>
      </w:r>
      <w:r w:rsidRPr="00FF76EE">
        <w:rPr>
          <w:rFonts w:ascii="Times New Roman" w:eastAsia="Calibri" w:hAnsi="Times New Roman" w:cs="Times New Roman"/>
          <w:i/>
        </w:rPr>
        <w:t>En México, entre exilios. Una experiencia de sudamericanos</w:t>
      </w:r>
      <w:r w:rsidRPr="00FF76EE">
        <w:rPr>
          <w:rFonts w:ascii="Times New Roman" w:eastAsia="Calibri" w:hAnsi="Times New Roman" w:cs="Times New Roman"/>
        </w:rPr>
        <w:t>. Plaza y Valdés.</w:t>
      </w:r>
    </w:p>
    <w:p w14:paraId="379A8757"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Yankelevich, P. (comp.). (2004). </w:t>
      </w:r>
      <w:r w:rsidRPr="00FF76EE">
        <w:rPr>
          <w:rFonts w:ascii="Times New Roman" w:eastAsia="Calibri" w:hAnsi="Times New Roman" w:cs="Times New Roman"/>
          <w:i/>
        </w:rPr>
        <w:t>Represión y destierro. Itinerarios del exilio argentino</w:t>
      </w:r>
      <w:r w:rsidRPr="00FF76EE">
        <w:rPr>
          <w:rFonts w:ascii="Times New Roman" w:eastAsia="Calibri" w:hAnsi="Times New Roman" w:cs="Times New Roman"/>
        </w:rPr>
        <w:t>. Ediciones Al Margen.</w:t>
      </w:r>
    </w:p>
    <w:p w14:paraId="3E46E527" w14:textId="77777777" w:rsidR="00B033AC" w:rsidRPr="00FF76EE" w:rsidRDefault="00B033AC" w:rsidP="00B033AC">
      <w:pPr>
        <w:spacing w:before="240" w:after="240" w:line="240" w:lineRule="auto"/>
        <w:jc w:val="both"/>
        <w:rPr>
          <w:rFonts w:ascii="Times New Roman" w:eastAsia="Calibri" w:hAnsi="Times New Roman" w:cs="Times New Roman"/>
        </w:rPr>
      </w:pPr>
      <w:r w:rsidRPr="00FF76EE">
        <w:rPr>
          <w:rFonts w:ascii="Times New Roman" w:eastAsia="Calibri" w:hAnsi="Times New Roman" w:cs="Times New Roman"/>
        </w:rPr>
        <w:t xml:space="preserve">Yankelevich, P. y Jensen, S. (2007). </w:t>
      </w:r>
      <w:r w:rsidRPr="00FF76EE">
        <w:rPr>
          <w:rFonts w:ascii="Times New Roman" w:eastAsia="Calibri" w:hAnsi="Times New Roman" w:cs="Times New Roman"/>
          <w:i/>
        </w:rPr>
        <w:t>Exilios: destinos y experiencias bajo la dictadura militar</w:t>
      </w:r>
      <w:r w:rsidRPr="00FF76EE">
        <w:rPr>
          <w:rFonts w:ascii="Times New Roman" w:eastAsia="Calibri" w:hAnsi="Times New Roman" w:cs="Times New Roman"/>
        </w:rPr>
        <w:t>. Libros del Zorzal.</w:t>
      </w:r>
    </w:p>
    <w:p w14:paraId="40D1ED1F" w14:textId="77777777" w:rsidR="00B033AC" w:rsidRPr="00FF76EE" w:rsidRDefault="00B033AC" w:rsidP="00B033AC">
      <w:pPr>
        <w:spacing w:line="240" w:lineRule="auto"/>
        <w:jc w:val="both"/>
        <w:rPr>
          <w:rFonts w:ascii="Times New Roman" w:eastAsia="Calibri" w:hAnsi="Times New Roman" w:cs="Times New Roman"/>
        </w:rPr>
      </w:pPr>
    </w:p>
    <w:p w14:paraId="5082A3F0" w14:textId="77777777" w:rsidR="00B033AC" w:rsidRPr="00FF76EE" w:rsidRDefault="00B033AC" w:rsidP="00B033AC">
      <w:pPr>
        <w:spacing w:line="240" w:lineRule="auto"/>
        <w:rPr>
          <w:rFonts w:ascii="Times New Roman" w:hAnsi="Times New Roman" w:cs="Times New Roman"/>
        </w:rPr>
      </w:pPr>
    </w:p>
    <w:p w14:paraId="4FDB3483" w14:textId="5CC79863" w:rsidR="00C802F5" w:rsidRPr="00BA642E" w:rsidRDefault="00C802F5" w:rsidP="001923DC">
      <w:pPr>
        <w:jc w:val="center"/>
        <w:rPr>
          <w:rFonts w:ascii="Times New Roman" w:hAnsi="Times New Roman" w:cs="Times New Roman"/>
        </w:rPr>
      </w:pPr>
    </w:p>
    <w:sectPr w:rsidR="00C802F5"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54F8" w14:textId="77777777" w:rsidR="00577C5B" w:rsidRPr="00BA642E" w:rsidRDefault="00577C5B" w:rsidP="00C802F5">
      <w:pPr>
        <w:spacing w:after="0" w:line="240" w:lineRule="auto"/>
      </w:pPr>
      <w:r w:rsidRPr="00BA642E">
        <w:separator/>
      </w:r>
    </w:p>
  </w:endnote>
  <w:endnote w:type="continuationSeparator" w:id="0">
    <w:p w14:paraId="144D1207" w14:textId="77777777" w:rsidR="00577C5B" w:rsidRPr="00BA642E" w:rsidRDefault="00577C5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100E" w14:textId="77777777" w:rsidR="00577C5B" w:rsidRPr="00BA642E" w:rsidRDefault="00577C5B" w:rsidP="00C802F5">
      <w:pPr>
        <w:spacing w:after="0" w:line="240" w:lineRule="auto"/>
      </w:pPr>
      <w:r w:rsidRPr="00BA642E">
        <w:separator/>
      </w:r>
    </w:p>
  </w:footnote>
  <w:footnote w:type="continuationSeparator" w:id="0">
    <w:p w14:paraId="418002C4" w14:textId="77777777" w:rsidR="00577C5B" w:rsidRPr="00BA642E" w:rsidRDefault="00577C5B" w:rsidP="00C802F5">
      <w:pPr>
        <w:spacing w:after="0" w:line="240" w:lineRule="auto"/>
      </w:pPr>
      <w:r w:rsidRPr="00BA642E">
        <w:continuationSeparator/>
      </w:r>
    </w:p>
  </w:footnote>
  <w:footnote w:id="1">
    <w:p w14:paraId="3ED81AAF" w14:textId="77777777" w:rsidR="00B033AC" w:rsidRDefault="00B033AC" w:rsidP="00B033AC">
      <w:pPr>
        <w:spacing w:line="240" w:lineRule="auto"/>
        <w:jc w:val="both"/>
        <w:rPr>
          <w:sz w:val="20"/>
          <w:szCs w:val="20"/>
        </w:rPr>
      </w:pPr>
      <w:r>
        <w:rPr>
          <w:vertAlign w:val="superscript"/>
        </w:rPr>
        <w:footnoteRef/>
      </w:r>
      <w:r>
        <w:rPr>
          <w:sz w:val="20"/>
          <w:szCs w:val="20"/>
        </w:rPr>
        <w:t xml:space="preserve"> El libro de Puiggrós formaba parte de una tentativa más vasta: el Programa Alternativas Pedagógicas y Prospectiva Educativa en América Latina (APPEAL), fundado en enero de 1981 en la Facultad de Filosofía y Letras de la UNAM por la pedagoga argentina y la mexicana Marcela Gómez Sollano.  </w:t>
      </w:r>
      <w:r>
        <w:rPr>
          <w:color w:val="222222"/>
          <w:sz w:val="20"/>
          <w:szCs w:val="20"/>
        </w:rPr>
        <w:t xml:space="preserve">   </w:t>
      </w:r>
    </w:p>
  </w:footnote>
  <w:footnote w:id="2">
    <w:p w14:paraId="03848604" w14:textId="77777777" w:rsidR="00B033AC" w:rsidRDefault="00B033AC" w:rsidP="00B033AC">
      <w:pPr>
        <w:spacing w:line="240" w:lineRule="auto"/>
        <w:jc w:val="both"/>
        <w:rPr>
          <w:sz w:val="20"/>
          <w:szCs w:val="20"/>
        </w:rPr>
      </w:pPr>
      <w:r>
        <w:rPr>
          <w:vertAlign w:val="superscript"/>
        </w:rPr>
        <w:footnoteRef/>
      </w:r>
      <w:r>
        <w:rPr>
          <w:sz w:val="20"/>
          <w:szCs w:val="20"/>
        </w:rPr>
        <w:t xml:space="preserve"> En México, en los primeros años 80, apareció la publicación Cuadernos sobre el populismo editados por el Centro de Estudios sobre la Realidad Argentina (CEDDRA), donde participó Puiggrós.</w:t>
      </w:r>
    </w:p>
  </w:footnote>
  <w:footnote w:id="3">
    <w:p w14:paraId="0E160426" w14:textId="77777777" w:rsidR="00B033AC" w:rsidRDefault="00B033AC" w:rsidP="00B033AC">
      <w:pPr>
        <w:spacing w:line="240" w:lineRule="auto"/>
        <w:jc w:val="both"/>
        <w:rPr>
          <w:sz w:val="20"/>
          <w:szCs w:val="20"/>
        </w:rPr>
      </w:pPr>
      <w:r>
        <w:rPr>
          <w:vertAlign w:val="superscript"/>
        </w:rPr>
        <w:footnoteRef/>
      </w:r>
      <w:r>
        <w:rPr>
          <w:sz w:val="20"/>
          <w:szCs w:val="20"/>
        </w:rPr>
        <w:t xml:space="preserve"> La centralidad de la influencia laclausiana en el libro de Puiggrós no debe soslayar otras. El mencionado seminario “Análisis del discurso político latinoamericano”, estuvo animado por un joven intelectual que además de afín a la perspectiva teórica (aunque no política) de Laclau, influyó en las exploraciones de la pedagoga: el argentino Emilio de Ipola. En su libro</w:t>
      </w:r>
      <w:r>
        <w:rPr>
          <w:i/>
          <w:sz w:val="20"/>
          <w:szCs w:val="20"/>
        </w:rPr>
        <w:t xml:space="preserve"> Ideología y discurso populista </w:t>
      </w:r>
      <w:r>
        <w:rPr>
          <w:sz w:val="20"/>
          <w:szCs w:val="20"/>
        </w:rPr>
        <w:t xml:space="preserve">(1982), el autor exiliado reconocía las deudas con Laclau como así también con un discípulo de Althusser: Eliseo Verón. También en el libro de Puiggrós se advierte la presencia del post estructuralismo; en particular, las reflexiones arqueológicas foucaultianas sobre </w:t>
      </w:r>
      <w:r w:rsidRPr="00FB1B07">
        <w:rPr>
          <w:sz w:val="20"/>
          <w:szCs w:val="20"/>
        </w:rPr>
        <w:t>los porosos y productivos vínculos entre el saber y poder que tuvieron vasto impacto en el medio académico mexicano (</w:t>
      </w:r>
      <w:r w:rsidRPr="00FB1B07">
        <w:rPr>
          <w:rFonts w:eastAsia="Calibri" w:cs="Calibri"/>
          <w:sz w:val="20"/>
          <w:szCs w:val="20"/>
        </w:rPr>
        <w:t>Suasnábar, 2013)</w:t>
      </w:r>
      <w:r w:rsidRPr="00FB1B07">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E41EE"/>
    <w:rsid w:val="002327C3"/>
    <w:rsid w:val="00312392"/>
    <w:rsid w:val="004040C0"/>
    <w:rsid w:val="00437E9C"/>
    <w:rsid w:val="00550766"/>
    <w:rsid w:val="00577C5B"/>
    <w:rsid w:val="005F3B2E"/>
    <w:rsid w:val="00701F64"/>
    <w:rsid w:val="00756DD1"/>
    <w:rsid w:val="007B5B5F"/>
    <w:rsid w:val="007D233B"/>
    <w:rsid w:val="0085070B"/>
    <w:rsid w:val="00A04643"/>
    <w:rsid w:val="00A0600D"/>
    <w:rsid w:val="00A17247"/>
    <w:rsid w:val="00B033AC"/>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3AC"/>
    <w:rPr>
      <w:lang w:val="es-ES"/>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lang w:val="es-419"/>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lang w:val="es-419"/>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lang w:val="es-419"/>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lang w:val="es-419"/>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lang w:val="es-419"/>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lang w:val="es-419"/>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lang w:val="es-419"/>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lang w:val="es-419"/>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lang w:val="es-419"/>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lang w:val="es-419"/>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lang w:val="es-419"/>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rPr>
      <w:lang w:val="es-419"/>
    </w:r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419"/>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rPr>
      <w:lang w:val="es-419"/>
    </w:r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rPr>
      <w:lang w:val="es-419"/>
    </w:r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conicet.gov.ar/handle/11336/171332"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ri.conicet.gov.ar/handle/11336/17133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rtalrevistas.unipe.edu.ar/index.php/raie/article/download/240/269" TargetMode="External"/><Relationship Id="rId11" Type="http://schemas.openxmlformats.org/officeDocument/2006/relationships/hyperlink" Target="https://ri.conicet.gov.ar/handle/11336/17133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ri.conicet.gov.ar/handle/11336/171332" TargetMode="External"/><Relationship Id="rId4" Type="http://schemas.openxmlformats.org/officeDocument/2006/relationships/footnotes" Target="footnotes.xml"/><Relationship Id="rId9" Type="http://schemas.openxmlformats.org/officeDocument/2006/relationships/hyperlink" Target="https://ri.conicet.gov.ar/handle/11336/17133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Pages>
  <Words>8179</Words>
  <Characters>44989</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SEBASTIAN JORGE GOMEZ</cp:lastModifiedBy>
  <cp:revision>8</cp:revision>
  <dcterms:created xsi:type="dcterms:W3CDTF">2026-03-14T03:50:00Z</dcterms:created>
  <dcterms:modified xsi:type="dcterms:W3CDTF">2026-06-29T21:06:00Z</dcterms:modified>
</cp:coreProperties>
</file>