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1B152046" w14:textId="77777777" w:rsidR="000C4890" w:rsidRDefault="000C4890" w:rsidP="000C4890">
      <w:pPr>
        <w:spacing w:after="240"/>
        <w:jc w:val="center"/>
      </w:pPr>
      <w:r>
        <w:rPr>
          <w:rFonts w:ascii="Times New Roman" w:eastAsia="Times New Roman" w:hAnsi="Times New Roman" w:cs="Times New Roman"/>
          <w:b/>
          <w:bCs/>
        </w:rPr>
        <w:t>Cuando la calidad ordena. Cambio organizacional, isomorfismo y capitalismo académico en dos universidades estatales chilenas (2004-2024)</w:t>
      </w:r>
    </w:p>
    <w:p w14:paraId="43C49479" w14:textId="77777777" w:rsidR="005F3B2E" w:rsidRPr="00BA642E" w:rsidRDefault="005F3B2E" w:rsidP="001923DC">
      <w:pPr>
        <w:jc w:val="center"/>
        <w:rPr>
          <w:rFonts w:ascii="Times New Roman" w:hAnsi="Times New Roman" w:cs="Times New Roman"/>
        </w:rPr>
      </w:pPr>
    </w:p>
    <w:p w14:paraId="4E738780" w14:textId="5794B2F3" w:rsidR="005F3B2E" w:rsidRPr="00BA642E" w:rsidRDefault="000C4890" w:rsidP="005F3B2E">
      <w:pPr>
        <w:spacing w:after="0" w:line="240" w:lineRule="auto"/>
        <w:jc w:val="right"/>
        <w:rPr>
          <w:rFonts w:ascii="Times New Roman" w:hAnsi="Times New Roman" w:cs="Times New Roman"/>
        </w:rPr>
      </w:pPr>
      <w:r>
        <w:rPr>
          <w:rFonts w:ascii="Times New Roman" w:hAnsi="Times New Roman" w:cs="Times New Roman"/>
        </w:rPr>
        <w:t>Martínez Rojas, Ezequiel Salomón</w:t>
      </w:r>
    </w:p>
    <w:p w14:paraId="6C2AECCA" w14:textId="2007713C" w:rsidR="005F3B2E" w:rsidRPr="00BA642E" w:rsidRDefault="000C4890" w:rsidP="005F3B2E">
      <w:pPr>
        <w:spacing w:after="0" w:line="240" w:lineRule="auto"/>
        <w:jc w:val="right"/>
        <w:rPr>
          <w:rFonts w:ascii="Times New Roman" w:hAnsi="Times New Roman" w:cs="Times New Roman"/>
        </w:rPr>
      </w:pPr>
      <w:r>
        <w:rPr>
          <w:rFonts w:ascii="Times New Roman" w:hAnsi="Times New Roman" w:cs="Times New Roman"/>
        </w:rPr>
        <w:t>Universidad Arturo Prat, Chile</w:t>
      </w:r>
    </w:p>
    <w:p w14:paraId="7D0026CD" w14:textId="6499DA92" w:rsidR="005F3B2E" w:rsidRPr="00BA642E" w:rsidRDefault="000C4890" w:rsidP="005F3B2E">
      <w:pPr>
        <w:spacing w:after="0" w:line="240" w:lineRule="auto"/>
        <w:jc w:val="right"/>
        <w:rPr>
          <w:rFonts w:ascii="Times New Roman" w:hAnsi="Times New Roman" w:cs="Times New Roman"/>
        </w:rPr>
      </w:pPr>
      <w:hyperlink r:id="rId6" w:history="1">
        <w:r w:rsidRPr="008F54A2">
          <w:rPr>
            <w:rStyle w:val="Hipervnculo"/>
            <w:rFonts w:ascii="Times New Roman" w:hAnsi="Times New Roman" w:cs="Times New Roman"/>
          </w:rPr>
          <w:t>emartinezr@unap.cl</w:t>
        </w:r>
      </w:hyperlink>
      <w:r>
        <w:rPr>
          <w:rFonts w:ascii="Times New Roman" w:hAnsi="Times New Roman" w:cs="Times New Roman"/>
        </w:rPr>
        <w:t xml:space="preserve"> </w:t>
      </w:r>
    </w:p>
    <w:p w14:paraId="1B43FD84" w14:textId="77777777" w:rsidR="001923DC" w:rsidRDefault="001923DC" w:rsidP="00A70D03">
      <w:pPr>
        <w:rPr>
          <w:rFonts w:ascii="Times New Roman" w:hAnsi="Times New Roman" w:cs="Times New Roman"/>
        </w:rPr>
      </w:pPr>
    </w:p>
    <w:p w14:paraId="2325D92D" w14:textId="77777777" w:rsidR="00EB41A4" w:rsidRDefault="000F6999" w:rsidP="00E3792B">
      <w:pPr>
        <w:spacing w:after="120"/>
        <w:jc w:val="both"/>
        <w:rPr>
          <w:rFonts w:ascii="Times New Roman" w:hAnsi="Times New Roman" w:cs="Times New Roman"/>
        </w:rPr>
      </w:pPr>
      <w:r w:rsidRPr="00BE7BBD">
        <w:rPr>
          <w:rStyle w:val="Fuerte"/>
          <w:rFonts w:ascii="Times New Roman" w:hAnsi="Times New Roman" w:cs="Times New Roman"/>
        </w:rPr>
        <w:t>Resumen:</w:t>
      </w:r>
      <w:r w:rsidRPr="00BE7BBD">
        <w:rPr>
          <w:rFonts w:ascii="Times New Roman" w:hAnsi="Times New Roman" w:cs="Times New Roman"/>
        </w:rPr>
        <w:t xml:space="preserve"> Comprender el cambio organizacional universitario exige mirar más allá de las decisiones que las instituciones adoptan puertas adentro, pues buena parte de esas decisiones se explica por las presiones que ejerce un entorno cada vez más regulado. Entre ellas, los sistemas de aseguramiento de la calidad han pasado a ocupar un lugar central, ya no solo como marcos normativos, sino como verdaderos dispositivos de gobernanza que, en el caso chileno, se inscriben en una matriz neoliberal orientada hacia la eficiencia, la rendición de cuentas y la comparabilidad (Dill &amp; Beerkens, 2010; Stensaker, 2008; Brunner, 1984; Espinoza, 2017). Así entendida, la calidad excede con creces su dimensión técnica y termina funcionando como principio organizador, capaz de reconfigurar estructuras, prácticas y sentidos institucionales. Sobre ese trasfondo, esta investigación compara las trayectorias de cambio de dos universidades estatales chilenas, la Universidad de Los Lagos y la Universidad Arturo Prat, entre 2004 y 2024, con el propósito de comprender cómo interpretan y gestionan tales presiones en un escenario de capitalismo académico donde la competencia por recursos, el financiamiento condicionado y la medición del desempeño se han vuelto condiciones de existencia (Slaughter &amp; Leslie, 1997; Slaughter &amp; Rhoades, 2004). </w:t>
      </w:r>
    </w:p>
    <w:p w14:paraId="1C36D7DF" w14:textId="712FA2B4" w:rsidR="00BE7BBD" w:rsidRDefault="000F6999" w:rsidP="00E3792B">
      <w:pPr>
        <w:spacing w:after="120"/>
        <w:jc w:val="both"/>
        <w:rPr>
          <w:rFonts w:ascii="Times New Roman" w:eastAsia="Times New Roman" w:hAnsi="Times New Roman" w:cs="Times New Roman"/>
          <w:b/>
          <w:bCs/>
        </w:rPr>
      </w:pPr>
      <w:r w:rsidRPr="00BE7BBD">
        <w:rPr>
          <w:rFonts w:ascii="Times New Roman" w:hAnsi="Times New Roman" w:cs="Times New Roman"/>
        </w:rPr>
        <w:t xml:space="preserve">Para ello, el estudio se sitúa en la intersección de la teoría ecológica de las organizaciones (Hannan &amp; Freeman, 1977, 1984) y del neoinstitucionalismo sociológico, particularmente de la noción de isomorfismo institucional (DiMaggio &amp; Powell, 1983), y adopta un diseño cualitativo de casos comparados sustentado en análisis documental y en entrevistas a los equipos directivos de ambas instituciones. Los hallazgos muestran que el aseguramiento de la calidad opera como vector estructurante del cambio, en la medida en que expande las estructuras técnico-administrativas, formaliza los procesos e intensifica los mecanismos de control (Gumport, 2000; Krücken &amp; Meier, 2006), aunque ello no se traduzca necesariamente en mejoras sustantivas del quehacer académico. Ambas universidades convergen, además, hacia formas organizativas semejantes, en un patrón de isomorfismo estructural que reduce la diferenciación y refuerza la estandarización del sistema. El cambio organizacional, por consiguiente, difícilmente puede leerse como un </w:t>
      </w:r>
      <w:r w:rsidRPr="00BE7BBD">
        <w:rPr>
          <w:rFonts w:ascii="Times New Roman" w:hAnsi="Times New Roman" w:cs="Times New Roman"/>
        </w:rPr>
        <w:lastRenderedPageBreak/>
        <w:t>proceso interno y voluntario, ya que responde a presiones externas que orientan y condicionan las formas que adquiere hoy la organización universitaria en Chile.</w:t>
      </w:r>
    </w:p>
    <w:p w14:paraId="72FD0774" w14:textId="77777777" w:rsidR="001C04F7" w:rsidRPr="00BE7BBD" w:rsidRDefault="001C04F7" w:rsidP="00E3792B">
      <w:pPr>
        <w:spacing w:after="120"/>
        <w:jc w:val="both"/>
        <w:rPr>
          <w:rFonts w:ascii="Times New Roman" w:eastAsia="Times New Roman" w:hAnsi="Times New Roman" w:cs="Times New Roman"/>
          <w:b/>
          <w:bCs/>
        </w:rPr>
      </w:pPr>
    </w:p>
    <w:p w14:paraId="0E28E35C" w14:textId="79861752" w:rsidR="001C04F7" w:rsidRPr="00EB41A4" w:rsidRDefault="00E3792B" w:rsidP="00E3792B">
      <w:pPr>
        <w:spacing w:after="240"/>
        <w:jc w:val="both"/>
        <w:rPr>
          <w:rFonts w:ascii="Times New Roman" w:eastAsia="Times New Roman" w:hAnsi="Times New Roman" w:cs="Times New Roman"/>
        </w:rPr>
      </w:pPr>
      <w:r>
        <w:rPr>
          <w:rFonts w:ascii="Times New Roman" w:eastAsia="Times New Roman" w:hAnsi="Times New Roman" w:cs="Times New Roman"/>
          <w:b/>
          <w:bCs/>
        </w:rPr>
        <w:t xml:space="preserve">Palabras clave: </w:t>
      </w:r>
      <w:r>
        <w:rPr>
          <w:rFonts w:ascii="Times New Roman" w:eastAsia="Times New Roman" w:hAnsi="Times New Roman" w:cs="Times New Roman"/>
        </w:rPr>
        <w:t>Universidad estatal, cambio organizacional, aseguramiento de la calidad, isomorfismo institucional, capitalismo académico.</w:t>
      </w:r>
    </w:p>
    <w:p w14:paraId="6416F8CD" w14:textId="77777777" w:rsidR="00E3792B" w:rsidRDefault="00E3792B" w:rsidP="00E3792B">
      <w:pPr>
        <w:spacing w:before="240" w:after="120"/>
        <w:outlineLvl w:val="1"/>
      </w:pPr>
      <w:r>
        <w:rPr>
          <w:rFonts w:ascii="Times New Roman" w:eastAsia="Times New Roman" w:hAnsi="Times New Roman" w:cs="Times New Roman"/>
          <w:b/>
          <w:bCs/>
        </w:rPr>
        <w:t>Introducción</w:t>
      </w:r>
    </w:p>
    <w:p w14:paraId="6053B506" w14:textId="77777777" w:rsidR="00E3792B" w:rsidRDefault="00E3792B" w:rsidP="00E3792B">
      <w:pPr>
        <w:spacing w:after="120"/>
        <w:jc w:val="both"/>
      </w:pPr>
      <w:r>
        <w:rPr>
          <w:rFonts w:ascii="Times New Roman" w:eastAsia="Times New Roman" w:hAnsi="Times New Roman" w:cs="Times New Roman"/>
        </w:rPr>
        <w:t>Pocas nociones han reorganizado la vida universitaria chilena de las últimas dos décadas con la eficacia silenciosa de la calidad. Su fuerza no proviene solo de la norma que la respalda, sino de su capacidad para instalarse como lenguaje común, criterio de decisión y calendario institucional. Las universidades planifican, se reestructuran, cierran programas y justifican medidas de alto costo político invocando exigencias cuya legitimidad rara vez se discute de frente. Lo que en los años noventa era una promesa de mejora continua terminó consolidándose en una gramática de gobierno que hoy resulta difícil imaginar como contingente.</w:t>
      </w:r>
    </w:p>
    <w:p w14:paraId="06549E3F" w14:textId="77777777" w:rsidR="00E3792B" w:rsidRDefault="00E3792B" w:rsidP="00E3792B">
      <w:pPr>
        <w:spacing w:after="120"/>
        <w:jc w:val="both"/>
      </w:pPr>
      <w:r>
        <w:rPr>
          <w:rFonts w:ascii="Times New Roman" w:eastAsia="Times New Roman" w:hAnsi="Times New Roman" w:cs="Times New Roman"/>
        </w:rPr>
        <w:t>Este artículo examina dicho fenómeno a partir de una pregunta sencilla de enunciar y considerablemente más incómoda de responder. Los cambios organizacionales que observamos en las universidades estatales chilenas, ¿constituyen adaptaciones genuinas orientadas a servir mejor la misión pública, o movimientos en busca de legitimidad que empujan a las instituciones a parecerse unas a otras dentro de un campo moldeado por el capitalismo académico? La cuestión dista de ser retórica, pues de la respuesta depende cómo se interpreta la proliferación de direcciones de calidad, la creación de prorrectorías o el cierre de institutos poco productivos, decisiones que se presentan como técnicas y que, examinadas de cerca, resultan profundamente políticas.</w:t>
      </w:r>
    </w:p>
    <w:p w14:paraId="77477C0C" w14:textId="77777777" w:rsidR="00E3792B" w:rsidRDefault="00E3792B" w:rsidP="00E3792B">
      <w:pPr>
        <w:spacing w:after="120"/>
        <w:jc w:val="both"/>
      </w:pPr>
      <w:r>
        <w:rPr>
          <w:rFonts w:ascii="Times New Roman" w:eastAsia="Times New Roman" w:hAnsi="Times New Roman" w:cs="Times New Roman"/>
        </w:rPr>
        <w:t>El trabajo compara las trayectorias de la Universidad de Los Lagos (ULAGOS) y la Universidad Arturo Prat (UNAP) entre 2004 y 2024. Ambas son universidades estatales y regionales, situadas en los extremos del país, con vocación territorial declarada e historias marcadas por la expansión, la crisis y la reorganización; comparten, además, un mismo marco regulatorio y financiero, lo que permite discernir qué se explica por el entorno y qué por las decisiones de cada institución. La comparación no persigue generalizaciones estadísticas, sino comprender los mecanismos por los cuales una presión externa se convierte en arquitectura organizacional.</w:t>
      </w:r>
    </w:p>
    <w:p w14:paraId="0C6EDC29" w14:textId="77777777" w:rsidR="00E3792B" w:rsidRDefault="00E3792B" w:rsidP="00E3792B">
      <w:pPr>
        <w:spacing w:after="120"/>
        <w:jc w:val="both"/>
      </w:pPr>
      <w:r>
        <w:rPr>
          <w:rFonts w:ascii="Times New Roman" w:eastAsia="Times New Roman" w:hAnsi="Times New Roman" w:cs="Times New Roman"/>
        </w:rPr>
        <w:t xml:space="preserve">La tesis que aquí se defiende puede formularse en pocas líneas. El aseguramiento de la calidad funciona como un filtro selectivo que reduce el menú de diseños institucionales viables y premia a quienes exhiben trazabilidad, consistencia y resultados verificables. Frente a ese filtro, la UNAP y la ULAGOS convergen en la forma, adoptando estructuras homólogas y un mismo lenguaje de gestión, pero divergen en la ruta, el tiempo y el énfasis </w:t>
      </w:r>
      <w:r>
        <w:rPr>
          <w:rFonts w:ascii="Times New Roman" w:eastAsia="Times New Roman" w:hAnsi="Times New Roman" w:cs="Times New Roman"/>
        </w:rPr>
        <w:lastRenderedPageBreak/>
        <w:t>de misión, combinación que autoriza a leer sus trayectorias en la intersección de la ecología organizacional, el neoinstitucionalismo sociológico y la crítica del capitalismo académico.</w:t>
      </w:r>
    </w:p>
    <w:p w14:paraId="1400D7DB" w14:textId="77777777" w:rsidR="00E3792B" w:rsidRDefault="00E3792B" w:rsidP="00E3792B">
      <w:pPr>
        <w:spacing w:after="120"/>
        <w:jc w:val="both"/>
      </w:pPr>
      <w:r>
        <w:rPr>
          <w:rFonts w:ascii="Times New Roman" w:eastAsia="Times New Roman" w:hAnsi="Times New Roman" w:cs="Times New Roman"/>
        </w:rPr>
        <w:t>El texto reconstruye primero el contexto chileno y sus coordenadas teóricas y metodológicas, despliega luego los hallazgos y cierra discutiendo qué se gana y qué se pierde cuando la calidad se erige en principio ordenador del diseño institucional.</w:t>
      </w:r>
    </w:p>
    <w:p w14:paraId="7F65A08E" w14:textId="77777777" w:rsidR="00E3792B" w:rsidRDefault="00E3792B" w:rsidP="00E3792B">
      <w:pPr>
        <w:spacing w:before="240" w:after="120"/>
        <w:outlineLvl w:val="1"/>
      </w:pPr>
      <w:r>
        <w:rPr>
          <w:rFonts w:ascii="Times New Roman" w:eastAsia="Times New Roman" w:hAnsi="Times New Roman" w:cs="Times New Roman"/>
          <w:b/>
          <w:bCs/>
        </w:rPr>
        <w:t>El aseguramiento de la calidad en Chile. De la confianza autorregulada al régimen obligatorio</w:t>
      </w:r>
    </w:p>
    <w:p w14:paraId="78CD6A08" w14:textId="77777777" w:rsidR="00E3792B" w:rsidRDefault="00E3792B" w:rsidP="00E3792B">
      <w:pPr>
        <w:spacing w:after="120"/>
        <w:jc w:val="both"/>
      </w:pPr>
      <w:r>
        <w:rPr>
          <w:rFonts w:ascii="Times New Roman" w:eastAsia="Times New Roman" w:hAnsi="Times New Roman" w:cs="Times New Roman"/>
        </w:rPr>
        <w:t>El sistema de educación superior chileno constituye un caso privilegiado para observar la relación entre regulación y cambio organizacional, pues su fisonomía actual resulta de una reforma temprana y radical. La reestructuración iniciada en 1981 desmanteló el sistema existente, abrió la puerta a las instituciones privadas, fragmentó las sedes regionales de las universidades tradicionales y sustituyó el financiamiento basal por mecanismos competitivos y por el arancel pagado por las familias. Brunner (1984) documentó tempranamente ese giro; investigaciones posteriores confirmaron que la matriz de mercado no fue un accidente, sino un diseño deliberado, sostenido por una alianza entre organismos internacionales y una élite tecnocrática local (Espinoza, 2017).</w:t>
      </w:r>
    </w:p>
    <w:p w14:paraId="7B69BE3F" w14:textId="77777777" w:rsidR="00E3792B" w:rsidRDefault="00E3792B" w:rsidP="00E3792B">
      <w:pPr>
        <w:spacing w:after="120"/>
        <w:jc w:val="both"/>
      </w:pPr>
      <w:r>
        <w:rPr>
          <w:rFonts w:ascii="Times New Roman" w:eastAsia="Times New Roman" w:hAnsi="Times New Roman" w:cs="Times New Roman"/>
        </w:rPr>
        <w:t>En ese marco, la regulación de la calidad emergió como la contracara necesaria de la desregulación de la oferta, dado que, si el Estado renunciaba a controlar quién podía crear una universidad, debía dotarse de algún instrumento capaz de distinguir lo aceptable de lo inaceptable. El licenciamiento de los años ochenta, la acreditación voluntaria impulsada desde 1999 por la Comisión Nacional de Acreditación de Pregrado y la institucionalización del sistema mediante la Ley 20.129 de 2006 forman parte de una misma secuencia, a lo largo de la cual el aseguramiento de la calidad se desplazó desde una herramienta de mejora hacia un mecanismo de ordenamiento del campo. Lemaitre, Maturana, Zenteno y Alvarado (2012) mostraron que ese desplazamiento tuvo consecuencias organizacionales inmediatas, pues las universidades chilenas comenzaron a instalar unidades de análisis institucional, sistemas de información y rutinas de planificación que hasta entonces sencillamente no existían.</w:t>
      </w:r>
    </w:p>
    <w:p w14:paraId="22B47525" w14:textId="77777777" w:rsidR="00E3792B" w:rsidRDefault="00E3792B" w:rsidP="00E3792B">
      <w:pPr>
        <w:spacing w:after="120"/>
        <w:jc w:val="both"/>
      </w:pPr>
      <w:r>
        <w:rPr>
          <w:rFonts w:ascii="Times New Roman" w:eastAsia="Times New Roman" w:hAnsi="Times New Roman" w:cs="Times New Roman"/>
        </w:rPr>
        <w:t xml:space="preserve">La reforma de 2018, con las leyes 21.091 sobre educación superior y 21.094 sobre universidades estatales, clausuró el ciclo al hacer obligatoria la acreditación institucional, vincularla al acceso al financiamiento y crear una Superintendencia dotada de facultades fiscalizadoras. El resultado es un entramado normativo denso, en el que una universidad estatal responde simultáneamente ante la Comisión Nacional de Acreditación, la Superintendencia de Educación Superior, la Subsecretaría, la Contraloría General de la República, el Ministerio de Ciencia y los gobiernos regionales. Uno de los directivos entrevistados describía esa arquitectura con una imagen elocuente, al observar que son </w:t>
      </w:r>
      <w:r>
        <w:rPr>
          <w:rFonts w:ascii="Times New Roman" w:eastAsia="Times New Roman" w:hAnsi="Times New Roman" w:cs="Times New Roman"/>
        </w:rPr>
        <w:lastRenderedPageBreak/>
        <w:t>múltiples los organismos que "de alguna u otra manera te rayan la cancha" y fijan estándares imposibles de eludir (Dire01, UNAP).</w:t>
      </w:r>
    </w:p>
    <w:p w14:paraId="7FFEC276" w14:textId="77777777" w:rsidR="00E3792B" w:rsidRDefault="00E3792B" w:rsidP="00E3792B">
      <w:pPr>
        <w:spacing w:after="120"/>
        <w:jc w:val="both"/>
      </w:pPr>
      <w:r>
        <w:rPr>
          <w:rFonts w:ascii="Times New Roman" w:eastAsia="Times New Roman" w:hAnsi="Times New Roman" w:cs="Times New Roman"/>
        </w:rPr>
        <w:t>La literatura internacional ha insistido en la ambivalencia de estos dispositivos. Stensaker (2008) planteó que la evidencia sobre sus resultados sustantivos es notoriamente débil y que buena parte de sus efectos se juega en el plano simbólico y organizacional antes que en el del aprendizaje; Brennan y Shah (2000), en un estudio comparado de catorce países, demostraron que la evaluación externa modifica sobre todo la distribución interna del poder, fortaleciendo a quienes controlan la información y desplazando a las comunidades académicas de espacios de decisión que antes les pertenecían. Ya Harvey y Green (1993) habían advertido que la calidad es un concepto relativo cuyo contenido depende de quién la define y con qué propósito, de modo que su aparente neutralidad técnica encubre siempre una disputa política. Investigaciones recientes refinan ese diagnóstico. Cardoso, Rosa, Videira y Amaral (2019) muestran que los sistemas internos de aseguramiento oscilan entre la construcción de una cultura de calidad y la mera acumulación de burocracia, según cómo se los apropien los actores, mientras que Elken y Stensaker (2018) proponen desplazar la mirada desde los procedimientos formales hacia el "trabajo de calidad" efectivamente realizado en la docencia y la investigación.</w:t>
      </w:r>
    </w:p>
    <w:p w14:paraId="6B7727A5" w14:textId="77777777" w:rsidR="00E3792B" w:rsidRDefault="00E3792B" w:rsidP="00E3792B">
      <w:pPr>
        <w:spacing w:after="120"/>
        <w:jc w:val="both"/>
      </w:pPr>
      <w:r>
        <w:rPr>
          <w:rFonts w:ascii="Times New Roman" w:eastAsia="Times New Roman" w:hAnsi="Times New Roman" w:cs="Times New Roman"/>
        </w:rPr>
        <w:t>Para el caso chileno, Espinoza y González (2013) documentaron que la acreditación mejoró la gestión y la disponibilidad de información, aunque también trajo burocratización, mayores costos de transacción y homogeneización institucional; Fernández Darraz y Ramos Zincke (2020) matizaron ese balance al mostrar que sí desarrolló capacidades organizacionales, si bien de manera desigual y con un sesgo persistente hacia lo formal. Salazar y Leihy (2017) fueron más lejos, al sugerir que la política de calidad chilena construyó una poética del mejoramiento que rara vez se somete a verificación empírica, y Brunner, Rodríguez-Ponce, Pedraja-Rejas y Labraña (2022) advierten que la posición de las instituciones en el mercado condiciona sus resultados de acreditación más de lo que el discurso oficial admite. Ese es el telón de fondo sobre el cual se recortan las trayectorias de la UNAP y la ULAGOS.</w:t>
      </w:r>
    </w:p>
    <w:p w14:paraId="5538CBAB" w14:textId="77777777" w:rsidR="00E3792B" w:rsidRDefault="00E3792B" w:rsidP="00E3792B">
      <w:pPr>
        <w:spacing w:before="240" w:after="120"/>
        <w:outlineLvl w:val="1"/>
      </w:pPr>
      <w:r>
        <w:rPr>
          <w:rFonts w:ascii="Times New Roman" w:eastAsia="Times New Roman" w:hAnsi="Times New Roman" w:cs="Times New Roman"/>
          <w:b/>
          <w:bCs/>
        </w:rPr>
        <w:t>Coordenadas teóricas para leer el cambio organizacional universitario</w:t>
      </w:r>
    </w:p>
    <w:p w14:paraId="7EEA3A28" w14:textId="77777777" w:rsidR="00E3792B" w:rsidRDefault="00E3792B" w:rsidP="00E3792B">
      <w:pPr>
        <w:spacing w:after="120"/>
        <w:jc w:val="both"/>
      </w:pPr>
      <w:r>
        <w:rPr>
          <w:rFonts w:ascii="Times New Roman" w:eastAsia="Times New Roman" w:hAnsi="Times New Roman" w:cs="Times New Roman"/>
        </w:rPr>
        <w:t>Comprender lo que ocurre dentro de estas universidades exige un marco capaz de sostener dos afirmaciones que, a primera vista, parecen incompatibles, a saber, que las instituciones cambian obligadas por su entorno y que, aun así, conservan márgenes de agencia. Tres cuerpos teóricos permiten mantener esa tensión sin disolverla.</w:t>
      </w:r>
    </w:p>
    <w:p w14:paraId="7AC604F7" w14:textId="77777777" w:rsidR="00E3792B" w:rsidRDefault="00E3792B" w:rsidP="00E3792B">
      <w:pPr>
        <w:spacing w:after="120"/>
        <w:jc w:val="both"/>
      </w:pPr>
      <w:r>
        <w:rPr>
          <w:rFonts w:ascii="Times New Roman" w:eastAsia="Times New Roman" w:hAnsi="Times New Roman" w:cs="Times New Roman"/>
        </w:rPr>
        <w:t xml:space="preserve">La teoría ecológica de las organizaciones aporta el primer marco. Hannan y Freeman (1977) desplazaron la atención desde la adaptación individual hacia los procesos de selección que operan sobre poblaciones enteras de organizaciones, sosteniendo que el entorno no solo influye en las decisiones, sino que elimina las formas incapaces de encajar </w:t>
      </w:r>
      <w:r>
        <w:rPr>
          <w:rFonts w:ascii="Times New Roman" w:eastAsia="Times New Roman" w:hAnsi="Times New Roman" w:cs="Times New Roman"/>
        </w:rPr>
        <w:lastRenderedPageBreak/>
        <w:t>en él. Su noción de inercia estructural (Hannan &amp; Freeman, 1984) resulta especialmente productiva aquí, pues explica por qué las universidades cambian menos y más lentamente de lo que sus autoridades declaran y por qué las transformaciones profundas tienden a concentrarse en momentos de crisis. Cargada de compromisos históricos, cuerpos colegiados, estatutos y culturas disciplinarias, la universidad exige que la presión ambiental alcance cierta intensidad antes de traducirse en rediseño. Amburgey, Kelly y Barnett (1993) añadieron un matiz relevante al mostrar que el cambio estructural, una vez iniciado, tiende a repetirse; la reorganización, en otras palabras, engendra reorganización.</w:t>
      </w:r>
    </w:p>
    <w:p w14:paraId="19B98247" w14:textId="77777777" w:rsidR="00E3792B" w:rsidRDefault="00E3792B" w:rsidP="00E3792B">
      <w:pPr>
        <w:spacing w:after="120"/>
        <w:jc w:val="both"/>
      </w:pPr>
      <w:r>
        <w:rPr>
          <w:rFonts w:ascii="Times New Roman" w:eastAsia="Times New Roman" w:hAnsi="Times New Roman" w:cs="Times New Roman"/>
        </w:rPr>
        <w:t>El segundo marco proviene del neoinstitucionalismo sociológico. Meyer y Rowan (1977) argumentaron que las organizaciones adoptan estructuras formales no porque estas mejoren su eficiencia técnica, sino porque las vuelven legítimas ante sus públicos, y que dicha adopción puede desacoplarse de las prácticas efectivas. DiMaggio y Powell (1983) sistematizaron ese hallazgo mediante los tres mecanismos del isomorfismo institucional —la presión coercitiva que ejercen la ley y quienes controlan los recursos, la imitación mimética que aflora cuando la incertidumbre es alta y los costos del error resultan elevados, y la presión normativa que difunden las comunidades profesionales—, mecanismos que operan con particular claridad en un campo donde la acreditación es obligatoria, la información sobre lo que funciona resulta escasa y los cuadros técnicos circulan entre instituciones llevando consigo repertorios de buenas prácticas. Krücken y Meier (2006) mostraron, por su parte, que la universidad contemporánea ha sido reconstruida como actor organizacional, dotado de identidad, jerarquía y capacidad de acción estratégica, proceso que exige justamente la clase de estructuras que hoy tendemos a considerar naturales; Seeber et al. (2015) matizaron esa tesis al constatar que la "organización completa" es una aspiración desigualmente realizada, y Musselin (2021) subraya que la gobernanza universitaria no puede analizarse sin atender simultáneamente al nivel organizacional y al de los sistemas nacionales que lo enmarcan.</w:t>
      </w:r>
    </w:p>
    <w:p w14:paraId="7CC78BB8" w14:textId="77777777" w:rsidR="00E3792B" w:rsidRDefault="00E3792B" w:rsidP="00E3792B">
      <w:pPr>
        <w:spacing w:after="120"/>
        <w:jc w:val="both"/>
      </w:pPr>
      <w:r>
        <w:rPr>
          <w:rFonts w:ascii="Times New Roman" w:eastAsia="Times New Roman" w:hAnsi="Times New Roman" w:cs="Times New Roman"/>
        </w:rPr>
        <w:t xml:space="preserve">El tercer marco es la teoría del capitalismo académico. Slaughter y Leslie (1997) acuñaron el concepto para describir el comportamiento de universidades e investigadores que compiten por recursos externos en condiciones de cuasimercado, y Slaughter y Rhoades (2004) lo extendieron hacia un régimen de conocimiento donde las fronteras entre lo público y lo privado se difuminan y la gobernanza se reorganiza en torno a la generación de ingresos. Olssen y Peters (2005) mostraron cómo el neoliberalismo reconfiguró la universidad en clave de capital humano y auditoría, mientras que Deem y Brehony (2005) analizaron el nuevo gerencialismo como ideología que naturaliza la gestión por indicadores. Krücken (2021) advierte que la competencia universitaria no es un fenómeno unitario sino múltiple, por estudiantes, financiamiento, prestigio y talento académico, y que cada arena produce efectos organizativos distintos, observación especialmente pertinente para instituciones regionales que compiten en varios frentes con recursos </w:t>
      </w:r>
      <w:r>
        <w:rPr>
          <w:rFonts w:ascii="Times New Roman" w:eastAsia="Times New Roman" w:hAnsi="Times New Roman" w:cs="Times New Roman"/>
        </w:rPr>
        <w:lastRenderedPageBreak/>
        <w:t>desiguales. En Chile, este marco ha sido apropiado críticamente por Brunner y Pedraja-Rejas (2020) y por Brunner, Labraña, Ganga y Rodríguez-Ponce (2019), quienes proponen distinguir sus dimensiones analíticas en un sistema donde la competencia por matrícula y financiamiento antecede y condiciona cualquier política de calidad.</w:t>
      </w:r>
    </w:p>
    <w:p w14:paraId="0E481F50" w14:textId="77777777" w:rsidR="00E3792B" w:rsidRDefault="00E3792B" w:rsidP="00E3792B">
      <w:pPr>
        <w:spacing w:after="120"/>
        <w:jc w:val="both"/>
      </w:pPr>
      <w:r>
        <w:rPr>
          <w:rFonts w:ascii="Times New Roman" w:eastAsia="Times New Roman" w:hAnsi="Times New Roman" w:cs="Times New Roman"/>
        </w:rPr>
        <w:t>La articulación de estos tres marcos permite formular la hipótesis que guía el análisis. Si el aseguramiento de la calidad opera como presión selectiva, sobrevivirán aquellas universidades capaces de exhibir las formas que el entorno reconoce como legítimas; si tales formas se difunden por vía coercitiva, mimética y normativa, el resultado esperable es la convergencia estructural; y si el clima general es el del capitalismo académico, esa convergencia se orientará hacia lo medible, comparable y financiable. Lo que la teoría no determina, y solo la evidencia empírica puede iluminar, es cuánto margen queda para la diferenciación y en qué consiste.</w:t>
      </w:r>
    </w:p>
    <w:p w14:paraId="7FE5F123" w14:textId="77777777" w:rsidR="00E3792B" w:rsidRDefault="00E3792B" w:rsidP="00E3792B">
      <w:pPr>
        <w:spacing w:before="240" w:after="120"/>
        <w:outlineLvl w:val="1"/>
      </w:pPr>
      <w:r>
        <w:rPr>
          <w:rFonts w:ascii="Times New Roman" w:eastAsia="Times New Roman" w:hAnsi="Times New Roman" w:cs="Times New Roman"/>
          <w:b/>
          <w:bCs/>
        </w:rPr>
        <w:t>Aproximación metodológica</w:t>
      </w:r>
    </w:p>
    <w:p w14:paraId="3360CAF2" w14:textId="77777777" w:rsidR="00E3792B" w:rsidRDefault="00E3792B" w:rsidP="00E3792B">
      <w:pPr>
        <w:spacing w:after="120"/>
        <w:jc w:val="both"/>
      </w:pPr>
      <w:r>
        <w:rPr>
          <w:rFonts w:ascii="Times New Roman" w:eastAsia="Times New Roman" w:hAnsi="Times New Roman" w:cs="Times New Roman"/>
        </w:rPr>
        <w:t>La investigación adopta un diseño cualitativo de estudio de casos comparados, pertinente para examinar fenómenos contemporáneos, situados y aún poco sistematizados en el contexto nacional (Merriam &amp; Grenier, 2019). La elección de dos casos responde a la necesidad de distinguir lo que se explica por el marco regulatorio común de lo que depende de la historia y las decisiones de cada institución, puesto que el contraste entre escenarios fortalece la validez de los hallazgos (Eisenhardt, 1989) y produce un conocimiento situado capaz de iluminar mecanismos que los diseños extensivos dejan en penumbra (Flyvbjerg, 2006).</w:t>
      </w:r>
    </w:p>
    <w:p w14:paraId="235669BA" w14:textId="77777777" w:rsidR="00E3792B" w:rsidRDefault="00E3792B" w:rsidP="00E3792B">
      <w:pPr>
        <w:spacing w:after="120"/>
        <w:jc w:val="both"/>
      </w:pPr>
      <w:r>
        <w:rPr>
          <w:rFonts w:ascii="Times New Roman" w:eastAsia="Times New Roman" w:hAnsi="Times New Roman" w:cs="Times New Roman"/>
        </w:rPr>
        <w:t>La estrategia se apoya en la triangulación de tres fuentes. La primera es el análisis documental, que incluyó decretos de reorganización y reestructuración, organigramas, planes estratégicos, informes de autoevaluación, resoluciones de acreditación y estatutos de ambas universidades, lo que permitió reconstruir la evolución de sus estructuras a lo largo de dos décadas. La segunda consistió en la revisión sistemática de la literatura especializada, que proveyó las categorías con las cuales se interrogó el material empírico. La tercera comprendió nueve entrevistas semiestructuradas a integrantes de los equipos directivos superiores, realizadas por videoconferencia, con una duración de entre 45 y 91 minutos y un total de 680 minutos de conversación registrada.</w:t>
      </w:r>
    </w:p>
    <w:p w14:paraId="4522C6CF" w14:textId="77777777" w:rsidR="00E3792B" w:rsidRDefault="00E3792B" w:rsidP="00E3792B">
      <w:pPr>
        <w:spacing w:after="120"/>
        <w:jc w:val="both"/>
      </w:pPr>
      <w:r>
        <w:rPr>
          <w:rFonts w:ascii="Times New Roman" w:eastAsia="Times New Roman" w:hAnsi="Times New Roman" w:cs="Times New Roman"/>
        </w:rPr>
        <w:t xml:space="preserve">La guía fue validada mediante juicio de expertos, procedimiento que derivó en la reducción y reagrupación de los ítems; las entrevistas se realizaron previo consentimiento informado y fueron transcritas, codificadas y analizadas con apoyo de software especializado. Para resguardar el anonimato, las y los participantes fueron codificados. Dire01, Dire05, Dire07 y Dire09 corresponden a la Universidad Arturo Prat, mientras que Dire02, Dire03, Dire04, Dire06 y Dire08 pertenecen a la Universidad de Los Lagos. El período de observación, entre 2004 y 2024, permite capturar tanto los primeros procesos </w:t>
      </w:r>
      <w:r>
        <w:rPr>
          <w:rFonts w:ascii="Times New Roman" w:eastAsia="Times New Roman" w:hAnsi="Times New Roman" w:cs="Times New Roman"/>
        </w:rPr>
        <w:lastRenderedPageBreak/>
        <w:t>de acreditación como la instalación del régimen obligatorio posterior a la reforma de 2018.</w:t>
      </w:r>
    </w:p>
    <w:p w14:paraId="6231BC8D" w14:textId="77777777" w:rsidR="00E3792B" w:rsidRDefault="00E3792B" w:rsidP="00E3792B">
      <w:pPr>
        <w:spacing w:before="240" w:after="120"/>
        <w:outlineLvl w:val="1"/>
      </w:pPr>
      <w:r>
        <w:rPr>
          <w:rFonts w:ascii="Times New Roman" w:eastAsia="Times New Roman" w:hAnsi="Times New Roman" w:cs="Times New Roman"/>
          <w:b/>
          <w:bCs/>
        </w:rPr>
        <w:t>La calidad como noción en disputa y como principio ordenador</w:t>
      </w:r>
    </w:p>
    <w:p w14:paraId="291B66C2" w14:textId="77777777" w:rsidR="00E3792B" w:rsidRDefault="00E3792B" w:rsidP="00E3792B">
      <w:pPr>
        <w:spacing w:after="120"/>
        <w:jc w:val="both"/>
      </w:pPr>
      <w:r>
        <w:rPr>
          <w:rFonts w:ascii="Times New Roman" w:eastAsia="Times New Roman" w:hAnsi="Times New Roman" w:cs="Times New Roman"/>
        </w:rPr>
        <w:t>El primer hallazgo, y acaso el más revelador, es que la calidad no significa lo mismo para quienes deben gestionarla. En las entrevistas conviven, sin resolverse, al menos cuatro sentidos distintos, y esa convivencia no constituye un defecto del discurso directivo sino una condición estructural de su trabajo.</w:t>
      </w:r>
    </w:p>
    <w:p w14:paraId="1B41EBC8" w14:textId="77777777" w:rsidR="00E3792B" w:rsidRDefault="00E3792B" w:rsidP="00E3792B">
      <w:pPr>
        <w:spacing w:after="120"/>
        <w:jc w:val="both"/>
      </w:pPr>
      <w:r>
        <w:rPr>
          <w:rFonts w:ascii="Times New Roman" w:eastAsia="Times New Roman" w:hAnsi="Times New Roman" w:cs="Times New Roman"/>
        </w:rPr>
        <w:t>Un primer sentido asocia la calidad a la mejora continua y la desacopla del dispositivo que la certifica. "Para mí la calidad es hacer las cosas bien, pero no tiene que ver precisamente con la acreditación, la acreditación es un asunto coyuntural", sostiene Dire05, quien agrega que lo relevante es "estar preparados siempre". Un segundo sentido la entiende como proceso permanente centrado en la formación, cuyo criterio último reside en la pertinencia del currículo respecto de las vocaciones socioproductivas del territorio (Dire06). Un tercero, más pragmático, la identifica con el cumplimiento regulatorio y reconoce sin rodeos que consiste en "asimilar estándares y criterios de acreditación, y dar cumplimiento a los diversos organismos que nos regulan" (Dire01). Un cuarto, en fin, devuelve el criterio a la sala de clases mediante una fórmula que condensa toda la tensión del campo. "La acreditación ayuda, claro, pero es el termómetro, no la salud", afirma Dire09, para quien la calidad se juega en que el estudiante aprenda aquello que la institución prometió enseñarle.</w:t>
      </w:r>
    </w:p>
    <w:p w14:paraId="4AFF2030" w14:textId="77777777" w:rsidR="00E3792B" w:rsidRDefault="00E3792B" w:rsidP="00E3792B">
      <w:pPr>
        <w:spacing w:after="120"/>
        <w:jc w:val="both"/>
      </w:pPr>
      <w:r>
        <w:rPr>
          <w:rFonts w:ascii="Times New Roman" w:eastAsia="Times New Roman" w:hAnsi="Times New Roman" w:cs="Times New Roman"/>
        </w:rPr>
        <w:t>A estos sentidos se superpone una crítica explícita a la estandarización. Dire03 cuestiona que se mida con la misma vara a instituciones que operan en realidades incomparables y observa que formar a un joven en una universidad de élite de Santiago constituye un ejercicio radicalmente distinto de hacerlo en Iquique o en Osorno. La observación remite a una preocupación de fondo, pues la métrica única desconoce las condiciones de partida y penaliza a quienes atienden a los estudiantes más vulnerables, que es justamente lo que su misión pública les manda hacer.</w:t>
      </w:r>
    </w:p>
    <w:p w14:paraId="3882A4AF" w14:textId="77777777" w:rsidR="00E3792B" w:rsidRDefault="00E3792B" w:rsidP="00E3792B">
      <w:pPr>
        <w:spacing w:after="120"/>
        <w:jc w:val="both"/>
      </w:pPr>
      <w:r>
        <w:rPr>
          <w:rFonts w:ascii="Times New Roman" w:eastAsia="Times New Roman" w:hAnsi="Times New Roman" w:cs="Times New Roman"/>
        </w:rPr>
        <w:t>Vale la pena detenerse un momento en el vocabulario, aunque el desvío parezca menor. La palabra calidad no nació en la universidad. Llegó a ella desde la ingeniería industrial y la gestión de procesos, con su repertorio de estándares, control estadístico y cero defectos, y solo más tarde fue traducida al lenguaje de la formación. El mismo Dire03 lo advierte sin necesidad de teoría cuando recuerda que la calidad proviene de la técnica industrial y que en educación deben resguardarse los contextos. La observación es menos ingenua de lo que parece, porque toda palabra importada arrastra los supuestos del campo del que proviene, y el supuesto central de la ingeniería de procesos es que lo que importa puede medirse. Aplicado a la docencia, no es falso. Tampoco es inocente.</w:t>
      </w:r>
    </w:p>
    <w:p w14:paraId="06F49FD9" w14:textId="77777777" w:rsidR="00E3792B" w:rsidRDefault="00E3792B" w:rsidP="00E3792B">
      <w:pPr>
        <w:spacing w:after="120"/>
        <w:jc w:val="both"/>
      </w:pPr>
      <w:r>
        <w:rPr>
          <w:rFonts w:ascii="Times New Roman" w:eastAsia="Times New Roman" w:hAnsi="Times New Roman" w:cs="Times New Roman"/>
        </w:rPr>
        <w:lastRenderedPageBreak/>
        <w:t>Lo decisivo es que esta pluralidad semántica no impide que la calidad opere como principio ordenador; al contrario, la habilita. Justamente porque el concepto resulta lo bastante elástico como para albergar la mejora pedagógica, la rendición de cuentas y el cumplimiento normativo, puede funcionar como lenguaje común y legitimar decisiones de signo muy diverso. Cuando una autoridad cierra veinte centros de investigación de baja productividad, suprime programas de posgrado o desvincula personal, no invoca la escasez de recursos sino la calidad. La acreditación provee así un idioma de gobierno y, con él, un calendario, pues los ciclos de autoevaluación marcan el ritmo institucional, ordenan prioridades y abren ventanas de oportunidad política para medidas que, en otro momento, resultarían impracticables.</w:t>
      </w:r>
    </w:p>
    <w:p w14:paraId="71A50C3D" w14:textId="77777777" w:rsidR="00E3792B" w:rsidRDefault="00E3792B" w:rsidP="00E3792B">
      <w:pPr>
        <w:spacing w:before="240" w:after="120"/>
        <w:outlineLvl w:val="1"/>
      </w:pPr>
      <w:r>
        <w:rPr>
          <w:rFonts w:ascii="Times New Roman" w:eastAsia="Times New Roman" w:hAnsi="Times New Roman" w:cs="Times New Roman"/>
          <w:b/>
          <w:bCs/>
        </w:rPr>
        <w:t>La Universidad de Los Lagos. De la crisis a la complejización</w:t>
      </w:r>
    </w:p>
    <w:p w14:paraId="63D37A24" w14:textId="77777777" w:rsidR="00E3792B" w:rsidRDefault="00E3792B" w:rsidP="00E3792B">
      <w:pPr>
        <w:spacing w:after="120"/>
        <w:jc w:val="both"/>
      </w:pPr>
      <w:r>
        <w:rPr>
          <w:rFonts w:ascii="Times New Roman" w:eastAsia="Times New Roman" w:hAnsi="Times New Roman" w:cs="Times New Roman"/>
        </w:rPr>
        <w:t>La trayectoria de la ULAGOS se organiza en torno a un punto de inflexión que sus propios directivos reconocen sin ambages. "Marcamos un punto de inflexión bien importante en el año 2009", recuerda Dire02, quien enlaza una crisis política de gobernabilidad, un deterioro financiero previo y una acreditación fallida que precipitó el conjunto; el desenlace fue la elección de una nueva rectoría y el inicio de un ciclo que primero estabilizó la institución y luego la reorientó.</w:t>
      </w:r>
    </w:p>
    <w:p w14:paraId="4301AC31" w14:textId="77777777" w:rsidR="00E3792B" w:rsidRDefault="00E3792B" w:rsidP="00E3792B">
      <w:pPr>
        <w:spacing w:after="120"/>
        <w:jc w:val="both"/>
      </w:pPr>
      <w:r>
        <w:rPr>
          <w:rFonts w:ascii="Times New Roman" w:eastAsia="Times New Roman" w:hAnsi="Times New Roman" w:cs="Times New Roman"/>
        </w:rPr>
        <w:t xml:space="preserve">El análisis documental confirma esa lectura y permite fecharla con precisión. Entre 2006 y 2010 la universidad ejecutó un primer paquete de medidas estructurales de considerable envergadura. Redujo su red de sedes de cuarenta y tres a catorce, detuvo la matrícula nueva en ellas y creó dos instituciones bisagra destinadas a ordenar la transición, el Instituto Profesional Los Lagos, encargado de absorber la formación técnico-profesional, y el Instituto de Educación Continua, responsable del cierre ordenado y la titulación de los programas especiales. En paralelo instaló la Vicerrectoría de Planificación y Desarrollo, la Vicerrectoría de Gestión Corporativa y una Unidad de Evaluación Institucional y Control de la Gestión Académica, con lo cual la recuperación de la acreditación en 2007 validó externamente el giro, aunque a costa de una contracción de matrícula que tensionó las finanzas en el corto plazo. Superada la emergencia, la institución pasó de gestionar la crisis a diseñar su complejización. La creación de la Vicerrectoría de Investigación y Postgrado en 2009 fue el gesto fundacional de ese segundo ciclo, acompañado por direcciones especializadas y por el impulso a centros e institutos capaces de articular líneas de investigación; el Decreto 1863 de 2013 formalizó luego una adecuación académico-administrativa mayor, que jerarquizó la docencia y creó una Dirección de Análisis, Evaluación y Seguimiento Económico para resguardar la viabilidad financiera de los proyectos. Entre 2016 y 2022, una segunda ola de ajustes consolidó el tránsito hacia una universidad regional compleja, con la elevación de la Sede Castro a Sede Universitaria de Chiloé, la creación de la Dirección de Igualdad de Género, de la Unidad de Desarrollo Organizacional y del Observatorio de Innovación Educativa, </w:t>
      </w:r>
      <w:r>
        <w:rPr>
          <w:rFonts w:ascii="Times New Roman" w:eastAsia="Times New Roman" w:hAnsi="Times New Roman" w:cs="Times New Roman"/>
        </w:rPr>
        <w:lastRenderedPageBreak/>
        <w:t>y, ya en 2022, la instalación de la Prorrectoría y de la Dirección de Pueblos Originarios, esta última en sintonía con el mandato intercultural de la Ley 21.094. Vista en conjunto, la secuencia dibuja quince años de trabajo continuo sobre la arquitectura institucional, sostenido por administraciones sucesivas en una misma dirección.</w:t>
      </w:r>
    </w:p>
    <w:p w14:paraId="3237A9F8" w14:textId="77777777" w:rsidR="00E3792B" w:rsidRDefault="00E3792B" w:rsidP="00E3792B">
      <w:pPr>
        <w:spacing w:after="120"/>
        <w:jc w:val="both"/>
      </w:pPr>
      <w:r>
        <w:rPr>
          <w:rFonts w:ascii="Times New Roman" w:eastAsia="Times New Roman" w:hAnsi="Times New Roman" w:cs="Times New Roman"/>
        </w:rPr>
        <w:t>Los efectos de este itinerario son verificables. Dire08 describe el fortalecimiento de las direcciones centrales de la Vicerrectoría Académica, el cierre de unidades sin viabilidad, la apertura de carreras alineadas con las vocaciones productivas regionales y la creación de la Dirección de Acceso, Equidad y Permanencia, decisiva para elevar los indicadores de progresión; la universidad se sitúa hoy por sobre la media nacional, cercana al 85% de retención de primer año, y sostiene un acompañamiento del estudiante "desde el primer día", declaración que conecta el dispositivo técnico con la misión pública. La expansión programática siguió idéntico criterio, con dieciséis carreras nuevas en la última década, un énfasis marcado en el área de salud y la apertura proyectada de medicina, todo ello sostenido por inversiones en infraestructura cofinanciadas con el Gobierno Regional.</w:t>
      </w:r>
    </w:p>
    <w:p w14:paraId="1C806497" w14:textId="77777777" w:rsidR="00E3792B" w:rsidRDefault="00E3792B" w:rsidP="00E3792B">
      <w:pPr>
        <w:spacing w:after="120"/>
        <w:jc w:val="both"/>
      </w:pPr>
      <w:r>
        <w:rPr>
          <w:rFonts w:ascii="Times New Roman" w:eastAsia="Times New Roman" w:hAnsi="Times New Roman" w:cs="Times New Roman"/>
        </w:rPr>
        <w:t>El patrón que emerge es el de un cambio anticipado y escalonado, pues la ULAGOS convirtió una crisis de legitimidad en plataforma de rediseño y aprendió a tratar la calidad como capacidad instalada antes que como trámite. Interpretada así, la estandarización deja de operar como corsé y se vuelve palanca para crecer con sentido.</w:t>
      </w:r>
    </w:p>
    <w:p w14:paraId="049FB200" w14:textId="77777777" w:rsidR="00E3792B" w:rsidRDefault="00E3792B" w:rsidP="00E3792B">
      <w:pPr>
        <w:spacing w:before="240" w:after="120"/>
        <w:outlineLvl w:val="1"/>
      </w:pPr>
      <w:r>
        <w:rPr>
          <w:rFonts w:ascii="Times New Roman" w:eastAsia="Times New Roman" w:hAnsi="Times New Roman" w:cs="Times New Roman"/>
          <w:b/>
          <w:bCs/>
        </w:rPr>
        <w:t>La Universidad Arturo Prat. De la expansión a la autorregulación</w:t>
      </w:r>
    </w:p>
    <w:p w14:paraId="7D7C65DD" w14:textId="77777777" w:rsidR="00E3792B" w:rsidRDefault="00E3792B" w:rsidP="00E3792B">
      <w:pPr>
        <w:spacing w:after="120"/>
        <w:jc w:val="both"/>
      </w:pPr>
      <w:r>
        <w:rPr>
          <w:rFonts w:ascii="Times New Roman" w:eastAsia="Times New Roman" w:hAnsi="Times New Roman" w:cs="Times New Roman"/>
        </w:rPr>
        <w:t>La UNAP recorre el mismo campo por un camino distinto, pues su punto de partida no fue la crisis sino la expansión. Durante los años noventa y dos mil, la universidad se desplegó a lo largo del país abriendo sedes y centros hasta asumirse, en palabras de Dire05, como "una universidad nacional, con sistemas, personal, estructura y un organigrama para ello". Esa expansión, financiada por una lógica de mercado que premiaba la captación de matrícula, encontró su límite en 2006, cuando la no acreditación del primer proceso obligó a replegarse.</w:t>
      </w:r>
    </w:p>
    <w:p w14:paraId="285CD482" w14:textId="77777777" w:rsidR="00E3792B" w:rsidRDefault="00E3792B" w:rsidP="00E3792B">
      <w:pPr>
        <w:spacing w:after="120"/>
        <w:jc w:val="both"/>
      </w:pPr>
      <w:r>
        <w:rPr>
          <w:rFonts w:ascii="Times New Roman" w:eastAsia="Times New Roman" w:hAnsi="Times New Roman" w:cs="Times New Roman"/>
        </w:rPr>
        <w:t xml:space="preserve">Desde entonces la institución inició lo que sus directivos describen como un ciclo de autorregulación. Se cerraron sedes y varias se reconvirtieron en Centros Docentes y de Vinculación; en 2013 la organización académica abandonó los departamentos y adoptó una estructura de facultades, a las que en 2018 se sumó una séptima, mientras se creaba la Vicerrectoría de Investigación e Innovación. El punto culminante llegó con la reestructuración integral de 2020, empujada por la proximidad del ciclo de acreditación y por una crisis presupuestaria aguda —un déficit superior a cinco mil millones de pesos y un ajuste de dotación cercano a doscientas cincuenta desvinculaciones—, que creó la Prorrectoría, instaló una Fiscalía, elevó la unidad de informática a Dirección de Tecnologías de la Información, fusionó áreas administrativas, cerró institutos y centros </w:t>
      </w:r>
      <w:r>
        <w:rPr>
          <w:rFonts w:ascii="Times New Roman" w:eastAsia="Times New Roman" w:hAnsi="Times New Roman" w:cs="Times New Roman"/>
        </w:rPr>
        <w:lastRenderedPageBreak/>
        <w:t>de investigación con baja productividad y concentró bajo la órbita de la Prorrectoría las funciones de análisis, planificación y calidad.</w:t>
      </w:r>
    </w:p>
    <w:p w14:paraId="0C51576C" w14:textId="77777777" w:rsidR="00E3792B" w:rsidRDefault="00E3792B" w:rsidP="00E3792B">
      <w:pPr>
        <w:spacing w:after="120"/>
        <w:jc w:val="both"/>
      </w:pPr>
      <w:r>
        <w:rPr>
          <w:rFonts w:ascii="Times New Roman" w:eastAsia="Times New Roman" w:hAnsi="Times New Roman" w:cs="Times New Roman"/>
        </w:rPr>
        <w:t>El propio Dire05 sintetiza esa secuencia al señalar que la universidad "pasó de un proceso de expansión hacia un proceso de autorregulación, de ajuste, de concentración de estructuras, hacia un ordenamiento y focalización por la calidad". La depuración fue drástica. Dire01 relata que se cerraron numerosos centros e institutos hasta quedar con dos institutos y un centro, y que solo se abrieron programas de magíster y doctorado "que tengan esa mirada de alta calidad". El criterio de decisión no fue la tradición ni la representación de las unidades, sino la productividad demostrable.</w:t>
      </w:r>
    </w:p>
    <w:p w14:paraId="279375B2" w14:textId="77777777" w:rsidR="00E3792B" w:rsidRDefault="00E3792B" w:rsidP="00E3792B">
      <w:pPr>
        <w:spacing w:after="120"/>
        <w:jc w:val="both"/>
      </w:pPr>
      <w:r>
        <w:rPr>
          <w:rFonts w:ascii="Times New Roman" w:eastAsia="Times New Roman" w:hAnsi="Times New Roman" w:cs="Times New Roman"/>
        </w:rPr>
        <w:t>Los resultados de esa apuesta resultan igualmente verificables. La producción científica pasó de 66 publicaciones en 2012 a 373 en 2024, con 328 indexadas en Scopus y 282 en Web of Science, junto con un salto sostenido en la adjudicación de proyectos competitivos y una acreditación institucional avanzada por cinco años en 2021; el posgrado, a su vez, se expandió a cinco magísteres y cinco doctorados alineados con las líneas de investigación consolidadas. En términos ecológicos, ocupó un nicho reconocible, el de la productividad científica y el posgrado de alta exigencia, y lo hizo con eficacia.</w:t>
      </w:r>
    </w:p>
    <w:p w14:paraId="5F16EEA0" w14:textId="77777777" w:rsidR="00E3792B" w:rsidRDefault="00E3792B" w:rsidP="00E3792B">
      <w:pPr>
        <w:spacing w:after="120"/>
        <w:jc w:val="both"/>
      </w:pPr>
      <w:r>
        <w:rPr>
          <w:rFonts w:ascii="Times New Roman" w:eastAsia="Times New Roman" w:hAnsi="Times New Roman" w:cs="Times New Roman"/>
        </w:rPr>
        <w:t>El costo de esa focalización aflora en las propias entrevistas. Dire07 advierte que la institución no ha tenido "procesos de planificación que nos permitan proyectar la Universidad ordenadamente en el largo plazo" y confiesa no ver todavía "un plan real" en una universidad atrapada en el corto plazo. La creación de nueva oferta de pregrado ha sido acotada, solo cuatro carreras en la última década frente a las dieciséis de la ULAGOS, lo que ha abierto espacio a los privados en la Región de Tarapacá. La lección resulta incómoda y merece subrayarse, dado que el ordenamiento por calidad estabiliza, pero no crece por sí solo, y una universidad que únicamente se ordena puede terminar cediendo el territorio que dice representar.</w:t>
      </w:r>
    </w:p>
    <w:p w14:paraId="0DCD5C7A" w14:textId="77777777" w:rsidR="00E3792B" w:rsidRDefault="00E3792B" w:rsidP="00E3792B">
      <w:pPr>
        <w:spacing w:before="240" w:after="120"/>
        <w:outlineLvl w:val="1"/>
      </w:pPr>
      <w:r>
        <w:rPr>
          <w:rFonts w:ascii="Times New Roman" w:eastAsia="Times New Roman" w:hAnsi="Times New Roman" w:cs="Times New Roman"/>
          <w:b/>
          <w:bCs/>
        </w:rPr>
        <w:t>El crecimiento de la capa técnico-administrativa</w:t>
      </w:r>
    </w:p>
    <w:p w14:paraId="1A615A76" w14:textId="77777777" w:rsidR="00E3792B" w:rsidRDefault="00E3792B" w:rsidP="00E3792B">
      <w:pPr>
        <w:spacing w:after="120"/>
        <w:jc w:val="both"/>
      </w:pPr>
      <w:r>
        <w:rPr>
          <w:rFonts w:ascii="Times New Roman" w:eastAsia="Times New Roman" w:hAnsi="Times New Roman" w:cs="Times New Roman"/>
        </w:rPr>
        <w:t>Si se superponen ambos organigramas y se los compara con los de comienzos de siglo, el hallazgo más visible es la aparición de una capa institucional que antes no existía, integrada por direcciones de aseguramiento de la calidad, unidades de análisis institucional, oficinas de planificación y control de gestión, comités de calidad presididos por el rector, coordinaciones curriculares y prorrectorías encargadas de articular el conjunto. Dire06 describe con precisión ese crecimiento cuando recuerda que la ULAGOS "partió con un pequeño comité de calidad" y hoy cuenta con una dirección dotada de personal cualificado que conduce el sistema interno de aseguramiento, respaldada por un sistema de gestión estratégica robusto.</w:t>
      </w:r>
    </w:p>
    <w:p w14:paraId="23D825CE" w14:textId="77777777" w:rsidR="00E3792B" w:rsidRDefault="00E3792B" w:rsidP="00E3792B">
      <w:pPr>
        <w:spacing w:after="120"/>
        <w:jc w:val="both"/>
      </w:pPr>
      <w:r>
        <w:rPr>
          <w:rFonts w:ascii="Times New Roman" w:eastAsia="Times New Roman" w:hAnsi="Times New Roman" w:cs="Times New Roman"/>
        </w:rPr>
        <w:lastRenderedPageBreak/>
        <w:t>El fenómeno está bien documentado. Gumport (2000) mostró que la reestructuración académica responde menos a imperativos pedagógicos que a imperativos de legitimidad y supervivencia, con el consiguiente desplazamiento de recursos desde las funciones sustantivas hacia las de gestión, y Krücken y Meier (2006) leyeron ese mismo movimiento como parte de la conversión de la universidad en actor organizacional. Baltaru y Soysal (2018), con evidencia longitudinal, confirmaron que la expansión del personal administrativo obedece a la incorporación de nuevas funciones antes que a un crecimiento burocrático inercial, matiz que evita caricaturizar el fenómeno.</w:t>
      </w:r>
    </w:p>
    <w:p w14:paraId="362F0782" w14:textId="77777777" w:rsidR="00E3792B" w:rsidRDefault="00E3792B" w:rsidP="00E3792B">
      <w:pPr>
        <w:spacing w:after="120"/>
        <w:jc w:val="both"/>
      </w:pPr>
      <w:r>
        <w:rPr>
          <w:rFonts w:ascii="Times New Roman" w:eastAsia="Times New Roman" w:hAnsi="Times New Roman" w:cs="Times New Roman"/>
        </w:rPr>
        <w:t>La evidencia de ambos casos apunta en esa dirección y, a la vez, la complica. Dire03 relata que, a medida que la ULAGOS aumentó de tamaño, se robustecieron la Vicerrectoría de Planificación y Desarrollo, la Dirección de Análisis Institucional y la Dirección de Aseguramiento de la Calidad, hasta convertirse en "unidades estratégicas, referentes técnicos en la universidad". La expresión merece atención, pues estas unidades no solo apoyan la decisión, la orientan. Quien controla la información institucional, define los indicadores y prepara los informes de autoevaluación adquiere un poder de agenda que ningún estatuto le confiere formalmente. Brennan y Shah (2000) anticiparon con exactitud este efecto; Bleiklie, Enders y Lepori (2015) lo caracterizaron como la transformación de la universidad en una jerarquía penetrada, donde las presiones ambientales reorganizan la autoridad interna; y Labraña, Puyol, Brunner y Alarcón (2024) han mostrado, en universidades chilenas, cómo el gerencialismo reconfigura las identidades académicas al desplazar el eje de la autoridad desde la colegialidad disciplinaria hacia la competencia técnico-administrativa.</w:t>
      </w:r>
    </w:p>
    <w:p w14:paraId="453FDE7E" w14:textId="77777777" w:rsidR="00E3792B" w:rsidRDefault="00E3792B" w:rsidP="00E3792B">
      <w:pPr>
        <w:spacing w:after="120"/>
        <w:jc w:val="both"/>
      </w:pPr>
      <w:r>
        <w:rPr>
          <w:rFonts w:ascii="Times New Roman" w:eastAsia="Times New Roman" w:hAnsi="Times New Roman" w:cs="Times New Roman"/>
        </w:rPr>
        <w:t>El resultado es ambivalente, y las entrevistas así lo reconocen, pues hay más orden, trazabilidad y mejores datos, pero también más carga administrativa y un riesgo persistente de burocratización. Dire07 lo formula desde la experiencia cotidiana al observar que difícilmente las universidades se autoimpondrán mayores exigencias "porque nos come el día a día", con lo financiero, la contraloría y las denuncias ocupando el tiempo que debería destinarse a lo sustantivo. Quien haya trabajado en una unidad académica durante un año de acreditación reconocerá la escena.</w:t>
      </w:r>
    </w:p>
    <w:p w14:paraId="3E476090" w14:textId="77777777" w:rsidR="00E3792B" w:rsidRDefault="00E3792B" w:rsidP="00E3792B">
      <w:pPr>
        <w:spacing w:before="240" w:after="120"/>
        <w:outlineLvl w:val="1"/>
      </w:pPr>
      <w:r>
        <w:rPr>
          <w:rFonts w:ascii="Times New Roman" w:eastAsia="Times New Roman" w:hAnsi="Times New Roman" w:cs="Times New Roman"/>
          <w:b/>
          <w:bCs/>
        </w:rPr>
        <w:t>"Siempre nos miramos". El isomorfismo como práctica cotidiana</w:t>
      </w:r>
    </w:p>
    <w:p w14:paraId="53505784" w14:textId="77777777" w:rsidR="00E3792B" w:rsidRDefault="00E3792B" w:rsidP="00E3792B">
      <w:pPr>
        <w:spacing w:after="120"/>
        <w:jc w:val="both"/>
      </w:pPr>
      <w:r>
        <w:rPr>
          <w:rFonts w:ascii="Times New Roman" w:eastAsia="Times New Roman" w:hAnsi="Times New Roman" w:cs="Times New Roman"/>
        </w:rPr>
        <w:t xml:space="preserve">La dimensión más nítida del análisis emerge cuando se pregunta a los equipos directivos si comparan su institución con otras. Las respuestas exhiben una franqueza que dispensa de todo comentario. "Siempre nos miramos, y diría abiertamente que muchas veces copiamos", reconoce Dire06, quien precisa que ello se advierte "en reglamentos, estructuras, decisiones". Dire05 relata que la creación de la Prorrectoría y la decisión sobre qué unidades dependerían de ella se resolvieron observando dónde las ubicaban las universidades catalogadas como referentes, y Dire01 explica que la mirada se dirige a </w:t>
      </w:r>
      <w:r>
        <w:rPr>
          <w:rFonts w:ascii="Times New Roman" w:eastAsia="Times New Roman" w:hAnsi="Times New Roman" w:cs="Times New Roman"/>
        </w:rPr>
        <w:lastRenderedPageBreak/>
        <w:t>instituciones similares en propiedad y dispersión geográfica, mencionando a Talca, La Frontera, Tarapacá y O'Higgins entre sus referencias habituales.</w:t>
      </w:r>
    </w:p>
    <w:p w14:paraId="4C3A4FAC" w14:textId="77777777" w:rsidR="00E3792B" w:rsidRDefault="00E3792B" w:rsidP="00E3792B">
      <w:pPr>
        <w:spacing w:after="120"/>
        <w:jc w:val="both"/>
      </w:pPr>
      <w:r>
        <w:rPr>
          <w:rFonts w:ascii="Times New Roman" w:eastAsia="Times New Roman" w:hAnsi="Times New Roman" w:cs="Times New Roman"/>
        </w:rPr>
        <w:t>Nadie lo dice con vergüenza, sino con el alivio de quien describe una rutina.</w:t>
      </w:r>
    </w:p>
    <w:p w14:paraId="740F68D3" w14:textId="77777777" w:rsidR="00E3792B" w:rsidRDefault="00E3792B" w:rsidP="00E3792B">
      <w:pPr>
        <w:spacing w:after="120"/>
        <w:jc w:val="both"/>
      </w:pPr>
      <w:r>
        <w:rPr>
          <w:rFonts w:ascii="Times New Roman" w:eastAsia="Times New Roman" w:hAnsi="Times New Roman" w:cs="Times New Roman"/>
        </w:rPr>
        <w:t>Estos testimonios ilustran con precisión de manual los tres mecanismos descritos por DiMaggio y Powell (1983). El isomorfismo coercitivo asoma cuando Dire05 recuerda que las universidades estatales comparten "una Ley que nos regula, la 21.094", donde existen principios comunes que explican por qué se parecen en sus definiciones fundamentales; el mimético se manifiesta cuando Dire06 declara que ninguna decisión se adopta sin incorporar un benchmarking, "porque no podemos inventar la rueda, porque el riesgo y costo es muy alto"; y el normativo circula por las redes del Consorcio de Universidades Estatales y del Consejo de Rectores, que según Dire03 permiten intercambiar permanentemente experiencias y buenas prácticas de los sistemas internos de aseguramiento, y que durante los procesos de autoevaluación llevan a las instituciones a examinar los informes ajenos, adoptar y adaptar.</w:t>
      </w:r>
    </w:p>
    <w:p w14:paraId="0E3563B6" w14:textId="77777777" w:rsidR="00E3792B" w:rsidRDefault="00E3792B" w:rsidP="00E3792B">
      <w:pPr>
        <w:spacing w:after="120"/>
        <w:jc w:val="both"/>
      </w:pPr>
      <w:r>
        <w:rPr>
          <w:rFonts w:ascii="Times New Roman" w:eastAsia="Times New Roman" w:hAnsi="Times New Roman" w:cs="Times New Roman"/>
        </w:rPr>
        <w:t>La literatura confirma que no se trata de una singularidad chilena. Ozturk (2020) documentó cómo las presiones directas del Estado producen isomorfismo coercitivo en las universidades turcas, y Ansmann y Seyfried (2022) demostraron, con evidencia alemana, que la adopción isomórfica de sistemas de gestión de calidad no se traduce necesariamente en mejor desempeño organizacional, hallazgo que converge con lo observado por Seyfried y Pohlenz (2018), quienes constatan que incluso los propios gestores evalúan con escepticismo la efectividad de los dispositivos que administran. Landoni (2008), desde Uruguay, evidenció cómo la calidad redefine las fronteras entre lo público y lo privado empujando a las instituciones a converger; y en Chile, Labraña, Puyol y Brunner (2023) han mostrado que racionalización y mercadización operan como procesos entrelazados que disciplinan el campo universitario, mientras que Labraña, Henríquez y La Torre (2023) documentan cómo la matriz del new public management se instaló en la gestión de las universidades estatales hasta volverse, para muchos actores, la única forma imaginable de conducción.</w:t>
      </w:r>
    </w:p>
    <w:p w14:paraId="313EF6BD" w14:textId="77777777" w:rsidR="00E3792B" w:rsidRDefault="00E3792B" w:rsidP="00E3792B">
      <w:pPr>
        <w:spacing w:after="120"/>
        <w:jc w:val="both"/>
      </w:pPr>
      <w:r>
        <w:rPr>
          <w:rFonts w:ascii="Times New Roman" w:eastAsia="Times New Roman" w:hAnsi="Times New Roman" w:cs="Times New Roman"/>
        </w:rPr>
        <w:t xml:space="preserve">Resulta significativo que los directivos opongan, con todo, cierta resistencia a la lectura isomórfica. "No nos queremos parecer a otras universidades, miramos y tomamos lo mejor, pero tenemos una misión propia, una identidad que nos enorgullece", afirma Dire06; Dire01 insiste, en la misma línea, en que la UNAP se concibe como "la universidad del conocimiento y territorio". Ambas afirmaciones son sinceras y, a la vez, perfectamente compatibles con el isomorfismo, dado que la convergencia no exige que las universidades quieran parecerse, sino tan solo que enfrenten el mismo entorno con recursos similares e idéntica aversión al error. Dire03 lo comprende con notable lucidez cuando reconoce que "esta idea del isomorfismo, de copiarnos, de mirarnos, es cierta" y la explica de inmediato por sus condiciones de posibilidad —una Comisión Nacional de </w:t>
      </w:r>
      <w:r>
        <w:rPr>
          <w:rFonts w:ascii="Times New Roman" w:eastAsia="Times New Roman" w:hAnsi="Times New Roman" w:cs="Times New Roman"/>
        </w:rPr>
        <w:lastRenderedPageBreak/>
        <w:t>Acreditación que obliga a estandarizar y un financiamiento que no alcanza—, ante las cuales "lo más práctico es asimilar procesos y estructuras". Copiar, en esas condiciones, resulta bastante menos arriesgado y considerablemente más barato que ensayar por cuenta propia.</w:t>
      </w:r>
    </w:p>
    <w:p w14:paraId="578C7E49" w14:textId="77777777" w:rsidR="00E3792B" w:rsidRDefault="00E3792B" w:rsidP="00E3792B">
      <w:pPr>
        <w:spacing w:before="240" w:after="120"/>
        <w:outlineLvl w:val="1"/>
      </w:pPr>
      <w:r>
        <w:rPr>
          <w:rFonts w:ascii="Times New Roman" w:eastAsia="Times New Roman" w:hAnsi="Times New Roman" w:cs="Times New Roman"/>
          <w:b/>
          <w:bCs/>
        </w:rPr>
        <w:t>Capitalismo académico, competencia y gerencialización</w:t>
      </w:r>
    </w:p>
    <w:p w14:paraId="43D59741" w14:textId="77777777" w:rsidR="00E3792B" w:rsidRDefault="00E3792B" w:rsidP="00E3792B">
      <w:pPr>
        <w:spacing w:after="120"/>
        <w:jc w:val="both"/>
      </w:pPr>
      <w:r>
        <w:rPr>
          <w:rFonts w:ascii="Times New Roman" w:eastAsia="Times New Roman" w:hAnsi="Times New Roman" w:cs="Times New Roman"/>
        </w:rPr>
        <w:t>Los directivos entrevistados nombran el clima en que operan sin que el entrevistador lo sugiera. "Estamos en un modelo marcado por el capitalismo académico, donde las lógicas gerenciales y de mercado se han tomado la agenda pública y la forma de hacer universidad", afirma Dire05, en una declaración notable porque proviene de quien administra el sistema y no de quien lo critica desde fuera.</w:t>
      </w:r>
    </w:p>
    <w:p w14:paraId="74185F31" w14:textId="77777777" w:rsidR="00E3792B" w:rsidRDefault="00E3792B" w:rsidP="00E3792B">
      <w:pPr>
        <w:spacing w:after="120"/>
        <w:jc w:val="both"/>
      </w:pPr>
      <w:r>
        <w:rPr>
          <w:rFonts w:ascii="Times New Roman" w:eastAsia="Times New Roman" w:hAnsi="Times New Roman" w:cs="Times New Roman"/>
        </w:rPr>
        <w:t>La consecuencia más señalada es la competencia entre pares que deberían colaborar. Dire06 lamenta que la lógica dominante ponga a competir a las universidades estatales entre sí y añade una observación que condensa la mutación del rol directivo, cuando sostiene que "los rectores cada vez somos más gerentes". Dire01, a su turno, describe el costo subjetivo de esa condición al sostener que "este capitalismo académico nos tiene estresados", con la obligación permanente de salir a buscar recursos porque el aporte del Estado no alcanza, y agrega un argumento que cierra el círculo de este artículo, ya que la escasez de recursos y la fragilidad institucional constituyen, en sus palabras, "un incentivo para copiar buenas prácticas, porque no hay margen al error". El isomorfismo, por consiguiente, no es solo un efecto de la regulación; es también, y quizá sobre todo, un efecto de la precariedad.</w:t>
      </w:r>
    </w:p>
    <w:p w14:paraId="6608DF0C" w14:textId="77777777" w:rsidR="00E3792B" w:rsidRDefault="00E3792B" w:rsidP="00E3792B">
      <w:pPr>
        <w:spacing w:after="120"/>
        <w:jc w:val="both"/>
      </w:pPr>
      <w:r>
        <w:rPr>
          <w:rFonts w:ascii="Times New Roman" w:eastAsia="Times New Roman" w:hAnsi="Times New Roman" w:cs="Times New Roman"/>
        </w:rPr>
        <w:t>El diagnóstico coincide con lo que la literatura viene señalando desde hace décadas. Slaughter y Rhoades (2004) mostraron que el capitalismo académico no consiste meramente en vender servicios, sino en reorganizar la vida universitaria en torno a la captura de recursos externos, con la consiguiente expansión de un estrato de gestores profesionales; Marginson y Considine (2000) documentaron el ascenso de la universidad empresarial y de su ejecutivo fortalecido; Olssen y Peters (2005) señalaron que la auditoría permanente constituye el complemento necesario de la autonomía de mercado, pues un sistema que descentraliza la decisión debe centralizar el control de resultados. Brunner, Ganga-Contreras y Rodríguez-Ponce (2018), en fin, insisten en que el caso chileno representa una versión particularmente pura de esta configuración, en tanto la competencia por matrícula y financiamiento no es un efecto colateral del sistema sino su principio de funcionamiento.</w:t>
      </w:r>
    </w:p>
    <w:p w14:paraId="7D61C01F" w14:textId="77777777" w:rsidR="00E3792B" w:rsidRDefault="00E3792B" w:rsidP="00E3792B">
      <w:pPr>
        <w:spacing w:after="120"/>
        <w:jc w:val="both"/>
      </w:pPr>
      <w:r>
        <w:rPr>
          <w:rFonts w:ascii="Times New Roman" w:eastAsia="Times New Roman" w:hAnsi="Times New Roman" w:cs="Times New Roman"/>
        </w:rPr>
        <w:t xml:space="preserve">Lo que la evidencia de estos dos casos agrega es una precisión de no poca importancia. La misión pública no desaparece bajo el capitalismo académico, sino que se traduce a su lenguaje. La ULAGOS traduce la pertinencia territorial en retención, titulación, carreras alineadas con vocaciones productivas e infraestructura cofinanciada con el gobierno </w:t>
      </w:r>
      <w:r>
        <w:rPr>
          <w:rFonts w:ascii="Times New Roman" w:eastAsia="Times New Roman" w:hAnsi="Times New Roman" w:cs="Times New Roman"/>
        </w:rPr>
        <w:lastRenderedPageBreak/>
        <w:t>regional; la UNAP traduce la movilidad social y la interculturalidad en programas acreditados, productividad indexada y equivalencia formativa entre sedes. Hay diferenciación, ciertamente, pero obligada a expresarse en el vocabulario que el evaluador reconoce. Dire01 lo advierte al sostener que las universidades estatales "tenemos que mantener un sello de lo que significa lo público", afirmación que, por resultar necesaria, revela hasta qué punto ese sello se percibe amenazado.</w:t>
      </w:r>
    </w:p>
    <w:p w14:paraId="2A1473A1" w14:textId="77777777" w:rsidR="00E3792B" w:rsidRDefault="00E3792B" w:rsidP="00E3792B">
      <w:pPr>
        <w:spacing w:before="240" w:after="120"/>
        <w:outlineLvl w:val="1"/>
      </w:pPr>
      <w:r>
        <w:rPr>
          <w:rFonts w:ascii="Times New Roman" w:eastAsia="Times New Roman" w:hAnsi="Times New Roman" w:cs="Times New Roman"/>
          <w:b/>
          <w:bCs/>
        </w:rPr>
        <w:t>Convergencia en la forma, divergencia en la ruta</w:t>
      </w:r>
    </w:p>
    <w:p w14:paraId="6DA49F75" w14:textId="77777777" w:rsidR="00E3792B" w:rsidRDefault="00E3792B" w:rsidP="00E3792B">
      <w:pPr>
        <w:spacing w:after="120"/>
        <w:jc w:val="both"/>
      </w:pPr>
      <w:r>
        <w:rPr>
          <w:rFonts w:ascii="Times New Roman" w:eastAsia="Times New Roman" w:hAnsi="Times New Roman" w:cs="Times New Roman"/>
        </w:rPr>
        <w:t>El cuadro comparado permite ordenar los hallazgos con cierta economía. Ambas universidades adoptaron el mismo repertorio de estructuras canónicas —vicerrectorías de investigación y posgrado, unidades de planificación y análisis institucional, direcciones de aseguramiento de la calidad, coordinaciones curriculares, direcciones transversales y, más recientemente, prorrectorías destinadas a integrar la ejecución—; en ambas, la gestión se centralizó y profesionalizó, los procesos se estandarizaron y la decisión se apoyó crecientemente en datos. La convergencia estructural es difícilmente discutible.</w:t>
      </w:r>
    </w:p>
    <w:p w14:paraId="5F863FA4" w14:textId="77777777" w:rsidR="00E3792B" w:rsidRDefault="00E3792B" w:rsidP="00E3792B">
      <w:pPr>
        <w:spacing w:after="120"/>
        <w:jc w:val="both"/>
      </w:pPr>
      <w:r>
        <w:rPr>
          <w:rFonts w:ascii="Times New Roman" w:eastAsia="Times New Roman" w:hAnsi="Times New Roman" w:cs="Times New Roman"/>
        </w:rPr>
        <w:t>Las divergencias, en cambio, hablan de trayectorias. La ULAGOS cambió antes, de manera planificada y sostenida, convirtiendo la crisis de 2006 en un ciclo de rediseño que combinó gobierno corporativo, expansión de la oferta y anclaje territorial con metas temporales explícitas; la UNAP concentró su gran salto en 2020, mediante una reingeniería intensiva orientada a sanear las finanzas, proteger la operación y apalancar prestigio por la vía de la ciencia y el posgrado. La primera ordenó para complejizar y crecer; la segunda, para focalizar y recomponer. La diferencia no es de grado sino de secuencia, y esa secuencia explica buena parte de los resultados observables hoy, incluida la asimetría en la creación de nueva oferta de pregrado y en el posicionamiento regional.</w:t>
      </w:r>
    </w:p>
    <w:p w14:paraId="3C44653F" w14:textId="77777777" w:rsidR="00E3792B" w:rsidRDefault="00E3792B" w:rsidP="00E3792B">
      <w:pPr>
        <w:spacing w:after="120"/>
        <w:jc w:val="both"/>
      </w:pPr>
      <w:r>
        <w:rPr>
          <w:rFonts w:ascii="Times New Roman" w:eastAsia="Times New Roman" w:hAnsi="Times New Roman" w:cs="Times New Roman"/>
        </w:rPr>
        <w:t>Semejante combinación de homología estructural y diferenciación de nicho es lo que la teoría ecológica permite anticipar, pues en un ecosistema denso la supervivencia exige encajar en el tipo legítimo y, a la vez, ocupar un espacio reconocible. Las poblaciones organizacionales tienden a la convergencia formal y a la especialización sustantiva (Hannan &amp; Freeman, 1989), de manera que la homología de los organigramas y la diferencia de énfasis no se contradicen. Se sostienen entre sí.</w:t>
      </w:r>
    </w:p>
    <w:p w14:paraId="26ED0698" w14:textId="77777777" w:rsidR="00E3792B" w:rsidRDefault="00E3792B" w:rsidP="00E3792B">
      <w:pPr>
        <w:spacing w:after="120"/>
        <w:jc w:val="both"/>
      </w:pPr>
      <w:r>
        <w:rPr>
          <w:rFonts w:ascii="Times New Roman" w:eastAsia="Times New Roman" w:hAnsi="Times New Roman" w:cs="Times New Roman"/>
        </w:rPr>
        <w:t xml:space="preserve">Queda pendiente la pregunta más difícil. ¿Mejora efectivamente la formación esta convergencia? La evidencia aconseja cautela. Hay avances verificables en retención, titulación, productividad científica y salud financiera, pero no existe evidencia comparable de que la calidad del aprendizaje haya progresado en la misma proporción, y la advertencia de Dire09 sobre el termómetro y la salud conserva toda su vigencia. Ansmann y Seyfried (2022) llegan a una conclusión análoga con datos alemanes, y Stensaker (2008) ya había advertido sobre la debilidad metodológica de las afirmaciones que atribuyen mejoras sustantivas al aseguramiento de la calidad. El riesgo de que la </w:t>
      </w:r>
      <w:r>
        <w:rPr>
          <w:rFonts w:ascii="Times New Roman" w:eastAsia="Times New Roman" w:hAnsi="Times New Roman" w:cs="Times New Roman"/>
        </w:rPr>
        <w:lastRenderedPageBreak/>
        <w:t>calidad se convierta en ficción performativa, tal como anticipaban Brennan y Shah (2000), permanece abierto, y solo un desplazamiento hacia el trabajo efectivamente realizado en aulas y laboratorios podría conjurarlo (Elken &amp; Stensaker, 2018).</w:t>
      </w:r>
    </w:p>
    <w:p w14:paraId="6E22AD7D" w14:textId="77777777" w:rsidR="00E3792B" w:rsidRDefault="00E3792B" w:rsidP="00E3792B">
      <w:pPr>
        <w:spacing w:before="240" w:after="120"/>
        <w:outlineLvl w:val="1"/>
      </w:pPr>
      <w:r>
        <w:rPr>
          <w:rFonts w:ascii="Times New Roman" w:eastAsia="Times New Roman" w:hAnsi="Times New Roman" w:cs="Times New Roman"/>
          <w:b/>
          <w:bCs/>
        </w:rPr>
        <w:t>Conclusiones</w:t>
      </w:r>
    </w:p>
    <w:p w14:paraId="43667E0F" w14:textId="77777777" w:rsidR="00E3792B" w:rsidRDefault="00E3792B" w:rsidP="00E3792B">
      <w:pPr>
        <w:spacing w:after="120"/>
        <w:jc w:val="both"/>
      </w:pPr>
      <w:r>
        <w:rPr>
          <w:rFonts w:ascii="Times New Roman" w:eastAsia="Times New Roman" w:hAnsi="Times New Roman" w:cs="Times New Roman"/>
        </w:rPr>
        <w:t>El recorrido realizado permite sostener con evidencia una afirmación que en el punto de partida era apenas una intuición. El aseguramiento de la calidad no es, en el Chile contemporáneo, un procedimiento de verificación externa. Se trata de un dispositivo de gobernanza que reorganiza la universidad desde dentro, que le entrega un idioma con el cual justificar decisiones y un calendario con el cual ordenarlas, y que redistribuye la autoridad interna en favor de quienes controlan la información y la evidencia. La autoridad universitaria gobierna hoy menos por jerarquía estatutaria y más por pruebas públicas de desempeño.</w:t>
      </w:r>
    </w:p>
    <w:p w14:paraId="4DFEE3A2" w14:textId="77777777" w:rsidR="00E3792B" w:rsidRDefault="00E3792B" w:rsidP="00E3792B">
      <w:pPr>
        <w:spacing w:after="120"/>
        <w:jc w:val="both"/>
      </w:pPr>
      <w:r>
        <w:rPr>
          <w:rFonts w:ascii="Times New Roman" w:eastAsia="Times New Roman" w:hAnsi="Times New Roman" w:cs="Times New Roman"/>
        </w:rPr>
        <w:t>Frente a ese dispositivo, la ULAGOS y la UNAP respondieron combinando isomorfismo y adaptación. Convergen en la forma, porque el entorno solo reconoce como legítimo un repertorio acotado de estructuras y porque, en condiciones de incertidumbre y escasez, la imitación es la estrategia racional; divergen en la ruta, porque su historia, sus crisis y sus territorios les impusieron secuencias distintas. Esa doble condición confirma la pertinencia de leer el fenómeno en la intersección de la ecología organizacional, que explica la selección de formas viables, y del neoinstitucionalismo, que explica su difusión, bajo un capitalismo académico que acelera el proceso al vincular la legitimidad con el acceso a los recursos.</w:t>
      </w:r>
    </w:p>
    <w:p w14:paraId="466FA40E" w14:textId="77777777" w:rsidR="00E3792B" w:rsidRDefault="00E3792B" w:rsidP="00E3792B">
      <w:pPr>
        <w:spacing w:after="120"/>
        <w:jc w:val="both"/>
      </w:pPr>
      <w:r>
        <w:rPr>
          <w:rFonts w:ascii="Times New Roman" w:eastAsia="Times New Roman" w:hAnsi="Times New Roman" w:cs="Times New Roman"/>
        </w:rPr>
        <w:t>De aquí se desprenden tres consideraciones. La primera es que el crecimiento de la capa técnico-administrativa no debería evaluarse como un mal en sí mismo ni celebrarse como modernización sin más, dado que su valor depende de si esas capacidades sirven a lo sustantivo o se agotan en producir evidencia para el evaluador. La distancia entre una cosa y otra es, en la práctica, muy delgada.</w:t>
      </w:r>
    </w:p>
    <w:p w14:paraId="43F57DA2" w14:textId="77777777" w:rsidR="00E3792B" w:rsidRDefault="00E3792B" w:rsidP="00E3792B">
      <w:pPr>
        <w:spacing w:after="120"/>
        <w:jc w:val="both"/>
      </w:pPr>
      <w:r>
        <w:rPr>
          <w:rFonts w:ascii="Times New Roman" w:eastAsia="Times New Roman" w:hAnsi="Times New Roman" w:cs="Times New Roman"/>
        </w:rPr>
        <w:t>La segunda es que la estandarización comporta un costo distributivo que rara vez se explicita, ya que medir con la misma vara a instituciones que operan en condiciones radicalmente distintas penaliza a quienes atienden a los estudiantes más vulnerables. Reconocer la pertinencia territorial como criterio de calidad, y no solo como declaración de intenciones, exigiría instrumentos de evaluación considerablemente más sofisticados que los actuales.</w:t>
      </w:r>
    </w:p>
    <w:p w14:paraId="3BE193CE" w14:textId="77777777" w:rsidR="00E3792B" w:rsidRDefault="00E3792B" w:rsidP="00E3792B">
      <w:pPr>
        <w:spacing w:after="120"/>
        <w:jc w:val="both"/>
      </w:pPr>
      <w:r>
        <w:rPr>
          <w:rFonts w:ascii="Times New Roman" w:eastAsia="Times New Roman" w:hAnsi="Times New Roman" w:cs="Times New Roman"/>
        </w:rPr>
        <w:t xml:space="preserve">La tercera, y quizá la más relevante, es que el isomorfismo no condena a la irrelevancia. Las trayectorias examinadas muestran que resulta posible mantener el esqueleto legible que el sistema exige y, al mismo tiempo, recodificarlo con métricas alineadas con la misión y el territorio, y que las redes interuniversitarias pueden servir para algo más que </w:t>
      </w:r>
      <w:r>
        <w:rPr>
          <w:rFonts w:ascii="Times New Roman" w:eastAsia="Times New Roman" w:hAnsi="Times New Roman" w:cs="Times New Roman"/>
        </w:rPr>
        <w:lastRenderedPageBreak/>
        <w:t>copiar lo que funciona, a saber, para discutir quién define qué es lo que funciona. Nada de esto es heroico. Consiste, en el fondo, en aceptar el molde para poder seguir existiendo y, desde dentro, disputar quién decide su forma.</w:t>
      </w:r>
    </w:p>
    <w:p w14:paraId="57F02B83" w14:textId="77777777" w:rsidR="00E3792B" w:rsidRDefault="00E3792B" w:rsidP="00E3792B">
      <w:pPr>
        <w:spacing w:after="120"/>
        <w:jc w:val="both"/>
      </w:pPr>
      <w:r>
        <w:rPr>
          <w:rFonts w:ascii="Times New Roman" w:eastAsia="Times New Roman" w:hAnsi="Times New Roman" w:cs="Times New Roman"/>
        </w:rPr>
        <w:t>Queda, desde luego, mucho por explorar. El análisis se limitó a dos casos y a la perspectiva de sus equipos directivos, de modo que las voces del cuerpo académico, de los funcionarios y de los estudiantes permanecen fuera de escena, junto con los conflictos y resistencias que ocurren en el nivel de las facultades y las carreras. Extender la comparación a otras universidades estatales, incorporar instituciones privadas y contrastar con experiencias internacionales permitiría afinar las condiciones bajo las cuales la calidad se convierte en capacidad institucional y no en burocracia. Esa es, en último término, la pregunta que importa, no si las universidades cumplen, sino qué universidad queda cuando terminan de cumplir.</w:t>
      </w:r>
    </w:p>
    <w:p w14:paraId="33C22D16" w14:textId="77777777" w:rsidR="00E3792B" w:rsidRDefault="00E3792B" w:rsidP="00E3792B">
      <w:pPr>
        <w:spacing w:before="240" w:after="120"/>
        <w:outlineLvl w:val="1"/>
      </w:pPr>
      <w:r>
        <w:rPr>
          <w:rFonts w:ascii="Times New Roman" w:eastAsia="Times New Roman" w:hAnsi="Times New Roman" w:cs="Times New Roman"/>
          <w:b/>
          <w:bCs/>
        </w:rPr>
        <w:t>Referencias Bibliográficas (APA 7)</w:t>
      </w:r>
    </w:p>
    <w:p w14:paraId="3B487F6E" w14:textId="575FBC5C" w:rsidR="00E3792B" w:rsidRDefault="00E3792B" w:rsidP="00E3792B">
      <w:pPr>
        <w:spacing w:after="120"/>
        <w:ind w:left="720" w:hanging="720"/>
        <w:jc w:val="both"/>
      </w:pPr>
      <w:r>
        <w:rPr>
          <w:rFonts w:ascii="Times New Roman" w:eastAsia="Times New Roman" w:hAnsi="Times New Roman" w:cs="Times New Roman"/>
        </w:rPr>
        <w:t xml:space="preserve">Amburgey, T. L., Kelly, D., &amp; Barnett, W. P. (1993). Resetting the clock: The dynamics of organizational transformation and failure. </w:t>
      </w:r>
      <w:r>
        <w:rPr>
          <w:rFonts w:ascii="Times New Roman" w:eastAsia="Times New Roman" w:hAnsi="Times New Roman" w:cs="Times New Roman"/>
          <w:i/>
          <w:iCs/>
        </w:rPr>
        <w:t>Administrative Science Quarterly, 38</w:t>
      </w:r>
      <w:r>
        <w:rPr>
          <w:rFonts w:ascii="Times New Roman" w:eastAsia="Times New Roman" w:hAnsi="Times New Roman" w:cs="Times New Roman"/>
        </w:rPr>
        <w:t xml:space="preserve">(1), 51–73. </w:t>
      </w:r>
      <w:hyperlink r:id="rId7" w:history="1">
        <w:r w:rsidR="00971F3C" w:rsidRPr="008F54A2">
          <w:rPr>
            <w:rStyle w:val="Hipervnculo"/>
            <w:rFonts w:ascii="Times New Roman" w:eastAsia="Times New Roman" w:hAnsi="Times New Roman" w:cs="Times New Roman"/>
          </w:rPr>
          <w:t>https://doi.org/10.2307/2393254</w:t>
        </w:r>
      </w:hyperlink>
      <w:r w:rsidR="00971F3C">
        <w:rPr>
          <w:rFonts w:ascii="Times New Roman" w:eastAsia="Times New Roman" w:hAnsi="Times New Roman" w:cs="Times New Roman"/>
        </w:rPr>
        <w:t xml:space="preserve"> </w:t>
      </w:r>
    </w:p>
    <w:p w14:paraId="674D8204" w14:textId="5ED78AA6" w:rsidR="00E3792B" w:rsidRDefault="00E3792B" w:rsidP="00E3792B">
      <w:pPr>
        <w:spacing w:after="120"/>
        <w:ind w:left="720" w:hanging="720"/>
        <w:jc w:val="both"/>
      </w:pPr>
      <w:r>
        <w:rPr>
          <w:rFonts w:ascii="Times New Roman" w:eastAsia="Times New Roman" w:hAnsi="Times New Roman" w:cs="Times New Roman"/>
        </w:rPr>
        <w:t xml:space="preserve">Ansmann, M., &amp; Seyfried, M. (2022). Isomorphism and organizational performance: Evidence from quality management in higher education. </w:t>
      </w:r>
      <w:r>
        <w:rPr>
          <w:rFonts w:ascii="Times New Roman" w:eastAsia="Times New Roman" w:hAnsi="Times New Roman" w:cs="Times New Roman"/>
          <w:i/>
          <w:iCs/>
        </w:rPr>
        <w:t>Quality Assurance in Education, 30</w:t>
      </w:r>
      <w:r>
        <w:rPr>
          <w:rFonts w:ascii="Times New Roman" w:eastAsia="Times New Roman" w:hAnsi="Times New Roman" w:cs="Times New Roman"/>
        </w:rPr>
        <w:t xml:space="preserve">(1), 135–149. </w:t>
      </w:r>
      <w:hyperlink r:id="rId8" w:history="1">
        <w:r w:rsidR="00971F3C" w:rsidRPr="008F54A2">
          <w:rPr>
            <w:rStyle w:val="Hipervnculo"/>
            <w:rFonts w:ascii="Times New Roman" w:eastAsia="Times New Roman" w:hAnsi="Times New Roman" w:cs="Times New Roman"/>
          </w:rPr>
          <w:t>https://doi.org/10.1108/QAE-07-2021-0114</w:t>
        </w:r>
      </w:hyperlink>
      <w:r w:rsidR="00971F3C">
        <w:rPr>
          <w:rFonts w:ascii="Times New Roman" w:eastAsia="Times New Roman" w:hAnsi="Times New Roman" w:cs="Times New Roman"/>
        </w:rPr>
        <w:t xml:space="preserve"> </w:t>
      </w:r>
    </w:p>
    <w:p w14:paraId="2381B23D" w14:textId="5CD0E00A" w:rsidR="00E3792B" w:rsidRDefault="00E3792B" w:rsidP="00E3792B">
      <w:pPr>
        <w:spacing w:after="120"/>
        <w:ind w:left="720" w:hanging="720"/>
        <w:jc w:val="both"/>
      </w:pPr>
      <w:r>
        <w:rPr>
          <w:rFonts w:ascii="Times New Roman" w:eastAsia="Times New Roman" w:hAnsi="Times New Roman" w:cs="Times New Roman"/>
        </w:rPr>
        <w:t xml:space="preserve">Baltaru, R.-D., &amp; Soysal, Y. N. (2018). Administrators in higher education: Organizational expansion in a transforming institution. </w:t>
      </w:r>
      <w:r>
        <w:rPr>
          <w:rFonts w:ascii="Times New Roman" w:eastAsia="Times New Roman" w:hAnsi="Times New Roman" w:cs="Times New Roman"/>
          <w:i/>
          <w:iCs/>
        </w:rPr>
        <w:t>Higher Education, 76</w:t>
      </w:r>
      <w:r>
        <w:rPr>
          <w:rFonts w:ascii="Times New Roman" w:eastAsia="Times New Roman" w:hAnsi="Times New Roman" w:cs="Times New Roman"/>
        </w:rPr>
        <w:t xml:space="preserve">(2), 213–229. </w:t>
      </w:r>
      <w:hyperlink r:id="rId9" w:history="1">
        <w:r w:rsidR="00971F3C" w:rsidRPr="008F54A2">
          <w:rPr>
            <w:rStyle w:val="Hipervnculo"/>
            <w:rFonts w:ascii="Times New Roman" w:eastAsia="Times New Roman" w:hAnsi="Times New Roman" w:cs="Times New Roman"/>
          </w:rPr>
          <w:t>https://doi.org/10.1007/s10734-017-0204-3</w:t>
        </w:r>
      </w:hyperlink>
      <w:r w:rsidR="00971F3C">
        <w:rPr>
          <w:rFonts w:ascii="Times New Roman" w:eastAsia="Times New Roman" w:hAnsi="Times New Roman" w:cs="Times New Roman"/>
        </w:rPr>
        <w:t xml:space="preserve"> </w:t>
      </w:r>
    </w:p>
    <w:p w14:paraId="419F9F62" w14:textId="34B0DC2D" w:rsidR="00E3792B" w:rsidRDefault="00E3792B" w:rsidP="00E3792B">
      <w:pPr>
        <w:spacing w:after="120"/>
        <w:ind w:left="720" w:hanging="720"/>
        <w:jc w:val="both"/>
      </w:pPr>
      <w:r>
        <w:rPr>
          <w:rFonts w:ascii="Times New Roman" w:eastAsia="Times New Roman" w:hAnsi="Times New Roman" w:cs="Times New Roman"/>
        </w:rPr>
        <w:t xml:space="preserve">Bleiklie, I., Enders, J., &amp; Lepori, B. (2015). Organizations as penetrated hierarchies: Environmental pressures and control in professional organizations. </w:t>
      </w:r>
      <w:r>
        <w:rPr>
          <w:rFonts w:ascii="Times New Roman" w:eastAsia="Times New Roman" w:hAnsi="Times New Roman" w:cs="Times New Roman"/>
          <w:i/>
          <w:iCs/>
        </w:rPr>
        <w:t>Organization Studies, 36</w:t>
      </w:r>
      <w:r>
        <w:rPr>
          <w:rFonts w:ascii="Times New Roman" w:eastAsia="Times New Roman" w:hAnsi="Times New Roman" w:cs="Times New Roman"/>
        </w:rPr>
        <w:t xml:space="preserve">(7), 873–896. </w:t>
      </w:r>
      <w:hyperlink r:id="rId10" w:history="1">
        <w:r w:rsidR="00971F3C" w:rsidRPr="008F54A2">
          <w:rPr>
            <w:rStyle w:val="Hipervnculo"/>
            <w:rFonts w:ascii="Times New Roman" w:eastAsia="Times New Roman" w:hAnsi="Times New Roman" w:cs="Times New Roman"/>
          </w:rPr>
          <w:t>https://doi.org/10.1177/0170840615571960</w:t>
        </w:r>
      </w:hyperlink>
      <w:r w:rsidR="00971F3C">
        <w:rPr>
          <w:rFonts w:ascii="Times New Roman" w:eastAsia="Times New Roman" w:hAnsi="Times New Roman" w:cs="Times New Roman"/>
        </w:rPr>
        <w:t xml:space="preserve"> </w:t>
      </w:r>
    </w:p>
    <w:p w14:paraId="23B2488C" w14:textId="6A010800" w:rsidR="00E3792B" w:rsidRDefault="00E3792B" w:rsidP="00E3792B">
      <w:pPr>
        <w:spacing w:after="120"/>
        <w:ind w:left="720" w:hanging="720"/>
        <w:jc w:val="both"/>
      </w:pPr>
      <w:r>
        <w:rPr>
          <w:rFonts w:ascii="Times New Roman" w:eastAsia="Times New Roman" w:hAnsi="Times New Roman" w:cs="Times New Roman"/>
        </w:rPr>
        <w:t xml:space="preserve">Brennan, J., &amp; Shah, T. (2000). Quality assessment and institutional change: Experiences from 14 countries. </w:t>
      </w:r>
      <w:r>
        <w:rPr>
          <w:rFonts w:ascii="Times New Roman" w:eastAsia="Times New Roman" w:hAnsi="Times New Roman" w:cs="Times New Roman"/>
          <w:i/>
          <w:iCs/>
        </w:rPr>
        <w:t>Higher Education, 40</w:t>
      </w:r>
      <w:r>
        <w:rPr>
          <w:rFonts w:ascii="Times New Roman" w:eastAsia="Times New Roman" w:hAnsi="Times New Roman" w:cs="Times New Roman"/>
        </w:rPr>
        <w:t xml:space="preserve">(3), 331–349. </w:t>
      </w:r>
      <w:hyperlink r:id="rId11" w:history="1">
        <w:r w:rsidR="00971F3C" w:rsidRPr="008F54A2">
          <w:rPr>
            <w:rStyle w:val="Hipervnculo"/>
            <w:rFonts w:ascii="Times New Roman" w:eastAsia="Times New Roman" w:hAnsi="Times New Roman" w:cs="Times New Roman"/>
          </w:rPr>
          <w:t>https://doi.org/10.1023/A:1004159425182</w:t>
        </w:r>
      </w:hyperlink>
      <w:r w:rsidR="00971F3C">
        <w:rPr>
          <w:rFonts w:ascii="Times New Roman" w:eastAsia="Times New Roman" w:hAnsi="Times New Roman" w:cs="Times New Roman"/>
        </w:rPr>
        <w:t xml:space="preserve"> </w:t>
      </w:r>
    </w:p>
    <w:p w14:paraId="0995E374" w14:textId="77777777" w:rsidR="00E3792B" w:rsidRDefault="00E3792B" w:rsidP="00E3792B">
      <w:pPr>
        <w:spacing w:after="120"/>
        <w:ind w:left="720" w:hanging="720"/>
        <w:jc w:val="both"/>
      </w:pPr>
      <w:r>
        <w:rPr>
          <w:rFonts w:ascii="Times New Roman" w:eastAsia="Times New Roman" w:hAnsi="Times New Roman" w:cs="Times New Roman"/>
        </w:rPr>
        <w:t xml:space="preserve">Brunner, J. J. (1984). </w:t>
      </w:r>
      <w:r>
        <w:rPr>
          <w:rFonts w:ascii="Times New Roman" w:eastAsia="Times New Roman" w:hAnsi="Times New Roman" w:cs="Times New Roman"/>
          <w:i/>
          <w:iCs/>
        </w:rPr>
        <w:t>Informe sobre el desarrollo y el estado actual del sistema universitario en Chile</w:t>
      </w:r>
      <w:r>
        <w:rPr>
          <w:rFonts w:ascii="Times New Roman" w:eastAsia="Times New Roman" w:hAnsi="Times New Roman" w:cs="Times New Roman"/>
        </w:rPr>
        <w:t xml:space="preserve"> (Documento de Trabajo N.º 227). FLACSO-Chile.</w:t>
      </w:r>
    </w:p>
    <w:p w14:paraId="56437C48" w14:textId="1447350E" w:rsidR="00E3792B" w:rsidRDefault="00E3792B" w:rsidP="00E3792B">
      <w:pPr>
        <w:spacing w:after="120"/>
        <w:ind w:left="720" w:hanging="720"/>
        <w:jc w:val="both"/>
      </w:pPr>
      <w:r>
        <w:rPr>
          <w:rFonts w:ascii="Times New Roman" w:eastAsia="Times New Roman" w:hAnsi="Times New Roman" w:cs="Times New Roman"/>
        </w:rPr>
        <w:t xml:space="preserve">Brunner, J. J., Ganga-Contreras, F., &amp; Rodríguez-Ponce, E. (2018). Gobernanza del capitalismo académico: Aproximaciones desde Chile. </w:t>
      </w:r>
      <w:r>
        <w:rPr>
          <w:rFonts w:ascii="Times New Roman" w:eastAsia="Times New Roman" w:hAnsi="Times New Roman" w:cs="Times New Roman"/>
          <w:i/>
          <w:iCs/>
        </w:rPr>
        <w:t>Revista Venezolana de Gerencia, 23</w:t>
      </w:r>
      <w:r>
        <w:rPr>
          <w:rFonts w:ascii="Times New Roman" w:eastAsia="Times New Roman" w:hAnsi="Times New Roman" w:cs="Times New Roman"/>
        </w:rPr>
        <w:t xml:space="preserve">(1, Edición Especial), 11–35. </w:t>
      </w:r>
      <w:hyperlink r:id="rId12" w:history="1">
        <w:r w:rsidR="00971F3C" w:rsidRPr="008F54A2">
          <w:rPr>
            <w:rStyle w:val="Hipervnculo"/>
            <w:rFonts w:ascii="Times New Roman" w:eastAsia="Times New Roman" w:hAnsi="Times New Roman" w:cs="Times New Roman"/>
          </w:rPr>
          <w:t>https://doi.org/10.37960/revista.v23i1.24454</w:t>
        </w:r>
      </w:hyperlink>
      <w:r w:rsidR="00971F3C">
        <w:rPr>
          <w:rFonts w:ascii="Times New Roman" w:eastAsia="Times New Roman" w:hAnsi="Times New Roman" w:cs="Times New Roman"/>
        </w:rPr>
        <w:t xml:space="preserve"> </w:t>
      </w:r>
    </w:p>
    <w:p w14:paraId="7603B743" w14:textId="5AD760EC" w:rsidR="00E3792B" w:rsidRDefault="00E3792B" w:rsidP="00E3792B">
      <w:pPr>
        <w:spacing w:after="120"/>
        <w:ind w:left="720" w:hanging="720"/>
        <w:jc w:val="both"/>
      </w:pPr>
      <w:r>
        <w:rPr>
          <w:rFonts w:ascii="Times New Roman" w:eastAsia="Times New Roman" w:hAnsi="Times New Roman" w:cs="Times New Roman"/>
        </w:rPr>
        <w:lastRenderedPageBreak/>
        <w:t xml:space="preserve">Brunner, J. J., &amp; Pedraja-Rejas, L. (2020). Capitalismo académico: Distinciones conceptuales y procesos contradictorios a propósito del caso chileno. </w:t>
      </w:r>
      <w:r>
        <w:rPr>
          <w:rFonts w:ascii="Times New Roman" w:eastAsia="Times New Roman" w:hAnsi="Times New Roman" w:cs="Times New Roman"/>
          <w:i/>
          <w:iCs/>
        </w:rPr>
        <w:t>Bordón. Revista de Pedagogía, 72</w:t>
      </w:r>
      <w:r>
        <w:rPr>
          <w:rFonts w:ascii="Times New Roman" w:eastAsia="Times New Roman" w:hAnsi="Times New Roman" w:cs="Times New Roman"/>
        </w:rPr>
        <w:t xml:space="preserve">(3), 25–44. </w:t>
      </w:r>
      <w:hyperlink r:id="rId13" w:history="1">
        <w:r w:rsidR="00971F3C" w:rsidRPr="008F54A2">
          <w:rPr>
            <w:rStyle w:val="Hipervnculo"/>
            <w:rFonts w:ascii="Times New Roman" w:eastAsia="Times New Roman" w:hAnsi="Times New Roman" w:cs="Times New Roman"/>
          </w:rPr>
          <w:t>https://doi.org/10.13042/Bordon.2020.72761</w:t>
        </w:r>
      </w:hyperlink>
      <w:r w:rsidR="00971F3C">
        <w:rPr>
          <w:rFonts w:ascii="Times New Roman" w:eastAsia="Times New Roman" w:hAnsi="Times New Roman" w:cs="Times New Roman"/>
        </w:rPr>
        <w:t xml:space="preserve"> </w:t>
      </w:r>
    </w:p>
    <w:p w14:paraId="079A6EC5" w14:textId="23846586" w:rsidR="00E3792B" w:rsidRDefault="00E3792B" w:rsidP="00E3792B">
      <w:pPr>
        <w:spacing w:after="120"/>
        <w:ind w:left="720" w:hanging="720"/>
        <w:jc w:val="both"/>
      </w:pPr>
      <w:r>
        <w:rPr>
          <w:rFonts w:ascii="Times New Roman" w:eastAsia="Times New Roman" w:hAnsi="Times New Roman" w:cs="Times New Roman"/>
        </w:rPr>
        <w:t xml:space="preserve">Brunner, J. J., Labraña, J., Ganga, F., &amp; Rodríguez-Ponce, E. (2019). Circulation and reception of the theory of “academic capitalism” in Latin America. </w:t>
      </w:r>
      <w:r>
        <w:rPr>
          <w:rFonts w:ascii="Times New Roman" w:eastAsia="Times New Roman" w:hAnsi="Times New Roman" w:cs="Times New Roman"/>
          <w:i/>
          <w:iCs/>
        </w:rPr>
        <w:t>Education Policy Analysis Archives, 27</w:t>
      </w:r>
      <w:r>
        <w:rPr>
          <w:rFonts w:ascii="Times New Roman" w:eastAsia="Times New Roman" w:hAnsi="Times New Roman" w:cs="Times New Roman"/>
        </w:rPr>
        <w:t xml:space="preserve">, 79. </w:t>
      </w:r>
      <w:hyperlink r:id="rId14" w:history="1">
        <w:r w:rsidR="00971F3C" w:rsidRPr="008F54A2">
          <w:rPr>
            <w:rStyle w:val="Hipervnculo"/>
            <w:rFonts w:ascii="Times New Roman" w:eastAsia="Times New Roman" w:hAnsi="Times New Roman" w:cs="Times New Roman"/>
          </w:rPr>
          <w:t>https://doi.org/10.14507/epaa.27.4368</w:t>
        </w:r>
      </w:hyperlink>
      <w:r w:rsidR="00971F3C">
        <w:rPr>
          <w:rFonts w:ascii="Times New Roman" w:eastAsia="Times New Roman" w:hAnsi="Times New Roman" w:cs="Times New Roman"/>
        </w:rPr>
        <w:t xml:space="preserve"> </w:t>
      </w:r>
    </w:p>
    <w:p w14:paraId="4A981E8F" w14:textId="04C50A6B" w:rsidR="00E3792B" w:rsidRDefault="00E3792B" w:rsidP="00E3792B">
      <w:pPr>
        <w:spacing w:after="120"/>
        <w:ind w:left="720" w:hanging="720"/>
        <w:jc w:val="both"/>
      </w:pPr>
      <w:r>
        <w:rPr>
          <w:rFonts w:ascii="Times New Roman" w:eastAsia="Times New Roman" w:hAnsi="Times New Roman" w:cs="Times New Roman"/>
        </w:rPr>
        <w:t xml:space="preserve">Brunner, J. J., Rodríguez-Ponce, E., Pedraja-Rejas, L., &amp; Labraña, J. (2022). Relationship between academic capitalism and quality in Chilean universities: A quantitative study. </w:t>
      </w:r>
      <w:r>
        <w:rPr>
          <w:rFonts w:ascii="Times New Roman" w:eastAsia="Times New Roman" w:hAnsi="Times New Roman" w:cs="Times New Roman"/>
          <w:i/>
          <w:iCs/>
        </w:rPr>
        <w:t>Ingeniare. Revista Chilena de Ingeniería, 30</w:t>
      </w:r>
      <w:r>
        <w:rPr>
          <w:rFonts w:ascii="Times New Roman" w:eastAsia="Times New Roman" w:hAnsi="Times New Roman" w:cs="Times New Roman"/>
        </w:rPr>
        <w:t xml:space="preserve">(4), 635–649. </w:t>
      </w:r>
      <w:hyperlink r:id="rId15" w:history="1">
        <w:r w:rsidR="00971F3C" w:rsidRPr="008F54A2">
          <w:rPr>
            <w:rStyle w:val="Hipervnculo"/>
            <w:rFonts w:ascii="Times New Roman" w:eastAsia="Times New Roman" w:hAnsi="Times New Roman" w:cs="Times New Roman"/>
          </w:rPr>
          <w:t>https://doi.org/10.4067/S0718-33052022000400635</w:t>
        </w:r>
      </w:hyperlink>
      <w:r w:rsidR="00971F3C">
        <w:rPr>
          <w:rFonts w:ascii="Times New Roman" w:eastAsia="Times New Roman" w:hAnsi="Times New Roman" w:cs="Times New Roman"/>
        </w:rPr>
        <w:t xml:space="preserve"> </w:t>
      </w:r>
    </w:p>
    <w:p w14:paraId="48D9271F" w14:textId="6C96B7BA" w:rsidR="00E3792B" w:rsidRDefault="00E3792B" w:rsidP="00E3792B">
      <w:pPr>
        <w:spacing w:after="120"/>
        <w:ind w:left="720" w:hanging="720"/>
        <w:jc w:val="both"/>
      </w:pPr>
      <w:r>
        <w:rPr>
          <w:rFonts w:ascii="Times New Roman" w:eastAsia="Times New Roman" w:hAnsi="Times New Roman" w:cs="Times New Roman"/>
        </w:rPr>
        <w:t xml:space="preserve">Cardoso, S., Rosa, M. J., Videira, P., &amp; Amaral, A. (2019). Internal quality assurance: A new culture or added bureaucracy? </w:t>
      </w:r>
      <w:r>
        <w:rPr>
          <w:rFonts w:ascii="Times New Roman" w:eastAsia="Times New Roman" w:hAnsi="Times New Roman" w:cs="Times New Roman"/>
          <w:i/>
          <w:iCs/>
        </w:rPr>
        <w:t>Assessment &amp; Evaluation in Higher Education, 44</w:t>
      </w:r>
      <w:r>
        <w:rPr>
          <w:rFonts w:ascii="Times New Roman" w:eastAsia="Times New Roman" w:hAnsi="Times New Roman" w:cs="Times New Roman"/>
        </w:rPr>
        <w:t xml:space="preserve">(2), 249–262. </w:t>
      </w:r>
      <w:hyperlink r:id="rId16" w:history="1">
        <w:r w:rsidR="00971F3C" w:rsidRPr="008F54A2">
          <w:rPr>
            <w:rStyle w:val="Hipervnculo"/>
            <w:rFonts w:ascii="Times New Roman" w:eastAsia="Times New Roman" w:hAnsi="Times New Roman" w:cs="Times New Roman"/>
          </w:rPr>
          <w:t>https://doi.org/10.1080/02602938.2018.1494818</w:t>
        </w:r>
      </w:hyperlink>
      <w:r w:rsidR="00971F3C">
        <w:rPr>
          <w:rFonts w:ascii="Times New Roman" w:eastAsia="Times New Roman" w:hAnsi="Times New Roman" w:cs="Times New Roman"/>
        </w:rPr>
        <w:t xml:space="preserve"> </w:t>
      </w:r>
    </w:p>
    <w:p w14:paraId="4DBE9B90" w14:textId="5541D8BC" w:rsidR="00E3792B" w:rsidRDefault="00E3792B" w:rsidP="00E3792B">
      <w:pPr>
        <w:spacing w:after="120"/>
        <w:ind w:left="720" w:hanging="720"/>
        <w:jc w:val="both"/>
      </w:pPr>
      <w:r>
        <w:rPr>
          <w:rFonts w:ascii="Times New Roman" w:eastAsia="Times New Roman" w:hAnsi="Times New Roman" w:cs="Times New Roman"/>
        </w:rPr>
        <w:t xml:space="preserve">Deem, R., &amp; Brehony, K. J. (2005). Management as ideology: The case of “new managerialism” in higher education. </w:t>
      </w:r>
      <w:r>
        <w:rPr>
          <w:rFonts w:ascii="Times New Roman" w:eastAsia="Times New Roman" w:hAnsi="Times New Roman" w:cs="Times New Roman"/>
          <w:i/>
          <w:iCs/>
        </w:rPr>
        <w:t>Oxford Review of Education, 31</w:t>
      </w:r>
      <w:r>
        <w:rPr>
          <w:rFonts w:ascii="Times New Roman" w:eastAsia="Times New Roman" w:hAnsi="Times New Roman" w:cs="Times New Roman"/>
        </w:rPr>
        <w:t xml:space="preserve">(2), 217–235. </w:t>
      </w:r>
      <w:hyperlink r:id="rId17" w:history="1">
        <w:r w:rsidR="00971F3C" w:rsidRPr="008F54A2">
          <w:rPr>
            <w:rStyle w:val="Hipervnculo"/>
            <w:rFonts w:ascii="Times New Roman" w:eastAsia="Times New Roman" w:hAnsi="Times New Roman" w:cs="Times New Roman"/>
          </w:rPr>
          <w:t>https://doi.org/10.1080/03054980500117827</w:t>
        </w:r>
      </w:hyperlink>
      <w:r w:rsidR="00971F3C">
        <w:rPr>
          <w:rFonts w:ascii="Times New Roman" w:eastAsia="Times New Roman" w:hAnsi="Times New Roman" w:cs="Times New Roman"/>
        </w:rPr>
        <w:t xml:space="preserve"> </w:t>
      </w:r>
    </w:p>
    <w:p w14:paraId="2462D235" w14:textId="4105477A" w:rsidR="00E3792B" w:rsidRDefault="00E3792B" w:rsidP="00E3792B">
      <w:pPr>
        <w:spacing w:after="120"/>
        <w:ind w:left="720" w:hanging="720"/>
        <w:jc w:val="both"/>
      </w:pPr>
      <w:r>
        <w:rPr>
          <w:rFonts w:ascii="Times New Roman" w:eastAsia="Times New Roman" w:hAnsi="Times New Roman" w:cs="Times New Roman"/>
        </w:rPr>
        <w:t xml:space="preserve">Dill, D. D., &amp; Beerkens, M. (Eds.). (2010). </w:t>
      </w:r>
      <w:r>
        <w:rPr>
          <w:rFonts w:ascii="Times New Roman" w:eastAsia="Times New Roman" w:hAnsi="Times New Roman" w:cs="Times New Roman"/>
          <w:i/>
          <w:iCs/>
        </w:rPr>
        <w:t>Public policy for academic quality: Analyses of innovative policy instruments</w:t>
      </w:r>
      <w:r>
        <w:rPr>
          <w:rFonts w:ascii="Times New Roman" w:eastAsia="Times New Roman" w:hAnsi="Times New Roman" w:cs="Times New Roman"/>
        </w:rPr>
        <w:t xml:space="preserve">. Springer. </w:t>
      </w:r>
      <w:hyperlink r:id="rId18" w:history="1">
        <w:r w:rsidR="00971F3C" w:rsidRPr="008F54A2">
          <w:rPr>
            <w:rStyle w:val="Hipervnculo"/>
            <w:rFonts w:ascii="Times New Roman" w:eastAsia="Times New Roman" w:hAnsi="Times New Roman" w:cs="Times New Roman"/>
          </w:rPr>
          <w:t>https://doi.org/10.1007/978-90-481-3754-1</w:t>
        </w:r>
      </w:hyperlink>
      <w:r w:rsidR="00971F3C">
        <w:rPr>
          <w:rFonts w:ascii="Times New Roman" w:eastAsia="Times New Roman" w:hAnsi="Times New Roman" w:cs="Times New Roman"/>
        </w:rPr>
        <w:t xml:space="preserve"> </w:t>
      </w:r>
    </w:p>
    <w:p w14:paraId="7E270E7F" w14:textId="21C3B70F" w:rsidR="00E3792B" w:rsidRDefault="00E3792B" w:rsidP="00E3792B">
      <w:pPr>
        <w:spacing w:after="120"/>
        <w:ind w:left="720" w:hanging="720"/>
        <w:jc w:val="both"/>
      </w:pPr>
      <w:r>
        <w:rPr>
          <w:rFonts w:ascii="Times New Roman" w:eastAsia="Times New Roman" w:hAnsi="Times New Roman" w:cs="Times New Roman"/>
        </w:rPr>
        <w:t xml:space="preserve">DiMaggio, P. J., &amp; Powell, W. W. (1983). The iron cage revisited: Institutional isomorphism and collective rationality in organizational fields. </w:t>
      </w:r>
      <w:r>
        <w:rPr>
          <w:rFonts w:ascii="Times New Roman" w:eastAsia="Times New Roman" w:hAnsi="Times New Roman" w:cs="Times New Roman"/>
          <w:i/>
          <w:iCs/>
        </w:rPr>
        <w:t>American Sociological Review, 48</w:t>
      </w:r>
      <w:r>
        <w:rPr>
          <w:rFonts w:ascii="Times New Roman" w:eastAsia="Times New Roman" w:hAnsi="Times New Roman" w:cs="Times New Roman"/>
        </w:rPr>
        <w:t xml:space="preserve">(2), 147–160. </w:t>
      </w:r>
      <w:hyperlink r:id="rId19" w:history="1">
        <w:r w:rsidR="00971F3C" w:rsidRPr="008F54A2">
          <w:rPr>
            <w:rStyle w:val="Hipervnculo"/>
            <w:rFonts w:ascii="Times New Roman" w:eastAsia="Times New Roman" w:hAnsi="Times New Roman" w:cs="Times New Roman"/>
          </w:rPr>
          <w:t>https://doi.org/10.2307/2095101</w:t>
        </w:r>
      </w:hyperlink>
      <w:r w:rsidR="00971F3C">
        <w:rPr>
          <w:rFonts w:ascii="Times New Roman" w:eastAsia="Times New Roman" w:hAnsi="Times New Roman" w:cs="Times New Roman"/>
        </w:rPr>
        <w:t xml:space="preserve"> </w:t>
      </w:r>
    </w:p>
    <w:p w14:paraId="3B6416C6" w14:textId="68AA3909" w:rsidR="00E3792B" w:rsidRDefault="00E3792B" w:rsidP="00E3792B">
      <w:pPr>
        <w:spacing w:after="120"/>
        <w:ind w:left="720" w:hanging="720"/>
        <w:jc w:val="both"/>
      </w:pPr>
      <w:r>
        <w:rPr>
          <w:rFonts w:ascii="Times New Roman" w:eastAsia="Times New Roman" w:hAnsi="Times New Roman" w:cs="Times New Roman"/>
        </w:rPr>
        <w:t xml:space="preserve">Eisenhardt, K. M. (1989). Building theories from case study research. </w:t>
      </w:r>
      <w:r>
        <w:rPr>
          <w:rFonts w:ascii="Times New Roman" w:eastAsia="Times New Roman" w:hAnsi="Times New Roman" w:cs="Times New Roman"/>
          <w:i/>
          <w:iCs/>
        </w:rPr>
        <w:t>The Academy of Management Review, 14</w:t>
      </w:r>
      <w:r>
        <w:rPr>
          <w:rFonts w:ascii="Times New Roman" w:eastAsia="Times New Roman" w:hAnsi="Times New Roman" w:cs="Times New Roman"/>
        </w:rPr>
        <w:t xml:space="preserve">(4), 532–550. </w:t>
      </w:r>
      <w:hyperlink r:id="rId20" w:history="1">
        <w:r w:rsidR="00971F3C" w:rsidRPr="008F54A2">
          <w:rPr>
            <w:rStyle w:val="Hipervnculo"/>
            <w:rFonts w:ascii="Times New Roman" w:eastAsia="Times New Roman" w:hAnsi="Times New Roman" w:cs="Times New Roman"/>
          </w:rPr>
          <w:t>https://doi.org/10.2307/258557</w:t>
        </w:r>
      </w:hyperlink>
      <w:r w:rsidR="00971F3C">
        <w:rPr>
          <w:rFonts w:ascii="Times New Roman" w:eastAsia="Times New Roman" w:hAnsi="Times New Roman" w:cs="Times New Roman"/>
        </w:rPr>
        <w:t xml:space="preserve"> </w:t>
      </w:r>
    </w:p>
    <w:p w14:paraId="09CA6E58" w14:textId="42DF3465" w:rsidR="00E3792B" w:rsidRDefault="00E3792B" w:rsidP="00E3792B">
      <w:pPr>
        <w:spacing w:after="120"/>
        <w:ind w:left="720" w:hanging="720"/>
        <w:jc w:val="both"/>
      </w:pPr>
      <w:r>
        <w:rPr>
          <w:rFonts w:ascii="Times New Roman" w:eastAsia="Times New Roman" w:hAnsi="Times New Roman" w:cs="Times New Roman"/>
        </w:rPr>
        <w:t xml:space="preserve">Elken, M., &amp; Stensaker, B. (2018). Conceptualising “quality work” in higher education. </w:t>
      </w:r>
      <w:r>
        <w:rPr>
          <w:rFonts w:ascii="Times New Roman" w:eastAsia="Times New Roman" w:hAnsi="Times New Roman" w:cs="Times New Roman"/>
          <w:i/>
          <w:iCs/>
        </w:rPr>
        <w:t>Quality in Higher Education, 24</w:t>
      </w:r>
      <w:r>
        <w:rPr>
          <w:rFonts w:ascii="Times New Roman" w:eastAsia="Times New Roman" w:hAnsi="Times New Roman" w:cs="Times New Roman"/>
        </w:rPr>
        <w:t xml:space="preserve">(3), 189–202. </w:t>
      </w:r>
      <w:hyperlink r:id="rId21" w:history="1">
        <w:r w:rsidR="00971F3C" w:rsidRPr="008F54A2">
          <w:rPr>
            <w:rStyle w:val="Hipervnculo"/>
            <w:rFonts w:ascii="Times New Roman" w:eastAsia="Times New Roman" w:hAnsi="Times New Roman" w:cs="Times New Roman"/>
          </w:rPr>
          <w:t>https://doi.org/10.1080/13538322.2018.1554782</w:t>
        </w:r>
      </w:hyperlink>
      <w:r w:rsidR="00971F3C">
        <w:rPr>
          <w:rFonts w:ascii="Times New Roman" w:eastAsia="Times New Roman" w:hAnsi="Times New Roman" w:cs="Times New Roman"/>
        </w:rPr>
        <w:t xml:space="preserve"> </w:t>
      </w:r>
    </w:p>
    <w:p w14:paraId="35F7D33A" w14:textId="60CBA694" w:rsidR="00E3792B" w:rsidRDefault="00E3792B" w:rsidP="00E3792B">
      <w:pPr>
        <w:spacing w:after="120"/>
        <w:ind w:left="720" w:hanging="720"/>
        <w:jc w:val="both"/>
      </w:pPr>
      <w:r>
        <w:rPr>
          <w:rFonts w:ascii="Times New Roman" w:eastAsia="Times New Roman" w:hAnsi="Times New Roman" w:cs="Times New Roman"/>
        </w:rPr>
        <w:t xml:space="preserve">Espinoza, O. (2017). Neoliberalismo y educación superior en Chile: Una mirada crítica al rol desempeñado por el Banco Mundial y los “Chicago Boys”. </w:t>
      </w:r>
      <w:r>
        <w:rPr>
          <w:rFonts w:ascii="Times New Roman" w:eastAsia="Times New Roman" w:hAnsi="Times New Roman" w:cs="Times New Roman"/>
          <w:i/>
          <w:iCs/>
        </w:rPr>
        <w:t>Laplage em Revista, 3</w:t>
      </w:r>
      <w:r>
        <w:rPr>
          <w:rFonts w:ascii="Times New Roman" w:eastAsia="Times New Roman" w:hAnsi="Times New Roman" w:cs="Times New Roman"/>
        </w:rPr>
        <w:t xml:space="preserve">(3), 93–114. </w:t>
      </w:r>
      <w:hyperlink r:id="rId22" w:history="1">
        <w:r w:rsidR="00971F3C" w:rsidRPr="008F54A2">
          <w:rPr>
            <w:rStyle w:val="Hipervnculo"/>
            <w:rFonts w:ascii="Times New Roman" w:eastAsia="Times New Roman" w:hAnsi="Times New Roman" w:cs="Times New Roman"/>
          </w:rPr>
          <w:t>https://www.redalyc.org/journal/5527/552756523009/html/</w:t>
        </w:r>
      </w:hyperlink>
      <w:r w:rsidR="00971F3C">
        <w:rPr>
          <w:rFonts w:ascii="Times New Roman" w:eastAsia="Times New Roman" w:hAnsi="Times New Roman" w:cs="Times New Roman"/>
        </w:rPr>
        <w:t xml:space="preserve"> </w:t>
      </w:r>
    </w:p>
    <w:p w14:paraId="7F6F26D1" w14:textId="0346E512" w:rsidR="00E3792B" w:rsidRDefault="00E3792B" w:rsidP="00E3792B">
      <w:pPr>
        <w:spacing w:after="120"/>
        <w:ind w:left="720" w:hanging="720"/>
        <w:jc w:val="both"/>
      </w:pPr>
      <w:r>
        <w:rPr>
          <w:rFonts w:ascii="Times New Roman" w:eastAsia="Times New Roman" w:hAnsi="Times New Roman" w:cs="Times New Roman"/>
        </w:rPr>
        <w:t xml:space="preserve">Espinoza, O., &amp; González, L. E. (2013). Accreditation in higher education in Chile: Results and consequences. </w:t>
      </w:r>
      <w:r>
        <w:rPr>
          <w:rFonts w:ascii="Times New Roman" w:eastAsia="Times New Roman" w:hAnsi="Times New Roman" w:cs="Times New Roman"/>
          <w:i/>
          <w:iCs/>
        </w:rPr>
        <w:t>Quality Assurance in Education, 21</w:t>
      </w:r>
      <w:r>
        <w:rPr>
          <w:rFonts w:ascii="Times New Roman" w:eastAsia="Times New Roman" w:hAnsi="Times New Roman" w:cs="Times New Roman"/>
        </w:rPr>
        <w:t xml:space="preserve">(1), 20–38. </w:t>
      </w:r>
      <w:hyperlink r:id="rId23" w:history="1">
        <w:r w:rsidR="00971F3C" w:rsidRPr="008F54A2">
          <w:rPr>
            <w:rStyle w:val="Hipervnculo"/>
            <w:rFonts w:ascii="Times New Roman" w:eastAsia="Times New Roman" w:hAnsi="Times New Roman" w:cs="Times New Roman"/>
          </w:rPr>
          <w:t>https://doi.org/10.1108/09684881311293043</w:t>
        </w:r>
      </w:hyperlink>
      <w:r w:rsidR="00971F3C">
        <w:rPr>
          <w:rFonts w:ascii="Times New Roman" w:eastAsia="Times New Roman" w:hAnsi="Times New Roman" w:cs="Times New Roman"/>
        </w:rPr>
        <w:t xml:space="preserve"> </w:t>
      </w:r>
    </w:p>
    <w:p w14:paraId="66311C74" w14:textId="4686432F" w:rsidR="00E3792B" w:rsidRDefault="00E3792B" w:rsidP="00E3792B">
      <w:pPr>
        <w:spacing w:after="120"/>
        <w:ind w:left="720" w:hanging="720"/>
        <w:jc w:val="both"/>
      </w:pPr>
      <w:r>
        <w:rPr>
          <w:rFonts w:ascii="Times New Roman" w:eastAsia="Times New Roman" w:hAnsi="Times New Roman" w:cs="Times New Roman"/>
        </w:rPr>
        <w:lastRenderedPageBreak/>
        <w:t xml:space="preserve">Fernández Darraz, E., &amp; Ramos Zincke, C. (2020). Acreditación y desarrollo de capacidades organizacionales en las universidades chilenas. </w:t>
      </w:r>
      <w:r>
        <w:rPr>
          <w:rFonts w:ascii="Times New Roman" w:eastAsia="Times New Roman" w:hAnsi="Times New Roman" w:cs="Times New Roman"/>
          <w:i/>
          <w:iCs/>
        </w:rPr>
        <w:t>Calidad en la Educación</w:t>
      </w:r>
      <w:r>
        <w:rPr>
          <w:rFonts w:ascii="Times New Roman" w:eastAsia="Times New Roman" w:hAnsi="Times New Roman" w:cs="Times New Roman"/>
        </w:rPr>
        <w:t xml:space="preserve">, (53), 219–251. </w:t>
      </w:r>
      <w:hyperlink r:id="rId24" w:history="1">
        <w:r w:rsidR="00971F3C" w:rsidRPr="008F54A2">
          <w:rPr>
            <w:rStyle w:val="Hipervnculo"/>
            <w:rFonts w:ascii="Times New Roman" w:eastAsia="Times New Roman" w:hAnsi="Times New Roman" w:cs="Times New Roman"/>
          </w:rPr>
          <w:t>https://doi.org/10.31619/caledu.n53.854</w:t>
        </w:r>
      </w:hyperlink>
      <w:r w:rsidR="00971F3C">
        <w:rPr>
          <w:rFonts w:ascii="Times New Roman" w:eastAsia="Times New Roman" w:hAnsi="Times New Roman" w:cs="Times New Roman"/>
        </w:rPr>
        <w:t xml:space="preserve"> </w:t>
      </w:r>
    </w:p>
    <w:p w14:paraId="051D8A00" w14:textId="1B5A14BF" w:rsidR="00E3792B" w:rsidRDefault="00E3792B" w:rsidP="00E3792B">
      <w:pPr>
        <w:spacing w:after="120"/>
        <w:ind w:left="720" w:hanging="720"/>
        <w:jc w:val="both"/>
      </w:pPr>
      <w:r>
        <w:rPr>
          <w:rFonts w:ascii="Times New Roman" w:eastAsia="Times New Roman" w:hAnsi="Times New Roman" w:cs="Times New Roman"/>
        </w:rPr>
        <w:t xml:space="preserve">Flyvbjerg, B. (2006). Five misunderstandings about case-study research. </w:t>
      </w:r>
      <w:r>
        <w:rPr>
          <w:rFonts w:ascii="Times New Roman" w:eastAsia="Times New Roman" w:hAnsi="Times New Roman" w:cs="Times New Roman"/>
          <w:i/>
          <w:iCs/>
        </w:rPr>
        <w:t>Qualitative Inquiry, 12</w:t>
      </w:r>
      <w:r>
        <w:rPr>
          <w:rFonts w:ascii="Times New Roman" w:eastAsia="Times New Roman" w:hAnsi="Times New Roman" w:cs="Times New Roman"/>
        </w:rPr>
        <w:t xml:space="preserve">(2), 219–245. </w:t>
      </w:r>
      <w:hyperlink r:id="rId25" w:history="1">
        <w:r w:rsidR="00971F3C" w:rsidRPr="008F54A2">
          <w:rPr>
            <w:rStyle w:val="Hipervnculo"/>
            <w:rFonts w:ascii="Times New Roman" w:eastAsia="Times New Roman" w:hAnsi="Times New Roman" w:cs="Times New Roman"/>
          </w:rPr>
          <w:t>https://doi.org/10.1177/1077800405284363</w:t>
        </w:r>
      </w:hyperlink>
      <w:r w:rsidR="00971F3C">
        <w:rPr>
          <w:rFonts w:ascii="Times New Roman" w:eastAsia="Times New Roman" w:hAnsi="Times New Roman" w:cs="Times New Roman"/>
        </w:rPr>
        <w:t xml:space="preserve"> </w:t>
      </w:r>
    </w:p>
    <w:p w14:paraId="5943DF24" w14:textId="753A5658" w:rsidR="00E3792B" w:rsidRDefault="00E3792B" w:rsidP="00E3792B">
      <w:pPr>
        <w:spacing w:after="120"/>
        <w:ind w:left="720" w:hanging="720"/>
        <w:jc w:val="both"/>
      </w:pPr>
      <w:r>
        <w:rPr>
          <w:rFonts w:ascii="Times New Roman" w:eastAsia="Times New Roman" w:hAnsi="Times New Roman" w:cs="Times New Roman"/>
        </w:rPr>
        <w:t xml:space="preserve">Gumport, P. J. (2000). Academic restructuring: Organizational change and institutional imperatives. </w:t>
      </w:r>
      <w:r>
        <w:rPr>
          <w:rFonts w:ascii="Times New Roman" w:eastAsia="Times New Roman" w:hAnsi="Times New Roman" w:cs="Times New Roman"/>
          <w:i/>
          <w:iCs/>
        </w:rPr>
        <w:t>Higher Education, 39</w:t>
      </w:r>
      <w:r>
        <w:rPr>
          <w:rFonts w:ascii="Times New Roman" w:eastAsia="Times New Roman" w:hAnsi="Times New Roman" w:cs="Times New Roman"/>
        </w:rPr>
        <w:t xml:space="preserve">(1), 67–91. </w:t>
      </w:r>
      <w:hyperlink r:id="rId26" w:history="1">
        <w:r w:rsidR="00971F3C" w:rsidRPr="008F54A2">
          <w:rPr>
            <w:rStyle w:val="Hipervnculo"/>
            <w:rFonts w:ascii="Times New Roman" w:eastAsia="Times New Roman" w:hAnsi="Times New Roman" w:cs="Times New Roman"/>
          </w:rPr>
          <w:t>https://doi.org/10.1023/A:1003859026301</w:t>
        </w:r>
      </w:hyperlink>
      <w:r w:rsidR="00971F3C">
        <w:rPr>
          <w:rFonts w:ascii="Times New Roman" w:eastAsia="Times New Roman" w:hAnsi="Times New Roman" w:cs="Times New Roman"/>
        </w:rPr>
        <w:t xml:space="preserve"> </w:t>
      </w:r>
    </w:p>
    <w:p w14:paraId="1BD44A50" w14:textId="5140F65A" w:rsidR="00E3792B" w:rsidRDefault="00E3792B" w:rsidP="00E3792B">
      <w:pPr>
        <w:spacing w:after="120"/>
        <w:ind w:left="720" w:hanging="720"/>
        <w:jc w:val="both"/>
      </w:pPr>
      <w:r>
        <w:rPr>
          <w:rFonts w:ascii="Times New Roman" w:eastAsia="Times New Roman" w:hAnsi="Times New Roman" w:cs="Times New Roman"/>
        </w:rPr>
        <w:t xml:space="preserve">Hannan, M. T., &amp; Freeman, J. (1977). The population ecology of organizations. </w:t>
      </w:r>
      <w:r>
        <w:rPr>
          <w:rFonts w:ascii="Times New Roman" w:eastAsia="Times New Roman" w:hAnsi="Times New Roman" w:cs="Times New Roman"/>
          <w:i/>
          <w:iCs/>
        </w:rPr>
        <w:t>American Journal of Sociology, 82</w:t>
      </w:r>
      <w:r>
        <w:rPr>
          <w:rFonts w:ascii="Times New Roman" w:eastAsia="Times New Roman" w:hAnsi="Times New Roman" w:cs="Times New Roman"/>
        </w:rPr>
        <w:t xml:space="preserve">(5), 929–964. </w:t>
      </w:r>
      <w:hyperlink r:id="rId27" w:history="1">
        <w:r w:rsidR="00971F3C" w:rsidRPr="008F54A2">
          <w:rPr>
            <w:rStyle w:val="Hipervnculo"/>
            <w:rFonts w:ascii="Times New Roman" w:eastAsia="Times New Roman" w:hAnsi="Times New Roman" w:cs="Times New Roman"/>
          </w:rPr>
          <w:t>https://doi.org/10.1086/226424</w:t>
        </w:r>
      </w:hyperlink>
      <w:r w:rsidR="00971F3C">
        <w:rPr>
          <w:rFonts w:ascii="Times New Roman" w:eastAsia="Times New Roman" w:hAnsi="Times New Roman" w:cs="Times New Roman"/>
        </w:rPr>
        <w:t xml:space="preserve"> </w:t>
      </w:r>
    </w:p>
    <w:p w14:paraId="3A33978F" w14:textId="31082173" w:rsidR="00E3792B" w:rsidRDefault="00E3792B" w:rsidP="00E3792B">
      <w:pPr>
        <w:spacing w:after="120"/>
        <w:ind w:left="720" w:hanging="720"/>
        <w:jc w:val="both"/>
      </w:pPr>
      <w:r>
        <w:rPr>
          <w:rFonts w:ascii="Times New Roman" w:eastAsia="Times New Roman" w:hAnsi="Times New Roman" w:cs="Times New Roman"/>
        </w:rPr>
        <w:t xml:space="preserve">Hannan, M. T., &amp; Freeman, J. (1984). Structural inertia and organizational change. </w:t>
      </w:r>
      <w:r>
        <w:rPr>
          <w:rFonts w:ascii="Times New Roman" w:eastAsia="Times New Roman" w:hAnsi="Times New Roman" w:cs="Times New Roman"/>
          <w:i/>
          <w:iCs/>
        </w:rPr>
        <w:t>American Sociological Review, 49</w:t>
      </w:r>
      <w:r>
        <w:rPr>
          <w:rFonts w:ascii="Times New Roman" w:eastAsia="Times New Roman" w:hAnsi="Times New Roman" w:cs="Times New Roman"/>
        </w:rPr>
        <w:t xml:space="preserve">(2), 149–164. </w:t>
      </w:r>
      <w:hyperlink r:id="rId28" w:history="1">
        <w:r w:rsidR="00971F3C" w:rsidRPr="008F54A2">
          <w:rPr>
            <w:rStyle w:val="Hipervnculo"/>
            <w:rFonts w:ascii="Times New Roman" w:eastAsia="Times New Roman" w:hAnsi="Times New Roman" w:cs="Times New Roman"/>
          </w:rPr>
          <w:t>https://doi.org/10.2307/2095567</w:t>
        </w:r>
      </w:hyperlink>
      <w:r w:rsidR="00971F3C">
        <w:rPr>
          <w:rFonts w:ascii="Times New Roman" w:eastAsia="Times New Roman" w:hAnsi="Times New Roman" w:cs="Times New Roman"/>
        </w:rPr>
        <w:t xml:space="preserve"> </w:t>
      </w:r>
    </w:p>
    <w:p w14:paraId="684A2123" w14:textId="77777777" w:rsidR="00E3792B" w:rsidRDefault="00E3792B" w:rsidP="00E3792B">
      <w:pPr>
        <w:spacing w:after="120"/>
        <w:ind w:left="720" w:hanging="720"/>
        <w:jc w:val="both"/>
      </w:pPr>
      <w:r>
        <w:rPr>
          <w:rFonts w:ascii="Times New Roman" w:eastAsia="Times New Roman" w:hAnsi="Times New Roman" w:cs="Times New Roman"/>
        </w:rPr>
        <w:t xml:space="preserve">Hannan, M. T., &amp; Freeman, J. (1989). </w:t>
      </w:r>
      <w:r>
        <w:rPr>
          <w:rFonts w:ascii="Times New Roman" w:eastAsia="Times New Roman" w:hAnsi="Times New Roman" w:cs="Times New Roman"/>
          <w:i/>
          <w:iCs/>
        </w:rPr>
        <w:t>Organizational ecology</w:t>
      </w:r>
      <w:r>
        <w:rPr>
          <w:rFonts w:ascii="Times New Roman" w:eastAsia="Times New Roman" w:hAnsi="Times New Roman" w:cs="Times New Roman"/>
        </w:rPr>
        <w:t>. Harvard University Press.</w:t>
      </w:r>
    </w:p>
    <w:p w14:paraId="7EE633E5" w14:textId="0440847A" w:rsidR="00E3792B" w:rsidRDefault="00E3792B" w:rsidP="00E3792B">
      <w:pPr>
        <w:spacing w:after="120"/>
        <w:ind w:left="720" w:hanging="720"/>
        <w:jc w:val="both"/>
      </w:pPr>
      <w:r>
        <w:rPr>
          <w:rFonts w:ascii="Times New Roman" w:eastAsia="Times New Roman" w:hAnsi="Times New Roman" w:cs="Times New Roman"/>
        </w:rPr>
        <w:t xml:space="preserve">Harvey, L., &amp; Green, D. (1993). Defining quality. </w:t>
      </w:r>
      <w:r>
        <w:rPr>
          <w:rFonts w:ascii="Times New Roman" w:eastAsia="Times New Roman" w:hAnsi="Times New Roman" w:cs="Times New Roman"/>
          <w:i/>
          <w:iCs/>
        </w:rPr>
        <w:t>Assessment &amp; Evaluation in Higher Education, 18</w:t>
      </w:r>
      <w:r>
        <w:rPr>
          <w:rFonts w:ascii="Times New Roman" w:eastAsia="Times New Roman" w:hAnsi="Times New Roman" w:cs="Times New Roman"/>
        </w:rPr>
        <w:t xml:space="preserve">(1), 9–34. </w:t>
      </w:r>
      <w:hyperlink r:id="rId29" w:history="1">
        <w:r w:rsidR="00971F3C" w:rsidRPr="008F54A2">
          <w:rPr>
            <w:rStyle w:val="Hipervnculo"/>
            <w:rFonts w:ascii="Times New Roman" w:eastAsia="Times New Roman" w:hAnsi="Times New Roman" w:cs="Times New Roman"/>
          </w:rPr>
          <w:t>https://doi.org/10.1080/0260293930180102</w:t>
        </w:r>
      </w:hyperlink>
      <w:r w:rsidR="00971F3C">
        <w:rPr>
          <w:rFonts w:ascii="Times New Roman" w:eastAsia="Times New Roman" w:hAnsi="Times New Roman" w:cs="Times New Roman"/>
        </w:rPr>
        <w:t xml:space="preserve"> </w:t>
      </w:r>
    </w:p>
    <w:p w14:paraId="6061E5E1" w14:textId="671CB533" w:rsidR="00E3792B" w:rsidRDefault="00E3792B" w:rsidP="00E3792B">
      <w:pPr>
        <w:spacing w:after="120"/>
        <w:ind w:left="720" w:hanging="720"/>
        <w:jc w:val="both"/>
      </w:pPr>
      <w:r>
        <w:rPr>
          <w:rFonts w:ascii="Times New Roman" w:eastAsia="Times New Roman" w:hAnsi="Times New Roman" w:cs="Times New Roman"/>
        </w:rPr>
        <w:t xml:space="preserve">Krücken, G. (2021). Multiple competitions in higher education: A conceptual approach. </w:t>
      </w:r>
      <w:r>
        <w:rPr>
          <w:rFonts w:ascii="Times New Roman" w:eastAsia="Times New Roman" w:hAnsi="Times New Roman" w:cs="Times New Roman"/>
          <w:i/>
          <w:iCs/>
        </w:rPr>
        <w:t>Innovation: Organization &amp; Management, 23</w:t>
      </w:r>
      <w:r>
        <w:rPr>
          <w:rFonts w:ascii="Times New Roman" w:eastAsia="Times New Roman" w:hAnsi="Times New Roman" w:cs="Times New Roman"/>
        </w:rPr>
        <w:t xml:space="preserve">(2), 163–181. </w:t>
      </w:r>
      <w:hyperlink r:id="rId30" w:history="1">
        <w:r w:rsidR="00971F3C" w:rsidRPr="008F54A2">
          <w:rPr>
            <w:rStyle w:val="Hipervnculo"/>
            <w:rFonts w:ascii="Times New Roman" w:eastAsia="Times New Roman" w:hAnsi="Times New Roman" w:cs="Times New Roman"/>
          </w:rPr>
          <w:t>https://doi.org/10.1080/14479338.2019.1684652</w:t>
        </w:r>
      </w:hyperlink>
      <w:r w:rsidR="00971F3C">
        <w:rPr>
          <w:rFonts w:ascii="Times New Roman" w:eastAsia="Times New Roman" w:hAnsi="Times New Roman" w:cs="Times New Roman"/>
        </w:rPr>
        <w:t xml:space="preserve"> </w:t>
      </w:r>
    </w:p>
    <w:p w14:paraId="26BCD529" w14:textId="011D6A28" w:rsidR="00E3792B" w:rsidRDefault="00E3792B" w:rsidP="00E3792B">
      <w:pPr>
        <w:spacing w:after="120"/>
        <w:ind w:left="720" w:hanging="720"/>
        <w:jc w:val="both"/>
      </w:pPr>
      <w:r>
        <w:rPr>
          <w:rFonts w:ascii="Times New Roman" w:eastAsia="Times New Roman" w:hAnsi="Times New Roman" w:cs="Times New Roman"/>
        </w:rPr>
        <w:t xml:space="preserve">Krücken, G., &amp; Meier, F. (2006). Turning the university into an organizational actor. En G. S. Drori, J. W. Meyer &amp; H. Hwang (Eds.), </w:t>
      </w:r>
      <w:r>
        <w:rPr>
          <w:rFonts w:ascii="Times New Roman" w:eastAsia="Times New Roman" w:hAnsi="Times New Roman" w:cs="Times New Roman"/>
          <w:i/>
          <w:iCs/>
        </w:rPr>
        <w:t>Globalization and organization: World society and organizational change</w:t>
      </w:r>
      <w:r>
        <w:rPr>
          <w:rFonts w:ascii="Times New Roman" w:eastAsia="Times New Roman" w:hAnsi="Times New Roman" w:cs="Times New Roman"/>
        </w:rPr>
        <w:t xml:space="preserve"> (pp. 241–257). Oxford University Press. </w:t>
      </w:r>
      <w:hyperlink r:id="rId31" w:history="1">
        <w:r w:rsidR="00971F3C" w:rsidRPr="008F54A2">
          <w:rPr>
            <w:rStyle w:val="Hipervnculo"/>
            <w:rFonts w:ascii="Times New Roman" w:eastAsia="Times New Roman" w:hAnsi="Times New Roman" w:cs="Times New Roman"/>
          </w:rPr>
          <w:t>https://doi.org/10.1093/oso/9780199284535.003.0011</w:t>
        </w:r>
      </w:hyperlink>
      <w:r w:rsidR="00971F3C">
        <w:rPr>
          <w:rFonts w:ascii="Times New Roman" w:eastAsia="Times New Roman" w:hAnsi="Times New Roman" w:cs="Times New Roman"/>
        </w:rPr>
        <w:t xml:space="preserve"> </w:t>
      </w:r>
    </w:p>
    <w:p w14:paraId="354A595E" w14:textId="55975C51" w:rsidR="00E3792B" w:rsidRDefault="00E3792B" w:rsidP="00E3792B">
      <w:pPr>
        <w:spacing w:after="120"/>
        <w:ind w:left="720" w:hanging="720"/>
        <w:jc w:val="both"/>
      </w:pPr>
      <w:r>
        <w:rPr>
          <w:rFonts w:ascii="Times New Roman" w:eastAsia="Times New Roman" w:hAnsi="Times New Roman" w:cs="Times New Roman"/>
        </w:rPr>
        <w:t xml:space="preserve">Labraña, J., Henríquez, L., &amp; La Torre, C. (2023). “New public management” y cambio organizacional en la gestión de las universidades estatales chilenas: Un estudio de caso. </w:t>
      </w:r>
      <w:r>
        <w:rPr>
          <w:rFonts w:ascii="Times New Roman" w:eastAsia="Times New Roman" w:hAnsi="Times New Roman" w:cs="Times New Roman"/>
          <w:i/>
          <w:iCs/>
        </w:rPr>
        <w:t>Educação e Pesquisa, 49</w:t>
      </w:r>
      <w:r>
        <w:rPr>
          <w:rFonts w:ascii="Times New Roman" w:eastAsia="Times New Roman" w:hAnsi="Times New Roman" w:cs="Times New Roman"/>
        </w:rPr>
        <w:t xml:space="preserve">, e257607. </w:t>
      </w:r>
      <w:hyperlink r:id="rId32" w:history="1">
        <w:r w:rsidR="00971F3C" w:rsidRPr="008F54A2">
          <w:rPr>
            <w:rStyle w:val="Hipervnculo"/>
            <w:rFonts w:ascii="Times New Roman" w:eastAsia="Times New Roman" w:hAnsi="Times New Roman" w:cs="Times New Roman"/>
          </w:rPr>
          <w:t>https://www.redalyc.org/journal/298/29874394039/html/</w:t>
        </w:r>
      </w:hyperlink>
      <w:r w:rsidR="00971F3C">
        <w:rPr>
          <w:rFonts w:ascii="Times New Roman" w:eastAsia="Times New Roman" w:hAnsi="Times New Roman" w:cs="Times New Roman"/>
        </w:rPr>
        <w:t xml:space="preserve"> </w:t>
      </w:r>
    </w:p>
    <w:p w14:paraId="00532BF7" w14:textId="6546D8A4" w:rsidR="00E3792B" w:rsidRDefault="00E3792B" w:rsidP="00E3792B">
      <w:pPr>
        <w:spacing w:after="120"/>
        <w:ind w:left="720" w:hanging="720"/>
        <w:jc w:val="both"/>
      </w:pPr>
      <w:r>
        <w:rPr>
          <w:rFonts w:ascii="Times New Roman" w:eastAsia="Times New Roman" w:hAnsi="Times New Roman" w:cs="Times New Roman"/>
        </w:rPr>
        <w:t xml:space="preserve">Labraña, J., Puyol, M. F., &amp; Brunner, J. J. (2023). Racionalización y mercadización: Una mirada en la discusión sobre neoliberalismo en la educación superior. </w:t>
      </w:r>
      <w:r>
        <w:rPr>
          <w:rFonts w:ascii="Times New Roman" w:eastAsia="Times New Roman" w:hAnsi="Times New Roman" w:cs="Times New Roman"/>
          <w:i/>
          <w:iCs/>
        </w:rPr>
        <w:t>Calidad en la Educación</w:t>
      </w:r>
      <w:r>
        <w:rPr>
          <w:rFonts w:ascii="Times New Roman" w:eastAsia="Times New Roman" w:hAnsi="Times New Roman" w:cs="Times New Roman"/>
        </w:rPr>
        <w:t xml:space="preserve">, (58), 28–55. </w:t>
      </w:r>
      <w:hyperlink r:id="rId33" w:history="1">
        <w:r w:rsidR="00971F3C" w:rsidRPr="008F54A2">
          <w:rPr>
            <w:rStyle w:val="Hipervnculo"/>
            <w:rFonts w:ascii="Times New Roman" w:eastAsia="Times New Roman" w:hAnsi="Times New Roman" w:cs="Times New Roman"/>
          </w:rPr>
          <w:t>https://www.scielo.cl/scielo.php?script=sci_arttext&amp;pid=S0718-45652023000200028</w:t>
        </w:r>
      </w:hyperlink>
      <w:r w:rsidR="00971F3C">
        <w:rPr>
          <w:rFonts w:ascii="Times New Roman" w:eastAsia="Times New Roman" w:hAnsi="Times New Roman" w:cs="Times New Roman"/>
        </w:rPr>
        <w:t xml:space="preserve"> </w:t>
      </w:r>
    </w:p>
    <w:p w14:paraId="11CA5AC8" w14:textId="78AD9765" w:rsidR="00E3792B" w:rsidRDefault="00E3792B" w:rsidP="00E3792B">
      <w:pPr>
        <w:spacing w:after="120"/>
        <w:ind w:left="720" w:hanging="720"/>
        <w:jc w:val="both"/>
      </w:pPr>
      <w:r>
        <w:rPr>
          <w:rFonts w:ascii="Times New Roman" w:eastAsia="Times New Roman" w:hAnsi="Times New Roman" w:cs="Times New Roman"/>
        </w:rPr>
        <w:t xml:space="preserve">Labraña, J., Puyol, F., Brunner, J. J., &amp; Alarcón, M. (2024). Gerencialismo e identidades académicas en las universidades chilenas: Un estudio de caso. </w:t>
      </w:r>
      <w:r>
        <w:rPr>
          <w:rFonts w:ascii="Times New Roman" w:eastAsia="Times New Roman" w:hAnsi="Times New Roman" w:cs="Times New Roman"/>
          <w:i/>
          <w:iCs/>
        </w:rPr>
        <w:t>Pensamiento Educativo. Revista de Investigación Educacional Latinoamericana, 61</w:t>
      </w:r>
      <w:r>
        <w:rPr>
          <w:rFonts w:ascii="Times New Roman" w:eastAsia="Times New Roman" w:hAnsi="Times New Roman" w:cs="Times New Roman"/>
        </w:rPr>
        <w:t xml:space="preserve">(3), 1–14. </w:t>
      </w:r>
      <w:hyperlink r:id="rId34" w:history="1">
        <w:r w:rsidR="00971F3C" w:rsidRPr="008F54A2">
          <w:rPr>
            <w:rStyle w:val="Hipervnculo"/>
            <w:rFonts w:ascii="Times New Roman" w:eastAsia="Times New Roman" w:hAnsi="Times New Roman" w:cs="Times New Roman"/>
          </w:rPr>
          <w:t>https://doi.org/10.7764/PEL.61.3.2024.4</w:t>
        </w:r>
      </w:hyperlink>
      <w:r w:rsidR="00971F3C">
        <w:rPr>
          <w:rFonts w:ascii="Times New Roman" w:eastAsia="Times New Roman" w:hAnsi="Times New Roman" w:cs="Times New Roman"/>
        </w:rPr>
        <w:t xml:space="preserve"> </w:t>
      </w:r>
    </w:p>
    <w:p w14:paraId="1B09590A" w14:textId="2FD1B6DC" w:rsidR="00E3792B" w:rsidRDefault="00E3792B" w:rsidP="00E3792B">
      <w:pPr>
        <w:spacing w:after="120"/>
        <w:ind w:left="720" w:hanging="720"/>
        <w:jc w:val="both"/>
      </w:pPr>
      <w:r>
        <w:rPr>
          <w:rFonts w:ascii="Times New Roman" w:eastAsia="Times New Roman" w:hAnsi="Times New Roman" w:cs="Times New Roman"/>
        </w:rPr>
        <w:lastRenderedPageBreak/>
        <w:t xml:space="preserve">Landoni, P. (2008). Isomorfismo y calidad: Redefiniendo los espacios públicos y privados en la educación superior uruguaya. </w:t>
      </w:r>
      <w:r>
        <w:rPr>
          <w:rFonts w:ascii="Times New Roman" w:eastAsia="Times New Roman" w:hAnsi="Times New Roman" w:cs="Times New Roman"/>
          <w:i/>
          <w:iCs/>
        </w:rPr>
        <w:t>Revista Uruguaya de Ciencia Política, 17</w:t>
      </w:r>
      <w:r>
        <w:rPr>
          <w:rFonts w:ascii="Times New Roman" w:eastAsia="Times New Roman" w:hAnsi="Times New Roman" w:cs="Times New Roman"/>
        </w:rPr>
        <w:t xml:space="preserve">(1), 183–202. </w:t>
      </w:r>
      <w:hyperlink r:id="rId35" w:history="1">
        <w:r w:rsidR="00971F3C" w:rsidRPr="008F54A2">
          <w:rPr>
            <w:rStyle w:val="Hipervnculo"/>
            <w:rFonts w:ascii="Times New Roman" w:eastAsia="Times New Roman" w:hAnsi="Times New Roman" w:cs="Times New Roman"/>
          </w:rPr>
          <w:t>https://rucp.cienciassociales.edu.uy/index.php/rucp/article/view/226</w:t>
        </w:r>
      </w:hyperlink>
      <w:r w:rsidR="00971F3C">
        <w:rPr>
          <w:rFonts w:ascii="Times New Roman" w:eastAsia="Times New Roman" w:hAnsi="Times New Roman" w:cs="Times New Roman"/>
        </w:rPr>
        <w:t xml:space="preserve"> </w:t>
      </w:r>
    </w:p>
    <w:p w14:paraId="50A9A72F" w14:textId="36C8116E" w:rsidR="00E3792B" w:rsidRDefault="00E3792B" w:rsidP="00E3792B">
      <w:pPr>
        <w:spacing w:after="120"/>
        <w:ind w:left="720" w:hanging="720"/>
        <w:jc w:val="both"/>
      </w:pPr>
      <w:r>
        <w:rPr>
          <w:rFonts w:ascii="Times New Roman" w:eastAsia="Times New Roman" w:hAnsi="Times New Roman" w:cs="Times New Roman"/>
        </w:rPr>
        <w:t xml:space="preserve">Lemaitre, M. J., Maturana, M., Zenteno, E., &amp; Alvarado, A. (2012). Cambios en la gestión institucional en universidades, a partir de la implementación del Sistema Nacional de Aseguramiento de la Calidad: La experiencia chilena. </w:t>
      </w:r>
      <w:r>
        <w:rPr>
          <w:rFonts w:ascii="Times New Roman" w:eastAsia="Times New Roman" w:hAnsi="Times New Roman" w:cs="Times New Roman"/>
          <w:i/>
          <w:iCs/>
        </w:rPr>
        <w:t>Calidad en la Educación</w:t>
      </w:r>
      <w:r>
        <w:rPr>
          <w:rFonts w:ascii="Times New Roman" w:eastAsia="Times New Roman" w:hAnsi="Times New Roman" w:cs="Times New Roman"/>
        </w:rPr>
        <w:t xml:space="preserve">, (36), 21–52. </w:t>
      </w:r>
      <w:hyperlink r:id="rId36" w:history="1">
        <w:r w:rsidR="00971F3C" w:rsidRPr="008F54A2">
          <w:rPr>
            <w:rStyle w:val="Hipervnculo"/>
            <w:rFonts w:ascii="Times New Roman" w:eastAsia="Times New Roman" w:hAnsi="Times New Roman" w:cs="Times New Roman"/>
          </w:rPr>
          <w:t>https://doi.org/10.4067/S0718-45652012000100001</w:t>
        </w:r>
      </w:hyperlink>
      <w:r w:rsidR="00971F3C">
        <w:rPr>
          <w:rFonts w:ascii="Times New Roman" w:eastAsia="Times New Roman" w:hAnsi="Times New Roman" w:cs="Times New Roman"/>
        </w:rPr>
        <w:t xml:space="preserve"> </w:t>
      </w:r>
    </w:p>
    <w:p w14:paraId="177F9E3A" w14:textId="103DA39F" w:rsidR="00E3792B" w:rsidRDefault="00E3792B" w:rsidP="00E3792B">
      <w:pPr>
        <w:spacing w:after="120"/>
        <w:ind w:left="720" w:hanging="720"/>
        <w:jc w:val="both"/>
      </w:pPr>
      <w:r>
        <w:rPr>
          <w:rFonts w:ascii="Times New Roman" w:eastAsia="Times New Roman" w:hAnsi="Times New Roman" w:cs="Times New Roman"/>
        </w:rPr>
        <w:t xml:space="preserve">Marginson, S., &amp; Considine, M. (2000). </w:t>
      </w:r>
      <w:r>
        <w:rPr>
          <w:rFonts w:ascii="Times New Roman" w:eastAsia="Times New Roman" w:hAnsi="Times New Roman" w:cs="Times New Roman"/>
          <w:i/>
          <w:iCs/>
        </w:rPr>
        <w:t>The enterprise university: Power, governance and reinvention in Australia</w:t>
      </w:r>
      <w:r>
        <w:rPr>
          <w:rFonts w:ascii="Times New Roman" w:eastAsia="Times New Roman" w:hAnsi="Times New Roman" w:cs="Times New Roman"/>
        </w:rPr>
        <w:t xml:space="preserve">. Cambridge University Press. </w:t>
      </w:r>
      <w:hyperlink r:id="rId37" w:history="1">
        <w:r w:rsidR="00971F3C" w:rsidRPr="008F54A2">
          <w:rPr>
            <w:rStyle w:val="Hipervnculo"/>
            <w:rFonts w:ascii="Times New Roman" w:eastAsia="Times New Roman" w:hAnsi="Times New Roman" w:cs="Times New Roman"/>
          </w:rPr>
          <w:t>https://www.cambridge.org/9780521794480</w:t>
        </w:r>
      </w:hyperlink>
      <w:r w:rsidR="00971F3C">
        <w:rPr>
          <w:rFonts w:ascii="Times New Roman" w:eastAsia="Times New Roman" w:hAnsi="Times New Roman" w:cs="Times New Roman"/>
        </w:rPr>
        <w:t xml:space="preserve"> </w:t>
      </w:r>
    </w:p>
    <w:p w14:paraId="15E5DCFB" w14:textId="77777777" w:rsidR="00E3792B" w:rsidRDefault="00E3792B" w:rsidP="00E3792B">
      <w:pPr>
        <w:spacing w:after="120"/>
        <w:ind w:left="720" w:hanging="720"/>
        <w:jc w:val="both"/>
      </w:pPr>
      <w:r>
        <w:rPr>
          <w:rFonts w:ascii="Times New Roman" w:eastAsia="Times New Roman" w:hAnsi="Times New Roman" w:cs="Times New Roman"/>
        </w:rPr>
        <w:t xml:space="preserve">Merriam, S. B., &amp; Grenier, R. S. (2019). </w:t>
      </w:r>
      <w:r>
        <w:rPr>
          <w:rFonts w:ascii="Times New Roman" w:eastAsia="Times New Roman" w:hAnsi="Times New Roman" w:cs="Times New Roman"/>
          <w:i/>
          <w:iCs/>
        </w:rPr>
        <w:t>Qualitative research in practice: Examples for discussion and analysis</w:t>
      </w:r>
      <w:r>
        <w:rPr>
          <w:rFonts w:ascii="Times New Roman" w:eastAsia="Times New Roman" w:hAnsi="Times New Roman" w:cs="Times New Roman"/>
        </w:rPr>
        <w:t xml:space="preserve"> (2ª ed.). Jossey-Bass.</w:t>
      </w:r>
    </w:p>
    <w:p w14:paraId="2E5B4EB8" w14:textId="3D774D1A" w:rsidR="00E3792B" w:rsidRDefault="00E3792B" w:rsidP="00E3792B">
      <w:pPr>
        <w:spacing w:after="120"/>
        <w:ind w:left="720" w:hanging="720"/>
        <w:jc w:val="both"/>
      </w:pPr>
      <w:r>
        <w:rPr>
          <w:rFonts w:ascii="Times New Roman" w:eastAsia="Times New Roman" w:hAnsi="Times New Roman" w:cs="Times New Roman"/>
        </w:rPr>
        <w:t xml:space="preserve">Meyer, J. W., &amp; Rowan, B. (1977). Institutionalized organizations: Formal structure as myth and ceremony. </w:t>
      </w:r>
      <w:r>
        <w:rPr>
          <w:rFonts w:ascii="Times New Roman" w:eastAsia="Times New Roman" w:hAnsi="Times New Roman" w:cs="Times New Roman"/>
          <w:i/>
          <w:iCs/>
        </w:rPr>
        <w:t>American Journal of Sociology, 83</w:t>
      </w:r>
      <w:r>
        <w:rPr>
          <w:rFonts w:ascii="Times New Roman" w:eastAsia="Times New Roman" w:hAnsi="Times New Roman" w:cs="Times New Roman"/>
        </w:rPr>
        <w:t xml:space="preserve">(2), 340–363. </w:t>
      </w:r>
      <w:hyperlink r:id="rId38" w:history="1">
        <w:r w:rsidR="00971F3C" w:rsidRPr="008F54A2">
          <w:rPr>
            <w:rStyle w:val="Hipervnculo"/>
            <w:rFonts w:ascii="Times New Roman" w:eastAsia="Times New Roman" w:hAnsi="Times New Roman" w:cs="Times New Roman"/>
          </w:rPr>
          <w:t>https://doi.org/10.1086/226550</w:t>
        </w:r>
      </w:hyperlink>
      <w:r w:rsidR="00971F3C">
        <w:rPr>
          <w:rFonts w:ascii="Times New Roman" w:eastAsia="Times New Roman" w:hAnsi="Times New Roman" w:cs="Times New Roman"/>
        </w:rPr>
        <w:t xml:space="preserve"> </w:t>
      </w:r>
    </w:p>
    <w:p w14:paraId="7FE7B1E5" w14:textId="6B33816E" w:rsidR="00E3792B" w:rsidRDefault="00E3792B" w:rsidP="00E3792B">
      <w:pPr>
        <w:spacing w:after="120"/>
        <w:ind w:left="720" w:hanging="720"/>
        <w:jc w:val="both"/>
      </w:pPr>
      <w:r>
        <w:rPr>
          <w:rFonts w:ascii="Times New Roman" w:eastAsia="Times New Roman" w:hAnsi="Times New Roman" w:cs="Times New Roman"/>
        </w:rPr>
        <w:t xml:space="preserve">Musselin, C. (2021). University governance in meso and macro perspectives. </w:t>
      </w:r>
      <w:r>
        <w:rPr>
          <w:rFonts w:ascii="Times New Roman" w:eastAsia="Times New Roman" w:hAnsi="Times New Roman" w:cs="Times New Roman"/>
          <w:i/>
          <w:iCs/>
        </w:rPr>
        <w:t>Annual Review of Sociology, 47</w:t>
      </w:r>
      <w:r>
        <w:rPr>
          <w:rFonts w:ascii="Times New Roman" w:eastAsia="Times New Roman" w:hAnsi="Times New Roman" w:cs="Times New Roman"/>
        </w:rPr>
        <w:t xml:space="preserve">, 305–325. </w:t>
      </w:r>
      <w:hyperlink r:id="rId39" w:history="1">
        <w:r w:rsidR="00971F3C" w:rsidRPr="008F54A2">
          <w:rPr>
            <w:rStyle w:val="Hipervnculo"/>
            <w:rFonts w:ascii="Times New Roman" w:eastAsia="Times New Roman" w:hAnsi="Times New Roman" w:cs="Times New Roman"/>
          </w:rPr>
          <w:t>https://doi.org/10.1146/annurev-soc-090320-012708</w:t>
        </w:r>
      </w:hyperlink>
      <w:r w:rsidR="00971F3C">
        <w:rPr>
          <w:rFonts w:ascii="Times New Roman" w:eastAsia="Times New Roman" w:hAnsi="Times New Roman" w:cs="Times New Roman"/>
        </w:rPr>
        <w:t xml:space="preserve"> </w:t>
      </w:r>
    </w:p>
    <w:p w14:paraId="76A0A236" w14:textId="516926A2" w:rsidR="00E3792B" w:rsidRDefault="00E3792B" w:rsidP="00E3792B">
      <w:pPr>
        <w:spacing w:after="120"/>
        <w:ind w:left="720" w:hanging="720"/>
        <w:jc w:val="both"/>
      </w:pPr>
      <w:r>
        <w:rPr>
          <w:rFonts w:ascii="Times New Roman" w:eastAsia="Times New Roman" w:hAnsi="Times New Roman" w:cs="Times New Roman"/>
        </w:rPr>
        <w:t xml:space="preserve">Olssen, M., &amp; Peters, M. A. (2005). Neoliberalism, higher education and the knowledge economy: From the free market to knowledge capitalism. </w:t>
      </w:r>
      <w:r>
        <w:rPr>
          <w:rFonts w:ascii="Times New Roman" w:eastAsia="Times New Roman" w:hAnsi="Times New Roman" w:cs="Times New Roman"/>
          <w:i/>
          <w:iCs/>
        </w:rPr>
        <w:t>Journal of Education Policy, 20</w:t>
      </w:r>
      <w:r>
        <w:rPr>
          <w:rFonts w:ascii="Times New Roman" w:eastAsia="Times New Roman" w:hAnsi="Times New Roman" w:cs="Times New Roman"/>
        </w:rPr>
        <w:t xml:space="preserve">(3), 313–345. </w:t>
      </w:r>
      <w:hyperlink r:id="rId40" w:history="1">
        <w:r w:rsidR="00971F3C" w:rsidRPr="008F54A2">
          <w:rPr>
            <w:rStyle w:val="Hipervnculo"/>
            <w:rFonts w:ascii="Times New Roman" w:eastAsia="Times New Roman" w:hAnsi="Times New Roman" w:cs="Times New Roman"/>
          </w:rPr>
          <w:t>https://doi.org/10.1080/02680930500108718</w:t>
        </w:r>
      </w:hyperlink>
      <w:r w:rsidR="00971F3C">
        <w:rPr>
          <w:rFonts w:ascii="Times New Roman" w:eastAsia="Times New Roman" w:hAnsi="Times New Roman" w:cs="Times New Roman"/>
        </w:rPr>
        <w:t xml:space="preserve"> </w:t>
      </w:r>
    </w:p>
    <w:p w14:paraId="0B7BF3C5" w14:textId="516495BE" w:rsidR="00E3792B" w:rsidRDefault="00E3792B" w:rsidP="00E3792B">
      <w:pPr>
        <w:spacing w:after="120"/>
        <w:ind w:left="720" w:hanging="720"/>
        <w:jc w:val="both"/>
      </w:pPr>
      <w:r>
        <w:rPr>
          <w:rFonts w:ascii="Times New Roman" w:eastAsia="Times New Roman" w:hAnsi="Times New Roman" w:cs="Times New Roman"/>
        </w:rPr>
        <w:t xml:space="preserve">Ozturk, I. (2020). Coercive isomorphism in higher education: Direct pressures from the state to the Turkish universities. En </w:t>
      </w:r>
      <w:r>
        <w:rPr>
          <w:rFonts w:ascii="Times New Roman" w:eastAsia="Times New Roman" w:hAnsi="Times New Roman" w:cs="Times New Roman"/>
          <w:i/>
          <w:iCs/>
        </w:rPr>
        <w:t>Proceedings of the 6th International Conference on Higher Education Advances (HEAd’20)</w:t>
      </w:r>
      <w:r>
        <w:rPr>
          <w:rFonts w:ascii="Times New Roman" w:eastAsia="Times New Roman" w:hAnsi="Times New Roman" w:cs="Times New Roman"/>
        </w:rPr>
        <w:t xml:space="preserve"> (pp. 911–918). Universitat Politècnica de València. </w:t>
      </w:r>
      <w:hyperlink r:id="rId41" w:history="1">
        <w:r w:rsidR="00971F3C" w:rsidRPr="008F54A2">
          <w:rPr>
            <w:rStyle w:val="Hipervnculo"/>
            <w:rFonts w:ascii="Times New Roman" w:eastAsia="Times New Roman" w:hAnsi="Times New Roman" w:cs="Times New Roman"/>
          </w:rPr>
          <w:t>https://doi.org/10.4995/HEAd20.2020.11173</w:t>
        </w:r>
      </w:hyperlink>
      <w:r w:rsidR="00971F3C">
        <w:rPr>
          <w:rFonts w:ascii="Times New Roman" w:eastAsia="Times New Roman" w:hAnsi="Times New Roman" w:cs="Times New Roman"/>
        </w:rPr>
        <w:t xml:space="preserve"> </w:t>
      </w:r>
    </w:p>
    <w:p w14:paraId="2D4393AD" w14:textId="763D23D0" w:rsidR="00E3792B" w:rsidRDefault="00E3792B" w:rsidP="00E3792B">
      <w:pPr>
        <w:spacing w:after="120"/>
        <w:ind w:left="720" w:hanging="720"/>
        <w:jc w:val="both"/>
      </w:pPr>
      <w:r>
        <w:rPr>
          <w:rFonts w:ascii="Times New Roman" w:eastAsia="Times New Roman" w:hAnsi="Times New Roman" w:cs="Times New Roman"/>
        </w:rPr>
        <w:t xml:space="preserve">Salazar, J. M., &amp; Leihy, P. (2017). </w:t>
      </w:r>
      <w:r>
        <w:rPr>
          <w:rFonts w:ascii="Times New Roman" w:eastAsia="Times New Roman" w:hAnsi="Times New Roman" w:cs="Times New Roman"/>
          <w:i/>
          <w:iCs/>
        </w:rPr>
        <w:t>La poética del mejoramiento: ¿Hacia dónde nos han traído las políticas de calidad de la educación superior?</w:t>
      </w:r>
      <w:r>
        <w:rPr>
          <w:rFonts w:ascii="Times New Roman" w:eastAsia="Times New Roman" w:hAnsi="Times New Roman" w:cs="Times New Roman"/>
        </w:rPr>
        <w:t xml:space="preserve"> Centro de Políticas Públicas y Estudios Universitarios. </w:t>
      </w:r>
      <w:hyperlink r:id="rId42" w:history="1">
        <w:r w:rsidR="00971F3C" w:rsidRPr="008F54A2">
          <w:rPr>
            <w:rStyle w:val="Hipervnculo"/>
            <w:rFonts w:ascii="Times New Roman" w:eastAsia="Times New Roman" w:hAnsi="Times New Roman" w:cs="Times New Roman"/>
          </w:rPr>
          <w:t>https://www.researchgate.net/publication/344418346_La_poetica_del_mejoramiento_Hacia_donde_nos_han_traido_las_politicas_de_calidad_de_la_educacion_superior</w:t>
        </w:r>
      </w:hyperlink>
      <w:r w:rsidR="00971F3C">
        <w:rPr>
          <w:rFonts w:ascii="Times New Roman" w:eastAsia="Times New Roman" w:hAnsi="Times New Roman" w:cs="Times New Roman"/>
        </w:rPr>
        <w:t xml:space="preserve"> </w:t>
      </w:r>
    </w:p>
    <w:p w14:paraId="148515CA" w14:textId="642F2628" w:rsidR="00E3792B" w:rsidRDefault="00E3792B" w:rsidP="00E3792B">
      <w:pPr>
        <w:spacing w:after="120"/>
        <w:ind w:left="720" w:hanging="720"/>
        <w:jc w:val="both"/>
      </w:pPr>
      <w:r>
        <w:rPr>
          <w:rFonts w:ascii="Times New Roman" w:eastAsia="Times New Roman" w:hAnsi="Times New Roman" w:cs="Times New Roman"/>
        </w:rPr>
        <w:t xml:space="preserve">Seeber, M., Lepori, B., Montauti, M., Enders, J., de Boer, H., Weyer, E., Bleiklie, I., Hope, K., Michelsen, S., Mathisen, G. N., Frølich, N., Scordato, L., Stensaker, B., Waagene, E., Dragsic, Z., Kretek, P., Krücken, G., Magalhães, A., Ribeiro, F. M., … Reale, E. (2015). European universities as complete organizations? Understanding identity, hierarchy and rationality in public organizations. </w:t>
      </w:r>
      <w:r>
        <w:rPr>
          <w:rFonts w:ascii="Times New Roman" w:eastAsia="Times New Roman" w:hAnsi="Times New Roman" w:cs="Times New Roman"/>
          <w:i/>
          <w:iCs/>
        </w:rPr>
        <w:t xml:space="preserve">Public </w:t>
      </w:r>
      <w:r>
        <w:rPr>
          <w:rFonts w:ascii="Times New Roman" w:eastAsia="Times New Roman" w:hAnsi="Times New Roman" w:cs="Times New Roman"/>
          <w:i/>
          <w:iCs/>
        </w:rPr>
        <w:lastRenderedPageBreak/>
        <w:t>Management Review, 17</w:t>
      </w:r>
      <w:r>
        <w:rPr>
          <w:rFonts w:ascii="Times New Roman" w:eastAsia="Times New Roman" w:hAnsi="Times New Roman" w:cs="Times New Roman"/>
        </w:rPr>
        <w:t xml:space="preserve">(10), 1444–1474. </w:t>
      </w:r>
      <w:hyperlink r:id="rId43" w:history="1">
        <w:r w:rsidR="00971F3C" w:rsidRPr="008F54A2">
          <w:rPr>
            <w:rStyle w:val="Hipervnculo"/>
            <w:rFonts w:ascii="Times New Roman" w:eastAsia="Times New Roman" w:hAnsi="Times New Roman" w:cs="Times New Roman"/>
          </w:rPr>
          <w:t>https://doi.org/10.1080/14719037.2014.943268</w:t>
        </w:r>
      </w:hyperlink>
      <w:r w:rsidR="00971F3C">
        <w:rPr>
          <w:rFonts w:ascii="Times New Roman" w:eastAsia="Times New Roman" w:hAnsi="Times New Roman" w:cs="Times New Roman"/>
        </w:rPr>
        <w:t xml:space="preserve"> </w:t>
      </w:r>
    </w:p>
    <w:p w14:paraId="50A193DD" w14:textId="4B19CE4C" w:rsidR="00E3792B" w:rsidRDefault="00E3792B" w:rsidP="00E3792B">
      <w:pPr>
        <w:spacing w:after="120"/>
        <w:ind w:left="720" w:hanging="720"/>
        <w:jc w:val="both"/>
      </w:pPr>
      <w:r>
        <w:rPr>
          <w:rFonts w:ascii="Times New Roman" w:eastAsia="Times New Roman" w:hAnsi="Times New Roman" w:cs="Times New Roman"/>
        </w:rPr>
        <w:t xml:space="preserve">Seyfried, M., &amp; Pohlenz, P. (2018). Assessing quality assurance in higher education: Quality managers’ perceptions of effectiveness. </w:t>
      </w:r>
      <w:r>
        <w:rPr>
          <w:rFonts w:ascii="Times New Roman" w:eastAsia="Times New Roman" w:hAnsi="Times New Roman" w:cs="Times New Roman"/>
          <w:i/>
          <w:iCs/>
        </w:rPr>
        <w:t>European Journal of Higher Education, 8</w:t>
      </w:r>
      <w:r>
        <w:rPr>
          <w:rFonts w:ascii="Times New Roman" w:eastAsia="Times New Roman" w:hAnsi="Times New Roman" w:cs="Times New Roman"/>
        </w:rPr>
        <w:t xml:space="preserve">(3), 258–271. </w:t>
      </w:r>
      <w:hyperlink r:id="rId44" w:history="1">
        <w:r w:rsidR="00971F3C" w:rsidRPr="008F54A2">
          <w:rPr>
            <w:rStyle w:val="Hipervnculo"/>
            <w:rFonts w:ascii="Times New Roman" w:eastAsia="Times New Roman" w:hAnsi="Times New Roman" w:cs="Times New Roman"/>
          </w:rPr>
          <w:t>https://doi.org/10.1080/21568235.2018.1474777</w:t>
        </w:r>
      </w:hyperlink>
      <w:r w:rsidR="00971F3C">
        <w:rPr>
          <w:rFonts w:ascii="Times New Roman" w:eastAsia="Times New Roman" w:hAnsi="Times New Roman" w:cs="Times New Roman"/>
        </w:rPr>
        <w:t xml:space="preserve"> </w:t>
      </w:r>
    </w:p>
    <w:p w14:paraId="61B268F0" w14:textId="0F69C234" w:rsidR="00E3792B" w:rsidRDefault="00E3792B" w:rsidP="00E3792B">
      <w:pPr>
        <w:spacing w:after="120"/>
        <w:ind w:left="720" w:hanging="720"/>
        <w:jc w:val="both"/>
      </w:pPr>
      <w:r>
        <w:rPr>
          <w:rFonts w:ascii="Times New Roman" w:eastAsia="Times New Roman" w:hAnsi="Times New Roman" w:cs="Times New Roman"/>
        </w:rPr>
        <w:t xml:space="preserve">Slaughter, S., &amp; Leslie, L. L. (1997). </w:t>
      </w:r>
      <w:r>
        <w:rPr>
          <w:rFonts w:ascii="Times New Roman" w:eastAsia="Times New Roman" w:hAnsi="Times New Roman" w:cs="Times New Roman"/>
          <w:i/>
          <w:iCs/>
        </w:rPr>
        <w:t>Academic capitalism: Politics, policies, and the entrepreneurial university</w:t>
      </w:r>
      <w:r>
        <w:rPr>
          <w:rFonts w:ascii="Times New Roman" w:eastAsia="Times New Roman" w:hAnsi="Times New Roman" w:cs="Times New Roman"/>
        </w:rPr>
        <w:t xml:space="preserve">. Johns Hopkins University Press. </w:t>
      </w:r>
      <w:hyperlink r:id="rId45" w:history="1">
        <w:r w:rsidR="00971F3C" w:rsidRPr="008F54A2">
          <w:rPr>
            <w:rStyle w:val="Hipervnculo"/>
            <w:rFonts w:ascii="Times New Roman" w:eastAsia="Times New Roman" w:hAnsi="Times New Roman" w:cs="Times New Roman"/>
          </w:rPr>
          <w:t>https://eric.ed.gov/?id=ED409816</w:t>
        </w:r>
      </w:hyperlink>
      <w:r w:rsidR="00971F3C">
        <w:rPr>
          <w:rFonts w:ascii="Times New Roman" w:eastAsia="Times New Roman" w:hAnsi="Times New Roman" w:cs="Times New Roman"/>
        </w:rPr>
        <w:t xml:space="preserve"> </w:t>
      </w:r>
    </w:p>
    <w:p w14:paraId="1470AF5C" w14:textId="77777777" w:rsidR="00E3792B" w:rsidRDefault="00E3792B" w:rsidP="00E3792B">
      <w:pPr>
        <w:spacing w:after="120"/>
        <w:ind w:left="720" w:hanging="720"/>
        <w:jc w:val="both"/>
      </w:pPr>
      <w:r>
        <w:rPr>
          <w:rFonts w:ascii="Times New Roman" w:eastAsia="Times New Roman" w:hAnsi="Times New Roman" w:cs="Times New Roman"/>
        </w:rPr>
        <w:t xml:space="preserve">Slaughter, S., &amp; Rhoades, G. (2004). </w:t>
      </w:r>
      <w:r>
        <w:rPr>
          <w:rFonts w:ascii="Times New Roman" w:eastAsia="Times New Roman" w:hAnsi="Times New Roman" w:cs="Times New Roman"/>
          <w:i/>
          <w:iCs/>
        </w:rPr>
        <w:t>Academic capitalism and the new economy: Markets, state, and higher education</w:t>
      </w:r>
      <w:r>
        <w:rPr>
          <w:rFonts w:ascii="Times New Roman" w:eastAsia="Times New Roman" w:hAnsi="Times New Roman" w:cs="Times New Roman"/>
        </w:rPr>
        <w:t>. Johns Hopkins University Press.</w:t>
      </w:r>
    </w:p>
    <w:p w14:paraId="42040CAD" w14:textId="2043EC51" w:rsidR="00E3792B" w:rsidRDefault="00E3792B" w:rsidP="00E3792B">
      <w:pPr>
        <w:spacing w:after="120"/>
        <w:ind w:left="720" w:hanging="720"/>
        <w:jc w:val="both"/>
      </w:pPr>
      <w:r>
        <w:rPr>
          <w:rFonts w:ascii="Times New Roman" w:eastAsia="Times New Roman" w:hAnsi="Times New Roman" w:cs="Times New Roman"/>
        </w:rPr>
        <w:t xml:space="preserve">Stensaker, B. (2008). Outcomes of quality assurance: A discussion of knowledge, methodology and validity. </w:t>
      </w:r>
      <w:r>
        <w:rPr>
          <w:rFonts w:ascii="Times New Roman" w:eastAsia="Times New Roman" w:hAnsi="Times New Roman" w:cs="Times New Roman"/>
          <w:i/>
          <w:iCs/>
        </w:rPr>
        <w:t>Quality in Higher Education, 14</w:t>
      </w:r>
      <w:r>
        <w:rPr>
          <w:rFonts w:ascii="Times New Roman" w:eastAsia="Times New Roman" w:hAnsi="Times New Roman" w:cs="Times New Roman"/>
        </w:rPr>
        <w:t xml:space="preserve">(1), 3–13. </w:t>
      </w:r>
      <w:hyperlink r:id="rId46" w:history="1">
        <w:r w:rsidR="00971F3C" w:rsidRPr="008F54A2">
          <w:rPr>
            <w:rStyle w:val="Hipervnculo"/>
            <w:rFonts w:ascii="Times New Roman" w:eastAsia="Times New Roman" w:hAnsi="Times New Roman" w:cs="Times New Roman"/>
          </w:rPr>
          <w:t>https://doi.org/10.1080/13538320802011532</w:t>
        </w:r>
      </w:hyperlink>
      <w:r w:rsidR="00971F3C">
        <w:rPr>
          <w:rFonts w:ascii="Times New Roman" w:eastAsia="Times New Roman" w:hAnsi="Times New Roman" w:cs="Times New Roman"/>
        </w:rPr>
        <w:t xml:space="preserve"> </w:t>
      </w:r>
    </w:p>
    <w:p w14:paraId="7E83515B" w14:textId="5634258A"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47"/>
      <w:footerReference w:type="default" r:id="rId4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AFA19" w14:textId="77777777" w:rsidR="00316AB2" w:rsidRPr="00BA642E" w:rsidRDefault="00316AB2" w:rsidP="00C802F5">
      <w:pPr>
        <w:spacing w:after="0" w:line="240" w:lineRule="auto"/>
      </w:pPr>
      <w:r w:rsidRPr="00BA642E">
        <w:separator/>
      </w:r>
    </w:p>
  </w:endnote>
  <w:endnote w:type="continuationSeparator" w:id="0">
    <w:p w14:paraId="44802582" w14:textId="77777777" w:rsidR="00316AB2" w:rsidRPr="00BA642E" w:rsidRDefault="00316AB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D46D3" w14:textId="77777777" w:rsidR="00316AB2" w:rsidRPr="00BA642E" w:rsidRDefault="00316AB2" w:rsidP="00C802F5">
      <w:pPr>
        <w:spacing w:after="0" w:line="240" w:lineRule="auto"/>
      </w:pPr>
      <w:r w:rsidRPr="00BA642E">
        <w:separator/>
      </w:r>
    </w:p>
  </w:footnote>
  <w:footnote w:type="continuationSeparator" w:id="0">
    <w:p w14:paraId="6AC1A905" w14:textId="77777777" w:rsidR="00316AB2" w:rsidRPr="00BA642E" w:rsidRDefault="00316AB2"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16A9F"/>
    <w:rsid w:val="000C4890"/>
    <w:rsid w:val="000F6999"/>
    <w:rsid w:val="001816D6"/>
    <w:rsid w:val="00185F5E"/>
    <w:rsid w:val="001923DC"/>
    <w:rsid w:val="001C04F7"/>
    <w:rsid w:val="002327C3"/>
    <w:rsid w:val="00312392"/>
    <w:rsid w:val="00316AB2"/>
    <w:rsid w:val="00385187"/>
    <w:rsid w:val="004040C0"/>
    <w:rsid w:val="004308D0"/>
    <w:rsid w:val="00437E9C"/>
    <w:rsid w:val="004E7C58"/>
    <w:rsid w:val="00550766"/>
    <w:rsid w:val="005F3B2E"/>
    <w:rsid w:val="00611A10"/>
    <w:rsid w:val="00701F64"/>
    <w:rsid w:val="007331C0"/>
    <w:rsid w:val="007B5B5F"/>
    <w:rsid w:val="007D233B"/>
    <w:rsid w:val="0085070B"/>
    <w:rsid w:val="00971F3C"/>
    <w:rsid w:val="00A17247"/>
    <w:rsid w:val="00A70D03"/>
    <w:rsid w:val="00BA642E"/>
    <w:rsid w:val="00BC236F"/>
    <w:rsid w:val="00BE61F1"/>
    <w:rsid w:val="00BE7BBD"/>
    <w:rsid w:val="00C802F5"/>
    <w:rsid w:val="00C96B2C"/>
    <w:rsid w:val="00CC04C1"/>
    <w:rsid w:val="00D843EC"/>
    <w:rsid w:val="00E3792B"/>
    <w:rsid w:val="00EB41A4"/>
    <w:rsid w:val="00ED238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styleId="Fuerte">
    <w:name w:val="Strong"/>
    <w:basedOn w:val="Fuentedeprrafopredeter"/>
    <w:uiPriority w:val="22"/>
    <w:qFormat/>
    <w:rsid w:val="000F69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042/Bordon.2020.72761" TargetMode="External"/><Relationship Id="rId18" Type="http://schemas.openxmlformats.org/officeDocument/2006/relationships/hyperlink" Target="https://doi.org/10.1007/978-90-481-3754-1" TargetMode="External"/><Relationship Id="rId26" Type="http://schemas.openxmlformats.org/officeDocument/2006/relationships/hyperlink" Target="https://doi.org/10.1023/A:1003859026301" TargetMode="External"/><Relationship Id="rId39" Type="http://schemas.openxmlformats.org/officeDocument/2006/relationships/hyperlink" Target="https://doi.org/10.1146/annurev-soc-090320-012708" TargetMode="External"/><Relationship Id="rId21" Type="http://schemas.openxmlformats.org/officeDocument/2006/relationships/hyperlink" Target="https://doi.org/10.1080/13538322.2018.1554782" TargetMode="External"/><Relationship Id="rId34" Type="http://schemas.openxmlformats.org/officeDocument/2006/relationships/hyperlink" Target="https://doi.org/10.7764/PEL.61.3.2024.4" TargetMode="External"/><Relationship Id="rId42" Type="http://schemas.openxmlformats.org/officeDocument/2006/relationships/hyperlink" Target="https://www.researchgate.net/publication/344418346_La_poetica_del_mejoramiento_Hacia_donde_nos_han_traido_las_politicas_de_calidad_de_la_educacion_superior"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hyperlink" Target="https://doi.org/10.2307/2393254" TargetMode="External"/><Relationship Id="rId2" Type="http://schemas.openxmlformats.org/officeDocument/2006/relationships/settings" Target="settings.xml"/><Relationship Id="rId16" Type="http://schemas.openxmlformats.org/officeDocument/2006/relationships/hyperlink" Target="https://doi.org/10.1080/02602938.2018.1494818" TargetMode="External"/><Relationship Id="rId29" Type="http://schemas.openxmlformats.org/officeDocument/2006/relationships/hyperlink" Target="https://doi.org/10.1080/0260293930180102" TargetMode="External"/><Relationship Id="rId11" Type="http://schemas.openxmlformats.org/officeDocument/2006/relationships/hyperlink" Target="https://doi.org/10.1023/A:1004159425182" TargetMode="External"/><Relationship Id="rId24" Type="http://schemas.openxmlformats.org/officeDocument/2006/relationships/hyperlink" Target="https://doi.org/10.31619/caledu.n53.854" TargetMode="External"/><Relationship Id="rId32" Type="http://schemas.openxmlformats.org/officeDocument/2006/relationships/hyperlink" Target="https://www.redalyc.org/journal/298/29874394039/html/" TargetMode="External"/><Relationship Id="rId37" Type="http://schemas.openxmlformats.org/officeDocument/2006/relationships/hyperlink" Target="https://www.cambridge.org/9780521794480" TargetMode="External"/><Relationship Id="rId40" Type="http://schemas.openxmlformats.org/officeDocument/2006/relationships/hyperlink" Target="https://doi.org/10.1080/02680930500108718" TargetMode="External"/><Relationship Id="rId45" Type="http://schemas.openxmlformats.org/officeDocument/2006/relationships/hyperlink" Target="https://eric.ed.gov/?id=ED409816" TargetMode="External"/><Relationship Id="rId5" Type="http://schemas.openxmlformats.org/officeDocument/2006/relationships/endnotes" Target="endnotes.xml"/><Relationship Id="rId15" Type="http://schemas.openxmlformats.org/officeDocument/2006/relationships/hyperlink" Target="https://doi.org/10.4067/S0718-33052022000400635" TargetMode="External"/><Relationship Id="rId23" Type="http://schemas.openxmlformats.org/officeDocument/2006/relationships/hyperlink" Target="https://doi.org/10.1108/09684881311293043" TargetMode="External"/><Relationship Id="rId28" Type="http://schemas.openxmlformats.org/officeDocument/2006/relationships/hyperlink" Target="https://doi.org/10.2307/2095567" TargetMode="External"/><Relationship Id="rId36" Type="http://schemas.openxmlformats.org/officeDocument/2006/relationships/hyperlink" Target="https://doi.org/10.4067/S0718-45652012000100001" TargetMode="External"/><Relationship Id="rId49" Type="http://schemas.openxmlformats.org/officeDocument/2006/relationships/fontTable" Target="fontTable.xml"/><Relationship Id="rId10" Type="http://schemas.openxmlformats.org/officeDocument/2006/relationships/hyperlink" Target="https://doi.org/10.1177/0170840615571960" TargetMode="External"/><Relationship Id="rId19" Type="http://schemas.openxmlformats.org/officeDocument/2006/relationships/hyperlink" Target="https://doi.org/10.2307/2095101" TargetMode="External"/><Relationship Id="rId31" Type="http://schemas.openxmlformats.org/officeDocument/2006/relationships/hyperlink" Target="https://doi.org/10.1093/oso/9780199284535.003.0011" TargetMode="External"/><Relationship Id="rId44" Type="http://schemas.openxmlformats.org/officeDocument/2006/relationships/hyperlink" Target="https://doi.org/10.1080/21568235.2018.1474777" TargetMode="External"/><Relationship Id="rId4" Type="http://schemas.openxmlformats.org/officeDocument/2006/relationships/footnotes" Target="footnotes.xml"/><Relationship Id="rId9" Type="http://schemas.openxmlformats.org/officeDocument/2006/relationships/hyperlink" Target="https://doi.org/10.1007/s10734-017-0204-3" TargetMode="External"/><Relationship Id="rId14" Type="http://schemas.openxmlformats.org/officeDocument/2006/relationships/hyperlink" Target="https://doi.org/10.14507/epaa.27.4368" TargetMode="External"/><Relationship Id="rId22" Type="http://schemas.openxmlformats.org/officeDocument/2006/relationships/hyperlink" Target="https://www.redalyc.org/journal/5527/552756523009/html/" TargetMode="External"/><Relationship Id="rId27" Type="http://schemas.openxmlformats.org/officeDocument/2006/relationships/hyperlink" Target="https://doi.org/10.1086/226424" TargetMode="External"/><Relationship Id="rId30" Type="http://schemas.openxmlformats.org/officeDocument/2006/relationships/hyperlink" Target="https://doi.org/10.1080/14479338.2019.1684652" TargetMode="External"/><Relationship Id="rId35" Type="http://schemas.openxmlformats.org/officeDocument/2006/relationships/hyperlink" Target="https://rucp.cienciassociales.edu.uy/index.php/rucp/article/view/226" TargetMode="External"/><Relationship Id="rId43" Type="http://schemas.openxmlformats.org/officeDocument/2006/relationships/hyperlink" Target="https://doi.org/10.1080/14719037.2014.943268" TargetMode="External"/><Relationship Id="rId48" Type="http://schemas.openxmlformats.org/officeDocument/2006/relationships/footer" Target="footer1.xml"/><Relationship Id="rId8" Type="http://schemas.openxmlformats.org/officeDocument/2006/relationships/hyperlink" Target="https://doi.org/10.1108/QAE-07-2021-0114" TargetMode="External"/><Relationship Id="rId3" Type="http://schemas.openxmlformats.org/officeDocument/2006/relationships/webSettings" Target="webSettings.xml"/><Relationship Id="rId12" Type="http://schemas.openxmlformats.org/officeDocument/2006/relationships/hyperlink" Target="https://doi.org/10.37960/revista.v23i1.24454" TargetMode="External"/><Relationship Id="rId17" Type="http://schemas.openxmlformats.org/officeDocument/2006/relationships/hyperlink" Target="https://doi.org/10.1080/03054980500117827" TargetMode="External"/><Relationship Id="rId25" Type="http://schemas.openxmlformats.org/officeDocument/2006/relationships/hyperlink" Target="https://doi.org/10.1177/1077800405284363" TargetMode="External"/><Relationship Id="rId33" Type="http://schemas.openxmlformats.org/officeDocument/2006/relationships/hyperlink" Target="https://www.scielo.cl/scielo.php?script=sci_arttext&amp;pid=S0718-45652023000200028" TargetMode="External"/><Relationship Id="rId38" Type="http://schemas.openxmlformats.org/officeDocument/2006/relationships/hyperlink" Target="https://doi.org/10.1086/226550" TargetMode="External"/><Relationship Id="rId46" Type="http://schemas.openxmlformats.org/officeDocument/2006/relationships/hyperlink" Target="https://doi.org/10.1080/13538320802011532" TargetMode="External"/><Relationship Id="rId20" Type="http://schemas.openxmlformats.org/officeDocument/2006/relationships/hyperlink" Target="https://doi.org/10.2307/258557" TargetMode="External"/><Relationship Id="rId41" Type="http://schemas.openxmlformats.org/officeDocument/2006/relationships/hyperlink" Target="https://doi.org/10.4995/HEAd20.2020.11173" TargetMode="External"/><Relationship Id="rId1" Type="http://schemas.openxmlformats.org/officeDocument/2006/relationships/styles" Target="styles.xml"/><Relationship Id="rId6" Type="http://schemas.openxmlformats.org/officeDocument/2006/relationships/hyperlink" Target="mailto:emartinezr@unap.c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20</Pages>
  <Words>7885</Words>
  <Characters>49679</Characters>
  <Application>Microsoft Office Word</Application>
  <DocSecurity>0</DocSecurity>
  <Lines>776</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Martinez Rojas, Ezequiel Salomon</cp:lastModifiedBy>
  <cp:revision>10</cp:revision>
  <dcterms:created xsi:type="dcterms:W3CDTF">2026-03-14T03:50:00Z</dcterms:created>
  <dcterms:modified xsi:type="dcterms:W3CDTF">2026-07-12T06:06:00Z</dcterms:modified>
</cp:coreProperties>
</file>