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73"/>
        <w:pBdr/>
        <w:spacing/>
        <w:ind/>
        <w:jc w:val="center"/>
        <w:rPr>
          <w:rFonts w:ascii="Times New Roman" w:hAnsi="Times New Roman" w:cs="Times New Roman"/>
          <w:b/>
          <w:bCs/>
          <w:highlight w:val="none"/>
          <w:lang w:val="es-ES"/>
        </w:rPr>
      </w:pPr>
      <w:r>
        <w:rPr>
          <w:rFonts w:cs="Times New Roman"/>
          <w:b/>
          <w:bCs/>
          <w:lang w:val="es-ES"/>
        </w:rPr>
        <w:t xml:space="preserve">El rol político de los nuevos profesionales en las universidades de América Latina</w:t>
      </w:r>
      <w:r>
        <w:rPr>
          <w:rFonts w:ascii="Times New Roman" w:hAnsi="Times New Roman" w:cs="Times New Roman"/>
          <w:b/>
          <w:bCs/>
          <w:highlight w:val="none"/>
          <w:lang w:val="es-ES"/>
        </w:rPr>
      </w:r>
    </w:p>
    <w:p>
      <w:pPr>
        <w:pStyle w:val="773"/>
        <w:pBdr/>
        <w:spacing/>
        <w:ind/>
        <w:rPr>
          <w:rFonts w:ascii="Times New Roman" w:hAnsi="Times New Roman" w:cs="Times New Roman"/>
          <w:lang w:val="es-ES"/>
        </w:rPr>
      </w:pPr>
      <w:r>
        <w:rPr>
          <w:rFonts w:cs="Times New Roman"/>
          <w:lang w:val="es-ES"/>
        </w:rPr>
      </w:r>
      <w:r>
        <w:rPr>
          <w:rFonts w:ascii="Times New Roman" w:hAnsi="Times New Roman" w:cs="Times New Roman"/>
          <w:lang w:val="es-ES"/>
        </w:rPr>
      </w:r>
    </w:p>
    <w:p>
      <w:pPr>
        <w:pStyle w:val="773"/>
        <w:pBdr/>
        <w:spacing/>
        <w:ind/>
        <w:jc w:val="right"/>
        <w:rPr>
          <w:rFonts w:ascii="Times New Roman" w:hAnsi="Times New Roman" w:cs="Times New Roman"/>
          <w:lang w:val="es-ES"/>
        </w:rPr>
      </w:pPr>
      <w:r>
        <w:rPr>
          <w:rFonts w:cs="Times New Roman"/>
          <w:lang w:val="es-ES"/>
        </w:rPr>
        <w:t xml:space="preserve">Salvat, Richard</w:t>
      </w:r>
      <w:r>
        <w:rPr>
          <w:rFonts w:ascii="Times New Roman" w:hAnsi="Times New Roman" w:cs="Times New Roman"/>
          <w:lang w:val="es-ES"/>
        </w:rPr>
      </w:r>
    </w:p>
    <w:p>
      <w:pPr>
        <w:pStyle w:val="773"/>
        <w:pBdr/>
        <w:spacing/>
        <w:ind/>
        <w:jc w:val="right"/>
        <w:rPr>
          <w:rFonts w:ascii="Times New Roman" w:hAnsi="Times New Roman" w:cs="Times New Roman"/>
          <w:lang w:val="es-ES"/>
        </w:rPr>
      </w:pPr>
      <w:r>
        <w:rPr>
          <w:rFonts w:cs="Times New Roman"/>
          <w:lang w:val="es-ES"/>
        </w:rPr>
        <w:t xml:space="preserve">Universidad de la República, Uruguay</w:t>
      </w:r>
      <w:r>
        <w:rPr>
          <w:rFonts w:ascii="Times New Roman" w:hAnsi="Times New Roman" w:cs="Times New Roman"/>
          <w:lang w:val="es-ES"/>
        </w:rPr>
      </w:r>
    </w:p>
    <w:p>
      <w:pPr>
        <w:pStyle w:val="773"/>
        <w:pBdr/>
        <w:spacing/>
        <w:ind/>
        <w:jc w:val="right"/>
        <w:rPr>
          <w:rFonts w:ascii="Times New Roman" w:hAnsi="Times New Roman" w:cs="Times New Roman"/>
          <w:lang w:val="es-ES"/>
        </w:rPr>
      </w:pPr>
      <w:r>
        <w:rPr>
          <w:rFonts w:cs="Times New Roman"/>
          <w:lang w:val="es-ES"/>
        </w:rPr>
        <w:t xml:space="preserve">rsalvat@cci.edu.uy</w:t>
      </w:r>
      <w:r>
        <w:rPr>
          <w:rFonts w:ascii="Times New Roman" w:hAnsi="Times New Roman" w:cs="Times New Roman"/>
          <w:lang w:val="es-ES"/>
        </w:rPr>
      </w:r>
    </w:p>
    <w:p>
      <w:pPr>
        <w:pStyle w:val="773"/>
        <w:pBdr/>
        <w:spacing/>
        <w:ind/>
        <w:rPr>
          <w:rFonts w:ascii="Times New Roman" w:hAnsi="Times New Roman" w:cs="Times New Roman"/>
          <w:b/>
          <w:bCs/>
          <w:lang w:val="es-ES"/>
        </w:rPr>
      </w:pPr>
      <w:r>
        <w:rPr>
          <w:rFonts w:cs="Times New Roman"/>
          <w:b/>
          <w:bCs/>
          <w:lang w:val="es-ES"/>
        </w:rPr>
      </w:r>
      <w:r>
        <w:rPr>
          <w:rFonts w:ascii="Times New Roman" w:hAnsi="Times New Roman" w:cs="Times New Roman"/>
          <w:b/>
          <w:bCs/>
          <w:lang w:val="es-ES"/>
        </w:rPr>
      </w:r>
    </w:p>
    <w:p>
      <w:pPr>
        <w:pStyle w:val="773"/>
        <w:pBdr/>
        <w:spacing/>
        <w:ind/>
        <w:rPr>
          <w:highlight w:val="none"/>
          <w14:ligatures w14:val="none"/>
        </w:rPr>
      </w:pPr>
      <w:r>
        <w:rPr>
          <w14:ligatures w14:val="none"/>
        </w:rPr>
      </w:r>
      <w:r>
        <w:rPr>
          <w:highlight w:val="none"/>
          <w14:ligatures w14:val="none"/>
        </w:rPr>
      </w:r>
    </w:p>
    <w:p>
      <w:pPr>
        <w:pStyle w:val="773"/>
        <w:pBdr/>
        <w:spacing/>
        <w:ind/>
        <w:rPr>
          <w:rFonts w:ascii="Times New Roman" w:hAnsi="Times New Roman" w:cs="Times New Roman"/>
          <w:highlight w:val="none"/>
          <w:lang w:val="es-ES"/>
          <w14:ligatures w14:val="none"/>
        </w:rPr>
      </w:pPr>
      <w:r>
        <w:rPr>
          <w:lang w:val="es-AR"/>
        </w:rPr>
        <w:t xml:space="preserve">Resumen: En los países de América Latina como proceso de las Reformas del Estado los sistemas de Educación </w:t>
      </w:r>
      <w:r>
        <w:rPr>
          <w:lang w:val="es-AR"/>
        </w:rPr>
        <w:t xml:space="preserve">Superior, en general, y las universidades púbicas nacionales, en particular, han experimentado una profunda serie de cambios en sus modelos gobierno, gobernabilidad y de gestión en un amplio conjunto de áreas. Con el auge de la difusión de las ideas de la </w:t>
      </w:r>
      <w:r>
        <w:rPr>
          <w:i/>
          <w:iCs/>
          <w:lang w:val="es-AR"/>
        </w:rPr>
        <w:t xml:space="preserve">Nueva Gestión Pública</w:t>
      </w:r>
      <w:r>
        <w:rPr>
          <w:lang w:val="es-AR"/>
        </w:rPr>
        <w:t xml:space="preserve"> (NGP) y de las conceptualizaciones de Capitalismo Académico (</w:t>
      </w:r>
      <w:r>
        <w:rPr>
          <w:i/>
          <w:iCs/>
          <w:lang w:val="es-AR"/>
        </w:rPr>
        <w:t xml:space="preserve">Academic Capitalism</w:t>
      </w:r>
      <w:r>
        <w:rPr>
          <w:lang w:val="es-AR"/>
        </w:rPr>
        <w:t xml:space="preserve">) de Slaughter y Leslie (1997) y de Universidades Emprendedoras (</w:t>
      </w:r>
      <w:r>
        <w:rPr>
          <w:i/>
          <w:iCs/>
          <w:lang w:val="es-AR"/>
        </w:rPr>
        <w:t xml:space="preserve">Entrepreneurial Universities</w:t>
      </w:r>
      <w:r>
        <w:rPr>
          <w:lang w:val="es-AR"/>
        </w:rPr>
        <w:t xml:space="preserve">) de Clark (1998) como catalizadores teóricos de los procesos de reformas, las reflexiones sobre gestión, gobierno y gobernanza en las un</w:t>
      </w:r>
      <w:r>
        <w:rPr>
          <w:lang w:val="es-AR"/>
        </w:rPr>
        <w:t xml:space="preserve">iversidades en particular han formado parte de un proceso más amplio de abordajes teóricos y empíricos sobre la modernización misma de la administración pública, fundada en la idea de mejorar la eficiencia del sector y la calidad de sus servicios. Como cor</w:t>
      </w:r>
      <w:r>
        <w:rPr>
          <w:lang w:val="es-AR"/>
        </w:rPr>
        <w:t xml:space="preserve">olario, se ha identificado una tendencia claramente transnacional que también tiene su impacto en las universidades de nuestro continente en este siglo XXI: el surgimiento y desarrollo de espacios organizativos de decisión particularmente especializados (“</w:t>
      </w:r>
      <w:r>
        <w:rPr>
          <w:i/>
          <w:iCs/>
          <w:lang w:val="es-AR"/>
        </w:rPr>
        <w:t xml:space="preserve">Third Space</w:t>
      </w:r>
      <w:r>
        <w:rPr>
          <w:lang w:val="es-AR"/>
        </w:rPr>
        <w:t xml:space="preserve">”) próximos o dependientes de los órganos ejecutivos unipersonales de las universidades, dirigidos por agentes de nuevo tipo (“</w:t>
      </w:r>
      <w:r>
        <w:rPr>
          <w:i/>
          <w:iCs/>
          <w:lang w:val="es-AR"/>
        </w:rPr>
        <w:t xml:space="preserve">HEPRO’s</w:t>
      </w:r>
      <w:r>
        <w:rPr>
          <w:lang w:val="es-AR"/>
        </w:rPr>
        <w:t xml:space="preserve">”, “</w:t>
      </w:r>
      <w:r>
        <w:rPr>
          <w:i/>
          <w:iCs/>
          <w:lang w:val="es-AR"/>
        </w:rPr>
        <w:t xml:space="preserve">Blended professionals</w:t>
      </w:r>
      <w:r>
        <w:rPr>
          <w:lang w:val="es-AR"/>
        </w:rPr>
        <w:t xml:space="preserve">” o “</w:t>
      </w:r>
      <w:r>
        <w:rPr>
          <w:i/>
          <w:iCs/>
          <w:lang w:val="es-AR"/>
        </w:rPr>
        <w:t xml:space="preserve">Para-academics</w:t>
      </w:r>
      <w:r>
        <w:rPr>
          <w:lang w:val="es-AR"/>
        </w:rPr>
        <w:t xml:space="preserve">”) que cumplen con nuevas tareas y roles no solo en el ámbito de la gestión académica, sino también políticos</w:t>
      </w:r>
      <w:r>
        <w:rPr>
          <w:lang w:val="es-ES"/>
        </w:rPr>
        <w:t xml:space="preserve">. E</w:t>
      </w:r>
      <w:r>
        <w:rPr>
          <w:lang w:val="es-AR"/>
        </w:rPr>
        <w:t xml:space="preserve">n este trabajo nos proponemos analizar el peso de estos elementos en la realidad de las UPN en </w:t>
      </w:r>
      <w:r>
        <w:rPr>
          <w:lang w:val="es-ES"/>
        </w:rPr>
        <w:t xml:space="preserve">el continente</w:t>
      </w:r>
      <w:r>
        <w:rPr>
          <w:lang w:val="es-AR"/>
        </w:rPr>
        <w:t xml:space="preserve">, partiendo de una sistematización de </w:t>
      </w:r>
      <w:r>
        <w:rPr>
          <w:lang w:val="es-AR"/>
        </w:rPr>
        <w:t xml:space="preserve">un conjunto de normas y documentos institucionales de cada universidad contenida en el universo de análisis, particularmente en lo que respecta a la participación de estos nuevos funcionarios universitarios en los órganos colegiados superiores de gobierno.</w:t>
      </w:r>
      <w:r>
        <w:rPr>
          <w:lang w:val="es-ES"/>
        </w:rPr>
        <w:t xml:space="preserve"> Así, del estudio se desprenden al menos cinco consideraciones relevantes: </w:t>
      </w:r>
      <w:r>
        <w:rPr>
          <w:rFonts w:cs="Times New Roman"/>
          <w:lang w:val="es-ES"/>
        </w:rPr>
        <w:t xml:space="preserve">(1) un determinismo normativo e isomorfismo institucional en los niveles nacionales; (2) un moderado declive de la excepcionalidad electiva y el</w:t>
      </w:r>
      <w:r>
        <w:rPr>
          <w:rFonts w:cs="Times New Roman"/>
          <w:lang w:val="es-ES"/>
        </w:rPr>
        <w:t xml:space="preserve"> avance hacia tendencias del gerencialismo; (3) un reforzamiento de los cargos ejecutivos superiores; (4) una asimetría de roles y peso decisorio real (voz y voto); y (5) una heterogeneidad de los sistemas nacionales en términos comparado a nivel regional.</w:t>
      </w:r>
      <w:r>
        <w:rPr>
          <w:rFonts w:ascii="Times New Roman" w:hAnsi="Times New Roman" w:cs="Times New Roman"/>
          <w:highlight w:val="none"/>
          <w:lang w:val="es-ES"/>
          <w14:ligatures w14:val="none"/>
        </w:rPr>
      </w:r>
    </w:p>
    <w:p>
      <w:pPr>
        <w:pStyle w:val="773"/>
        <w:pBdr/>
        <w:spacing/>
        <w:ind/>
        <w:rPr>
          <w:rFonts w:ascii="Times New Roman" w:hAnsi="Times New Roman" w:cs="Times New Roman"/>
          <w:highlight w:val="none"/>
          <w:lang w:val="es-ES"/>
        </w:rPr>
      </w:pPr>
      <w:r>
        <w:rPr>
          <w:rFonts w:cs="Times New Roman"/>
          <w:lang w:val="es-ES"/>
        </w:rPr>
      </w:r>
      <w:r>
        <w:rPr>
          <w:rFonts w:ascii="Times New Roman" w:hAnsi="Times New Roman" w:cs="Times New Roman"/>
          <w:highlight w:val="none"/>
          <w:lang w:val="es-ES"/>
        </w:rPr>
      </w:r>
    </w:p>
    <w:p>
      <w:pPr>
        <w:pStyle w:val="773"/>
        <w:pBdr/>
        <w:spacing/>
        <w:ind/>
        <w:rPr>
          <w:rFonts w:ascii="Times New Roman" w:hAnsi="Times New Roman" w:cs="Times New Roman"/>
          <w:highlight w:val="none"/>
          <w:lang w:val="es-ES"/>
        </w:rPr>
      </w:pPr>
      <w:r>
        <w:rPr>
          <w:rFonts w:cs="Times New Roman"/>
          <w:lang w:val="es-ES"/>
        </w:rPr>
      </w:r>
      <w:r>
        <w:rPr>
          <w:rFonts w:ascii="Times New Roman" w:hAnsi="Times New Roman" w:cs="Times New Roman"/>
          <w:highlight w:val="none"/>
          <w:lang w:val="es-ES"/>
        </w:rPr>
      </w:r>
    </w:p>
    <w:p>
      <w:pPr>
        <w:pStyle w:val="773"/>
        <w:pBdr/>
        <w:spacing/>
        <w:ind/>
        <w:rPr>
          <w:rFonts w:ascii="Times New Roman" w:hAnsi="Times New Roman" w:cs="Times New Roman"/>
          <w:highlight w:val="none"/>
          <w:lang w:val="es-ES"/>
        </w:rPr>
      </w:pPr>
      <w:r>
        <w:rPr>
          <w:rFonts w:cs="Times New Roman"/>
          <w:b/>
          <w:bCs/>
          <w:lang w:val="es-ES"/>
        </w:rPr>
        <w:t xml:space="preserve">Palabras clave: </w:t>
      </w:r>
      <w:r>
        <w:rPr>
          <w:lang w:val="es-ES"/>
        </w:rPr>
        <w:t xml:space="preserve">Universidad, Gobierno, Gobernabilidad, Reformas</w:t>
      </w:r>
      <w:r>
        <w:rPr>
          <w:rFonts w:cs="Times New Roman"/>
          <w:lang w:val="es-ES"/>
        </w:rPr>
        <w:t xml:space="preserve">.</w:t>
      </w:r>
      <w:r>
        <w:rPr>
          <w:rFonts w:ascii="Times New Roman" w:hAnsi="Times New Roman" w:cs="Times New Roman"/>
          <w:highlight w:val="none"/>
          <w:lang w:val="es-ES"/>
        </w:rPr>
      </w:r>
    </w:p>
    <w:p>
      <w:pPr>
        <w:pStyle w:val="773"/>
        <w:pBdr/>
        <w:spacing/>
        <w:ind/>
        <w:rPr>
          <w:rFonts w:ascii="Times New Roman" w:hAnsi="Times New Roman" w:eastAsia="Times New Roman" w:cs="Times New Roman"/>
          <w:sz w:val="24"/>
          <w:szCs w:val="24"/>
          <w:highlight w:val="none"/>
        </w:rPr>
      </w:pPr>
      <w:r>
        <w:rPr>
          <w:rFonts w:eastAsia="Times New Roman" w:cs="Times New Roman"/>
          <w:sz w:val="24"/>
          <w:szCs w:val="24"/>
        </w:rPr>
      </w:r>
      <w:r>
        <w:rPr>
          <w:rFonts w:ascii="Times New Roman" w:hAnsi="Times New Roman" w:eastAsia="Times New Roman" w:cs="Times New Roman"/>
          <w:sz w:val="24"/>
          <w:szCs w:val="24"/>
          <w:highlight w:val="none"/>
        </w:rPr>
      </w:r>
    </w:p>
    <w:p>
      <w:pPr>
        <w:pStyle w:val="773"/>
        <w:pBdr/>
        <w:spacing/>
        <w:ind/>
        <w:rPr>
          <w:rFonts w:ascii="Times New Roman" w:hAnsi="Times New Roman" w:eastAsia="Times New Roman" w:cs="Times New Roman"/>
          <w:sz w:val="24"/>
          <w:szCs w:val="24"/>
          <w:highlight w:val="none"/>
        </w:rPr>
      </w:pPr>
      <w:r>
        <w:rPr>
          <w:rFonts w:eastAsia="Times New Roman" w:cs="Times New Roman"/>
          <w:sz w:val="24"/>
          <w:szCs w:val="24"/>
        </w:rPr>
      </w:r>
      <w:r>
        <w:rPr>
          <w:rFonts w:ascii="Times New Roman" w:hAnsi="Times New Roman" w:eastAsia="Times New Roman" w:cs="Times New Roman"/>
          <w:sz w:val="24"/>
          <w:szCs w:val="24"/>
          <w:highlight w:val="none"/>
        </w:rPr>
      </w:r>
    </w:p>
    <w:p>
      <w:pPr>
        <w:pStyle w:val="773"/>
        <w:pBdr/>
        <w:spacing/>
        <w:ind/>
        <w:rPr>
          <w:rFonts w:ascii="Times New Roman" w:hAnsi="Times New Roman" w:eastAsia="Times New Roman" w:cs="Times New Roman"/>
          <w:sz w:val="24"/>
          <w:szCs w:val="24"/>
          <w:highlight w:val="none"/>
        </w:rPr>
      </w:pPr>
      <w:r>
        <w:rPr>
          <w:rFonts w:eastAsia="Times New Roman" w:cs="Times New Roman"/>
          <w:sz w:val="24"/>
          <w:szCs w:val="24"/>
        </w:rPr>
      </w:r>
      <w:r>
        <w:rPr>
          <w:rFonts w:ascii="Times New Roman" w:hAnsi="Times New Roman" w:eastAsia="Times New Roman" w:cs="Times New Roman"/>
          <w:sz w:val="24"/>
          <w:szCs w:val="24"/>
          <w:highlight w:val="none"/>
        </w:rPr>
      </w:r>
    </w:p>
    <w:p>
      <w:pPr>
        <w:pStyle w:val="773"/>
        <w:pBdr/>
        <w:spacing/>
        <w:ind/>
        <w:rPr>
          <w:rFonts w:ascii="Times New Roman" w:hAnsi="Times New Roman" w:eastAsia="Times New Roman" w:cs="Times New Roman"/>
          <w:sz w:val="24"/>
          <w:szCs w:val="24"/>
          <w:highlight w:val="none"/>
        </w:rPr>
      </w:pPr>
      <w:r>
        <w:rPr>
          <w:rFonts w:eastAsia="Times New Roman" w:cs="Times New Roman"/>
          <w:sz w:val="24"/>
          <w:szCs w:val="24"/>
        </w:rPr>
      </w:r>
      <w:r>
        <w:rPr>
          <w:rFonts w:ascii="Times New Roman" w:hAnsi="Times New Roman" w:eastAsia="Times New Roman" w:cs="Times New Roman"/>
          <w:sz w:val="24"/>
          <w:szCs w:val="24"/>
          <w:highlight w:val="none"/>
        </w:rPr>
      </w:r>
    </w:p>
    <w:p>
      <w:pPr>
        <w:pStyle w:val="773"/>
        <w:pBdr/>
        <w:spacing/>
        <w:ind/>
        <w:jc w:val="right"/>
        <w:rPr>
          <w:rFonts w:ascii="Times New Roman" w:hAnsi="Times New Roman" w:eastAsia="Times New Roman" w:cs="Times New Roman"/>
          <w:color w:val="000000"/>
          <w:sz w:val="24"/>
          <w:szCs w:val="24"/>
          <w:highlight w:val="none"/>
        </w:rPr>
      </w:pPr>
      <w:r>
        <w:rPr>
          <w:rFonts w:eastAsia="Times New Roman" w:cs="Times New Roman"/>
          <w:color w:val="000000"/>
          <w:sz w:val="24"/>
          <w:szCs w:val="24"/>
        </w:rPr>
      </w:r>
      <w:r>
        <w:rPr>
          <w:rFonts w:ascii="Times New Roman" w:hAnsi="Times New Roman" w:eastAsia="Times New Roman" w:cs="Times New Roman"/>
          <w:color w:val="000000"/>
          <w:sz w:val="24"/>
          <w:szCs w:val="24"/>
          <w:highlight w:val="none"/>
        </w:rPr>
      </w:r>
    </w:p>
    <w:p>
      <w:pPr>
        <w:pStyle w:val="773"/>
        <w:pBdr/>
        <w:spacing/>
        <w:ind/>
        <w:jc w:val="right"/>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w:t>
      </w:r>
      <w:r>
        <w:rPr>
          <w:rFonts w:eastAsia="Times New Roman" w:cs="Times New Roman"/>
          <w:i/>
          <w:color w:val="000000"/>
          <w:sz w:val="24"/>
        </w:rPr>
        <w:t xml:space="preserve">Un buen resumen de las tendencias que caracterizan estos cambios: (i) reforzamiento de los cargos ejecutivos superiores de las universidades; (ii) cambios en el organismo</w:t>
      </w:r>
      <w:r>
        <w:rPr>
          <w:rFonts w:eastAsia="Times New Roman" w:cs="Times New Roman"/>
          <w:i/>
          <w:color w:val="000000"/>
          <w:sz w:val="24"/>
        </w:rPr>
        <w:t xml:space="preserve"> de más alta dirección, los boards o juntas directivas; (iii) adopción de nuevas estructuras de decisión; (iv) medidas que promueven la accountability, la evaluación y el control de calidad y (v) reingeniería de la gestión financiera de las universidades”.</w:t>
      </w:r>
      <w:r>
        <w:rPr>
          <w:rFonts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p>
    <w:p>
      <w:pPr>
        <w:pStyle w:val="773"/>
        <w:pBdr/>
        <w:spacing/>
        <w:ind/>
        <w:jc w:val="right"/>
        <w:rPr>
          <w:highlight w:val="none"/>
        </w:rPr>
      </w:pPr>
      <w:r>
        <w:rPr>
          <w:rFonts w:eastAsia="Times New Roman" w:cs="Times New Roman"/>
          <w:color w:val="000000"/>
          <w:sz w:val="24"/>
        </w:rPr>
        <w:t xml:space="preserve">J.J. Brunner, 2009:83.</w:t>
      </w:r>
      <w:r>
        <w:rPr>
          <w:highlight w:val="none"/>
        </w:rPr>
      </w:r>
    </w:p>
    <w:p>
      <w:pPr>
        <w:pStyle w:val="773"/>
        <w:pBdr/>
        <w:spacing/>
        <w:ind/>
        <w:rPr>
          <w:highlight w:val="none"/>
        </w:rPr>
      </w:pPr>
      <w:r/>
      <w:r>
        <w:rPr>
          <w:highlight w:val="none"/>
        </w:rPr>
      </w:r>
    </w:p>
    <w:p>
      <w:pPr>
        <w:pStyle w:val="773"/>
        <w:pBdr/>
        <w:spacing/>
        <w:ind/>
        <w:rPr>
          <w:highlight w:val="none"/>
        </w:rPr>
      </w:pPr>
      <w:r>
        <w:rPr>
          <w:rFonts w:eastAsia="Times New Roman" w:cs="Times New Roman"/>
          <w:b/>
          <w:color w:val="000000"/>
          <w:sz w:val="24"/>
        </w:rPr>
        <w:t xml:space="preserve">Introducción</w:t>
      </w:r>
      <w:r>
        <w:rPr>
          <w:highlight w:val="none"/>
        </w:rPr>
      </w:r>
    </w:p>
    <w:p>
      <w:pPr>
        <w:pStyle w:val="773"/>
        <w:pBdr/>
        <w:spacing/>
        <w:ind/>
        <w:rPr>
          <w:highlight w:val="none"/>
        </w:rPr>
      </w:pPr>
      <w:r/>
      <w:r>
        <w:rPr>
          <w:highlight w:val="none"/>
        </w:rPr>
      </w:r>
    </w:p>
    <w:p>
      <w:pPr>
        <w:pStyle w:val="773"/>
        <w:pBdr/>
        <w:spacing/>
        <w:ind/>
        <w:rPr/>
      </w:pPr>
      <w:r>
        <w:rPr>
          <w:rFonts w:eastAsia="Times New Roman" w:cs="Times New Roman"/>
          <w:color w:val="000000"/>
          <w:sz w:val="24"/>
        </w:rPr>
        <w:t xml:space="preserve">Las Universidades Públicas Nacionales (UPN) en América Latina</w:t>
      </w:r>
      <w:r>
        <w:rPr>
          <w:rFonts w:eastAsia="Times New Roman" w:cs="Times New Roman"/>
          <w:color w:val="000000"/>
          <w:sz w:val="24"/>
          <w:lang w:val="es-ES"/>
        </w:rPr>
        <w:t xml:space="preserve"> (AL)</w:t>
      </w:r>
      <w:r>
        <w:rPr>
          <w:rFonts w:eastAsia="Times New Roman" w:cs="Times New Roman"/>
          <w:color w:val="000000"/>
          <w:sz w:val="24"/>
        </w:rPr>
        <w:t xml:space="preserve"> atraviesan, desde las últimas tres décadas, un escenario de mutación profunda en sus arquitecturas de gobierno, gobernabilidad y gestión. Estas han priorizado, articulado e implementado en mayor o menor med</w:t>
      </w:r>
      <w:r>
        <w:rPr>
          <w:rFonts w:eastAsia="Times New Roman" w:cs="Times New Roman"/>
          <w:color w:val="000000"/>
          <w:sz w:val="24"/>
        </w:rPr>
        <w:t xml:space="preserve">ida una serie de políticas centrales reformadoras impulsadas a través de diversos mecanismos y modalidades. En el centro de esta encrucijada, las UPN se ven impulsadas (tanto interna como externamente) a reconfigurar sus estructuras superiores de gobierno </w:t>
      </w:r>
      <w:r>
        <w:rPr>
          <w:rFonts w:eastAsia="Times New Roman" w:cs="Times New Roman"/>
          <w:color w:val="000000"/>
          <w:sz w:val="24"/>
        </w:rPr>
        <w:t xml:space="preserve">para combinar su legitimidad democrático-representativa de origen con una nueva legitimidad técnico-operativa basada en eficiencia organizativa, resultados y adaptabilidad. El diagnóstico generalizado que sustentan los impulsos reformistas se presentan mer</w:t>
      </w:r>
      <w:r>
        <w:rPr>
          <w:rFonts w:eastAsia="Times New Roman" w:cs="Times New Roman"/>
          <w:color w:val="000000"/>
          <w:sz w:val="24"/>
        </w:rPr>
        <w:t xml:space="preserve">idianamente claro: el propio modelo universitario tradicional latinoamericano dificulta la gestión, participación y gobernanza de la vida universitaria, producto de una marcada politización y burocratización de los procesos decisorios (Acosta Silva, 2009).</w:t>
      </w:r>
      <w:r/>
    </w:p>
    <w:p>
      <w:pPr>
        <w:pStyle w:val="773"/>
        <w:pBdr/>
        <w:spacing/>
        <w:ind/>
        <w:rPr/>
      </w:pPr>
      <w:r>
        <w:rPr>
          <w:rFonts w:eastAsia="Times New Roman" w:cs="Times New Roman"/>
          <w:color w:val="000000"/>
          <w:sz w:val="24"/>
        </w:rPr>
        <w:t xml:space="preserve">En su versión m</w:t>
      </w:r>
      <w:r>
        <w:rPr>
          <w:rFonts w:eastAsia="Times New Roman" w:cs="Times New Roman"/>
          <w:color w:val="000000"/>
          <w:sz w:val="24"/>
        </w:rPr>
        <w:t xml:space="preserve">ás radical, representan modificaciones profundas de las políticas universitarias en un conjunto amplio de áreas, cuya magnitud solo es comparable con el impacto histórico de la influyente Reforma de Córdoba de 1918 (Tünnermann Bernheim, 2008). Por tanto, “</w:t>
      </w:r>
      <w:r>
        <w:rPr>
          <w:rFonts w:eastAsia="Times New Roman" w:cs="Times New Roman"/>
          <w:i/>
          <w:iCs/>
          <w:color w:val="000000"/>
          <w:sz w:val="24"/>
        </w:rPr>
        <w:t xml:space="preserve">buena parte de estos cambios —al incidir en las relaciones de poder en el ámbito universitario— han impactado fuertemente sobre los patrones tradicionales de gobierno, gestión y administración de las universidades públicas</w:t>
      </w:r>
      <w:r>
        <w:rPr>
          <w:rFonts w:eastAsia="Times New Roman" w:cs="Times New Roman"/>
          <w:color w:val="000000"/>
          <w:sz w:val="24"/>
        </w:rPr>
        <w:t xml:space="preserve">” (Acosta Silva, Atairo &amp; Camou, 2015:</w:t>
      </w:r>
      <w:r>
        <w:rPr>
          <w:rFonts w:eastAsia="Times New Roman" w:cs="Times New Roman"/>
          <w:color w:val="000000"/>
          <w:sz w:val="24"/>
        </w:rPr>
        <w:t xml:space="preserve">21). Bajo el influjo de la Nueva Gestión Pública (NGP), el Capitalismo Académico y las Universidades Emprendedoras, se constata una tendencia transnacional: el surgimiento y desarrollo de espacios organizativos de decisión particularmente especializados (“</w:t>
      </w:r>
      <w:r>
        <w:rPr>
          <w:rFonts w:eastAsia="Times New Roman" w:cs="Times New Roman"/>
          <w:i/>
          <w:iCs/>
          <w:color w:val="000000"/>
          <w:sz w:val="24"/>
        </w:rPr>
        <w:t xml:space="preserve">Third Space</w:t>
      </w:r>
      <w:r>
        <w:rPr>
          <w:rFonts w:eastAsia="Times New Roman" w:cs="Times New Roman"/>
          <w:color w:val="000000"/>
          <w:sz w:val="24"/>
        </w:rPr>
        <w:t xml:space="preserve">”) próximos o dependientes de los órganos ejecutivos unipersonales de las universidades, dirigidos por agentes de nuevo tipo (“</w:t>
      </w:r>
      <w:r>
        <w:rPr>
          <w:rFonts w:eastAsia="Times New Roman" w:cs="Times New Roman"/>
          <w:i/>
          <w:iCs/>
          <w:color w:val="000000"/>
          <w:sz w:val="24"/>
        </w:rPr>
        <w:t xml:space="preserve">HEPRO’s</w:t>
      </w:r>
      <w:r>
        <w:rPr>
          <w:rFonts w:eastAsia="Times New Roman" w:cs="Times New Roman"/>
          <w:color w:val="000000"/>
          <w:sz w:val="24"/>
        </w:rPr>
        <w:t xml:space="preserve">”, “</w:t>
      </w:r>
      <w:r>
        <w:rPr>
          <w:rFonts w:eastAsia="Times New Roman" w:cs="Times New Roman"/>
          <w:i/>
          <w:iCs/>
          <w:color w:val="000000"/>
          <w:sz w:val="24"/>
        </w:rPr>
        <w:t xml:space="preserve">Blended professionals</w:t>
      </w:r>
      <w:r>
        <w:rPr>
          <w:rFonts w:eastAsia="Times New Roman" w:cs="Times New Roman"/>
          <w:color w:val="000000"/>
          <w:sz w:val="24"/>
        </w:rPr>
        <w:t xml:space="preserve">” o “</w:t>
      </w:r>
      <w:r>
        <w:rPr>
          <w:rFonts w:eastAsia="Times New Roman" w:cs="Times New Roman"/>
          <w:i/>
          <w:iCs/>
          <w:color w:val="000000"/>
          <w:sz w:val="24"/>
        </w:rPr>
        <w:t xml:space="preserve">Para-academics</w:t>
      </w:r>
      <w:r>
        <w:rPr>
          <w:rFonts w:eastAsia="Times New Roman" w:cs="Times New Roman"/>
          <w:color w:val="000000"/>
          <w:sz w:val="24"/>
        </w:rPr>
        <w:t xml:space="preserve">”) que cumplen con nuevas tareas y roles en gestión académica y también políticos (Marquina, 2020; Marquina et al, 2024; Obeide, 2020; Obexer, 2022; Vilches, 2021).</w:t>
      </w:r>
      <w:r/>
    </w:p>
    <w:p>
      <w:pPr>
        <w:pStyle w:val="773"/>
        <w:pBdr/>
        <w:spacing/>
        <w:ind/>
        <w:rPr>
          <w:highlight w:val="none"/>
        </w:rPr>
      </w:pPr>
      <w:r>
        <w:rPr>
          <w:rFonts w:eastAsia="Times New Roman" w:cs="Times New Roman"/>
          <w:color w:val="000000"/>
          <w:sz w:val="24"/>
        </w:rPr>
        <w:t xml:space="preserve">En consonancia con Ganga</w:t>
      </w:r>
      <w:r>
        <w:rPr>
          <w:rFonts w:eastAsia="Times New Roman" w:cs="Times New Roman"/>
          <w:color w:val="000000"/>
          <w:sz w:val="24"/>
          <w:lang w:val="es-ES"/>
        </w:rPr>
        <w:t xml:space="preserve"> </w:t>
      </w:r>
      <w:r>
        <w:rPr>
          <w:rFonts w:eastAsia="Times New Roman" w:cs="Times New Roman"/>
          <w:color w:val="000000"/>
          <w:sz w:val="24"/>
        </w:rPr>
        <w:t xml:space="preserve">Contreras y Burotto (2012), este trabajo analiza la participación de estos funcionarios en los órganos colegiados superiores de gobierno, denominados de manera unificada como</w:t>
      </w:r>
      <w:r>
        <w:rPr>
          <w:rFonts w:eastAsia="Times New Roman" w:cs="Times New Roman"/>
          <w:color w:val="000000"/>
          <w:sz w:val="24"/>
        </w:rPr>
        <w:t xml:space="preserve"> Máximos Cuerpos Colegiados (MCC). Estos órganos son representativos de la comunidad universitaria y tienen asignadas atribuciones ejecutivas que afectan y modifican directamente la gestión y la administración de la UPN, no solo en las áreas académicas. Me</w:t>
      </w:r>
      <w:r>
        <w:rPr>
          <w:rFonts w:eastAsia="Times New Roman" w:cs="Times New Roman"/>
          <w:color w:val="000000"/>
          <w:sz w:val="24"/>
        </w:rPr>
        <w:t xml:space="preserve">diante una metodología cualitativa y de diseño comparado, se examinan los MCC de 315 UPN en 18 países de la región (Figura 1). Si bien es un universo heterogéneo, todas estas instituciones comparten un ethos común: son creadas por leyes nacionales; tienen </w:t>
      </w:r>
      <w:r>
        <w:rPr>
          <w:rFonts w:eastAsia="Times New Roman" w:cs="Times New Roman"/>
          <w:color w:val="000000"/>
          <w:sz w:val="24"/>
          <w:lang w:val="es-ES"/>
        </w:rPr>
        <w:t xml:space="preserve">a</w:t>
      </w:r>
      <w:r>
        <w:rPr>
          <w:rFonts w:eastAsia="Times New Roman" w:cs="Times New Roman"/>
          <w:color w:val="000000"/>
          <w:sz w:val="24"/>
        </w:rPr>
        <w:t xml:space="preserve">utonomía administrativa y funcional, personería jurídica y patrimonio propio; sirven a una misión claramente pública; y se financian mediante transferencias directas del presupuesto nacional.</w:t>
      </w:r>
      <w:r>
        <w:rPr>
          <w:highlight w:val="none"/>
        </w:rPr>
      </w:r>
    </w:p>
    <w:p>
      <w:pPr>
        <w:pStyle w:val="773"/>
        <w:pBdr/>
        <w:spacing/>
        <w:ind/>
        <w:rPr>
          <w:rFonts w:ascii="Times New Roman" w:hAnsi="Times New Roman" w:eastAsia="Times New Roman" w:cs="Times New Roman"/>
          <w:sz w:val="24"/>
          <w:szCs w:val="24"/>
          <w:highlight w:val="none"/>
        </w:rPr>
      </w:pPr>
      <w:r>
        <w:rPr>
          <w:rFonts w:eastAsia="Times New Roman" w:cs="Times New Roman"/>
          <w:sz w:val="24"/>
          <w:szCs w:val="24"/>
        </w:rPr>
      </w:r>
      <w:r>
        <w:rPr>
          <w:rFonts w:ascii="Times New Roman" w:hAnsi="Times New Roman" w:eastAsia="Times New Roman" w:cs="Times New Roman"/>
          <w:sz w:val="24"/>
          <w:szCs w:val="24"/>
          <w:highlight w:val="none"/>
        </w:rPr>
      </w:r>
    </w:p>
    <w:p>
      <w:pPr>
        <w:pStyle w:val="773"/>
        <w:pBdr/>
        <w:spacing/>
        <w:ind/>
        <w:rPr>
          <w:rFonts w:ascii="Times New Roman" w:hAnsi="Times New Roman" w:eastAsia="Times New Roman" w:cs="Times New Roman"/>
          <w:color w:val="000000"/>
          <w:sz w:val="24"/>
          <w:szCs w:val="24"/>
        </w:rPr>
      </w:pPr>
      <w:r>
        <w:rPr>
          <w:rFonts w:eastAsia="Times New Roman" w:cs="Times New Roman"/>
          <w:color w:val="000000"/>
          <w:sz w:val="24"/>
        </w:rPr>
        <w:t xml:space="preserve">Figura 1. Distribución por países de América Latina de las</w:t>
      </w:r>
      <w:r>
        <w:rPr>
          <w:rFonts w:eastAsia="Times New Roman" w:cs="Times New Roman"/>
          <w:color w:val="000000"/>
          <w:sz w:val="24"/>
          <w:lang w:val="es-ES"/>
        </w:rPr>
        <w:t xml:space="preserve"> </w:t>
      </w:r>
      <w:r>
        <w:rPr>
          <w:rFonts w:eastAsia="Times New Roman" w:cs="Times New Roman"/>
          <w:color w:val="000000"/>
          <w:sz w:val="24"/>
        </w:rPr>
        <w:t xml:space="preserve">315 Universidades Públicas Nacionales</w:t>
      </w:r>
      <w:r>
        <w:rPr>
          <w:rFonts w:eastAsia="Times New Roman" w:cs="Times New Roman"/>
          <w:color w:val="000000"/>
          <w:sz w:val="24"/>
          <w:lang w:val="es-ES"/>
        </w:rPr>
        <w:t xml:space="preserve"> </w:t>
      </w:r>
      <w:r>
        <w:rPr>
          <w:rFonts w:eastAsia="Times New Roman" w:cs="Times New Roman"/>
          <w:color w:val="000000"/>
          <w:sz w:val="24"/>
        </w:rPr>
        <w:t xml:space="preserve">(UPN) comprendidas en el universo de la investigación (creadas a diciembre</w:t>
      </w:r>
      <w:r>
        <w:rPr>
          <w:rFonts w:eastAsia="Times New Roman" w:cs="Times New Roman"/>
          <w:color w:val="000000"/>
          <w:sz w:val="24"/>
          <w:lang w:val="es-ES"/>
        </w:rPr>
        <w:t xml:space="preserve"> de</w:t>
      </w:r>
      <w:r>
        <w:rPr>
          <w:rFonts w:eastAsia="Times New Roman" w:cs="Times New Roman"/>
          <w:color w:val="000000"/>
          <w:sz w:val="24"/>
        </w:rPr>
        <w:t xml:space="preserve"> 2023).</w:t>
      </w:r>
      <w:r>
        <w:rPr>
          <w:rFonts w:ascii="Times New Roman" w:hAnsi="Times New Roman" w:eastAsia="Times New Roman" w:cs="Times New Roman"/>
          <w:color w:val="000000"/>
          <w:sz w:val="24"/>
          <w:szCs w:val="24"/>
        </w:rPr>
      </w:r>
    </w:p>
    <w:p>
      <w:pPr>
        <w:pStyle w:val="773"/>
        <w:pBdr/>
        <w:spacing/>
        <w:ind/>
        <w:rPr>
          <w:rFonts w:ascii="Times New Roman" w:hAnsi="Times New Roman" w:eastAsia="Times New Roman" w:cs="Times New Roman"/>
          <w:sz w:val="24"/>
          <w:szCs w:val="24"/>
        </w:rPr>
      </w:pPr>
      <w:r>
        <mc:AlternateContent>
          <mc:Choice Requires="wpg">
            <w:drawing>
              <wp:inline xmlns:wp="http://schemas.openxmlformats.org/drawingml/2006/wordprocessingDrawing" distT="0" distB="0" distL="0" distR="0">
                <wp:extent cx="5400040" cy="6312535"/>
                <wp:effectExtent l="0" t="0" r="0" b="0"/>
                <wp:docPr id="3"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pic:cNvPicPr>
                        <pic:nvPr/>
                      </pic:nvPicPr>
                      <pic:blipFill rotWithShape="1">
                        <a:blip r:embed="rId10"/>
                        <a:stretch/>
                      </pic:blipFill>
                      <pic:spPr bwMode="auto">
                        <a:xfrm>
                          <a:off x="0" y="0"/>
                          <a:ext cx="5400040" cy="6312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25.20pt;height:497.05pt;mso-wrap-distance-left:0.00pt;mso-wrap-distance-top:0.00pt;mso-wrap-distance-right:0.00pt;mso-wrap-distance-bottom:0.00pt;z-index:1;" stroked="false">
                <v:imagedata r:id="rId10" o:title=""/>
                <o:lock v:ext="edit" rotation="t"/>
              </v:shape>
            </w:pict>
          </mc:Fallback>
        </mc:AlternateContent>
      </w:r>
      <w:r>
        <w:rPr>
          <w:rFonts w:eastAsia="Times New Roman" w:cs="Times New Roman"/>
          <w:color w:val="000000"/>
          <w:sz w:val="24"/>
        </w:rPr>
        <w:t xml:space="preserve"> </w:t>
      </w:r>
      <w:r>
        <w:rPr>
          <w:rFonts w:ascii="Times New Roman" w:hAnsi="Times New Roman" w:eastAsia="Times New Roman" w:cs="Times New Roman"/>
          <w:sz w:val="24"/>
          <w:szCs w:val="24"/>
        </w:rPr>
      </w:r>
    </w:p>
    <w:p>
      <w:pPr>
        <w:pStyle w:val="773"/>
        <w:pBdr/>
        <w:spacing/>
        <w:ind/>
        <w:rPr/>
      </w:pPr>
      <w:r>
        <w:rPr>
          <w:rFonts w:eastAsia="Times New Roman" w:cs="Times New Roman"/>
          <w:b/>
          <w:color w:val="000000"/>
          <w:sz w:val="24"/>
        </w:rPr>
        <w:t xml:space="preserve">Fuente:</w:t>
      </w:r>
      <w:r>
        <w:rPr>
          <w:rFonts w:eastAsia="Times New Roman" w:cs="Times New Roman"/>
          <w:color w:val="000000"/>
          <w:sz w:val="24"/>
        </w:rPr>
        <w:t xml:space="preserve"> Elaboración propia.</w:t>
      </w:r>
      <w:r/>
    </w:p>
    <w:p w14:paraId="09CCB0FD">
      <w:pPr>
        <w:pStyle w:val="773"/>
        <w:pBdr/>
        <w:spacing/>
        <w:ind/>
        <w:rPr/>
      </w:pPr>
      <w:r/>
      <w:r/>
      <w:r/>
    </w:p>
    <w:p>
      <w:pPr>
        <w:pStyle w:val="773"/>
        <w:pBdr/>
        <w:spacing/>
        <w:ind/>
        <w:rPr/>
      </w:pPr>
      <w: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szCs w:val="24"/>
        </w:rPr>
        <w:t xml:space="preserve">Tabla1. Máximos Cuerpos Colegiados (MCC) por país comprendidos en el análisis.</w:t>
      </w:r>
      <w:r>
        <w:rPr>
          <w:rFonts w:ascii="Times New Roman" w:hAnsi="Times New Roman" w:eastAsia="Times New Roman" w:cs="Times New Roman"/>
          <w:color w:val="000000"/>
          <w:sz w:val="24"/>
          <w:szCs w:val="24"/>
          <w:highlight w:val="none"/>
        </w:rPr>
      </w:r>
    </w:p>
    <w:tbl>
      <w:tblPr>
        <w:tblStyle w:val="797"/>
        <w:tblInd w:w="0" w:type="dxa"/>
        <w:tblW w:w="5000" w:type="pct"/>
        <w:tblCellMar>
          <w:left w:w="0" w:type="dxa"/>
          <w:top w:w="57" w:type="dxa"/>
          <w:right w:w="0" w:type="dxa"/>
          <w:bottom w:w="57" w:type="dxa"/>
        </w:tblCellMar>
        <w:tblBorders/>
        <w:tblLayout w:type="fixed"/>
        <w:tblLook w:val="04A0" w:firstRow="1" w:lastRow="0" w:firstColumn="1" w:lastColumn="0" w:noHBand="0" w:noVBand="1"/>
      </w:tblPr>
      <w:tblGrid>
        <w:gridCol w:w="1100"/>
        <w:gridCol w:w="3293"/>
        <w:gridCol w:w="1275"/>
        <w:gridCol w:w="2835"/>
      </w:tblGrid>
      <w:tr>
        <w:trPr/>
        <w:tc>
          <w:tcPr>
            <w:shd w:val="clear" w:color="eeeeee" w:fill="eeeeee"/>
            <w:tcBorders>
              <w:top w:val="single" w:color="000000" w:sz="6" w:space="0"/>
              <w:left w:val="none" w:color="000000" w:sz="4" w:space="0"/>
              <w:bottom w:val="single" w:color="000000" w:sz="6" w:space="0"/>
              <w:right w:val="none" w:color="000000" w:sz="4" w:space="0"/>
            </w:tcBorders>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País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Órgano Colegiado</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País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Órgano Colegiado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Argentina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Superior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Honduras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Bolivia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Honorable Consejo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México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Brasil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CONSUN, CONSEPE, CONSAD</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Nicaragua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Chile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General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Colombia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Académico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Paraguay</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Superior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Costa Rica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Perú</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Ecuador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Honorable Consejo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Puerto Rico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Junta Universitaria</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El Salvador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Superior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República Dominicana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Universitario </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100"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Guatemala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3293"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Superior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27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Uruguay</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Consejo Directivo Central</w:t>
            </w:r>
            <w:r>
              <w:rPr>
                <w:szCs w:val="24"/>
                <w:lang w:eastAsia="en-US" w:bidi="ar-SA"/>
              </w:rPr>
            </w:r>
          </w:p>
        </w:tc>
      </w:tr>
    </w:tbl>
    <w:p>
      <w:pPr>
        <w:pStyle w:val="773"/>
        <w:pBdr/>
        <w:spacing/>
        <w:ind/>
        <w:rPr/>
      </w:pPr>
      <w:r>
        <w:rPr>
          <w:rFonts w:eastAsia="Times New Roman" w:cs="Times New Roman"/>
          <w:b/>
          <w:color w:val="000000"/>
          <w:sz w:val="20"/>
        </w:rPr>
        <w:t xml:space="preserve">Fuente:</w:t>
      </w:r>
      <w:r>
        <w:rPr>
          <w:rFonts w:eastAsia="Times New Roman" w:cs="Times New Roman"/>
          <w:color w:val="000000"/>
          <w:sz w:val="20"/>
        </w:rPr>
        <w:t xml:space="preserve">Elaboración propia.</w:t>
      </w:r>
      <w:r/>
    </w:p>
    <w:p>
      <w:pPr>
        <w:pStyle w:val="773"/>
        <w:pBdr/>
        <w:spacing/>
        <w:ind/>
        <w:rPr/>
      </w:pPr>
      <w:r/>
      <w:r/>
    </w:p>
    <w:p>
      <w:pPr>
        <w:pStyle w:val="773"/>
        <w:pBdr/>
        <w:spacing/>
        <w:ind/>
        <w:rPr>
          <w:rFonts w:ascii="Times New Roman" w:hAnsi="Times New Roman" w:eastAsia="Times New Roman" w:cs="Times New Roman"/>
          <w:b/>
          <w:bCs/>
          <w:i/>
          <w:color w:val="000000"/>
          <w:sz w:val="24"/>
          <w:szCs w:val="24"/>
          <w:highlight w:val="none"/>
        </w:rPr>
      </w:pPr>
      <w:r>
        <w:rPr>
          <w:rFonts w:eastAsia="Times New Roman" w:cs="Times New Roman"/>
          <w:b/>
          <w:bCs/>
          <w:color w:val="000000"/>
          <w:sz w:val="24"/>
          <w:lang w:val="es-ES"/>
        </w:rPr>
        <w:t xml:space="preserve">El marco conceptual del </w:t>
      </w:r>
      <w:r>
        <w:rPr>
          <w:rFonts w:eastAsia="Times New Roman" w:cs="Times New Roman"/>
          <w:b/>
          <w:bCs/>
          <w:i/>
          <w:iCs/>
          <w:color w:val="000000"/>
          <w:sz w:val="24"/>
          <w:lang w:val="es-ES"/>
        </w:rPr>
        <w:t xml:space="preserve">Third Space</w:t>
      </w:r>
      <w:r>
        <w:rPr>
          <w:rFonts w:ascii="Times New Roman" w:hAnsi="Times New Roman" w:eastAsia="Times New Roman" w:cs="Times New Roman"/>
          <w:b/>
          <w:bCs/>
          <w:i/>
          <w:color w:val="000000"/>
          <w:sz w:val="24"/>
          <w:szCs w:val="24"/>
          <w:highlight w:val="none"/>
        </w:rPr>
      </w:r>
    </w:p>
    <w:p>
      <w:pPr>
        <w:pStyle w:val="773"/>
        <w:pBdr/>
        <w:spacing/>
        <w:ind/>
        <w:rPr>
          <w:highlight w:val="none"/>
        </w:rPr>
      </w:pPr>
      <w:r/>
      <w:r>
        <w:rPr>
          <w:highlight w:val="none"/>
        </w:rPr>
      </w:r>
    </w:p>
    <w:p>
      <w:pPr>
        <w:pStyle w:val="773"/>
        <w:pBdr/>
        <w:spacing/>
        <w:ind/>
        <w:rPr/>
      </w:pPr>
      <w:r>
        <w:rPr>
          <w:rFonts w:eastAsia="Times New Roman" w:cs="Times New Roman"/>
          <w:color w:val="000000"/>
          <w:sz w:val="24"/>
        </w:rPr>
        <w:t xml:space="preserve">En 2008 Celia Whitchurch publica </w:t>
      </w:r>
      <w:r>
        <w:rPr>
          <w:rFonts w:eastAsia="Times New Roman" w:cs="Times New Roman"/>
          <w:color w:val="000000"/>
          <w:sz w:val="24"/>
        </w:rPr>
        <w:t xml:space="preserve">el que significó uno de los trabajos académicos más influyentes de los últimos años sobre las estructuras profesionales de las instituciones de educación superior, en particular de las universidades. En este se presenta y sienta las bases del concepto de “</w:t>
      </w:r>
      <w:r>
        <w:rPr>
          <w:rFonts w:eastAsia="Times New Roman" w:cs="Times New Roman"/>
          <w:i/>
          <w:iCs/>
          <w:color w:val="000000"/>
          <w:sz w:val="24"/>
        </w:rPr>
        <w:t xml:space="preserve">Third Space</w:t>
      </w:r>
      <w:r>
        <w:rPr>
          <w:rFonts w:eastAsia="Times New Roman" w:cs="Times New Roman"/>
          <w:color w:val="000000"/>
          <w:sz w:val="24"/>
        </w:rPr>
        <w:t xml:space="preserve">”, definido inicialmente </w:t>
      </w:r>
      <w:r>
        <w:rPr>
          <w:rFonts w:eastAsia="Times New Roman" w:cs="Times New Roman"/>
          <w:color w:val="000000"/>
          <w:sz w:val="24"/>
        </w:rPr>
        <w:t xml:space="preserve">de manera generalista como el espacio institucional de las IES establecido entre los sectores administrativos y académicos tradicionales e integrado por un personal que cuenta con características diferentes a las conocidas anteriormente dentro de la estruc</w:t>
      </w:r>
      <w:r>
        <w:rPr>
          <w:rFonts w:eastAsia="Times New Roman" w:cs="Times New Roman"/>
          <w:color w:val="000000"/>
          <w:sz w:val="24"/>
        </w:rPr>
        <w:t xml:space="preserve">tura institucional universitaria derivando en nuevas formas de gestión y liderazgo (Whitchurch, 2013). Esta perspectiva advierte no solo de un proceso de diversificación de tareas que redundan en mayores niveles de complejidad institucional a un tipo de in</w:t>
      </w:r>
      <w:r>
        <w:rPr>
          <w:rFonts w:eastAsia="Times New Roman" w:cs="Times New Roman"/>
          <w:color w:val="000000"/>
          <w:sz w:val="24"/>
        </w:rPr>
        <w:t xml:space="preserve">stituciones ya de por si definidas como complejas, sino que también refleja la implementación de una serie de transformaciones institucionales especialmente dinámicas que no necesariamente quedan registrados en la normativa ni en los organigramas formales.</w:t>
      </w:r>
      <w:r/>
    </w:p>
    <w:p>
      <w:pPr>
        <w:pStyle w:val="773"/>
        <w:pBdr/>
        <w:spacing/>
        <w:ind/>
        <w:rPr/>
      </w:pPr>
      <w:r>
        <w:rPr>
          <w:rFonts w:eastAsia="Times New Roman" w:cs="Times New Roman"/>
          <w:color w:val="000000"/>
          <w:sz w:val="24"/>
        </w:rPr>
        <w:t xml:space="preserve">Con independencia de los espacios de gobierno que define una esfera política, esta visión se postula como superadora de la identificación histórica binaria entre un sector puramente académico y otro de corte administrativo entendido “</w:t>
      </w:r>
      <w:r>
        <w:rPr>
          <w:rFonts w:eastAsia="Times New Roman" w:cs="Times New Roman"/>
          <w:i/>
          <w:iCs/>
          <w:color w:val="000000"/>
          <w:sz w:val="24"/>
        </w:rPr>
        <w:t xml:space="preserve">como un servicio de apoyo para el cuerpo académico, ofrecido por personal sin preparación especializada</w:t>
      </w:r>
      <w:r>
        <w:rPr>
          <w:rFonts w:eastAsia="Times New Roman" w:cs="Times New Roman"/>
          <w:color w:val="000000"/>
          <w:sz w:val="24"/>
        </w:rPr>
        <w:t xml:space="preserve">” (Scharager &amp; Rodríguez, 2019:257). </w:t>
      </w:r>
      <w:r/>
    </w:p>
    <w:p>
      <w:pPr>
        <w:pStyle w:val="773"/>
        <w:pBdr/>
        <w:spacing/>
        <w:ind/>
        <w:rPr/>
      </w:pPr>
      <w:r>
        <w:rPr>
          <w:rFonts w:eastAsia="Times New Roman" w:cs="Times New Roman"/>
          <w:color w:val="000000"/>
          <w:sz w:val="24"/>
        </w:rPr>
        <w:t xml:space="preserve">En esta nueva perspectiva, las funciones, las tareas, los roles emergentes, las identidades y las formas de relacionamiento entre la plantilla universit</w:t>
      </w:r>
      <w:r>
        <w:rPr>
          <w:rFonts w:eastAsia="Times New Roman" w:cs="Times New Roman"/>
          <w:color w:val="000000"/>
          <w:sz w:val="24"/>
        </w:rPr>
        <w:t xml:space="preserve">aria son relevantes para la identificación de estas áreas institucionales cada vez más amplias y que además cuentan con una dotación cada vez más numerosa de personal profesional, incluso con relativa independencia de las estructuras organizativas formales</w:t>
      </w:r>
      <w:r>
        <w:rPr>
          <w:rFonts w:eastAsia="Times New Roman" w:cs="Times New Roman"/>
          <w:color w:val="000000"/>
          <w:sz w:val="24"/>
        </w:rPr>
        <w:t xml:space="preserve">. Los entornos institucionales universitarios ya no están claramente divididos y fácilmente reconocibles, sino más bien se vuelven imprecisos, ambiguos, fronterizos y hasta conflictivos unos con otros (en particular entre el sector académico y este nuevo “</w:t>
      </w:r>
      <w:r>
        <w:rPr>
          <w:rFonts w:eastAsia="Times New Roman" w:cs="Times New Roman"/>
          <w:i/>
          <w:iCs/>
          <w:color w:val="000000"/>
          <w:sz w:val="24"/>
        </w:rPr>
        <w:t xml:space="preserve">Third Space</w:t>
      </w:r>
      <w:r>
        <w:rPr>
          <w:rFonts w:eastAsia="Times New Roman" w:cs="Times New Roman"/>
          <w:color w:val="000000"/>
          <w:sz w:val="24"/>
        </w:rPr>
        <w:t xml:space="preserve">”). Más aún, tal como Veles, Graham &amp; Ovaska (2023) recientemente señalan: “</w:t>
      </w:r>
      <w:r>
        <w:rPr>
          <w:rFonts w:eastAsia="Times New Roman" w:cs="Times New Roman"/>
          <w:i/>
          <w:iCs/>
          <w:color w:val="000000"/>
          <w:sz w:val="24"/>
        </w:rPr>
        <w:t xml:space="preserve">institutional spaces and boundaries, as well as professional identities, are profoundly contextual and constructed, enacted and interpreted in multiple ways</w:t>
      </w:r>
      <w:r>
        <w:rPr>
          <w:rFonts w:eastAsia="Times New Roman" w:cs="Times New Roman"/>
          <w:color w:val="000000"/>
          <w:sz w:val="24"/>
        </w:rPr>
        <w:t xml:space="preserve">” (Veles, Graham &amp; Ovaska, 2023:137).</w:t>
      </w:r>
      <w:r/>
    </w:p>
    <w:p>
      <w:pPr>
        <w:pStyle w:val="773"/>
        <w:pBdr/>
        <w:spacing/>
        <w:ind/>
        <w:rPr/>
      </w:pPr>
      <w:r>
        <w:rPr>
          <w:rFonts w:eastAsia="Times New Roman" w:cs="Times New Roman"/>
          <w:color w:val="000000"/>
          <w:sz w:val="24"/>
        </w:rPr>
        <w:t xml:space="preserve">Según Whitchurch (2013), las estructuras componentes del Third Space se clasifican en tres categorías según su arreglo institucional:</w:t>
      </w:r>
      <w:r/>
    </w:p>
    <w:p>
      <w:pPr>
        <w:pStyle w:val="773"/>
        <w:pBdr/>
        <w:spacing/>
        <w:ind/>
        <w:rPr/>
      </w:pPr>
      <w:r>
        <w:rPr>
          <w:rFonts w:eastAsia="Times New Roman" w:cs="Times New Roman"/>
          <w:color w:val="000000"/>
          <w:sz w:val="24"/>
        </w:rPr>
        <w:t xml:space="preserve">(1) Integradas (</w:t>
      </w:r>
      <w:r>
        <w:rPr>
          <w:rFonts w:eastAsia="Times New Roman" w:cs="Times New Roman"/>
          <w:i/>
          <w:iCs/>
          <w:color w:val="000000"/>
          <w:sz w:val="24"/>
        </w:rPr>
        <w:t xml:space="preserve">integrated</w:t>
      </w:r>
      <w:r>
        <w:rPr>
          <w:rFonts w:eastAsia="Times New Roman" w:cs="Times New Roman"/>
          <w:color w:val="000000"/>
          <w:sz w:val="24"/>
        </w:rPr>
        <w:t xml:space="preserve">): Desarrollan tareas de implementación de políticas cercana</w:t>
      </w:r>
      <w:r>
        <w:rPr>
          <w:rFonts w:eastAsia="Times New Roman" w:cs="Times New Roman"/>
          <w:color w:val="000000"/>
          <w:sz w:val="24"/>
        </w:rPr>
        <w:t xml:space="preserve">s a las actividades académicas (desde un abordaje que conjuga lo profesional y lo académico). Poseen reconocimiento formal (estatuto, reglamentos, etc.), presupuesto permanente y ofrecen perspectivas de carrera estables dentro de la orgánica universitaria.</w:t>
      </w:r>
      <w:r/>
    </w:p>
    <w:p>
      <w:pPr>
        <w:pStyle w:val="773"/>
        <w:pBdr/>
        <w:spacing/>
        <w:ind/>
        <w:rPr/>
      </w:pPr>
      <w:r>
        <w:rPr>
          <w:rFonts w:eastAsia="Times New Roman" w:cs="Times New Roman"/>
          <w:color w:val="000000"/>
          <w:sz w:val="24"/>
        </w:rPr>
        <w:t xml:space="preserve">(2) Semi-autónomas (</w:t>
      </w:r>
      <w:r>
        <w:rPr>
          <w:rFonts w:eastAsia="Times New Roman" w:cs="Times New Roman"/>
          <w:i/>
          <w:iCs/>
          <w:color w:val="000000"/>
          <w:sz w:val="24"/>
        </w:rPr>
        <w:t xml:space="preserve">semi-autonomous</w:t>
      </w:r>
      <w:r>
        <w:rPr>
          <w:rFonts w:eastAsia="Times New Roman" w:cs="Times New Roman"/>
          <w:color w:val="000000"/>
          <w:sz w:val="24"/>
        </w:rPr>
        <w:t xml:space="preserve">): Cuentan con reconocimiento institucional pero no sie</w:t>
      </w:r>
      <w:r>
        <w:rPr>
          <w:rFonts w:eastAsia="Times New Roman" w:cs="Times New Roman"/>
          <w:color w:val="000000"/>
          <w:sz w:val="24"/>
        </w:rPr>
        <w:t xml:space="preserve">mpre están incorporadas rígidamente en los organigramas, generalmente funcionando en comparación con las integradas con mayores niveles de flexibilidad laboral (contratos a término) y una mayor predisposición al acceso a financiamiento externo concursable.</w:t>
      </w:r>
      <w:r/>
    </w:p>
    <w:p>
      <w:pPr>
        <w:pStyle w:val="773"/>
        <w:pBdr/>
        <w:spacing/>
        <w:ind/>
        <w:rPr>
          <w:highlight w:val="none"/>
        </w:rPr>
      </w:pPr>
      <w:r>
        <w:rPr>
          <w:rFonts w:eastAsia="Times New Roman" w:cs="Times New Roman"/>
          <w:color w:val="000000"/>
          <w:sz w:val="24"/>
        </w:rPr>
        <w:t xml:space="preserve">(3) Independientes (</w:t>
      </w:r>
      <w:r>
        <w:rPr>
          <w:rFonts w:eastAsia="Times New Roman" w:cs="Times New Roman"/>
          <w:i/>
          <w:iCs/>
          <w:color w:val="000000"/>
          <w:sz w:val="24"/>
        </w:rPr>
        <w:t xml:space="preserve">independent</w:t>
      </w:r>
      <w:r>
        <w:rPr>
          <w:rFonts w:eastAsia="Times New Roman" w:cs="Times New Roman"/>
          <w:color w:val="000000"/>
          <w:sz w:val="24"/>
        </w:rPr>
        <w:t xml:space="preserve">): Carecen de reconocimiento explícito en la orgánica for</w:t>
      </w:r>
      <w:r>
        <w:rPr>
          <w:rFonts w:eastAsia="Times New Roman" w:cs="Times New Roman"/>
          <w:color w:val="000000"/>
          <w:sz w:val="24"/>
        </w:rPr>
        <w:t xml:space="preserve">mal. Operan como estructuras paralelas o ámbitos creados a término para la ejecución de proyectos específicos con financiamiento externo y dependientes de la voluntad de las autoridades universitarias gobernantes, lo que las vuelve volátiles e inestables. </w:t>
      </w:r>
      <w:r>
        <w:rPr>
          <w:highlight w:val="none"/>
        </w:rPr>
      </w:r>
    </w:p>
    <w:p>
      <w:pPr>
        <w:pStyle w:val="773"/>
        <w:pBdr/>
        <w:spacing/>
        <w:ind/>
        <w:rPr/>
      </w:pPr>
      <w:r>
        <w:rPr>
          <w:rFonts w:eastAsia="Times New Roman" w:cs="Times New Roman"/>
          <w:color w:val="000000"/>
          <w:sz w:val="24"/>
        </w:rPr>
        <w:t xml:space="preserve">En términos generales, puede decirse que más allá de las características que adoptan estos tres tipos, todos ellos se justifican s</w:t>
      </w:r>
      <w:r>
        <w:rPr>
          <w:rFonts w:eastAsia="Times New Roman" w:cs="Times New Roman"/>
          <w:color w:val="000000"/>
          <w:sz w:val="24"/>
        </w:rPr>
        <w:t xml:space="preserve">ustancialmente como un entorno novedoso de políticas, dinámico y complejo, donde las tareas y las acciones bajo quienes desempeñan estos roles y funciones tienen, comparativamente, altos niveles de autonomía y flexibilidad con relación a la estructura trad</w:t>
      </w:r>
      <w:r>
        <w:rPr>
          <w:rFonts w:eastAsia="Times New Roman" w:cs="Times New Roman"/>
          <w:color w:val="000000"/>
          <w:sz w:val="24"/>
        </w:rPr>
        <w:t xml:space="preserve">icional. Esto le permite idealmente ser una esfera de actividad de experimentación institucional para el diseño, implementación, monitoreo y evaluación de políticas universitarias en general con una conformación (en el mejor de los casos) de equipos profes</w:t>
      </w:r>
      <w:r>
        <w:rPr>
          <w:rFonts w:eastAsia="Times New Roman" w:cs="Times New Roman"/>
          <w:color w:val="000000"/>
          <w:sz w:val="24"/>
        </w:rPr>
        <w:t xml:space="preserve">ionales de múltiples disciplinas los que no necesariamente provienen de la propia institución universitaria, conformándose así en actores relevantes de las políticas universitarias (de Jong, 2024; Obeide, 2020; Sthioul, González, Rifo y Torralbo, 2018; Whi</w:t>
      </w:r>
      <w:r>
        <w:rPr>
          <w:rFonts w:eastAsia="Times New Roman" w:cs="Times New Roman"/>
          <w:color w:val="000000"/>
          <w:sz w:val="24"/>
        </w:rPr>
        <w:t xml:space="preserve">tchurch, 2015; Zahir, 2010). Sus profesionales asumen la responsabilidad de producir información estratégica para la toma de decisiones y asegurar la coherencia interna mediante planes de desarrollo institucional (Sthioul, González, Rifo y Torralbo, 2018).</w:t>
      </w:r>
      <w:r/>
    </w:p>
    <w:p>
      <w:pPr>
        <w:pStyle w:val="773"/>
        <w:pBdr/>
        <w:spacing/>
        <w:ind/>
        <w:rPr>
          <w:highlight w:val="none"/>
        </w:rPr>
      </w:pPr>
      <w:r>
        <w:rPr>
          <w:rFonts w:eastAsia="Times New Roman" w:cs="Times New Roman"/>
          <w:color w:val="000000"/>
          <w:sz w:val="24"/>
        </w:rPr>
        <w:t xml:space="preserve">Whitchurch (2010) identifica además dos tipos de profesionales calificados y especializados que integran las estructuras del </w:t>
      </w:r>
      <w:r>
        <w:rPr>
          <w:rFonts w:eastAsia="Times New Roman" w:cs="Times New Roman"/>
          <w:i/>
          <w:iCs/>
          <w:color w:val="000000"/>
          <w:sz w:val="24"/>
        </w:rPr>
        <w:t xml:space="preserve">Third Space</w:t>
      </w:r>
      <w:r>
        <w:rPr>
          <w:rFonts w:eastAsia="Times New Roman" w:cs="Times New Roman"/>
          <w:color w:val="000000"/>
          <w:sz w:val="24"/>
        </w:rPr>
        <w:t xml:space="preserve">, por un lado están los que denomina “turistas” (“</w:t>
      </w:r>
      <w:r>
        <w:rPr>
          <w:rFonts w:eastAsia="Times New Roman" w:cs="Times New Roman"/>
          <w:i/>
          <w:iCs/>
          <w:color w:val="000000"/>
          <w:sz w:val="24"/>
        </w:rPr>
        <w:t xml:space="preserve">tourists</w:t>
      </w:r>
      <w:r>
        <w:rPr>
          <w:rFonts w:eastAsia="Times New Roman" w:cs="Times New Roman"/>
          <w:color w:val="000000"/>
          <w:sz w:val="24"/>
        </w:rPr>
        <w:t xml:space="preserve">”): personal que ocupan puestos y desempeñan roles temporale</w:t>
      </w:r>
      <w:r>
        <w:rPr>
          <w:rFonts w:eastAsia="Times New Roman" w:cs="Times New Roman"/>
          <w:color w:val="000000"/>
          <w:sz w:val="24"/>
        </w:rPr>
        <w:t xml:space="preserve">s o a término para el desarrollo de actividades puntuales o específicas y que utilizan como aprendizaje profesional como medida provisional mientras esperan el trabajo académico “adecuado”. Por otro lado, los que identifica como “residentes permanentes” (“</w:t>
      </w:r>
      <w:r>
        <w:rPr>
          <w:rFonts w:eastAsia="Times New Roman" w:cs="Times New Roman"/>
          <w:i/>
          <w:iCs/>
          <w:color w:val="000000"/>
          <w:sz w:val="24"/>
        </w:rPr>
        <w:t xml:space="preserve">permanent residents</w:t>
      </w:r>
      <w:r>
        <w:rPr>
          <w:rFonts w:eastAsia="Times New Roman" w:cs="Times New Roman"/>
          <w:color w:val="000000"/>
          <w:sz w:val="24"/>
        </w:rPr>
        <w:t xml:space="preserve">”): aquellos que desa</w:t>
      </w:r>
      <w:r>
        <w:rPr>
          <w:rFonts w:eastAsia="Times New Roman" w:cs="Times New Roman"/>
          <w:color w:val="000000"/>
          <w:sz w:val="24"/>
        </w:rPr>
        <w:t xml:space="preserve">rrollan tareas en nuevos espacios institucionales en los cuales crean un sentido de pertenencia y que a diferencia de los “turistas” asumen como prioritario para su desarrollo profesional la posibilidad de hacer carrera en estas estructuras universitarias.</w:t>
      </w:r>
      <w:r>
        <w:rPr>
          <w:highlight w:val="none"/>
        </w:rPr>
      </w:r>
    </w:p>
    <w:p>
      <w:pPr>
        <w:pStyle w:val="773"/>
        <w:pBdr/>
        <w:spacing/>
        <w:ind/>
        <w:rPr/>
      </w:pPr>
      <w:r/>
      <w:r/>
    </w:p>
    <w:p>
      <w:pPr>
        <w:pStyle w:val="773"/>
        <w:pBdr/>
        <w:spacing/>
        <w:ind/>
        <w:rPr/>
      </w:pPr>
      <w:r/>
      <w:r/>
    </w:p>
    <w:p>
      <w:pPr>
        <w:pStyle w:val="773"/>
        <w:pBdr/>
        <w:spacing/>
        <w:ind/>
        <w:rPr/>
      </w:pPr>
      <w:r/>
      <w:r/>
    </w:p>
    <w:p>
      <w:pPr>
        <w:pStyle w:val="773"/>
        <w:pBdr/>
        <w:spacing/>
        <w:ind/>
        <w:rPr/>
      </w:pPr>
      <w:r>
        <w:rPr>
          <w:rFonts w:eastAsia="Times New Roman" w:cs="Times New Roman"/>
          <w:color w:val="000000"/>
          <w:sz w:val="24"/>
        </w:rPr>
        <w:t xml:space="preserve">Figura 2. Esquema de las categorías analíticas que describen los colectivos integrantes de los sectores político, académico, administrativo y “</w:t>
      </w:r>
      <w:r>
        <w:rPr>
          <w:rFonts w:eastAsia="Times New Roman" w:cs="Times New Roman"/>
          <w:i/>
          <w:iCs/>
          <w:color w:val="000000"/>
          <w:sz w:val="24"/>
        </w:rPr>
        <w:t xml:space="preserve">Third Space</w:t>
      </w:r>
      <w:r>
        <w:rPr>
          <w:rFonts w:eastAsia="Times New Roman" w:cs="Times New Roman"/>
          <w:color w:val="000000"/>
          <w:sz w:val="24"/>
        </w:rPr>
        <w:t xml:space="preserve">” en las universidades.</w:t>
      </w:r>
      <w:r/>
    </w:p>
    <w:p>
      <w:pPr>
        <w:pStyle w:val="773"/>
        <w:pBdr/>
        <w:spacing/>
        <w:ind/>
        <w:rPr/>
      </w:pPr>
      <w:r>
        <mc:AlternateContent>
          <mc:Choice Requires="wpg">
            <w:drawing>
              <wp:inline xmlns:wp="http://schemas.openxmlformats.org/drawingml/2006/wordprocessingDrawing" distT="0" distB="0" distL="0" distR="0">
                <wp:extent cx="5400040" cy="3794760"/>
                <wp:effectExtent l="0" t="0" r="0" b="0"/>
                <wp:docPr id="4"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descr=""/>
                        <pic:cNvPicPr>
                          <a:picLocks noChangeAspect="1"/>
                        </pic:cNvPicPr>
                        <pic:nvPr/>
                      </pic:nvPicPr>
                      <pic:blipFill rotWithShape="1">
                        <a:blip r:embed="rId11"/>
                        <a:stretch/>
                      </pic:blipFill>
                      <pic:spPr bwMode="auto">
                        <a:xfrm>
                          <a:off x="0" y="0"/>
                          <a:ext cx="5400040" cy="37947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5.20pt;height:298.80pt;mso-wrap-distance-left:0.00pt;mso-wrap-distance-top:0.00pt;mso-wrap-distance-right:0.00pt;mso-wrap-distance-bottom:0.00pt;z-index:1;" stroked="false">
                <v:imagedata r:id="rId11" o:title=""/>
                <o:lock v:ext="edit" rotation="t"/>
              </v:shape>
            </w:pict>
          </mc:Fallback>
        </mc:AlternateContent>
      </w:r>
      <w:r>
        <w:rPr>
          <w:rFonts w:eastAsia="Times New Roman" w:cs="Times New Roman"/>
          <w:color w:val="000000"/>
          <w:sz w:val="24"/>
        </w:rPr>
        <w:t xml:space="preserve"> </w:t>
      </w:r>
      <w:r/>
    </w:p>
    <w:p>
      <w:pPr>
        <w:pStyle w:val="773"/>
        <w:pBdr/>
        <w:spacing/>
        <w:ind/>
        <w:rPr/>
      </w:pPr>
      <w:r>
        <w:rPr>
          <w:rFonts w:eastAsia="Times New Roman" w:cs="Times New Roman"/>
          <w:b/>
          <w:color w:val="000000"/>
          <w:sz w:val="20"/>
        </w:rPr>
        <w:t xml:space="preserve">Fuente:</w:t>
      </w:r>
      <w:r>
        <w:rPr>
          <w:rFonts w:eastAsia="Times New Roman" w:cs="Times New Roman"/>
          <w:color w:val="000000"/>
          <w:sz w:val="20"/>
        </w:rPr>
        <w:t xml:space="preserve">Elaboración propia.</w:t>
      </w:r>
      <w:r/>
    </w:p>
    <w:p>
      <w:pPr>
        <w:pStyle w:val="773"/>
        <w:pBdr/>
        <w:spacing/>
        <w:ind/>
        <w:rPr>
          <w:highlight w:val="none"/>
        </w:rPr>
      </w:pPr>
      <w:r/>
      <w:r>
        <w:rPr>
          <w:highlight w:val="none"/>
        </w:rPr>
      </w:r>
    </w:p>
    <w:p>
      <w:pPr>
        <w:pStyle w:val="773"/>
        <w:pBdr/>
        <w:spacing/>
        <w:ind/>
        <w:rPr/>
      </w:pPr>
      <w:r>
        <w:rPr>
          <w:rFonts w:eastAsia="Times New Roman" w:cs="Times New Roman"/>
          <w:color w:val="000000"/>
          <w:sz w:val="24"/>
        </w:rPr>
        <w:t xml:space="preserve">Como se muestra en la figura 2, en la literatura especializada, coexiste una multiplicidad de términos para identificar a este tipo de personal (con independencia de sus casuísticas </w:t>
      </w:r>
      <w:r>
        <w:rPr>
          <w:rFonts w:eastAsia="Times New Roman" w:cs="Times New Roman"/>
          <w:color w:val="000000"/>
          <w:sz w:val="24"/>
        </w:rPr>
        <w:t xml:space="preserve">nacionales) que más que identificar diferencias profundas o conceptualizaciones diversas, suman matices a un mismo concepto general. Estas categorías identifican algunas de las características comunes más relevantes de este tipo de personal integrante del </w:t>
      </w:r>
      <w:r>
        <w:rPr>
          <w:rFonts w:eastAsia="Times New Roman" w:cs="Times New Roman"/>
          <w:i/>
          <w:iCs/>
          <w:color w:val="000000"/>
          <w:sz w:val="24"/>
        </w:rPr>
        <w:t xml:space="preserve">Third Space</w:t>
      </w:r>
      <w:r>
        <w:rPr>
          <w:rFonts w:eastAsia="Times New Roman" w:cs="Times New Roman"/>
          <w:color w:val="000000"/>
          <w:sz w:val="24"/>
        </w:rPr>
        <w:t xml:space="preserve">: (1) sus actividades se enfocan en tareas de asesoramiento, coordinación o supervisión de políticas y aunque también puedan desarrollar tareas de investigación y creación de conocimiento, no suelen tener a cargo responsabilidad</w:t>
      </w:r>
      <w:r>
        <w:rPr>
          <w:rFonts w:eastAsia="Times New Roman" w:cs="Times New Roman"/>
          <w:color w:val="000000"/>
          <w:sz w:val="24"/>
        </w:rPr>
        <w:t xml:space="preserve">es en las actividades de enseñanza directa; (2) mayormente están formados en niveles de educación superior de posgrado; (3) poseen una serie de conocimientos y experticias fuertemente especializadas en las áreas en los que se integran con un perfil preemin</w:t>
      </w:r>
      <w:r>
        <w:rPr>
          <w:rFonts w:eastAsia="Times New Roman" w:cs="Times New Roman"/>
          <w:color w:val="000000"/>
          <w:sz w:val="24"/>
        </w:rPr>
        <w:t xml:space="preserve">entemente técnico/político; (4) sus acciones y actividades se desarrollan con considerable autonomía y libertad con relación a las estructuras académicas y a las de soporte administrativo, percibiéndose como agentes intermediarios entre los niveles superio</w:t>
      </w:r>
      <w:r>
        <w:rPr>
          <w:rFonts w:eastAsia="Times New Roman" w:cs="Times New Roman"/>
          <w:color w:val="000000"/>
          <w:sz w:val="24"/>
        </w:rPr>
        <w:t xml:space="preserve">res de conducción y los núcleos académicos que desarrollan tareas en los distintos servicios universitarios; (5) rinden cuentas de sus acciones y resultados casi exclusivamente a las autoridades y órganos centrales; y (6) desarrollan y profundizan el acces</w:t>
      </w:r>
      <w:r>
        <w:rPr>
          <w:rFonts w:eastAsia="Times New Roman" w:cs="Times New Roman"/>
          <w:color w:val="000000"/>
          <w:sz w:val="24"/>
        </w:rPr>
        <w:t xml:space="preserve">o tanto a redes académicas como profesionales, ya sean internas como externas a la institución (de Jong, 2024; Kehm, 2015a y 2015b; Macfarlane, 2011; Ryttberg, 2020; Ryttberg &amp; Geschwind, 2017; Schneijderberg, 2017; Szekers, 2011; Whitchurch, 2008 y 2013).</w:t>
      </w:r>
      <w:r/>
    </w:p>
    <w:p>
      <w:pPr>
        <w:pStyle w:val="773"/>
        <w:pBdr/>
        <w:spacing/>
        <w:ind/>
        <w:rPr/>
      </w:pPr>
      <w:r>
        <w:rPr>
          <w:rFonts w:eastAsia="Times New Roman" w:cs="Times New Roman"/>
          <w:color w:val="000000"/>
          <w:sz w:val="24"/>
        </w:rPr>
        <w:t xml:space="preserve">En América Latina, el desarrollo académico en estas temáticas es aún inicial, heterogéneo y más de tipo exploratorio centrado en algunas sistemas de ES o en alguna UPN de un país en particular, fundados varios de ellos en las percepciones de estos “</w:t>
      </w:r>
      <w:r>
        <w:rPr>
          <w:rFonts w:eastAsia="Times New Roman" w:cs="Times New Roman"/>
          <w:i/>
          <w:iCs/>
          <w:color w:val="000000"/>
          <w:sz w:val="24"/>
        </w:rPr>
        <w:t xml:space="preserve">nuevos funcionarios profesionales</w:t>
      </w:r>
      <w:r>
        <w:rPr>
          <w:rFonts w:eastAsia="Times New Roman" w:cs="Times New Roman"/>
          <w:color w:val="000000"/>
          <w:sz w:val="24"/>
        </w:rPr>
        <w:t xml:space="preserve">”, como son algunos artículos circunscriptos a unos pocos </w:t>
      </w:r>
      <w:r>
        <w:rPr>
          <w:rFonts w:eastAsia="Times New Roman" w:cs="Times New Roman"/>
          <w:color w:val="000000"/>
          <w:sz w:val="24"/>
        </w:rPr>
        <w:t xml:space="preserve">países (Argentina, Brasil, Chile, Colombia, México o Perú). Sin embargo, siendo aún hoy pocos los estudios específicos sobre las nuevas estructuras universitarias y los roles emergentes desarrollados por este nuevo tipo de personal universitario en las UPN</w:t>
      </w:r>
      <w:r>
        <w:rPr>
          <w:rFonts w:eastAsia="Times New Roman" w:cs="Times New Roman"/>
          <w:color w:val="000000"/>
          <w:sz w:val="24"/>
          <w:lang w:val="es-ES"/>
        </w:rPr>
        <w:t xml:space="preserve"> latinoamericanas</w:t>
      </w:r>
      <w:r>
        <w:rPr>
          <w:rFonts w:eastAsia="Times New Roman" w:cs="Times New Roman"/>
          <w:color w:val="000000"/>
          <w:sz w:val="24"/>
        </w:rPr>
        <w:t xml:space="preserve"> y a pesar del diferencial de desarrollo teórico con respec</w:t>
      </w:r>
      <w:r>
        <w:rPr>
          <w:rFonts w:eastAsia="Times New Roman" w:cs="Times New Roman"/>
          <w:color w:val="000000"/>
          <w:sz w:val="24"/>
        </w:rPr>
        <w:t xml:space="preserve">to a los países anglosajones y europeos, en nuestro continente se evidencian una serie de coincidencias con lo observado en otros procesos en países centrales que ameritan un abordaje más profundo de las tendencias presentes en los países latinoamericanos.</w:t>
      </w:r>
      <w:r/>
    </w:p>
    <w:p>
      <w:pPr>
        <w:pStyle w:val="773"/>
        <w:pBdr/>
        <w:spacing/>
        <w:ind/>
        <w:rPr/>
      </w:pPr>
      <w:r>
        <w:rPr>
          <w:rFonts w:eastAsia="Times New Roman" w:cs="Times New Roman"/>
          <w:color w:val="000000"/>
          <w:sz w:val="24"/>
        </w:rPr>
        <w:t xml:space="preserve">Trabajos recientes efectivamente identifican una serie de actores y personal universitario que asumen, al igual que en las universidades de países centrales, roles no tradicionales en un número cada vez más amplios de áreas y en diverso</w:t>
      </w:r>
      <w:r>
        <w:rPr>
          <w:rFonts w:eastAsia="Times New Roman" w:cs="Times New Roman"/>
          <w:color w:val="000000"/>
          <w:sz w:val="24"/>
        </w:rPr>
        <w:t xml:space="preserve">s niveles de la estructura institucional (Labraña, Henríquez Aravena &amp; Gómez Poblete, 2024; Marquina, 2020; Marquina et al, 2024; Nosiglia &amp; Fuksman, 2021; Rifo &amp; Torralbo, 2023; Scharager, 2017; Sthioul, González, Rifo y Torralbo, 2018; Suasnábar, 2002). </w:t>
      </w:r>
      <w:r/>
    </w:p>
    <w:p>
      <w:pPr>
        <w:pStyle w:val="773"/>
        <w:pBdr/>
        <w:spacing/>
        <w:ind/>
        <w:rPr/>
      </w:pPr>
      <w:r>
        <w:rPr>
          <w:rFonts w:eastAsia="Times New Roman" w:cs="Times New Roman"/>
          <w:color w:val="000000"/>
          <w:sz w:val="24"/>
        </w:rPr>
        <w:t xml:space="preserve">En este sentido, si bien Marquina (2020) hace referencia a las UPN de Argentina, su apreciación puede entenderse extrapolada a una buena parte de las universidades de los sistemas públicos latinoamericanos: “</w:t>
      </w:r>
      <w:r>
        <w:rPr>
          <w:rFonts w:eastAsia="Times New Roman" w:cs="Times New Roman"/>
          <w:i/>
          <w:iCs/>
          <w:color w:val="000000"/>
          <w:sz w:val="24"/>
        </w:rPr>
        <w:t xml:space="preserve">El impacto en las es</w:t>
      </w:r>
      <w:r>
        <w:rPr>
          <w:rFonts w:eastAsia="Times New Roman" w:cs="Times New Roman"/>
          <w:i/>
          <w:iCs/>
          <w:color w:val="000000"/>
          <w:sz w:val="24"/>
        </w:rPr>
        <w:t xml:space="preserve">tructuras organizacionales de la emergencia de estas funciones probablemente dependa del tipo de institución. De la información obtenida surge que en las instituciones más antiguas y de mayor tamaño estas funciones se desarrollan en las viejas estructuras </w:t>
      </w:r>
      <w:r>
        <w:rPr>
          <w:rFonts w:eastAsia="Times New Roman" w:cs="Times New Roman"/>
          <w:i/>
          <w:iCs/>
          <w:color w:val="000000"/>
          <w:sz w:val="24"/>
        </w:rPr>
        <w:t xml:space="preserve">existentes, con pocos ajustes, por ejemplo, de denominación incluyendo la referencia la nueva tarea. Por el contrario, en las instituciones más nuevas se crean áreas dedicadas a esos temas, ya sean Secretarías, Subsecretarías, Coordinaciones o Direcciones.</w:t>
      </w:r>
      <w:r>
        <w:rPr>
          <w:rFonts w:eastAsia="Times New Roman" w:cs="Times New Roman"/>
          <w:color w:val="000000"/>
          <w:sz w:val="24"/>
        </w:rPr>
        <w:t xml:space="preserve">” (Marquina, 2020:92). </w:t>
      </w:r>
      <w:r/>
    </w:p>
    <w:p>
      <w:pPr>
        <w:pStyle w:val="773"/>
        <w:pBdr/>
        <w:spacing/>
        <w:ind/>
        <w:rPr/>
      </w:pPr>
      <w:r>
        <w:rPr>
          <w:rFonts w:eastAsia="Times New Roman" w:cs="Times New Roman"/>
          <w:color w:val="000000"/>
          <w:sz w:val="24"/>
        </w:rPr>
        <w:t xml:space="preserve">Estas estructuras son vistas como un marco operativo de políticas universitarias diseñadas “</w:t>
      </w:r>
      <w:r>
        <w:rPr>
          <w:rFonts w:eastAsia="Times New Roman" w:cs="Times New Roman"/>
          <w:i/>
          <w:iCs/>
          <w:color w:val="000000"/>
          <w:sz w:val="24"/>
        </w:rPr>
        <w:t xml:space="preserve">dentro de reglas de competitividad, que incorpora procedimientos y herramientas del mundo privado</w:t>
      </w:r>
      <w:r>
        <w:rPr>
          <w:rFonts w:eastAsia="Times New Roman" w:cs="Times New Roman"/>
          <w:color w:val="000000"/>
          <w:sz w:val="24"/>
        </w:rPr>
        <w:t xml:space="preserve">” (Sthioul, González, Rifo y Torralbo, 2018:16) aunque, no siempre implementadas de manera armónica y ajena a dificultades. Todavía c</w:t>
      </w:r>
      <w:r>
        <w:rPr>
          <w:rFonts w:eastAsia="Times New Roman" w:cs="Times New Roman"/>
          <w:color w:val="000000"/>
          <w:sz w:val="24"/>
        </w:rPr>
        <w:t xml:space="preserve">onviven con elementos de la cultura académica y valores institucionales fuertemente arraigadas en el conjunto de la comunidad universitaria, en particular en los casos de aquellas universidades de larga data que destacan por su tamaño y por su complejidad.</w:t>
      </w:r>
      <w:r/>
    </w:p>
    <w:p>
      <w:pPr>
        <w:pStyle w:val="773"/>
        <w:pBdr/>
        <w:spacing/>
        <w:ind/>
        <w:rPr/>
      </w:pPr>
      <w:r>
        <w:rPr>
          <w:rFonts w:eastAsia="Times New Roman" w:cs="Times New Roman"/>
          <w:color w:val="000000"/>
          <w:sz w:val="24"/>
        </w:rPr>
        <w:t xml:space="preserve">Tal como advierte Marquina (2020) para el caso argentino, si bien existen expertos que ocupan de manera permaente estos cargo de conducción altamente especializados, incluso más allá de los</w:t>
      </w:r>
      <w:r>
        <w:rPr>
          <w:rFonts w:eastAsia="Times New Roman" w:cs="Times New Roman"/>
          <w:color w:val="000000"/>
          <w:sz w:val="24"/>
        </w:rPr>
        <w:t xml:space="preserve"> períodos de gobierno rectorales, el sector en su conjunto aún se reconoce como incipiente. Como señala Obeide (2020), no constituye todavía un cuerpo formal ni claramente diferenciado en cuanto a sus perfiles, cargos e identidades. Esta ambigüedad se refl</w:t>
      </w:r>
      <w:r>
        <w:rPr>
          <w:rFonts w:eastAsia="Times New Roman" w:cs="Times New Roman"/>
          <w:color w:val="000000"/>
          <w:sz w:val="24"/>
        </w:rPr>
        <w:t xml:space="preserve">eja, por un lado, en que estas nuevas funciones se ejercen indistintamente desde puestos docentes con asignación de tareas, cargos no docentes de alta jerarquía o roles políticos de nivel medio, como coordinaciones y subsecretarías (Marquina, 2020). Por ot</w:t>
      </w:r>
      <w:r>
        <w:rPr>
          <w:rFonts w:eastAsia="Times New Roman" w:cs="Times New Roman"/>
          <w:color w:val="000000"/>
          <w:sz w:val="24"/>
        </w:rPr>
        <w:t xml:space="preserve">ro lado, la propia evaluación de la actividad docente se ha visto afectada, incorporando criterios vinculados a la gestión académica como la articulación curricular, el seguimiento de estudiantes y los tipos de dirección (Fernández Lamarra y Aiello, 2014).</w:t>
      </w:r>
      <w:r/>
    </w:p>
    <w:p>
      <w:pPr>
        <w:pStyle w:val="773"/>
        <w:pBdr/>
        <w:spacing/>
        <w:ind/>
        <w:rPr>
          <w:highlight w:val="none"/>
        </w:rPr>
      </w:pPr>
      <w:r>
        <w:rPr>
          <w:rFonts w:eastAsia="Times New Roman" w:cs="Times New Roman"/>
          <w:color w:val="000000"/>
          <w:sz w:val="24"/>
        </w:rPr>
        <w:t xml:space="preserve">Un </w:t>
      </w:r>
      <w:r>
        <w:rPr>
          <w:rFonts w:eastAsia="Times New Roman" w:cs="Times New Roman"/>
          <w:color w:val="000000"/>
          <w:sz w:val="24"/>
        </w:rPr>
        <w:t xml:space="preserve">contraejemplo notable se observa en el caso chileno, donde estos profesionales universitarios poseen un peso relativo muy superior al de otros países de la región. De hecho, este grupo ha llegado a conceptualizarse como un cuarto estamento universitario: “</w:t>
      </w:r>
      <w:r>
        <w:rPr>
          <w:rFonts w:eastAsia="Times New Roman" w:cs="Times New Roman"/>
          <w:i/>
          <w:iCs/>
          <w:color w:val="000000"/>
          <w:sz w:val="24"/>
        </w:rPr>
        <w:t xml:space="preserve">Estas unidades profesionales, especializadas en la gestión universitaria, se han convertido en un cuarto estamento que ha permitido a las universidades estatales dar respuesta rápida a la tendencia de una nueva gestión pública</w:t>
      </w:r>
      <w:r>
        <w:rPr>
          <w:rFonts w:eastAsia="Times New Roman" w:cs="Times New Roman"/>
          <w:color w:val="000000"/>
          <w:sz w:val="24"/>
        </w:rPr>
        <w:t xml:space="preserve">” (Sthioul, González, Rifo y Torralbo, 2018:16).</w:t>
      </w:r>
      <w:r>
        <w:rPr>
          <w:highlight w:val="none"/>
        </w:rPr>
      </w:r>
    </w:p>
    <w:p>
      <w:pPr>
        <w:pStyle w:val="773"/>
        <w:pBdr/>
        <w:spacing/>
        <w:ind/>
        <w:rPr>
          <w:rFonts w:ascii="Times New Roman" w:hAnsi="Times New Roman" w:eastAsia="Times New Roman" w:cs="Times New Roman"/>
          <w:sz w:val="24"/>
          <w:szCs w:val="24"/>
          <w:highlight w:val="none"/>
        </w:rPr>
      </w:pPr>
      <w:r>
        <w:rPr>
          <w:rFonts w:eastAsia="Times New Roman" w:cs="Times New Roman"/>
          <w:sz w:val="24"/>
          <w:szCs w:val="24"/>
        </w:rPr>
      </w:r>
      <w:r>
        <w:rPr>
          <w:rFonts w:ascii="Times New Roman" w:hAnsi="Times New Roman" w:eastAsia="Times New Roman" w:cs="Times New Roman"/>
          <w:sz w:val="24"/>
          <w:szCs w:val="24"/>
          <w:highlight w:val="none"/>
        </w:rPr>
      </w:r>
    </w:p>
    <w:p>
      <w:pPr>
        <w:pStyle w:val="773"/>
        <w:pBdr/>
        <w:spacing/>
        <w:ind/>
        <w:rPr>
          <w:highlight w:val="none"/>
        </w:rPr>
      </w:pPr>
      <w:r>
        <w:rPr>
          <w:rFonts w:eastAsia="Times New Roman" w:cs="Times New Roman"/>
          <w:b/>
          <w:color w:val="000000"/>
          <w:sz w:val="24"/>
        </w:rPr>
        <w:t xml:space="preserve">Entre la adaptación estratégica y el ajuste institucional</w:t>
      </w:r>
      <w:r>
        <w:rPr>
          <w:highlight w:val="none"/>
        </w:rPr>
      </w:r>
    </w:p>
    <w:p>
      <w:pPr>
        <w:pStyle w:val="773"/>
        <w:pBdr/>
        <w:spacing/>
        <w:ind/>
        <w:rPr>
          <w:rFonts w:ascii="Times New Roman" w:hAnsi="Times New Roman" w:eastAsia="Times New Roman" w:cs="Times New Roman"/>
          <w:b/>
          <w:bCs/>
          <w:color w:val="000000"/>
          <w:sz w:val="24"/>
          <w:highlight w:val="none"/>
        </w:rPr>
      </w:pPr>
      <w:r>
        <w:rPr>
          <w:rFonts w:eastAsia="Times New Roman" w:cs="Times New Roman"/>
          <w:b/>
          <w:bCs/>
          <w:color w:val="000000"/>
          <w:sz w:val="24"/>
        </w:rPr>
      </w:r>
      <w:r>
        <w:rPr>
          <w:rFonts w:ascii="Times New Roman" w:hAnsi="Times New Roman" w:eastAsia="Times New Roman" w:cs="Times New Roman"/>
          <w:b/>
          <w:bCs/>
          <w:color w:val="000000"/>
          <w:sz w:val="24"/>
          <w:highlight w:val="none"/>
        </w:rPr>
      </w:r>
    </w:p>
    <w:p>
      <w:pPr>
        <w:pStyle w:val="773"/>
        <w:pBdr/>
        <w:spacing/>
        <w:ind/>
        <w:rPr>
          <w:rFonts w:ascii="Times New Roman" w:hAnsi="Times New Roman" w:eastAsia="Times New Roman" w:cs="Times New Roman"/>
          <w:b w:val="0"/>
          <w:bCs w:val="0"/>
          <w:color w:val="000000"/>
          <w:sz w:val="24"/>
          <w:highlight w:val="none"/>
        </w:rPr>
      </w:pPr>
      <w:r>
        <w:rPr>
          <w:rFonts w:eastAsia="Times New Roman" w:cs="Times New Roman"/>
          <w:b w:val="0"/>
          <w:bCs w:val="0"/>
          <w:color w:val="000000"/>
          <w:sz w:val="24"/>
        </w:rPr>
        <w:t xml:space="preserve">En AL una variedad importante de análisis son coincidentes en evidenciar cambios</w:t>
      </w:r>
      <w:r>
        <w:rPr>
          <w:rFonts w:eastAsia="Times New Roman" w:cs="Times New Roman"/>
          <w:b w:val="0"/>
          <w:bCs w:val="0"/>
          <w:color w:val="000000"/>
          <w:sz w:val="24"/>
        </w:rPr>
        <w:t xml:space="preserve"> que suponen mayores niveles de centralización del poder y autoridad institucional en la figura del Rector y sus equipos más próximos que permiten conformar un núcleo de gobierno fuerte. Esta centralización también se ha visto consolidada en cambios aplica</w:t>
      </w:r>
      <w:r>
        <w:rPr>
          <w:rFonts w:eastAsia="Times New Roman" w:cs="Times New Roman"/>
          <w:b w:val="0"/>
          <w:bCs w:val="0"/>
          <w:color w:val="000000"/>
          <w:sz w:val="24"/>
        </w:rPr>
        <w:t xml:space="preserve">dos en los órganos de alta dirección, como son los Máximos Cuerpos Colegiados (MCC) en los que se ha evidenciado, entre los aspectos más relevantes cambios en los pesos relativos de poder entre los integrantes de los mismos y la integración como miembros p</w:t>
      </w:r>
      <w:r>
        <w:rPr>
          <w:rFonts w:eastAsia="Times New Roman" w:cs="Times New Roman"/>
          <w:b w:val="0"/>
          <w:bCs w:val="0"/>
          <w:color w:val="000000"/>
          <w:sz w:val="24"/>
        </w:rPr>
        <w:t xml:space="preserve">lenos de actores no electos por la comunidad universitaria. Aunque los órganos colegiados de gobierno mantengan niveles de relevancia política y académica, los procesos de reformas han establecido nuevos equilibrios en la distribución de poder para la toma</w:t>
      </w:r>
      <w:r>
        <w:rPr>
          <w:rFonts w:eastAsia="Times New Roman" w:cs="Times New Roman"/>
          <w:b w:val="0"/>
          <w:bCs w:val="0"/>
          <w:color w:val="000000"/>
          <w:sz w:val="24"/>
        </w:rPr>
        <w:t xml:space="preserve"> efectiva de decisiones institucionales, académicas y políticas (o al menos orientarlas fuertemente) en favor de los cargos ejecutivos unipersonales y sus equipos cercanos, a través de una nueva estructura de roles y procedimientos establecidos en las UPN.</w:t>
      </w:r>
      <w:r>
        <w:rPr>
          <w:rFonts w:ascii="Times New Roman" w:hAnsi="Times New Roman" w:eastAsia="Times New Roman" w:cs="Times New Roman"/>
          <w:b w:val="0"/>
          <w:bCs w:val="0"/>
          <w:color w:val="000000"/>
          <w:sz w:val="24"/>
          <w:highlight w:val="none"/>
        </w:rPr>
      </w:r>
    </w:p>
    <w:p>
      <w:pPr>
        <w:pStyle w:val="773"/>
        <w:pBdr/>
        <w:spacing/>
        <w:ind/>
        <w:rPr>
          <w:rFonts w:ascii="Times New Roman" w:hAnsi="Times New Roman" w:eastAsia="Times New Roman" w:cs="Times New Roman"/>
          <w:b w:val="0"/>
          <w:bCs w:val="0"/>
          <w:color w:val="000000"/>
          <w:sz w:val="24"/>
          <w:highlight w:val="none"/>
        </w:rPr>
      </w:pPr>
      <w:r>
        <w:rPr>
          <w:rFonts w:eastAsia="Times New Roman" w:cs="Times New Roman"/>
          <w:b w:val="0"/>
          <w:bCs w:val="0"/>
          <w:color w:val="000000"/>
          <w:sz w:val="24"/>
        </w:rPr>
        <w:t xml:space="preserve">La introducción de nuevas tareas de gestión académicas y administrativas, implican nuevas experticias, conjunto de herramientas y perfiles de dirección, por las que de forma gradual fueron pasando a ser desarrolladas por un nu</w:t>
      </w:r>
      <w:r>
        <w:rPr>
          <w:rFonts w:eastAsia="Times New Roman" w:cs="Times New Roman"/>
          <w:b w:val="0"/>
          <w:bCs w:val="0"/>
          <w:color w:val="000000"/>
          <w:sz w:val="24"/>
        </w:rPr>
        <w:t xml:space="preserve">evo tipo de funcionario no electo por la comunidad universitaria, que acceden al cargo ya sea por designación o selección misma del Rector, por contratación específica o por incorporación a la estructura funcionarial permanente a través de medios competiti</w:t>
      </w:r>
      <w:r>
        <w:rPr>
          <w:rFonts w:eastAsia="Times New Roman" w:cs="Times New Roman"/>
          <w:b w:val="0"/>
          <w:bCs w:val="0"/>
          <w:color w:val="000000"/>
          <w:sz w:val="24"/>
        </w:rPr>
        <w:t xml:space="preserve">vos entre aspirantes. Estos agentes son los responsables de la ejecución de las políticas sectoriales centrales definidas en los órganos superiores operando en la administración central con dependencia del Rector o Rectoría y gestionan áreas tradicionales </w:t>
      </w:r>
      <w:r>
        <w:rPr>
          <w:rFonts w:eastAsia="Times New Roman" w:cs="Times New Roman"/>
          <w:b w:val="0"/>
          <w:bCs w:val="0"/>
          <w:color w:val="000000"/>
          <w:sz w:val="24"/>
        </w:rPr>
        <w:t xml:space="preserve">(enseñanza, investigación, extensión), además de otros sectores emergentes (evaluación, finanzas, relaciones internacionales y vinculación tecnológica). Se orientan al logro de objetivos cuantificables basados en indicadores de eficiencia, eficacia y calid</w:t>
      </w:r>
      <w:r>
        <w:rPr>
          <w:rFonts w:eastAsia="Times New Roman" w:cs="Times New Roman"/>
          <w:b w:val="0"/>
          <w:bCs w:val="0"/>
          <w:color w:val="000000"/>
          <w:sz w:val="24"/>
        </w:rPr>
        <w:t xml:space="preserve">ad académica (en muchos casos exigidos por Agencias estatales de Evaluación y/o Acreditación). De esta forma, asumen una serie de funciones gerenciales, técnico-académicas y, en ocasiones, políticas, debido a su integración en los órganos colegiados de gob</w:t>
      </w:r>
      <w:r>
        <w:rPr>
          <w:rFonts w:eastAsia="Times New Roman" w:cs="Times New Roman"/>
          <w:b w:val="0"/>
          <w:bCs w:val="0"/>
          <w:color w:val="000000"/>
          <w:sz w:val="24"/>
        </w:rPr>
        <w:t xml:space="preserve">ierno universitario. Este nuevo tipo de actores son nombrados por las universidades públicas como Asistentes Académicos, Secretarios, Pro-rectores, Directores Generales, Vice Rectores, entre otros según su lugar central en el organigrama de la institución.</w:t>
      </w:r>
      <w:r>
        <w:rPr>
          <w:rFonts w:ascii="Times New Roman" w:hAnsi="Times New Roman" w:eastAsia="Times New Roman" w:cs="Times New Roman"/>
          <w:b w:val="0"/>
          <w:bCs w:val="0"/>
          <w:color w:val="000000"/>
          <w:sz w:val="24"/>
          <w:highlight w:val="none"/>
        </w:rPr>
      </w:r>
    </w:p>
    <w:p>
      <w:pPr>
        <w:pStyle w:val="773"/>
        <w:pBdr/>
        <w:spacing/>
        <w:ind/>
        <w:rPr>
          <w:rFonts w:ascii="Times New Roman" w:hAnsi="Times New Roman" w:eastAsia="Times New Roman" w:cs="Times New Roman"/>
          <w:b w:val="0"/>
          <w:bCs w:val="0"/>
          <w:color w:val="000000"/>
          <w:sz w:val="24"/>
          <w:szCs w:val="24"/>
          <w:highlight w:val="none"/>
        </w:rPr>
      </w:pPr>
      <w:r>
        <w:rPr>
          <w:rFonts w:eastAsia="Times New Roman" w:cs="Times New Roman"/>
          <w:b w:val="0"/>
          <w:bCs w:val="0"/>
          <w:color w:val="000000"/>
          <w:sz w:val="24"/>
        </w:rPr>
        <w:t xml:space="preserve">Este fenómeno de adaptación estratégica y de ajuste institucional responde tanto al "</w:t>
      </w:r>
      <w:r>
        <w:rPr>
          <w:rFonts w:eastAsia="Times New Roman" w:cs="Times New Roman"/>
          <w:b w:val="0"/>
          <w:bCs w:val="0"/>
          <w:i/>
          <w:iCs/>
          <w:color w:val="000000"/>
          <w:sz w:val="24"/>
        </w:rPr>
        <w:t xml:space="preserve">reforzamiento de los cargos ejecutivos superiores</w:t>
      </w:r>
      <w:r>
        <w:rPr>
          <w:rFonts w:eastAsia="Times New Roman" w:cs="Times New Roman"/>
          <w:b w:val="0"/>
          <w:bCs w:val="0"/>
          <w:color w:val="000000"/>
          <w:sz w:val="24"/>
        </w:rPr>
        <w:t xml:space="preserve">" como a los “</w:t>
      </w:r>
      <w:r>
        <w:rPr>
          <w:rFonts w:eastAsia="Times New Roman" w:cs="Times New Roman"/>
          <w:b w:val="0"/>
          <w:bCs w:val="0"/>
          <w:i/>
          <w:iCs/>
          <w:color w:val="000000"/>
          <w:sz w:val="24"/>
        </w:rPr>
        <w:t xml:space="preserve">cambios en el organismo de más alta dirección, los boards o juntas directivas</w:t>
      </w:r>
      <w:r>
        <w:rPr>
          <w:rFonts w:eastAsia="Times New Roman" w:cs="Times New Roman"/>
          <w:b w:val="0"/>
          <w:bCs w:val="0"/>
          <w:color w:val="000000"/>
          <w:sz w:val="24"/>
        </w:rPr>
        <w:t xml:space="preserve">” que señala Brunner (2009). Así, no solo el Rector transita desde el rol del modelo tradicional de </w:t>
      </w:r>
      <w:r>
        <w:rPr>
          <w:rFonts w:eastAsia="Times New Roman" w:cs="Times New Roman"/>
          <w:b w:val="0"/>
          <w:bCs w:val="0"/>
          <w:i/>
          <w:iCs/>
          <w:color w:val="000000"/>
          <w:sz w:val="24"/>
        </w:rPr>
        <w:t xml:space="preserve">primus inter pares</w:t>
      </w:r>
      <w:r>
        <w:rPr>
          <w:rFonts w:eastAsia="Times New Roman" w:cs="Times New Roman"/>
          <w:b w:val="0"/>
          <w:bCs w:val="0"/>
          <w:color w:val="000000"/>
          <w:sz w:val="24"/>
        </w:rPr>
        <w:t xml:space="preserve"> hacia un perfil de Rector-gerente con mayores poderes estratégicos</w:t>
      </w:r>
      <w:r>
        <w:rPr>
          <w:rFonts w:eastAsia="Times New Roman" w:cs="Times New Roman"/>
          <w:b w:val="0"/>
          <w:bCs w:val="0"/>
          <w:color w:val="000000"/>
          <w:sz w:val="24"/>
        </w:rPr>
        <w:t xml:space="preserve"> y organizativos (López Zárate, 2013), sino también se suman nuevos consejeros en los MCC (funcionarios de dirección sectorial de alta especialización) que responden políticamente al Rector. Estos cambios en las relaciones de poder en el espacio universita</w:t>
      </w:r>
      <w:r>
        <w:rPr>
          <w:rFonts w:eastAsia="Times New Roman" w:cs="Times New Roman"/>
          <w:b w:val="0"/>
          <w:bCs w:val="0"/>
          <w:color w:val="000000"/>
          <w:sz w:val="24"/>
        </w:rPr>
        <w:t xml:space="preserve">rio se justificaron como ineludibles y necesarios para dotar a los órganos superiores de gobierno de mayor grado de dinamismo en la resolución de los procesos de toma de decisión ante el contexto sistémico complejo en el que se desarrollan sus actividades.</w:t>
      </w:r>
      <w:r>
        <w:rPr>
          <w:rFonts w:ascii="Times New Roman" w:hAnsi="Times New Roman" w:eastAsia="Times New Roman" w:cs="Times New Roman"/>
          <w:b w:val="0"/>
          <w:bCs w:val="0"/>
          <w:color w:val="000000"/>
          <w:sz w:val="24"/>
          <w:szCs w:val="24"/>
          <w:highlight w:val="none"/>
        </w:rPr>
      </w:r>
    </w:p>
    <w:p>
      <w:pPr>
        <w:pStyle w:val="773"/>
        <w:pBdr/>
        <w:spacing/>
        <w:ind/>
        <w:rPr>
          <w:rFonts w:ascii="Times New Roman" w:hAnsi="Times New Roman" w:eastAsia="Times New Roman" w:cs="Times New Roman"/>
          <w:b/>
          <w:bCs/>
          <w:color w:val="000000"/>
          <w:sz w:val="24"/>
          <w:szCs w:val="24"/>
          <w:highlight w:val="none"/>
        </w:rPr>
      </w:pPr>
      <w:r>
        <w:rPr>
          <w:rFonts w:eastAsia="Times New Roman" w:cs="Times New Roman"/>
          <w:b/>
          <w:bCs/>
          <w:color w:val="000000"/>
          <w:sz w:val="24"/>
          <w:szCs w:val="24"/>
        </w:rPr>
      </w:r>
      <w:r>
        <w:rPr>
          <w:rFonts w:ascii="Times New Roman" w:hAnsi="Times New Roman" w:eastAsia="Times New Roman" w:cs="Times New Roman"/>
          <w:b/>
          <w:bCs/>
          <w:color w:val="000000"/>
          <w:sz w:val="24"/>
          <w:szCs w:val="24"/>
          <w:highlight w:val="none"/>
        </w:rPr>
      </w:r>
    </w:p>
    <w:p>
      <w:pPr>
        <w:pStyle w:val="773"/>
        <w:pBdr/>
        <w:spacing/>
        <w:ind/>
        <w:rPr>
          <w:highlight w:val="none"/>
        </w:rPr>
      </w:pPr>
      <w:r>
        <w:rPr>
          <w:rFonts w:eastAsia="Times New Roman" w:cs="Times New Roman"/>
          <w:b/>
          <w:color w:val="000000"/>
          <w:sz w:val="24"/>
        </w:rPr>
        <w:t xml:space="preserve">Rol político de los nuevos profesionales universitarios en las UPN </w:t>
      </w:r>
      <w:r>
        <w:rPr>
          <w:rFonts w:eastAsia="Times New Roman" w:cs="Times New Roman"/>
          <w:b/>
          <w:color w:val="000000"/>
          <w:sz w:val="24"/>
          <w:lang w:val="es-ES"/>
        </w:rPr>
        <w:t xml:space="preserve">latinoamericanas</w:t>
      </w:r>
      <w:r>
        <w:rPr>
          <w:rFonts w:eastAsia="Times New Roman" w:cs="Times New Roman"/>
          <w:b/>
          <w:color w:val="000000"/>
          <w:sz w:val="24"/>
        </w:rPr>
        <w:t xml:space="preserve">: inclusión </w:t>
      </w:r>
      <w:r>
        <w:rPr>
          <w:rFonts w:eastAsia="Times New Roman" w:cs="Times New Roman"/>
          <w:b/>
          <w:color w:val="000000"/>
          <w:sz w:val="24"/>
        </w:rPr>
        <w:t xml:space="preserve">de responsables de estructuras de gestión altamente especializadas en los MCC</w:t>
      </w:r>
      <w:r>
        <w:rPr>
          <w:highlight w:val="none"/>
        </w:rPr>
      </w:r>
    </w:p>
    <w:p>
      <w:pPr>
        <w:pStyle w:val="773"/>
        <w:pBdr/>
        <w:spacing/>
        <w:ind/>
        <w:rPr>
          <w:highlight w:val="none"/>
        </w:rPr>
      </w:pPr>
      <w:r/>
      <w:r>
        <w:rPr>
          <w:highlight w:val="none"/>
        </w:rPr>
      </w:r>
    </w:p>
    <w:p>
      <w:pPr>
        <w:pStyle w:val="773"/>
        <w:pBdr/>
        <w:spacing/>
        <w:ind/>
        <w:rPr>
          <w:highlight w:val="none"/>
        </w:rPr>
      </w:pPr>
      <w:r>
        <w:rPr>
          <w:rFonts w:eastAsia="Times New Roman" w:cs="Times New Roman"/>
          <w:color w:val="000000"/>
          <w:sz w:val="24"/>
        </w:rPr>
        <w:t xml:space="preserve">Al analizar el rol político de los nuevos profesionales universitarios en AL, se observa una marcada heterogeneidad entre los distintos Sistemas de Educación Superior (SES). No obstante, cuando se examina cada país de manera aislada, eme</w:t>
      </w:r>
      <w:r>
        <w:rPr>
          <w:rFonts w:eastAsia="Times New Roman" w:cs="Times New Roman"/>
          <w:color w:val="000000"/>
          <w:sz w:val="24"/>
        </w:rPr>
        <w:t xml:space="preserve">rgen dinámicas institucionales homogéneas al interior de sus respectivos Sistemas Universitarios Públicos (SUP). Esta convergencia no solo responde a las configuraciones tradicionales de los órganos de cogobierno y a procesos de isomorfismo institucional e</w:t>
      </w:r>
      <w:r>
        <w:rPr>
          <w:rFonts w:eastAsia="Times New Roman" w:cs="Times New Roman"/>
          <w:color w:val="000000"/>
          <w:sz w:val="24"/>
        </w:rPr>
        <w:t xml:space="preserve">n el ámbito local, sino también a restricciones formales de carácter legal. Dichos marcos normativos determinan unívocamente la estructura de gobierno, sus instituciones y las competencias de sus integrantes. Este fenómeno se evidencia claramente en los ma</w:t>
      </w:r>
      <w:r>
        <w:rPr>
          <w:rFonts w:eastAsia="Times New Roman" w:cs="Times New Roman"/>
          <w:color w:val="000000"/>
          <w:sz w:val="24"/>
        </w:rPr>
        <w:t xml:space="preserve">rcos regulatorios de: Brasil: Ley N.° 5.540 de 1968; Chile: Ley 21.094 de 2018 (art. 14); Colombia: Ley 30 de 1992 (art. 64); Nicaragua: Ley 89 de 1990 (art. 14); Perú: Ley 30.220 de 2014 (art. 58) y parcialmente en Argentina: Ley 24.521 de 1995 (art. 53).</w:t>
      </w:r>
      <w:r>
        <w:rPr>
          <w:highlight w:val="none"/>
        </w:rPr>
      </w:r>
    </w:p>
    <w:p>
      <w:pPr>
        <w:pStyle w:val="773"/>
        <w:pBdr/>
        <w:spacing/>
        <w:ind/>
        <w:rPr>
          <w:highlight w:val="none"/>
        </w:rPr>
      </w:pPr>
      <w:r>
        <w:rPr>
          <w:rFonts w:eastAsia="Times New Roman" w:cs="Times New Roman"/>
          <w:color w:val="000000"/>
          <w:sz w:val="24"/>
        </w:rPr>
        <w:t xml:space="preserve">A nivel empírico, los datos agregados de los 18 países analizados evidencian dos realidades institucionales: por un lado, apenas un porcentaje cercano al 30% </w:t>
      </w:r>
      <w:r>
        <w:rPr>
          <w:rFonts w:eastAsia="Times New Roman" w:cs="Times New Roman"/>
          <w:color w:val="000000"/>
          <w:sz w:val="24"/>
        </w:rPr>
        <w:t xml:space="preserve">de los Máximos Consejos Colegiados (MCC) de las Universidades Públicas Nacionales (UPN) se encuentra exento de la presencia de miembros designados o seleccionados por el Rector;por otro, aproximadamente ocho de cada diez de estas instituciones incorporan a</w:t>
      </w:r>
      <w:r>
        <w:rPr>
          <w:rFonts w:eastAsia="Times New Roman" w:cs="Times New Roman"/>
          <w:color w:val="000000"/>
          <w:sz w:val="24"/>
        </w:rPr>
        <w:t xml:space="preserve">l menos un integrante no electo a este órgano superior. Como se detalla en la Tabla 2, esta distribución implica que solo el 22,2% de los MCC se integranen su totalidad por miembros que acceden al cargo mediante mecanismos electivos en los queparticipan el</w:t>
      </w:r>
      <w:r>
        <w:rPr>
          <w:rFonts w:eastAsia="Times New Roman" w:cs="Times New Roman"/>
          <w:i/>
          <w:color w:val="000000"/>
          <w:sz w:val="24"/>
          <w:lang w:val="es-ES"/>
        </w:rPr>
        <w:t xml:space="preserve"> </w:t>
      </w:r>
      <w:r>
        <w:rPr>
          <w:rFonts w:eastAsia="Times New Roman" w:cs="Times New Roman"/>
          <w:i/>
          <w:color w:val="000000"/>
          <w:sz w:val="24"/>
        </w:rPr>
        <w:t xml:space="preserve">demos</w:t>
      </w:r>
      <w:r>
        <w:rPr>
          <w:rFonts w:eastAsia="Times New Roman" w:cs="Times New Roman"/>
          <w:i/>
          <w:color w:val="000000"/>
          <w:sz w:val="24"/>
          <w:lang w:val="es-ES"/>
        </w:rPr>
        <w:t xml:space="preserve"> </w:t>
      </w:r>
      <w:r>
        <w:rPr>
          <w:rFonts w:eastAsia="Times New Roman" w:cs="Times New Roman"/>
          <w:color w:val="000000"/>
          <w:sz w:val="24"/>
        </w:rPr>
        <w:t xml:space="preserve">universitario.</w:t>
      </w:r>
      <w:r>
        <w:rPr>
          <w:highlight w:val="none"/>
        </w:rPr>
      </w:r>
    </w:p>
    <w:p>
      <w:pPr>
        <w:pStyle w:val="773"/>
        <w:pBdr/>
        <w:spacing/>
        <w:ind/>
        <w:rPr>
          <w:highlight w:val="none"/>
        </w:rPr>
      </w:pPr>
      <w:r>
        <w:rPr>
          <w:rFonts w:eastAsia="Times New Roman" w:cs="Times New Roman"/>
          <w:color w:val="000000"/>
          <w:sz w:val="24"/>
        </w:rPr>
        <w:t xml:space="preserve">Esta distribución proporcional adquiere relevancia transversal independientemente de la dimensión del SUP: desde aquellos con un elevado número de UPN (Argentina), pasando por sistemas medianos</w:t>
      </w:r>
      <w:r>
        <w:rPr>
          <w:rFonts w:eastAsia="Times New Roman" w:cs="Times New Roman"/>
          <w:color w:val="000000"/>
          <w:sz w:val="24"/>
          <w:lang w:val="es-ES"/>
        </w:rPr>
        <w:t xml:space="preserve"> </w:t>
      </w:r>
      <w:r>
        <w:rPr>
          <w:rFonts w:eastAsia="Times New Roman" w:cs="Times New Roman"/>
          <w:color w:val="000000"/>
          <w:sz w:val="24"/>
        </w:rPr>
        <w:t xml:space="preserve">(como evidencia la reciente reconfiguración del sistema chileno), hasta sistemas de menor escala, tale</w:t>
      </w:r>
      <w:r>
        <w:rPr>
          <w:rFonts w:eastAsia="Times New Roman" w:cs="Times New Roman"/>
          <w:color w:val="000000"/>
          <w:sz w:val="24"/>
        </w:rPr>
        <w:t xml:space="preserve">s como los de Costa Rica, El Salvador, Guatemala, Paraguay, República Dominicana y Uruguay. En todos estos contextos, se constata una tendencia predominante hacia la exclusión de los cuadros de alta dirección en los órganos centrales de gobierno colegiado.</w:t>
      </w:r>
      <w:r>
        <w:rPr>
          <w:highlight w:val="none"/>
        </w:rPr>
      </w:r>
    </w:p>
    <w:p>
      <w:pPr>
        <w:pStyle w:val="773"/>
        <w:pBdr/>
        <w:spacing/>
        <w:ind/>
        <w:rPr>
          <w:highlight w:val="none"/>
        </w:rPr>
      </w:pPr>
      <w:r>
        <w:rPr>
          <w:rFonts w:eastAsia="Times New Roman" w:cs="Times New Roman"/>
          <w:color w:val="000000"/>
          <w:sz w:val="24"/>
        </w:rPr>
        <w:t xml:space="preserve">Con </w:t>
      </w:r>
      <w:r>
        <w:rPr>
          <w:rFonts w:eastAsia="Times New Roman" w:cs="Times New Roman"/>
          <w:color w:val="000000"/>
          <w:sz w:val="24"/>
        </w:rPr>
        <w:t xml:space="preserve">excepción de Argentina y Costa Rica, la selección de estos miembros no electos está vinculada directamente a la figura del Rector (ver Tablas 2 y 4). En el caso de Argentina, el miembro no electo (cuya designación es independiente de la autoridad rectoral)</w:t>
      </w:r>
      <w:r>
        <w:rPr>
          <w:rFonts w:eastAsia="Times New Roman" w:cs="Times New Roman"/>
          <w:color w:val="000000"/>
          <w:sz w:val="24"/>
          <w:lang w:val="es-ES"/>
        </w:rPr>
        <w:t xml:space="preserve"> </w:t>
      </w:r>
      <w:r>
        <w:rPr>
          <w:rFonts w:eastAsia="Times New Roman" w:cs="Times New Roman"/>
          <w:color w:val="000000"/>
          <w:sz w:val="24"/>
        </w:rPr>
        <w:t xml:space="preserve">corresponde, por lo general, al representante del Con</w:t>
      </w:r>
      <w:r>
        <w:rPr>
          <w:rFonts w:eastAsia="Times New Roman" w:cs="Times New Roman"/>
          <w:color w:val="000000"/>
          <w:sz w:val="24"/>
        </w:rPr>
        <w:t xml:space="preserve">sejo Social Comunitario (o su equivalente institucional), con las únicas excepciones de la Universidad Nacional de Villa María y la Universidad Nacional de Río Negro. Por su parte, en Costa Rica se identifican tres variantes institucionales singulares: (1)</w:t>
      </w:r>
      <w:r>
        <w:rPr>
          <w:rFonts w:eastAsia="Times New Roman" w:cs="Times New Roman"/>
          <w:color w:val="000000"/>
          <w:sz w:val="24"/>
          <w:lang w:val="es-ES"/>
        </w:rPr>
        <w:t xml:space="preserve"> </w:t>
      </w:r>
      <w:r>
        <w:rPr>
          <w:rFonts w:eastAsia="Times New Roman" w:cs="Times New Roman"/>
          <w:color w:val="000000"/>
          <w:sz w:val="24"/>
        </w:rPr>
        <w:t xml:space="preserve">Universidad de Costa Rica (UCR): El miembro no electo ajeno a la designación del Rector es el Ministro de Educación Pública (Estatuto General, art. 24). (2)</w:t>
      </w:r>
      <w:r>
        <w:rPr>
          <w:rFonts w:eastAsia="Times New Roman" w:cs="Times New Roman"/>
          <w:color w:val="000000"/>
          <w:sz w:val="24"/>
          <w:lang w:val="es-ES"/>
        </w:rPr>
        <w:t xml:space="preserve"> </w:t>
      </w:r>
      <w:r>
        <w:rPr>
          <w:rFonts w:eastAsia="Times New Roman" w:cs="Times New Roman"/>
          <w:color w:val="000000"/>
          <w:sz w:val="24"/>
        </w:rPr>
        <w:t xml:space="preserve">Universidad Técnica Nacional (UTN): Se incorpora un representante del sector productivo nacional, propuesto por corporaciones empresariales de cobertura país y designado formalmente por la Asamblea Universitaria (Estatuto General, art. 16). (3)</w:t>
      </w:r>
      <w:r>
        <w:rPr>
          <w:rFonts w:eastAsia="Times New Roman" w:cs="Times New Roman"/>
          <w:color w:val="000000"/>
          <w:sz w:val="24"/>
          <w:lang w:val="es-ES"/>
        </w:rPr>
        <w:t xml:space="preserve"> </w:t>
      </w:r>
      <w:r>
        <w:rPr>
          <w:rFonts w:eastAsia="Times New Roman" w:cs="Times New Roman"/>
          <w:color w:val="000000"/>
          <w:sz w:val="24"/>
        </w:rPr>
        <w:t xml:space="preserve">Universidad Estat</w:t>
      </w:r>
      <w:r>
        <w:rPr>
          <w:rFonts w:eastAsia="Times New Roman" w:cs="Times New Roman"/>
          <w:color w:val="000000"/>
          <w:sz w:val="24"/>
        </w:rPr>
        <w:t xml:space="preserve">al a Distancia (UNED): Tres de sus integrantes externos son nombrados por la Asamblea Universitaria Plebiscitaria, sumado a la participación del Auditor institucional, quien es designado por el propio Consejo Universitario (Estatuto General, art. 16 y 29).</w:t>
      </w:r>
      <w:r>
        <w:rPr>
          <w:highlight w:val="none"/>
        </w:rPr>
      </w:r>
    </w:p>
    <w:p>
      <w:pPr>
        <w:pStyle w:val="773"/>
        <w:pBdr/>
        <w:spacing/>
        <w:ind/>
        <w:rPr/>
      </w:pPr>
      <w:r/>
      <w:r/>
    </w:p>
    <w:p>
      <w:pPr>
        <w:pStyle w:val="773"/>
        <w:pBdr/>
        <w:spacing/>
        <w:ind/>
        <w:rPr/>
      </w:pPr>
      <w:r>
        <w:rPr>
          <w:rFonts w:eastAsia="Times New Roman" w:cs="Times New Roman"/>
          <w:color w:val="000000"/>
          <w:sz w:val="24"/>
        </w:rPr>
        <w:t xml:space="preserve">Tabla 2. Máximos Cuerpos Colegiados en Universidades Públicas Nacionales por país integrados sin miembros designados de manera directa o seleccionados por el Rector y con integración plena de miembros que acceden por mecanismos electivos.</w:t>
      </w:r>
      <w:r/>
    </w:p>
    <w:tbl>
      <w:tblPr>
        <w:tblStyle w:val="797"/>
        <w:tblInd w:w="0" w:type="dxa"/>
        <w:tblW w:w="5000" w:type="pct"/>
        <w:tblCellMar>
          <w:left w:w="0" w:type="dxa"/>
          <w:top w:w="57" w:type="dxa"/>
          <w:right w:w="0" w:type="dxa"/>
          <w:bottom w:w="57" w:type="dxa"/>
        </w:tblCellMar>
        <w:tblBorders/>
        <w:tblLayout w:type="fixed"/>
        <w:tblLook w:val="04A0" w:firstRow="1" w:lastRow="0" w:firstColumn="1" w:lastColumn="0" w:noHBand="0" w:noVBand="1"/>
      </w:tblPr>
      <w:tblGrid>
        <w:gridCol w:w="1889"/>
        <w:gridCol w:w="2663"/>
        <w:gridCol w:w="2405"/>
        <w:gridCol w:w="1546"/>
      </w:tblGrid>
      <w:tr>
        <w:trPr/>
        <w:tc>
          <w:tcPr>
            <w:shd w:val="clear" w:color="eeeeee" w:fill="eeeeee"/>
            <w:tcBorders>
              <w:top w:val="single" w:color="000000" w:sz="6" w:space="0"/>
              <w:left w:val="none" w:color="000000" w:sz="4" w:space="0"/>
              <w:bottom w:val="single" w:color="000000" w:sz="6" w:space="0"/>
              <w:right w:val="none" w:color="000000" w:sz="4" w:space="0"/>
            </w:tcBorders>
            <w:tcW w:w="188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País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MCC sin miembros designados de manera directa o seleccionados por el Rector</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MCC cuyos integrantes en su totalidad acceden por mecanismo electivos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Total de UPN por país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Argentina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56</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Bolivia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11</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Brasil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7</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69</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Chile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18</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Colombia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33</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Costa Rica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Ecuador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32</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El Salvador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Guatemala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Honduras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México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10</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Nicaragua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Paraguay</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8</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8</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9</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Perú</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52</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Puerto Rico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República Dominicana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Uruguay</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89"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Totales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663"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91</w:t>
            </w:r>
            <w:r>
              <w:rPr>
                <w:rFonts w:eastAsia="Times New Roman" w:cs="Times New Roman"/>
                <w:color w:val="000000"/>
                <w:sz w:val="22"/>
                <w:szCs w:val="24"/>
                <w:lang w:eastAsia="en-US" w:bidi="ar-SA"/>
              </w:rPr>
              <w:t xml:space="preserve">(28,8 %)</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5"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70</w:t>
            </w:r>
            <w:r>
              <w:rPr>
                <w:rFonts w:eastAsia="Times New Roman" w:cs="Times New Roman"/>
                <w:color w:val="000000"/>
                <w:sz w:val="22"/>
                <w:szCs w:val="24"/>
                <w:lang w:eastAsia="en-US" w:bidi="ar-SA"/>
              </w:rPr>
              <w:t xml:space="preserve">(22.2 %)</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546"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315</w:t>
            </w:r>
            <w:r>
              <w:rPr>
                <w:szCs w:val="24"/>
                <w:lang w:eastAsia="en-US" w:bidi="ar-SA"/>
              </w:rPr>
            </w:r>
          </w:p>
        </w:tc>
      </w:tr>
    </w:tbl>
    <w:p>
      <w:pPr>
        <w:pStyle w:val="773"/>
        <w:pBdr/>
        <w:spacing/>
        <w:ind/>
        <w:rPr/>
      </w:pPr>
      <w:r>
        <w:rPr>
          <w:rFonts w:eastAsia="Times New Roman" w:cs="Times New Roman"/>
          <w:b/>
          <w:color w:val="000000"/>
          <w:sz w:val="20"/>
        </w:rPr>
        <w:t xml:space="preserve">Nota:</w:t>
      </w:r>
      <w:r>
        <w:rPr>
          <w:rFonts w:eastAsia="Times New Roman" w:cs="Times New Roman"/>
          <w:b/>
          <w:color w:val="000000"/>
          <w:sz w:val="20"/>
          <w:lang w:val="es-ES"/>
        </w:rPr>
        <w:t xml:space="preserve"> </w:t>
      </w:r>
      <w:r>
        <w:rPr>
          <w:rFonts w:eastAsia="Times New Roman" w:cs="Times New Roman"/>
          <w:color w:val="000000"/>
          <w:sz w:val="20"/>
        </w:rPr>
        <w:t xml:space="preserve">Las referencias particulares sobre los artículos incluidos a pie dela tabla, al final del texto. </w:t>
      </w:r>
      <w:r>
        <w:rPr>
          <w:rFonts w:eastAsia="Times New Roman" w:cs="Times New Roman"/>
          <w:b/>
          <w:color w:val="000000"/>
          <w:sz w:val="20"/>
        </w:rPr>
        <w:t xml:space="preserve">Fuente:</w:t>
      </w:r>
      <w:r>
        <w:rPr>
          <w:rFonts w:eastAsia="Times New Roman" w:cs="Times New Roman"/>
          <w:b/>
          <w:color w:val="000000"/>
          <w:sz w:val="20"/>
          <w:lang w:val="es-ES"/>
        </w:rPr>
        <w:t xml:space="preserve"> </w:t>
      </w:r>
      <w:r>
        <w:rPr>
          <w:rFonts w:eastAsia="Times New Roman" w:cs="Times New Roman"/>
          <w:color w:val="000000"/>
          <w:sz w:val="20"/>
        </w:rPr>
        <w:t xml:space="preserve">Elaboración propia sobre revisión de Leyes Orgánicas, Estatutos Generales y otras normativas.</w:t>
      </w:r>
      <w:r/>
    </w:p>
    <w:p>
      <w:pPr>
        <w:pStyle w:val="773"/>
        <w:pBdr/>
        <w:spacing/>
        <w:ind/>
        <w:rPr/>
      </w:pPr>
      <w:r/>
      <w:r/>
    </w:p>
    <w:p>
      <w:pPr>
        <w:pStyle w:val="773"/>
        <w:pBdr/>
        <w:spacing/>
        <w:ind/>
        <w:rPr>
          <w:highlight w:val="none"/>
        </w:rPr>
      </w:pPr>
      <w:r/>
      <w:r>
        <w:rPr>
          <w:highlight w:val="none"/>
        </w:rP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De forma</w:t>
      </w:r>
      <w:r>
        <w:rPr>
          <w:rFonts w:eastAsia="Times New Roman" w:cs="Times New Roman"/>
          <w:color w:val="000000"/>
          <w:sz w:val="24"/>
        </w:rPr>
        <w:t xml:space="preserve"> contraria, la existencia de MCC integrados exclusivamente por miembros electos constituye un fenómeno excepcional en países como Bolivia, Brasil, Colombia, Ecuador, Honduras, México, Nicaragua, Panamá y Perú. El patrón sistémico dominante en estas nacione</w:t>
      </w:r>
      <w:r>
        <w:rPr>
          <w:rFonts w:eastAsia="Times New Roman" w:cs="Times New Roman"/>
          <w:color w:val="000000"/>
          <w:sz w:val="24"/>
        </w:rPr>
        <w:t xml:space="preserve">s se caracteriza por la incorporación de autoridades provenientes de las estructuras de gestión académica central de alta especialización. A manera de ejemplo, en el caso de Brasil (de un universo de 69 UPN), únicamente las universidades federales de Santa</w:t>
      </w:r>
      <w:r>
        <w:rPr>
          <w:rFonts w:eastAsia="Times New Roman" w:cs="Times New Roman"/>
          <w:color w:val="000000"/>
          <w:sz w:val="24"/>
        </w:rPr>
        <w:t xml:space="preserve"> María, Río Grande del Sur y Campina Grande poseen órganos colegiados donde la totalidad de sus integrantes acceden mediante mecanismos electivos en el que participan los integrantes de la comunidad universitaria. Esta misma situación puede observarse en B</w:t>
      </w:r>
      <w:r>
        <w:rPr>
          <w:rFonts w:eastAsia="Times New Roman" w:cs="Times New Roman"/>
          <w:color w:val="000000"/>
          <w:sz w:val="24"/>
        </w:rPr>
        <w:t xml:space="preserve">olivia y Ecuador; en el primero, la condición de exclusividad electiva se limita a las universidades autónomas Gabriel René Moreno y Juan Misael Saracho, mientras que en el segundo se reduce a la Universidad Nacional de Educación, la Escuela Superior Polit</w:t>
      </w:r>
      <w:r>
        <w:rPr>
          <w:rFonts w:eastAsia="Times New Roman" w:cs="Times New Roman"/>
          <w:color w:val="000000"/>
          <w:sz w:val="24"/>
        </w:rPr>
        <w:t xml:space="preserve">écnica del Litoral y las escuelas superiores politécnicas agropecuarias de Manabí y de Chimborazo. Por último, en México, Nicaragua, Panamá y Puerto Rico, la totalidad de las instituciones analizadas incluye miembros no electos en sus respectivos consejos.</w:t>
      </w:r>
      <w:r>
        <w:rPr>
          <w:rFonts w:ascii="Times New Roman" w:hAnsi="Times New Roman" w:eastAsia="Times New Roman" w:cs="Times New Roman"/>
          <w:color w:val="000000"/>
          <w:sz w:val="24"/>
          <w:szCs w:val="24"/>
          <w:highlight w:val="none"/>
        </w:rPr>
      </w:r>
    </w:p>
    <w:p>
      <w:pPr>
        <w:pStyle w:val="773"/>
        <w:pBdr/>
        <w:spacing/>
        <w:ind/>
        <w:rPr>
          <w:highlight w:val="none"/>
        </w:rPr>
      </w:pPr>
      <w:r>
        <w:rPr>
          <w:rFonts w:eastAsia="Times New Roman" w:cs="Times New Roman"/>
          <w:color w:val="000000"/>
          <w:sz w:val="24"/>
        </w:rPr>
        <w:t xml:space="preserve">Más allá de los diseños institucionales descritos, se iden</w:t>
      </w:r>
      <w:r>
        <w:rPr>
          <w:rFonts w:eastAsia="Times New Roman" w:cs="Times New Roman"/>
          <w:color w:val="000000"/>
          <w:sz w:val="24"/>
        </w:rPr>
        <w:t xml:space="preserve">tifican 16 universidades que combinan de forma concurrente la presencia de miembros designados directamente por el Rector con aquellos seleccionados por dicha autoridad para un posterior nombramiento definitivo (Tabla 3). Con la salvedad de Puerto Rico, es</w:t>
      </w:r>
      <w:r>
        <w:rPr>
          <w:rFonts w:eastAsia="Times New Roman" w:cs="Times New Roman"/>
          <w:color w:val="000000"/>
          <w:sz w:val="24"/>
        </w:rPr>
        <w:t xml:space="preserve">ta configuración resulta excepcional dentro de los SUP relevados, registrándose en solo 8 de los 18 países de la región. La distribución de este modelo se presenta de manera puntual: en Brasil, se restringe a las universidades federales de Viçosa y de Mina</w:t>
      </w:r>
      <w:r>
        <w:rPr>
          <w:rFonts w:eastAsia="Times New Roman" w:cs="Times New Roman"/>
          <w:color w:val="000000"/>
          <w:sz w:val="24"/>
        </w:rPr>
        <w:t xml:space="preserve">s Gerais; en Chile, al caso único de la Universidad de Los Lagos; y en Colombia, a las universidades de Córdoba, Nacional de Colombia, del Atlántico y del Trópico Americano. Por su parte, en Ecuador y Honduras, el fenómeno se observa únicamente en la Unive</w:t>
      </w:r>
      <w:r>
        <w:rPr>
          <w:rFonts w:eastAsia="Times New Roman" w:cs="Times New Roman"/>
          <w:color w:val="000000"/>
          <w:sz w:val="24"/>
        </w:rPr>
        <w:t xml:space="preserve">rsidad Técnica de Cotopaxi y la Universidad Nacional de Ciencias Forestales, respectivamente. En México y Panamá se detectan tres UPN por país (la Universidad Autónoma Metropolitana, el Instituto Politécnico Nacional y el Centro de Investigación y Docencia</w:t>
      </w:r>
      <w:r>
        <w:rPr>
          <w:rFonts w:eastAsia="Times New Roman" w:cs="Times New Roman"/>
          <w:color w:val="000000"/>
          <w:sz w:val="24"/>
        </w:rPr>
        <w:t xml:space="preserve"> Económicas en el primero; y las universidades de Panamá, Tecnológica de Panamá y Especializada de Las Américas en el segundo). Por último, en Puerto Rico, su única UPN (la Universidad de Puerto Rico) adopta este modelo híbrido en la integración de su MCC.</w:t>
      </w:r>
      <w:r>
        <w:rPr>
          <w:highlight w:val="none"/>
        </w:rPr>
      </w:r>
    </w:p>
    <w:p>
      <w:pPr>
        <w:pStyle w:val="773"/>
        <w:pBdr/>
        <w:spacing/>
        <w:ind/>
        <w:rPr/>
      </w:pPr>
      <w:r/>
      <w:r/>
    </w:p>
    <w:p>
      <w:pPr>
        <w:pStyle w:val="773"/>
        <w:pBdr/>
        <w:spacing/>
        <w:ind/>
        <w:rPr/>
      </w:pPr>
      <w:r>
        <w:rPr>
          <w:rFonts w:eastAsia="Times New Roman" w:cs="Times New Roman"/>
          <w:color w:val="000000"/>
          <w:sz w:val="24"/>
        </w:rPr>
        <w:t xml:space="preserve">Tabla 3. Universidades con miembros no electos en el Máximo Cuerpo Colegiado tanto designados directamente por el Rector como seleccionados por este.</w:t>
      </w:r>
      <w:r/>
    </w:p>
    <w:tbl>
      <w:tblPr>
        <w:tblStyle w:val="797"/>
        <w:tblInd w:w="0" w:type="dxa"/>
        <w:tblW w:w="5000" w:type="pct"/>
        <w:tblCellMar>
          <w:left w:w="0" w:type="dxa"/>
          <w:top w:w="57" w:type="dxa"/>
          <w:right w:w="0" w:type="dxa"/>
          <w:bottom w:w="57" w:type="dxa"/>
        </w:tblCellMar>
        <w:tblBorders/>
        <w:tblLayout w:type="fixed"/>
        <w:tblLook w:val="04A0" w:firstRow="1" w:lastRow="0" w:firstColumn="1" w:lastColumn="0" w:noHBand="0" w:noVBand="1"/>
      </w:tblPr>
      <w:tblGrid>
        <w:gridCol w:w="1842"/>
        <w:gridCol w:w="2268"/>
        <w:gridCol w:w="2409"/>
        <w:gridCol w:w="1985"/>
      </w:tblGrid>
      <w:tr>
        <w:trPr/>
        <w:tc>
          <w:tcPr>
            <w:shd w:val="clear" w:color="eeeeee" w:fill="eeeeee"/>
            <w:tcBorders>
              <w:top w:val="single" w:color="000000" w:sz="6" w:space="0"/>
              <w:left w:val="none" w:color="000000" w:sz="4" w:space="0"/>
              <w:bottom w:val="single" w:color="000000" w:sz="6" w:space="0"/>
              <w:right w:val="none" w:color="000000" w:sz="4" w:space="0"/>
            </w:tcBorders>
            <w:tcW w:w="184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País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Universidades Públicas Nacionales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Miembros no electos designados directamente por el Rector</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Miembros no electos seleccionados inicialmente por el Rector</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Brasil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Federal de Viçosa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Pró-reitores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Diretor do Centro de Ciencias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Federal de Minas Gerais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Pró-reitores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Diretor Geral de cada Unidade Especial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Chile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Los Lagos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Académico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de Administración y Finanzas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Colombia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Córdoba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Nacional de Colombia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Bienestar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del Atlántico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del Trópico Americano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de Proyección Social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Académico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409"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de Investigaciones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Ecuador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Técnica de Cotopaxi</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Posgrado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409"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la Extensión La Maná</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Honduras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Nacional de Ciencias Forestales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Académicos y Administrativos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del Centro Regional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México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Autónoma Metropolitana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Rector de Unidad Académica</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Instituto Politécnico Nacional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de Coordinación</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Secretarios de Área</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Abogado General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Presidente del Decanato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de las escuelas, centros y unidades de enseñanza y de investigación</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del Centro de Investigación y de Estudios Avanzados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4"/>
                <w:szCs w:val="24"/>
                <w:lang w:eastAsia="en-US" w:bidi="ar-SA"/>
              </w:rPr>
              <w:t xml:space="preserve"> </w:t>
            </w:r>
            <w:r>
              <w:rPr>
                <w:rFonts w:eastAsia="Times New Roman" w:cs="Times New Roman"/>
                <w:color w:val="000000"/>
                <w:sz w:val="22"/>
                <w:szCs w:val="24"/>
                <w:lang w:eastAsia="en-US" w:bidi="ar-SA"/>
              </w:rPr>
              <w:t xml:space="preserve">Secretario Ejecutivo de la Comisión de Operación y Fomento de Actividades Académicas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4"/>
                <w:szCs w:val="24"/>
                <w:lang w:eastAsia="en-US" w:bidi="ar-SA"/>
              </w:rPr>
              <w:t xml:space="preserve"> </w:t>
            </w:r>
            <w:r>
              <w:rPr>
                <w:rFonts w:eastAsia="Times New Roman" w:cs="Times New Roman"/>
                <w:color w:val="000000"/>
                <w:sz w:val="22"/>
                <w:szCs w:val="24"/>
                <w:lang w:eastAsia="en-US" w:bidi="ar-SA"/>
              </w:rPr>
              <w:t xml:space="preserve">Secretario Ejecutivo del Patronato de Obras e Instalaciones del Instituto Politécnico Nacional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Centro de Investigación y Docencia Económicas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de División</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Académico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409"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de Vinculación</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de Institutos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409"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General de los Centros Regionales y Extensiones Universitarias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409"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Tecnológica de 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Coordinador de los Centros Regionales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Académico </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Planificación</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Bienestar Estudiantil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Especializada de Las Américas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 de Facultad</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Coordinador de las Extensiones Universitarias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Centros e Institutos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Currículo y Desarrollo Docente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de Escuelas por Facultad</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Planificación y Evaluación de la Calidad Universitaria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Asesoría Jurídica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Puerto Rico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Puerto Rico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Rectores de los recintos y colegios universitarios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Finanzas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842"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4"/>
                <w:szCs w:val="24"/>
                <w:lang w:eastAsia="en-US" w:bidi="ar-SA"/>
              </w:rPr>
              <w:t xml:space="preserve"> </w:t>
            </w:r>
            <w:r>
              <w:rPr>
                <w:rFonts w:eastAsia="Times New Roman" w:cs="Times New Roman"/>
                <w:color w:val="000000"/>
                <w:sz w:val="22"/>
                <w:szCs w:val="24"/>
                <w:lang w:eastAsia="en-US" w:bidi="ar-SA"/>
              </w:rPr>
              <w:t xml:space="preserve">Tres (3) funcionarios adicionales nominados por el Presidente</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842"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Total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16</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409"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bl>
    <w:p>
      <w:pPr>
        <w:pStyle w:val="773"/>
        <w:pBdr/>
        <w:spacing/>
        <w:ind/>
        <w:rPr/>
      </w:pPr>
      <w:r>
        <w:rPr>
          <w:rFonts w:eastAsia="Times New Roman" w:cs="Times New Roman"/>
          <w:b/>
          <w:color w:val="000000"/>
          <w:sz w:val="20"/>
        </w:rPr>
        <w:t xml:space="preserve">Nota:</w:t>
      </w:r>
      <w:r>
        <w:rPr>
          <w:rFonts w:eastAsia="Times New Roman" w:cs="Times New Roman"/>
          <w:b/>
          <w:color w:val="000000"/>
          <w:sz w:val="20"/>
          <w:lang w:val="es-ES"/>
        </w:rPr>
        <w:t xml:space="preserve"> </w:t>
      </w:r>
      <w:r>
        <w:rPr>
          <w:rFonts w:eastAsia="Times New Roman" w:cs="Times New Roman"/>
          <w:color w:val="000000"/>
          <w:sz w:val="20"/>
        </w:rPr>
        <w:t xml:space="preserve">Las referencias particulares sobre los artículos incluidos en la tabla, al final del texto.</w:t>
      </w:r>
      <w:r/>
    </w:p>
    <w:p>
      <w:pPr>
        <w:pStyle w:val="773"/>
        <w:pBdr/>
        <w:spacing/>
        <w:ind/>
        <w:rPr>
          <w:highlight w:val="none"/>
        </w:rPr>
      </w:pPr>
      <w:r>
        <w:rPr>
          <w:rFonts w:eastAsia="Times New Roman" w:cs="Times New Roman"/>
          <w:b/>
          <w:color w:val="000000"/>
          <w:sz w:val="20"/>
        </w:rPr>
        <w:t xml:space="preserve">Fuente:</w:t>
      </w:r>
      <w:r>
        <w:rPr>
          <w:rFonts w:eastAsia="Times New Roman" w:cs="Times New Roman"/>
          <w:b/>
          <w:color w:val="000000"/>
          <w:sz w:val="20"/>
          <w:lang w:val="es-ES"/>
        </w:rPr>
        <w:t xml:space="preserve"> </w:t>
      </w:r>
      <w:r>
        <w:rPr>
          <w:rFonts w:eastAsia="Times New Roman" w:cs="Times New Roman"/>
          <w:color w:val="000000"/>
          <w:sz w:val="20"/>
        </w:rPr>
        <w:t xml:space="preserve">Elaboración propia sobre revisión de Leyes Orgánicas, Estatutos Generales y otras normativas.</w:t>
      </w:r>
      <w:r>
        <w:rPr>
          <w:highlight w:val="none"/>
        </w:rPr>
      </w:r>
    </w:p>
    <w:p>
      <w:pPr>
        <w:pStyle w:val="773"/>
        <w:pBdr/>
        <w:spacing/>
        <w:ind/>
        <w:rPr/>
      </w:pPr>
      <w:r/>
      <w:r/>
    </w:p>
    <w:p>
      <w:pPr>
        <w:pStyle w:val="773"/>
        <w:pBdr/>
        <w:spacing/>
        <w:ind/>
        <w:rPr>
          <w:highlight w:val="none"/>
        </w:rPr>
      </w:pPr>
      <w:r>
        <w:rPr>
          <w:rFonts w:eastAsia="Times New Roman" w:cs="Times New Roman"/>
          <w:color w:val="000000"/>
          <w:sz w:val="24"/>
        </w:rPr>
        <w:t xml:space="preserve">Al focalizar el análisis exclusivamente en el subconjunto de UPN que incorporan al menos una de las autoridades de alta dirección no electas en sus MCC (Tabla 3), la evidencia empírica revela dos tendencias macro en </w:t>
      </w:r>
      <w:r>
        <w:rPr>
          <w:rFonts w:eastAsia="Times New Roman" w:cs="Times New Roman"/>
          <w:color w:val="000000"/>
          <w:sz w:val="24"/>
          <w:lang w:val="es-ES"/>
        </w:rPr>
        <w:t xml:space="preserve">AL</w:t>
      </w:r>
      <w:r>
        <w:rPr>
          <w:rFonts w:eastAsia="Times New Roman" w:cs="Times New Roman"/>
          <w:color w:val="000000"/>
          <w:sz w:val="24"/>
        </w:rPr>
        <w:t xml:space="preserve">. Ambas dinámicas convergen con la tendencia del </w:t>
      </w:r>
      <w:r>
        <w:rPr>
          <w:rFonts w:eastAsia="Times New Roman" w:cs="Times New Roman"/>
          <w:i/>
          <w:color w:val="000000"/>
          <w:sz w:val="24"/>
        </w:rPr>
        <w:t xml:space="preserve">reforzamiento de cargos ejecutivos</w:t>
      </w:r>
      <w:r>
        <w:rPr>
          <w:rFonts w:eastAsia="Times New Roman" w:cs="Times New Roman"/>
          <w:color w:val="000000"/>
          <w:sz w:val="24"/>
        </w:rPr>
        <w:t xml:space="preserve"> y presentan las siguientes características distintivas: </w:t>
      </w:r>
      <w:r>
        <w:rPr>
          <w:highlight w:val="none"/>
        </w:rPr>
      </w:r>
    </w:p>
    <w:p>
      <w:pPr>
        <w:pStyle w:val="773"/>
        <w:pBdr/>
        <w:spacing/>
        <w:ind/>
        <w:rPr>
          <w:highlight w:val="none"/>
        </w:rPr>
      </w:pPr>
      <w:r>
        <w:rPr>
          <w:rFonts w:eastAsia="Times New Roman" w:cs="Times New Roman"/>
          <w:color w:val="000000"/>
          <w:sz w:val="24"/>
        </w:rPr>
        <w:t xml:space="preserve">(1) Cuando la designación de un consejero compete de forma directa al Rector, este se incorpora mayoritariamente bajo un rol primario; es decir,</w:t>
      </w:r>
      <w:r>
        <w:rPr>
          <w:rFonts w:eastAsia="Times New Roman" w:cs="Times New Roman"/>
          <w:color w:val="000000"/>
          <w:sz w:val="24"/>
        </w:rPr>
        <w:t xml:space="preserve"> dotado de prerrogativas plenas de voz y voto en las decisiones del órgano superior de gobierno. Esta regularidad es especialmente robusta en Brasil y Colombia, y se manifiesta de igual modo (aunque con menor densidad de casos) en Ecuador, México y Panamá.</w:t>
      </w:r>
      <w:r>
        <w:rPr>
          <w:highlight w:val="none"/>
        </w:rPr>
      </w:r>
    </w:p>
    <w:p>
      <w:pPr>
        <w:pStyle w:val="773"/>
        <w:pBdr/>
        <w:spacing/>
        <w:ind/>
        <w:rPr>
          <w:highlight w:val="none"/>
        </w:rPr>
      </w:pPr>
      <w:r>
        <w:rPr>
          <w:rFonts w:eastAsia="Times New Roman" w:cs="Times New Roman"/>
          <w:color w:val="000000"/>
          <w:sz w:val="24"/>
        </w:rPr>
        <w:t xml:space="preserve">(2) En una primera lectura de los datos agregados, se observa un patrón contrario cuando el Rector preselecciona al candidato y un órgano superior</w:t>
      </w:r>
      <w:r>
        <w:rPr>
          <w:rFonts w:eastAsia="Times New Roman" w:cs="Times New Roman"/>
          <w:color w:val="000000"/>
          <w:sz w:val="24"/>
        </w:rPr>
        <w:t xml:space="preserve"> colegiado ratifica el nombramiento definitivo. En este escenario híbrido, los designados parecen limitarse a un rol secundario (con voz pero sin voto). Sin embargo, un análisis pormenorizado demuestra que esta tendencia general está fuertemente sesgada po</w:t>
      </w:r>
      <w:r>
        <w:rPr>
          <w:rFonts w:eastAsia="Times New Roman" w:cs="Times New Roman"/>
          <w:color w:val="000000"/>
          <w:sz w:val="24"/>
        </w:rPr>
        <w:t xml:space="preserve">r el peso muestral del SUP peruano, el cual representa a 51 de los 69 casos identificados en la región. La escala del sistema peruano tiende a eclipsar el comportamiento particular de los otros casos. Al desagregar los datos, se constata que en la mayor pa</w:t>
      </w:r>
      <w:r>
        <w:rPr>
          <w:rFonts w:eastAsia="Times New Roman" w:cs="Times New Roman"/>
          <w:color w:val="000000"/>
          <w:sz w:val="24"/>
        </w:rPr>
        <w:t xml:space="preserve">rte de los países que comparten este diseño institucional (con la salvedad de Bolivia y, en menor proporción, Costa Rica, Honduras y Panamá) la condición predominante de los miembros no electos seleccionados por el rector sigue siendo de carácter primario.</w:t>
      </w:r>
      <w:r>
        <w:rPr>
          <w:highlight w:val="none"/>
        </w:rPr>
      </w:r>
    </w:p>
    <w:p>
      <w:pPr>
        <w:pStyle w:val="773"/>
        <w:pBdr/>
        <w:spacing/>
        <w:ind/>
        <w:rPr/>
      </w:pPr>
      <w:r/>
      <w:r/>
    </w:p>
    <w:p>
      <w:pPr>
        <w:pStyle w:val="773"/>
        <w:pBdr/>
        <w:spacing/>
        <w:ind/>
        <w:rPr/>
      </w:pPr>
      <w:r>
        <w:rPr>
          <w:rFonts w:eastAsia="Times New Roman" w:cs="Times New Roman"/>
          <w:color w:val="000000"/>
          <w:sz w:val="24"/>
        </w:rPr>
        <w:t xml:space="preserve">Tabla 4. Universidades Públicas Nacionales con al menos un miembro No Electo en el Máximo Cuerpo Colegiado según rol y forma de acceso al cargo (datos agregados y por país).</w:t>
      </w:r>
      <w:r/>
    </w:p>
    <w:tbl>
      <w:tblPr>
        <w:tblStyle w:val="797"/>
        <w:tblInd w:w="0" w:type="dxa"/>
        <w:tblW w:w="5000" w:type="pct"/>
        <w:tblCellMar>
          <w:left w:w="0" w:type="dxa"/>
          <w:top w:w="57" w:type="dxa"/>
          <w:right w:w="0" w:type="dxa"/>
          <w:bottom w:w="57" w:type="dxa"/>
        </w:tblCellMar>
        <w:tblBorders/>
        <w:tblLayout w:type="fixed"/>
        <w:tblLook w:val="04A0" w:firstRow="1" w:lastRow="0" w:firstColumn="1" w:lastColumn="0" w:noHBand="0" w:noVBand="1"/>
      </w:tblPr>
      <w:tblGrid>
        <w:gridCol w:w="515"/>
        <w:gridCol w:w="773"/>
        <w:gridCol w:w="859"/>
        <w:gridCol w:w="773"/>
        <w:gridCol w:w="1031"/>
        <w:gridCol w:w="772"/>
        <w:gridCol w:w="773"/>
        <w:gridCol w:w="1032"/>
        <w:gridCol w:w="1116"/>
        <w:gridCol w:w="859"/>
      </w:tblGrid>
      <w:tr>
        <w:trPr/>
        <w:tc>
          <w:tcPr>
            <w:gridSpan w:val="2"/>
            <w:shd w:val="clear" w:color="eeeeee" w:fill="eeeeee"/>
            <w:tcBorders>
              <w:top w:val="single" w:color="000000" w:sz="6" w:space="0"/>
              <w:left w:val="none" w:color="000000" w:sz="4" w:space="0"/>
              <w:bottom w:val="single" w:color="000000" w:sz="6" w:space="0"/>
              <w:right w:val="none" w:color="000000" w:sz="4" w:space="0"/>
            </w:tcBorders>
            <w:tcW w:w="128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Forma de Acceso</w:t>
            </w:r>
            <w:r>
              <w:rPr>
                <w:szCs w:val="24"/>
                <w:lang w:eastAsia="en-US" w:bidi="ar-SA"/>
              </w:rPr>
            </w:r>
          </w:p>
        </w:tc>
        <w:tc>
          <w:tcPr>
            <w:gridSpan w:val="3"/>
            <w:shd w:val="clear" w:color="eeeeee" w:fill="eeeeee"/>
            <w:tcBorders>
              <w:top w:val="single" w:color="000000" w:sz="6" w:space="0"/>
              <w:left w:val="none" w:color="000000" w:sz="4" w:space="0"/>
              <w:bottom w:val="single" w:color="000000" w:sz="6" w:space="0"/>
              <w:right w:val="none" w:color="000000" w:sz="4" w:space="0"/>
            </w:tcBorders>
            <w:tcW w:w="266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Designación Directa por parte del Rector</w:t>
            </w:r>
            <w:r>
              <w:rPr>
                <w:szCs w:val="24"/>
                <w:lang w:eastAsia="en-US" w:bidi="ar-SA"/>
              </w:rPr>
            </w:r>
          </w:p>
        </w:tc>
        <w:tc>
          <w:tcPr>
            <w:gridSpan w:val="3"/>
            <w:shd w:val="clear" w:color="eeeeee" w:fill="eeeeee"/>
            <w:tcBorders>
              <w:top w:val="single" w:color="000000" w:sz="6" w:space="0"/>
              <w:left w:val="none" w:color="000000" w:sz="4" w:space="0"/>
              <w:bottom w:val="single" w:color="000000" w:sz="6" w:space="0"/>
              <w:right w:val="none" w:color="000000" w:sz="4" w:space="0"/>
            </w:tcBorders>
            <w:tcW w:w="2577"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Selección de Candidatos por parte del Rector</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1116"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Otros miembros No Electos</w:t>
            </w:r>
            <w:r>
              <w:rPr>
                <w:rFonts w:eastAsia="Times New Roman" w:cs="Times New Roman"/>
                <w:color w:val="000000"/>
                <w:sz w:val="18"/>
                <w:szCs w:val="24"/>
                <w:vertAlign w:val="superscript"/>
                <w:lang w:eastAsia="en-US" w:bidi="ar-SA"/>
              </w:rPr>
              <w:t xml:space="preserve">(*)</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859"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Total de UPN por país</w:t>
            </w:r>
            <w:r>
              <w:rPr>
                <w:szCs w:val="24"/>
                <w:lang w:eastAsia="en-US" w:bidi="ar-SA"/>
              </w:rPr>
            </w:r>
          </w:p>
        </w:tc>
      </w:tr>
      <w:tr>
        <w:trPr/>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51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País</w:t>
            </w:r>
            <w:r>
              <w:rPr>
                <w:szCs w:val="24"/>
                <w:lang w:eastAsia="en-US" w:bidi="ar-SA"/>
              </w:rPr>
            </w:r>
          </w:p>
        </w:tc>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Rol en el MCC</w:t>
            </w:r>
            <w:r>
              <w:rPr>
                <w:szCs w:val="24"/>
                <w:lang w:eastAsia="en-US" w:bidi="ar-SA"/>
              </w:rPr>
            </w:r>
          </w:p>
        </w:tc>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Total DD</w:t>
            </w:r>
            <w:r>
              <w:rPr>
                <w:szCs w:val="24"/>
                <w:lang w:eastAsia="en-US" w:bidi="ar-SA"/>
              </w:rPr>
            </w:r>
          </w:p>
        </w:tc>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Primario</w:t>
            </w:r>
            <w:r>
              <w:rPr>
                <w:szCs w:val="24"/>
                <w:lang w:eastAsia="en-US" w:bidi="ar-SA"/>
              </w:rPr>
            </w:r>
          </w:p>
        </w:tc>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Secundario</w:t>
            </w:r>
            <w:r>
              <w:rPr>
                <w:szCs w:val="24"/>
                <w:lang w:eastAsia="en-US" w:bidi="ar-SA"/>
              </w:rPr>
            </w:r>
          </w:p>
        </w:tc>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Total SC</w:t>
            </w:r>
            <w:r>
              <w:rPr>
                <w:szCs w:val="24"/>
                <w:lang w:eastAsia="en-US" w:bidi="ar-SA"/>
              </w:rPr>
            </w:r>
          </w:p>
        </w:tc>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Primario</w:t>
            </w:r>
            <w:r>
              <w:rPr>
                <w:szCs w:val="24"/>
                <w:lang w:eastAsia="en-US" w:bidi="ar-SA"/>
              </w:rPr>
            </w:r>
          </w:p>
        </w:tc>
        <w:tc>
          <w:tcPr>
            <w:shd w:val="clear" w:color="eeeeee" w:fill="eeeeee"/>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Secundario</w:t>
            </w:r>
            <w:r>
              <w:rPr>
                <w:szCs w:val="24"/>
                <w:lang w:eastAsia="en-US" w:bidi="ar-SA"/>
              </w:rPr>
            </w:r>
          </w:p>
        </w:tc>
        <w:tc>
          <w:tcPr>
            <w:tcBorders>
              <w:top w:val="single" w:color="000000" w:sz="6" w:space="0"/>
              <w:left w:val="none" w:color="000000" w:sz="4" w:space="0"/>
              <w:bottom w:val="single" w:color="000000" w:sz="6" w:space="0"/>
              <w:right w:val="none" w:color="000000" w:sz="4" w:space="0"/>
            </w:tcBorders>
            <w:tcMar>
              <w:left w:w="108" w:type="dxa"/>
              <w:top w:w="0" w:type="dxa"/>
              <w:right w:w="108" w:type="dxa"/>
              <w:bottom w:w="0" w:type="dxa"/>
            </w:tcMar>
            <w:tcW w:w="1116"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single" w:color="000000" w:sz="6" w:space="0"/>
              <w:left w:val="none" w:color="000000" w:sz="4" w:space="0"/>
              <w:bottom w:val="single" w:color="000000" w:sz="6" w:space="0"/>
              <w:right w:val="none" w:color="000000" w:sz="4" w:space="0"/>
            </w:tcBorders>
            <w:tcMar>
              <w:left w:w="108" w:type="dxa"/>
              <w:top w:w="0" w:type="dxa"/>
              <w:right w:w="108" w:type="dxa"/>
              <w:bottom w:w="0" w:type="dxa"/>
            </w:tcMar>
            <w:tcW w:w="859"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Argentina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9</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56</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Bolivia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8</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7</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11</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Brasil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57</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6</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7</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7</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35</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69</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Chile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18</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Colombia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29</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9</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33</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Costa Rica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Ecuador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18</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32</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El Salvador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Guatemala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Honduras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México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8</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10</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Nicaragua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4</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Paraguay</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9</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Perú</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6</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52</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Puerto Rico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República Dominicana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Uruguay</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0</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2</w:t>
            </w:r>
            <w:r>
              <w:rPr>
                <w:szCs w:val="24"/>
                <w:lang w:eastAsia="en-US" w:bidi="ar-SA"/>
              </w:rPr>
            </w:r>
          </w:p>
        </w:tc>
      </w:tr>
      <w:tr>
        <w:trPr/>
        <w:tc>
          <w:tcPr>
            <w:gridSpan w:val="2"/>
            <w:tcBorders>
              <w:top w:val="single" w:color="000000" w:sz="6" w:space="0"/>
              <w:left w:val="none" w:color="000000" w:sz="4" w:space="0"/>
              <w:bottom w:val="single" w:color="000000" w:sz="6" w:space="0"/>
              <w:right w:val="none" w:color="000000" w:sz="4" w:space="0"/>
            </w:tcBorders>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Totales</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859"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131</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115</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1031"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34</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772"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100</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773"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32</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1032"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69</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1116"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78</w:t>
            </w:r>
            <w:r>
              <w:rPr>
                <w:szCs w:val="24"/>
                <w:lang w:eastAsia="en-US" w:bidi="ar-SA"/>
              </w:rPr>
            </w:r>
          </w:p>
        </w:tc>
        <w:tc>
          <w:tcPr>
            <w:tcBorders>
              <w:top w:val="single" w:color="000000" w:sz="6" w:space="0"/>
              <w:left w:val="none" w:color="000000" w:sz="4" w:space="0"/>
              <w:bottom w:val="single" w:color="000000" w:sz="6" w:space="0"/>
              <w:right w:val="none" w:color="000000" w:sz="4" w:space="0"/>
            </w:tcBorders>
            <w:tcW w:w="859"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315</w:t>
            </w:r>
            <w:r>
              <w:rPr>
                <w:szCs w:val="24"/>
                <w:lang w:eastAsia="en-US" w:bidi="ar-SA"/>
              </w:rPr>
            </w:r>
          </w:p>
        </w:tc>
      </w:tr>
      <w:tr>
        <w:trPr/>
        <w:tc>
          <w:tcPr>
            <w:gridSpan w:val="2"/>
            <w:tcBorders>
              <w:top w:val="none" w:color="000000" w:sz="4" w:space="0"/>
              <w:left w:val="none" w:color="000000" w:sz="4" w:space="0"/>
              <w:bottom w:val="single" w:color="000000" w:sz="6" w:space="0"/>
              <w:right w:val="none" w:color="000000" w:sz="4" w:space="0"/>
            </w:tcBorders>
            <w:tcMar>
              <w:top w:w="0" w:type="dxa"/>
            </w:tcMar>
            <w:tcW w:w="1288"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Porcentaje</w:t>
            </w:r>
            <w:r>
              <w:rPr>
                <w:rFonts w:eastAsia="Times New Roman" w:cs="Times New Roman"/>
                <w:color w:val="000000"/>
                <w:sz w:val="18"/>
                <w:szCs w:val="24"/>
                <w:vertAlign w:val="superscript"/>
                <w:lang w:eastAsia="en-US" w:bidi="ar-SA"/>
              </w:rPr>
              <w:t xml:space="preserv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41,6</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1"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2"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31,7</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773"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032"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116"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24,7</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859"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bl>
    <w:p>
      <w:pPr>
        <w:pStyle w:val="773"/>
        <w:pBdr/>
        <w:spacing/>
        <w:ind/>
        <w:rPr/>
      </w:pPr>
      <w:r>
        <w:rPr>
          <w:rFonts w:eastAsia="Times New Roman" w:cs="Times New Roman"/>
          <w:color w:val="000000"/>
          <w:sz w:val="20"/>
        </w:rPr>
        <w:t xml:space="preserve">(*) Esta categoría refleja aquellas situaciones en las que miembros no elec</w:t>
      </w:r>
      <w:r>
        <w:rPr>
          <w:rFonts w:eastAsia="Times New Roman" w:cs="Times New Roman"/>
          <w:color w:val="000000"/>
          <w:sz w:val="20"/>
        </w:rPr>
        <w:t xml:space="preserve">tos en el MCC no son designados o seleccionados por el Rector de la universidad, sino por un conjunto variado de autoridades u organismos internos o externos a la misma. (**) Refiere al porcentaje de cada categoría sobre el total de UPN en el sistema unive</w:t>
      </w:r>
      <w:r>
        <w:rPr>
          <w:rFonts w:eastAsia="Times New Roman" w:cs="Times New Roman"/>
          <w:color w:val="000000"/>
          <w:sz w:val="20"/>
        </w:rPr>
        <w:t xml:space="preserve">rsitario público de cada país. Por tanto, su lectura es individual para cada una de ellas ya que hay universidades que combinan concomitantemente en su diseño institucional de gobierno colegiado más de un formato de mecanismo de acceso al cargo en el MCC. </w:t>
      </w:r>
      <w:r>
        <w:rPr>
          <w:rFonts w:eastAsia="Times New Roman" w:cs="Times New Roman"/>
          <w:b/>
          <w:color w:val="000000"/>
          <w:sz w:val="20"/>
        </w:rPr>
        <w:t xml:space="preserve">Nota 1.</w:t>
      </w:r>
      <w:r>
        <w:rPr>
          <w:rFonts w:eastAsia="Times New Roman" w:cs="Times New Roman"/>
          <w:color w:val="000000"/>
          <w:sz w:val="20"/>
        </w:rPr>
        <w:t xml:space="preserve"> Los valores totales deben leerse individualmente para cada columna con respecto al total de las 315 UPN analizadas, no solo porque una misma universidad presenta concomitantemente dos mecanismos de selección para uno u otro funci</w:t>
      </w:r>
      <w:r>
        <w:rPr>
          <w:rFonts w:eastAsia="Times New Roman" w:cs="Times New Roman"/>
          <w:color w:val="000000"/>
          <w:sz w:val="20"/>
        </w:rPr>
        <w:t xml:space="preserve">onario determinado, sino porque también no solo le corresponde al Rector designar a alguno de los integrantes no electos del MCC. Asimismo, también existen casos en los que una misma universidad mantiene roles diferentes según el integrante no electo, como</w:t>
      </w:r>
      <w:r>
        <w:rPr>
          <w:rFonts w:eastAsia="Times New Roman" w:cs="Times New Roman"/>
          <w:color w:val="000000"/>
          <w:sz w:val="20"/>
        </w:rPr>
        <w:t xml:space="preserve"> se muestra detalladamente en la Tabla 3. Por tales motivos, las sumas totales de los casos observados según los roles en cada uno en función del mecanismo de acceso al cargo en el MCC (designación directa y/o selección de candidatos) no son coincidentes. </w:t>
      </w:r>
      <w:r>
        <w:rPr>
          <w:rFonts w:eastAsia="Times New Roman" w:cs="Times New Roman"/>
          <w:b/>
          <w:color w:val="000000"/>
          <w:sz w:val="20"/>
        </w:rPr>
        <w:t xml:space="preserve">Nota 2.</w:t>
      </w:r>
      <w:r>
        <w:rPr>
          <w:rFonts w:eastAsia="Times New Roman" w:cs="Times New Roman"/>
          <w:color w:val="000000"/>
          <w:sz w:val="20"/>
        </w:rPr>
        <w:t xml:space="preserve"> Las referencias particulares sobre los artículos incluidos en la tabla, al final del texto. </w:t>
      </w:r>
      <w:r>
        <w:rPr>
          <w:rFonts w:eastAsia="Times New Roman" w:cs="Times New Roman"/>
          <w:b/>
          <w:color w:val="000000"/>
          <w:sz w:val="20"/>
        </w:rPr>
        <w:t xml:space="preserve">Fuente:</w:t>
      </w:r>
      <w:r>
        <w:rPr>
          <w:rFonts w:eastAsia="Times New Roman" w:cs="Times New Roman"/>
          <w:color w:val="000000"/>
          <w:sz w:val="20"/>
        </w:rPr>
        <w:t xml:space="preserve"> Elaboración propia sobre revisión de Leyes Orgánicas, Estatutos Generales y otras normativas.</w:t>
      </w:r>
      <w:r/>
    </w:p>
    <w:p>
      <w:pPr>
        <w:pStyle w:val="773"/>
        <w:pBdr/>
        <w:spacing/>
        <w:ind/>
        <w:rPr/>
      </w:pPr>
      <w:r/>
      <w:r/>
    </w:p>
    <w:p>
      <w:pPr>
        <w:pStyle w:val="773"/>
        <w:pBdr/>
        <w:spacing/>
        <w:ind/>
        <w:rPr>
          <w:highlight w:val="none"/>
        </w:rPr>
      </w:pPr>
      <w:r>
        <w:rPr>
          <w:rFonts w:eastAsia="Times New Roman" w:cs="Times New Roman"/>
          <w:color w:val="000000"/>
          <w:sz w:val="24"/>
        </w:rPr>
        <w:t xml:space="preserve">El análisis desagregado por país revela comportamientos sistémicos diferenciados. El SUP de Perú manifiesta homogeneid</w:t>
      </w:r>
      <w:r>
        <w:rPr>
          <w:rFonts w:eastAsia="Times New Roman" w:cs="Times New Roman"/>
          <w:color w:val="000000"/>
          <w:sz w:val="24"/>
        </w:rPr>
        <w:t xml:space="preserve">ad en la asignación de roles secundarios a los miembros no electos del MCC; comportamiento opuesto al de Brasil y Colombia, donde prevalece de forma homogénea la integración de funcionarios de alta dirección con estatus primario y designación rectoral dire</w:t>
      </w:r>
      <w:r>
        <w:rPr>
          <w:rFonts w:eastAsia="Times New Roman" w:cs="Times New Roman"/>
          <w:color w:val="000000"/>
          <w:sz w:val="24"/>
        </w:rPr>
        <w:t xml:space="preserve">cta. Chile compartía esta última tendencia hasta periodos recientes, cuando inició un proceso de transformación estructural que actualmente se encuentra en su fase de transición normativa, restando únicamente la aprobación de los nuevos estatutos de la Uni</w:t>
      </w:r>
      <w:r>
        <w:rPr>
          <w:rFonts w:eastAsia="Times New Roman" w:cs="Times New Roman"/>
          <w:color w:val="000000"/>
          <w:sz w:val="24"/>
        </w:rPr>
        <w:t xml:space="preserve">versidad Tecnológica Metropolitana y de la Universidad de Los Lagos. En contraste, los sistemas de Ecuador y México reflejan mayor heterogeneidad, dividiéndose de forma relativamente equitativa entre instituciones que otorgan roles primarios y secundarios.</w:t>
      </w:r>
      <w:r>
        <w:rPr>
          <w:highlight w:val="none"/>
        </w:rPr>
      </w:r>
    </w:p>
    <w:p>
      <w:pPr>
        <w:pStyle w:val="773"/>
        <w:pBdr/>
        <w:spacing/>
        <w:ind/>
        <w:rPr>
          <w:highlight w:val="none"/>
        </w:rPr>
      </w:pPr>
      <w:r>
        <w:rPr>
          <w:rFonts w:eastAsia="Times New Roman" w:cs="Times New Roman"/>
          <w:color w:val="000000"/>
          <w:sz w:val="24"/>
        </w:rPr>
        <w:t xml:space="preserve">Finalmente, respecto a las estruc</w:t>
      </w:r>
      <w:r>
        <w:rPr>
          <w:rFonts w:eastAsia="Times New Roman" w:cs="Times New Roman"/>
          <w:color w:val="000000"/>
          <w:sz w:val="24"/>
        </w:rPr>
        <w:t xml:space="preserve">turas donde coexisten diversos mecanismos de acceso (ya sea por designación directa, cooptación rectoral o nombramiento por órganos externos), el relevamiento identifica un comportamiento institucional híbrido. Específicamente, se registran 28 UPN cuyos ór</w:t>
      </w:r>
      <w:r>
        <w:rPr>
          <w:rFonts w:eastAsia="Times New Roman" w:cs="Times New Roman"/>
          <w:color w:val="000000"/>
          <w:sz w:val="24"/>
        </w:rPr>
        <w:t xml:space="preserve">ganos colegiados de gobierno conjugan simultáneamente a miembros con roles primarios y secundarios (ver Tabla 5). De manera desglosada, en Ecuador y Colombia se registran la mayor cantidad de casos con 8 y 7, respectivamente; seguido de Brasil y México con</w:t>
      </w:r>
      <w:r>
        <w:rPr>
          <w:rFonts w:eastAsia="Times New Roman" w:cs="Times New Roman"/>
          <w:color w:val="000000"/>
          <w:sz w:val="24"/>
          <w:lang w:val="es-ES"/>
        </w:rPr>
        <w:t xml:space="preserve"> </w:t>
      </w:r>
      <w:r>
        <w:rPr>
          <w:rFonts w:eastAsia="Times New Roman" w:cs="Times New Roman"/>
          <w:color w:val="000000"/>
          <w:sz w:val="24"/>
        </w:rPr>
        <w:t xml:space="preserve">4 el primero y 3 el segundo. Finalmente, Panamá con dos casos y Argentina, Costa Rica, Honduras y Nicaragua con uno cada uno completan la lista de 28 UPN registradas en total.</w:t>
      </w:r>
      <w:r>
        <w:rPr>
          <w:highlight w:val="none"/>
        </w:rPr>
      </w:r>
    </w:p>
    <w:p>
      <w:pPr>
        <w:pStyle w:val="773"/>
        <w:pBdr/>
        <w:spacing/>
        <w:ind/>
        <w:rPr/>
      </w:pPr>
      <w:r/>
      <w:r/>
    </w:p>
    <w:p>
      <w:pPr>
        <w:pStyle w:val="773"/>
        <w:pBdr/>
        <w:spacing/>
        <w:ind/>
        <w:rPr/>
      </w:pPr>
      <w:r>
        <w:rPr>
          <w:rFonts w:eastAsia="Times New Roman" w:cs="Times New Roman"/>
          <w:color w:val="000000"/>
          <w:sz w:val="24"/>
        </w:rPr>
        <w:t xml:space="preserve">Tabla5. Universidades con miembros no electos en el Máximo Cuerpo Colegiado tanto primarios como secundarios.</w:t>
      </w:r>
      <w:r/>
    </w:p>
    <w:tbl>
      <w:tblPr>
        <w:tblStyle w:val="797"/>
        <w:tblInd w:w="0" w:type="dxa"/>
        <w:tblW w:w="5000" w:type="pct"/>
        <w:tblCellMar>
          <w:left w:w="0" w:type="dxa"/>
          <w:top w:w="57" w:type="dxa"/>
          <w:right w:w="0" w:type="dxa"/>
          <w:bottom w:w="57" w:type="dxa"/>
        </w:tblCellMar>
        <w:tblBorders/>
        <w:tblLayout w:type="fixed"/>
        <w:tblLook w:val="04A0" w:firstRow="1" w:lastRow="0" w:firstColumn="1" w:lastColumn="0" w:noHBand="0" w:noVBand="1"/>
      </w:tblPr>
      <w:tblGrid>
        <w:gridCol w:w="1417"/>
        <w:gridCol w:w="2835"/>
        <w:gridCol w:w="2268"/>
        <w:gridCol w:w="1985"/>
      </w:tblGrid>
      <w:tr>
        <w:trPr/>
        <w:tc>
          <w:tcPr>
            <w:shd w:val="clear" w:color="eeeeee" w:fill="eeeeee"/>
            <w:tcBorders>
              <w:top w:val="single" w:color="000000" w:sz="6" w:space="0"/>
              <w:left w:val="none" w:color="000000" w:sz="4" w:space="0"/>
              <w:bottom w:val="single" w:color="000000" w:sz="6" w:space="0"/>
              <w:right w:val="none" w:color="000000" w:sz="4" w:space="0"/>
            </w:tcBorders>
            <w:tcW w:w="1417"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País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Universidades Públicas Nacionales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Miembros no electos primarios</w:t>
            </w:r>
            <w:r>
              <w:rPr>
                <w:szCs w:val="24"/>
                <w:lang w:eastAsia="en-US" w:bidi="ar-SA"/>
              </w:rPr>
            </w:r>
          </w:p>
        </w:tc>
        <w:tc>
          <w:tcPr>
            <w:shd w:val="clear" w:color="eeeeee" w:fill="eeeeee"/>
            <w:tcBorders>
              <w:top w:val="single" w:color="000000" w:sz="6" w:space="0"/>
              <w:left w:val="none" w:color="000000" w:sz="4" w:space="0"/>
              <w:bottom w:val="single" w:color="000000" w:sz="6" w:space="0"/>
              <w:right w:val="none" w:color="000000" w:sz="4" w:space="0"/>
            </w:tcBorders>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Miembros no electos secundarios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Argentina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Nacional de Río Negro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de los gremios de trabajadores no pertenecientes a la Universidad</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4"/>
                <w:szCs w:val="24"/>
                <w:lang w:eastAsia="en-US" w:bidi="ar-SA"/>
              </w:rPr>
              <w:t xml:space="preserve"> </w:t>
            </w:r>
            <w:r>
              <w:rPr>
                <w:rFonts w:eastAsia="Times New Roman" w:cs="Times New Roman"/>
                <w:color w:val="000000"/>
                <w:sz w:val="22"/>
                <w:szCs w:val="24"/>
                <w:lang w:eastAsia="en-US" w:bidi="ar-SA"/>
              </w:rPr>
              <w:t xml:space="preserve">Legisladoras/es provinciales de la provincia de Río Negro </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del sector empresario de la provincia de Río Negro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Brasil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Federal de Pernambuco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Pró-Reitores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Ouvidor-geral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do Colégio de Aplicação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do Hospital das Clínicas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Federal de Ouro Preto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da comunidade externa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Pró-Reitores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Federal de la Integración Latino-Americana </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da comunidade externa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Pró-Reitores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Federal do Agreste de Pernambuco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Pró-Reitores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Ouvidor-interno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Colombia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los Llanos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Asesor de Planeación de la Universidad</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General de Currículo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General de Investigaciones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General de Proyección Social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Nacional de Colombia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Bienestar Universitario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 de Facultades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Popular del Cesar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Académico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Administrativo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del Atlántico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Francisco de Paula Santander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Jefe de la Oficina de Planeación</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Subdirector académico de las Seccionales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Pamplona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del Tolima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Costa Rica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Estatal a Distancia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Tres miembros elegidos por la Asamblea Universitaria Plebiscitaria que no sean funcionarios de la Universidad </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Auditor</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Ecuador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Agraria del Ecuador </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del Sistema de Postgrado de la Universidad Agraria del Ecuador (SIPUAE)</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del Instituto de Investigación</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268"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Departamentales</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Guayaquil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Generales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Técnica de Babahoyo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Subdecanos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las Fuerzas Armadas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Académico General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de Investigación de Tecnología Experimental Yachay</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Escuela Politécnica Nacional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Instituto de Investigación Multidisciplinario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Instituto de Altos Estudios Nacionales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 en el Consejo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4"/>
                <w:szCs w:val="24"/>
                <w:lang w:eastAsia="en-US" w:bidi="ar-SA"/>
              </w:rPr>
              <w:t xml:space="preserve"> </w:t>
            </w: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Secretario/a Técnico/a del Consejo Nacional de Planificación y Desarrollo o su delegado/a en representación del Presidente/a de la República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Intercultural de las Nacionalidades y Pueblos Indígenas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 de Centro del Saber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Integrantes del Consejo de Sabios y Sabias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Honduras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Nacional de Ciencias Forestales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Académicos y Administrativos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Auditor Interno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del Centro Regional Universitario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México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Autónoma Metropolitana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Rector de Unidad Académica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Pedagógica Nacional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Secretarios Académico y Administrativo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Coordinador General del Sistema de Educación a Distancia</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Directores de Área Académica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Centro de Enseñanza Técnica Industrial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de la Subsecretaria de Educación Media Superior</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de la Dirección General de Educación Superior Tecnológica de la Secretaría de Educación Pública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Prosecretario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de la Secretaria de Hacienda y Crédito Público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Nicaragua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Nacional Autónoma de Nicaragua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Vicerrectores</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vMerge w:val="restart"/>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Tecnológica de Panamá</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Académico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4"/>
                <w:szCs w:val="24"/>
                <w:lang w:eastAsia="en-US" w:bidi="ar-SA"/>
              </w:rPr>
              <w:t xml:space="preserve"> </w:t>
            </w:r>
            <w:r>
              <w:rPr>
                <w:rFonts w:eastAsia="Times New Roman" w:cs="Times New Roman"/>
                <w:color w:val="000000"/>
                <w:sz w:val="22"/>
                <w:szCs w:val="24"/>
                <w:lang w:eastAsia="en-US" w:bidi="ar-SA"/>
              </w:rPr>
              <w:t xml:space="preserve">Ministro de Educación o su representante Ad – Hoc</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Representante de la Junta Técnica de Ingeniería y Arquitectura</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Universidad Especializada de Las Américas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Académico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Secretario General</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de Investigación y Postgrado</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de Extensión</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Administrativo</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Vicerrector de Vida Estudiantil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Coordinador de las Extensiones Universitarias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Planificación y Evaluación de la Calidad Universitaria</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Centros e Institutos</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rHeight w:val="276"/>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Currículo y Desarrollo Docente</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vMerge w:val="restart"/>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Director de Asesoría Jurídica</w:t>
            </w:r>
            <w:r>
              <w:rPr>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2"/>
                <w:szCs w:val="24"/>
                <w:lang w:eastAsia="en-US" w:bidi="ar-SA"/>
              </w:rPr>
              <w:t xml:space="preserve">Decanos de Facultad</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417"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283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szCs w:val="24"/>
                <w:lang w:eastAsia="en-US" w:bidi="ar-SA"/>
              </w:rPr>
            </w:pPr>
            <w:r>
              <w:rPr>
                <w:rFonts w:eastAsia="Times New Roman" w:cs="Times New Roman"/>
                <w:color w:val="000000"/>
                <w:sz w:val="24"/>
                <w:szCs w:val="24"/>
                <w:lang w:eastAsia="en-US" w:bidi="ar-SA"/>
              </w:rPr>
              <w:t xml:space="preserve"> </w:t>
            </w:r>
            <w:r>
              <w:rPr>
                <w:rFonts w:eastAsia="Times New Roman" w:cs="Times New Roman"/>
                <w:color w:val="000000"/>
                <w:sz w:val="22"/>
                <w:szCs w:val="24"/>
                <w:lang w:eastAsia="en-US" w:bidi="ar-SA"/>
              </w:rPr>
              <w:t xml:space="preserve">Directores de Escuelas por Facultad</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left w:w="108" w:type="dxa"/>
              <w:top w:w="0" w:type="dxa"/>
              <w:right w:w="108" w:type="dxa"/>
              <w:bottom w:w="0" w:type="dxa"/>
            </w:tcMar>
            <w:tcW w:w="1985" w:type="dxa"/>
            <w:vMerge w:val="continue"/>
          </w:tcPr>
          <w:p>
            <w:pPr>
              <w:pStyle w:val="710"/>
              <w:widowControl w:val="true"/>
              <w:pBdr/>
              <w:spacing w:after="0" w:before="0"/>
              <w:ind/>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r>
        <w:trPr/>
        <w:tc>
          <w:tcPr>
            <w:tcBorders>
              <w:top w:val="none" w:color="000000" w:sz="4" w:space="0"/>
              <w:left w:val="none" w:color="000000" w:sz="4" w:space="0"/>
              <w:bottom w:val="single" w:color="000000" w:sz="6" w:space="0"/>
              <w:right w:val="none" w:color="000000" w:sz="4" w:space="0"/>
            </w:tcBorders>
            <w:tcMar>
              <w:top w:w="0" w:type="dxa"/>
            </w:tcMar>
            <w:tcW w:w="1417" w:type="dxa"/>
            <w:vAlign w:val="center"/>
          </w:tcPr>
          <w:p>
            <w:pPr>
              <w:pStyle w:val="773"/>
              <w:widowControl w:val="true"/>
              <w:pBdr/>
              <w:spacing w:after="0" w:before="0"/>
              <w:ind/>
              <w:rPr>
                <w:szCs w:val="24"/>
                <w:lang w:eastAsia="en-US" w:bidi="ar-SA"/>
              </w:rPr>
            </w:pPr>
            <w:r>
              <w:rPr>
                <w:rFonts w:eastAsia="Times New Roman" w:cs="Times New Roman"/>
                <w:color w:val="000000"/>
                <w:sz w:val="22"/>
                <w:szCs w:val="24"/>
                <w:lang w:eastAsia="en-US" w:bidi="ar-SA"/>
              </w:rPr>
              <w:t xml:space="preserve">Total</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835" w:type="dxa"/>
            <w:vAlign w:val="center"/>
          </w:tcPr>
          <w:p>
            <w:pPr>
              <w:pStyle w:val="773"/>
              <w:widowControl w:val="true"/>
              <w:pBdr/>
              <w:spacing w:after="0" w:before="0"/>
              <w:ind/>
              <w:jc w:val="center"/>
              <w:rPr>
                <w:szCs w:val="24"/>
                <w:lang w:eastAsia="en-US" w:bidi="ar-SA"/>
              </w:rPr>
            </w:pPr>
            <w:r>
              <w:rPr>
                <w:rFonts w:eastAsia="Times New Roman" w:cs="Times New Roman"/>
                <w:b/>
                <w:color w:val="000000"/>
                <w:sz w:val="22"/>
                <w:szCs w:val="24"/>
                <w:lang w:eastAsia="en-US" w:bidi="ar-SA"/>
              </w:rPr>
              <w:t xml:space="preserve">28</w:t>
            </w:r>
            <w:r>
              <w:rPr>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2268"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c>
          <w:tcPr>
            <w:tcBorders>
              <w:top w:val="none" w:color="000000" w:sz="4" w:space="0"/>
              <w:left w:val="none" w:color="000000" w:sz="4" w:space="0"/>
              <w:bottom w:val="single" w:color="000000" w:sz="6" w:space="0"/>
              <w:right w:val="none" w:color="000000" w:sz="4" w:space="0"/>
            </w:tcBorders>
            <w:tcMar>
              <w:top w:w="0" w:type="dxa"/>
            </w:tcMar>
            <w:tcW w:w="1985" w:type="dxa"/>
            <w:vAlign w:val="center"/>
          </w:tcPr>
          <w:p>
            <w:pPr>
              <w:pStyle w:val="773"/>
              <w:widowControl w:val="true"/>
              <w:pBdr/>
              <w:spacing w:after="0" w:before="0"/>
              <w:ind/>
              <w:jc w:val="center"/>
              <w:rPr>
                <w:rFonts w:eastAsia="Calibri"/>
                <w:sz w:val="24"/>
                <w:szCs w:val="24"/>
                <w:lang w:eastAsia="en-US" w:bidi="ar-SA"/>
              </w:rPr>
            </w:pPr>
            <w:r>
              <w:rPr>
                <w:rFonts w:eastAsia="Calibri"/>
                <w:sz w:val="24"/>
                <w:szCs w:val="24"/>
                <w:lang w:eastAsia="en-US" w:bidi="ar-SA"/>
              </w:rPr>
            </w:r>
            <w:r>
              <w:rPr>
                <w:rFonts w:eastAsia="Calibri"/>
                <w:sz w:val="24"/>
                <w:szCs w:val="24"/>
                <w:lang w:eastAsia="en-US" w:bidi="ar-SA"/>
              </w:rPr>
            </w:r>
          </w:p>
        </w:tc>
      </w:tr>
    </w:tbl>
    <w:p>
      <w:pPr>
        <w:pStyle w:val="773"/>
        <w:pBdr/>
        <w:spacing/>
        <w:ind/>
        <w:rPr/>
      </w:pPr>
      <w:r>
        <w:rPr>
          <w:rFonts w:eastAsia="Times New Roman" w:cs="Times New Roman"/>
          <w:b/>
          <w:color w:val="000000"/>
          <w:sz w:val="20"/>
        </w:rPr>
        <w:t xml:space="preserve">Nota:</w:t>
      </w:r>
      <w:r>
        <w:rPr>
          <w:rFonts w:eastAsia="Times New Roman" w:cs="Times New Roman"/>
          <w:color w:val="000000"/>
          <w:sz w:val="20"/>
        </w:rPr>
        <w:t xml:space="preserve">Las referencias particulares sobre los artículos incluidos en la tabla, al final del texto.</w:t>
      </w:r>
      <w:r/>
    </w:p>
    <w:p>
      <w:pPr>
        <w:pStyle w:val="773"/>
        <w:pBdr/>
        <w:spacing/>
        <w:ind/>
        <w:rPr/>
      </w:pPr>
      <w:r>
        <w:rPr>
          <w:rFonts w:eastAsia="Times New Roman" w:cs="Times New Roman"/>
          <w:b/>
          <w:color w:val="000000"/>
          <w:sz w:val="20"/>
        </w:rPr>
        <w:t xml:space="preserve">Fuente:</w:t>
      </w:r>
      <w:r>
        <w:rPr>
          <w:rFonts w:eastAsia="Times New Roman" w:cs="Times New Roman"/>
          <w:color w:val="000000"/>
          <w:sz w:val="20"/>
        </w:rPr>
        <w:t xml:space="preserve"> Elaboración propia sobre revisión de Leyes Orgánicas y/o Estatutos Generales.</w:t>
      </w:r>
      <w:r/>
    </w:p>
    <w:p>
      <w:pPr>
        <w:pStyle w:val="773"/>
        <w:pBdr/>
        <w:spacing/>
        <w:ind/>
        <w:rPr/>
      </w:pPr>
      <w:r/>
      <w:r/>
    </w:p>
    <w:p>
      <w:pPr>
        <w:pStyle w:val="773"/>
        <w:pBdr/>
        <w:spacing/>
        <w:ind/>
        <w:rPr>
          <w:rFonts w:ascii="Times New Roman" w:hAnsi="Times New Roman" w:eastAsia="Times New Roman" w:cs="Times New Roman"/>
          <w:b/>
          <w:bCs/>
          <w:color w:val="000000"/>
          <w:sz w:val="24"/>
          <w:szCs w:val="24"/>
          <w:highlight w:val="none"/>
        </w:rPr>
      </w:pPr>
      <w:r>
        <w:rPr>
          <w:rFonts w:eastAsia="Times New Roman" w:cs="Times New Roman"/>
          <w:b/>
          <w:color w:val="000000"/>
          <w:sz w:val="24"/>
        </w:rPr>
        <w:t xml:space="preserve">Consideraciones finales</w:t>
      </w:r>
      <w:r>
        <w:rPr>
          <w:rFonts w:ascii="Times New Roman" w:hAnsi="Times New Roman" w:eastAsia="Times New Roman" w:cs="Times New Roman"/>
          <w:b/>
          <w:bCs/>
          <w:color w:val="000000"/>
          <w:sz w:val="24"/>
          <w:szCs w:val="24"/>
          <w:highlight w:val="none"/>
        </w:rPr>
      </w:r>
    </w:p>
    <w:p>
      <w:pPr>
        <w:pStyle w:val="773"/>
        <w:pBdr/>
        <w:spacing/>
        <w:ind/>
        <w:rPr>
          <w:rFonts w:ascii="Times New Roman" w:hAnsi="Times New Roman" w:eastAsia="Times New Roman" w:cs="Times New Roman"/>
          <w:color w:val="000000"/>
          <w:sz w:val="24"/>
          <w:szCs w:val="24"/>
        </w:rPr>
      </w:pPr>
      <w:r>
        <w:rPr>
          <w:rFonts w:eastAsia="Times New Roman" w:cs="Times New Roman"/>
          <w:color w:val="000000"/>
          <w:sz w:val="24"/>
          <w:szCs w:val="24"/>
        </w:rPr>
      </w:r>
      <w:r>
        <w:rPr>
          <w:rFonts w:ascii="Times New Roman" w:hAnsi="Times New Roman" w:eastAsia="Times New Roman" w:cs="Times New Roman"/>
          <w:color w:val="000000"/>
          <w:sz w:val="24"/>
          <w:szCs w:val="24"/>
        </w:rP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De los elementos presentes en esta investigación se desprenden en términos tendenciales para el conjunto de UPN </w:t>
      </w:r>
      <w:r>
        <w:rPr>
          <w:rFonts w:eastAsia="Times New Roman" w:cs="Times New Roman"/>
          <w:color w:val="000000"/>
          <w:sz w:val="24"/>
          <w:lang w:val="es-ES"/>
        </w:rPr>
        <w:t xml:space="preserve">latinoamericanas</w:t>
      </w:r>
      <w:r>
        <w:rPr>
          <w:rFonts w:eastAsia="Times New Roman" w:cs="Times New Roman"/>
          <w:color w:val="000000"/>
          <w:sz w:val="24"/>
        </w:rPr>
        <w:t xml:space="preserve"> al menos cinco importantes constataciones:</w:t>
      </w:r>
      <w:r>
        <w:rPr>
          <w:rFonts w:ascii="Times New Roman" w:hAnsi="Times New Roman" w:eastAsia="Times New Roman" w:cs="Times New Roman"/>
          <w:color w:val="000000"/>
          <w:sz w:val="24"/>
          <w:szCs w:val="24"/>
          <w:highlight w:val="none"/>
        </w:rP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w:t>
      </w:r>
      <w:r>
        <w:rPr>
          <w:rFonts w:eastAsia="Times New Roman" w:cs="Times New Roman"/>
          <w:color w:val="000000"/>
          <w:sz w:val="24"/>
        </w:rPr>
        <w:t xml:space="preserve">1) Determinismo normativo e isomorfismo institucional. En términos generales, los sistemas de gobierno universitarios en América Latina exhiben una tensión entre la heterogeneidad regional de sus Sistemas de Educación Superior (SES) y una marcada homogenei</w:t>
      </w:r>
      <w:r>
        <w:rPr>
          <w:rFonts w:eastAsia="Times New Roman" w:cs="Times New Roman"/>
          <w:color w:val="000000"/>
          <w:sz w:val="24"/>
        </w:rPr>
        <w:t xml:space="preserve">dad al interior de sus fronteras nacionales. Esta convergencia intra-país no es contingente; responde a procesos de isomorfismo institucional fuertemente sustentado en un determinismo normativo de carácter legal. Los marcos regulatorios nacionales (como po</w:t>
      </w:r>
      <w:r>
        <w:rPr>
          <w:rFonts w:eastAsia="Times New Roman" w:cs="Times New Roman"/>
          <w:color w:val="000000"/>
          <w:sz w:val="24"/>
        </w:rPr>
        <w:t xml:space="preserve">r ejemplo las leyes nacionales en Brasil, Chile, Colombia, entre otros) actúan como estructuras exógenas que definen unívocamente la arquitectura del cogobierno, limitando los márgenes de autonomía adaptativa de las Universidades Públicas Nacionales (UPN).</w:t>
      </w:r>
      <w:r>
        <w:rPr>
          <w:rFonts w:ascii="Times New Roman" w:hAnsi="Times New Roman" w:eastAsia="Times New Roman" w:cs="Times New Roman"/>
          <w:color w:val="000000"/>
          <w:sz w:val="24"/>
          <w:szCs w:val="24"/>
          <w:highlight w:val="none"/>
        </w:rP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(2) Un declive mode</w:t>
      </w:r>
      <w:r>
        <w:rPr>
          <w:rFonts w:eastAsia="Times New Roman" w:cs="Times New Roman"/>
          <w:color w:val="000000"/>
          <w:sz w:val="24"/>
        </w:rPr>
        <w:t xml:space="preserve">rado de la excepcionalidad electiva y el avance hacia tendencias del gerencialismo. La evidencia empírica agregada muestra como en América Latina las tendencias globales y sus sentidos teóricos de cambios institucionales se camuflan y legitiman a través de</w:t>
      </w:r>
      <w:r>
        <w:rPr>
          <w:rFonts w:eastAsia="Times New Roman" w:cs="Times New Roman"/>
          <w:color w:val="000000"/>
          <w:sz w:val="24"/>
        </w:rPr>
        <w:t xml:space="preserve"> reformas estatutarias que reconfiguran las arenas políticas centrales sin desmantelar discursivamente el ideario de Córdoba (específicamente la idea de un cogobierno puramente democrático de base estamental electiva). La configuración de los Máximos Conse</w:t>
      </w:r>
      <w:r>
        <w:rPr>
          <w:rFonts w:eastAsia="Times New Roman" w:cs="Times New Roman"/>
          <w:color w:val="000000"/>
          <w:sz w:val="24"/>
        </w:rPr>
        <w:t xml:space="preserve">jos Colegiados (MCC) revela un patrón sistémico dominante: aproximadamente el 80% de las UPN incorporan miembros no electos en sus órganos colegiados superiores de gobierno, reduciendo la exclusividad electiva a una condición minoritaria (22,2%). Esta tend</w:t>
      </w:r>
      <w:r>
        <w:rPr>
          <w:rFonts w:eastAsia="Times New Roman" w:cs="Times New Roman"/>
          <w:color w:val="000000"/>
          <w:sz w:val="24"/>
        </w:rPr>
        <w:t xml:space="preserve">encia transversal (que se observa con independencia de la escala del sistema universitario, aunque más marcada en las instituciones más nuevas) denota la incorporación de elementos identificados con los modelos de gobernanza gerencial o corporativa, caract</w:t>
      </w:r>
      <w:r>
        <w:rPr>
          <w:rFonts w:eastAsia="Times New Roman" w:cs="Times New Roman"/>
          <w:color w:val="000000"/>
          <w:sz w:val="24"/>
        </w:rPr>
        <w:t xml:space="preserve">erizados por la inserción deliberada de cuadros de alta dirección y especialización técnica ajenos al escrutinio de la comunidad universitaria general. Es decir, mientras que en los entornos anglosajones la emergencia de los HEPROs ha desplazado el poder d</w:t>
      </w:r>
      <w:r>
        <w:rPr>
          <w:rFonts w:eastAsia="Times New Roman" w:cs="Times New Roman"/>
          <w:color w:val="000000"/>
          <w:sz w:val="24"/>
        </w:rPr>
        <w:t xml:space="preserve">el estamento docente de manera abierta, en América Latina este proceso resulta más moderado, menos evidente y generalizado, siendo quienes ocupan estos cargos generalmente de perfiles académicos u originariamente miembros docentes de la propia universidad.</w:t>
      </w:r>
      <w:r>
        <w:rPr>
          <w:rFonts w:ascii="Times New Roman" w:hAnsi="Times New Roman" w:eastAsia="Times New Roman" w:cs="Times New Roman"/>
          <w:color w:val="000000"/>
          <w:sz w:val="24"/>
          <w:szCs w:val="24"/>
          <w:highlight w:val="none"/>
        </w:rP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(3) Fortalecimiento del poder ejecutivo. La investigación demuestra que la figura del Rector emerge como uno de los actores centrales en la reconfiguración de la balanza de pode</w:t>
      </w:r>
      <w:r>
        <w:rPr>
          <w:rFonts w:eastAsia="Times New Roman" w:cs="Times New Roman"/>
          <w:color w:val="000000"/>
          <w:sz w:val="24"/>
        </w:rPr>
        <w:t xml:space="preserve">r interno en las universidades. Con escasas excepciones, la selección y nombramiento de los miembros no electos se encuentran subordinados a la voluntad de la autoridad rectoral. Este fenómeno consolida las tendencias mencionadas sobre el reforzamiento de </w:t>
      </w:r>
      <w:r>
        <w:rPr>
          <w:rFonts w:eastAsia="Times New Roman" w:cs="Times New Roman"/>
          <w:color w:val="000000"/>
          <w:sz w:val="24"/>
        </w:rPr>
        <w:t xml:space="preserve">los cargos ejecutivos superiores de las universidades, donde los nuevos diseños institucionales ofrecen prerrogativas que potencian la capacidad de la autoridad ejecutiva para intervenir, de forma directa o indirecta, en la composición política de los MCC.</w:t>
      </w:r>
      <w:r>
        <w:rPr>
          <w:rFonts w:ascii="Times New Roman" w:hAnsi="Times New Roman" w:eastAsia="Times New Roman" w:cs="Times New Roman"/>
          <w:color w:val="000000"/>
          <w:sz w:val="24"/>
          <w:szCs w:val="24"/>
          <w:highlight w:val="none"/>
        </w:rP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(4) Asimetría de roles y peso decisorio real (voz y voto). El análisis pormeno</w:t>
      </w:r>
      <w:r>
        <w:rPr>
          <w:rFonts w:eastAsia="Times New Roman" w:cs="Times New Roman"/>
          <w:color w:val="000000"/>
          <w:sz w:val="24"/>
        </w:rPr>
        <w:t xml:space="preserve">rizado muestra que los miembros no electos no necesariamente participan en los MCC bajo esquemas sustantivamente consultivos. Por el contrario, la situación a nivel regional apunta al otorgamiento de un estatus primario (plenas prerrogativas de voz y voto)</w:t>
      </w:r>
      <w:r>
        <w:rPr>
          <w:rFonts w:eastAsia="Times New Roman" w:cs="Times New Roman"/>
          <w:color w:val="000000"/>
          <w:sz w:val="24"/>
        </w:rPr>
        <w:t xml:space="preserve">. Si bien los datos agregados iniciales sugieren una inclinación hacia los roles secundarios (voz sin voto) en los procesos de ratificación híbrida, el estudio comprueba que este comportamiento se encuentra sesgado por la densidad comparativa de casos del </w:t>
      </w:r>
      <w:r>
        <w:rPr>
          <w:rFonts w:eastAsia="Times New Roman" w:cs="Times New Roman"/>
          <w:color w:val="000000"/>
          <w:sz w:val="24"/>
        </w:rPr>
        <w:t xml:space="preserve">sistema peruano (51 de los 69 casos regionales). Al aislar este factor, se constata que la capacidad de incidencia política real y vinculante de los actores designados por el rector es la norma predominante en América Latina. Como se desprende de la Tabla </w:t>
      </w:r>
      <w:r>
        <w:rPr>
          <w:rFonts w:eastAsia="Times New Roman" w:cs="Times New Roman"/>
          <w:color w:val="000000"/>
          <w:sz w:val="24"/>
        </w:rPr>
        <w:t xml:space="preserve">4, el estatus de miembro pleno (caracterizado por contar con voz y voto) predomina ampliamente entre los designados directamente por el Rector (115 de 131 casos) y se extiende, asimismo, a una parte significativa de los miembros éste selecciona (32 de 69).</w:t>
      </w:r>
      <w:r>
        <w:rPr>
          <w:rFonts w:ascii="Times New Roman" w:hAnsi="Times New Roman" w:eastAsia="Times New Roman" w:cs="Times New Roman"/>
          <w:color w:val="000000"/>
          <w:sz w:val="24"/>
          <w:szCs w:val="24"/>
          <w:highlight w:val="none"/>
        </w:rPr>
      </w:r>
    </w:p>
    <w:p>
      <w:pPr>
        <w:pStyle w:val="773"/>
        <w:pBdr/>
        <w:spacing/>
        <w:ind/>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(5) Heterogeneidad de los sistemas nacionales en términos comparado. A nivel individual, por Si</w:t>
      </w:r>
      <w:r>
        <w:rPr>
          <w:rFonts w:eastAsia="Times New Roman" w:cs="Times New Roman"/>
          <w:color w:val="000000"/>
          <w:sz w:val="24"/>
        </w:rPr>
        <w:t xml:space="preserve">stema Universitario Público relevado, se pueden clasificar en cuatro grandes realidades institucionales: (1) MCC de países en los que el desempeño de roles políticos por parte de miembros no electos se caracterizan por ser de designación rectoral directa y</w:t>
      </w:r>
      <w:r>
        <w:rPr>
          <w:rFonts w:eastAsia="Times New Roman" w:cs="Times New Roman"/>
          <w:color w:val="000000"/>
          <w:sz w:val="24"/>
        </w:rPr>
        <w:t xml:space="preserve"> tener un estatus primario (Brasil y Colombia); (2) MCC de países en los que predomina una participación como miembros secundarios (Perú) de consejeros seleccionados por la autoridad rectoral; (3) países en los que donde coexisten de manera concurrente div</w:t>
      </w:r>
      <w:r>
        <w:rPr>
          <w:rFonts w:eastAsia="Times New Roman" w:cs="Times New Roman"/>
          <w:color w:val="000000"/>
          <w:sz w:val="24"/>
        </w:rPr>
        <w:t xml:space="preserve">ersas lógicas de acceso (por designación o selección) y estatus (primarios y secundarios); y (4) donde no hay una integración de miembros no electos en los MCC cuya designación corresponde al Rector (El Salvador, Nicaragua, República Dominicana y Uruguay).</w:t>
      </w:r>
      <w:r>
        <w:rPr>
          <w:rFonts w:ascii="Times New Roman" w:hAnsi="Times New Roman" w:eastAsia="Times New Roman" w:cs="Times New Roman"/>
          <w:color w:val="000000"/>
          <w:sz w:val="24"/>
          <w:szCs w:val="24"/>
          <w:highlight w:val="none"/>
        </w:rPr>
      </w:r>
    </w:p>
    <w:p>
      <w:pPr>
        <w:pStyle w:val="773"/>
        <w:pBdr/>
        <w:spacing/>
        <w:ind/>
        <w:rPr>
          <w:rFonts w:ascii="Times New Roman" w:hAnsi="Times New Roman" w:eastAsia="Times New Roman" w:cs="Times New Roman"/>
          <w:sz w:val="24"/>
          <w:szCs w:val="24"/>
        </w:rPr>
      </w:pPr>
      <w:r>
        <w:rPr>
          <w:rFonts w:eastAsia="Times New Roman" w:cs="Times New Roman"/>
          <w:sz w:val="24"/>
          <w:szCs w:val="24"/>
        </w:rPr>
      </w:r>
      <w:r>
        <w:rPr>
          <w:rFonts w:ascii="Times New Roman" w:hAnsi="Times New Roman" w:eastAsia="Times New Roman" w:cs="Times New Roman"/>
          <w:sz w:val="24"/>
          <w:szCs w:val="24"/>
        </w:rPr>
      </w:r>
    </w:p>
    <w:p>
      <w:pPr>
        <w:pStyle w:val="773"/>
        <w:pBdr/>
        <w:spacing/>
        <w:ind/>
        <w:rPr>
          <w:rFonts w:ascii="Times New Roman" w:hAnsi="Times New Roman" w:eastAsia="Times New Roman" w:cs="Times New Roman"/>
          <w:b/>
          <w:bCs/>
          <w:color w:val="000000"/>
          <w:sz w:val="24"/>
          <w:szCs w:val="24"/>
          <w:highlight w:val="none"/>
        </w:rPr>
      </w:pPr>
      <w:r>
        <w:rPr>
          <w:rFonts w:eastAsia="Times New Roman" w:cs="Times New Roman"/>
          <w:b/>
          <w:color w:val="000000"/>
          <w:sz w:val="24"/>
        </w:rPr>
        <w:t xml:space="preserve">Bibliografía</w:t>
      </w:r>
      <w:r>
        <w:rPr>
          <w:rFonts w:ascii="Times New Roman" w:hAnsi="Times New Roman" w:eastAsia="Times New Roman" w:cs="Times New Roman"/>
          <w:b/>
          <w:bCs/>
          <w:color w:val="000000"/>
          <w:sz w:val="24"/>
          <w:szCs w:val="24"/>
          <w:highlight w:val="none"/>
        </w:rPr>
      </w:r>
    </w:p>
    <w:p>
      <w:pPr>
        <w:pStyle w:val="773"/>
        <w:pBdr/>
        <w:spacing/>
        <w:ind/>
        <w:rPr/>
      </w:pPr>
      <w:r/>
      <w:r/>
    </w:p>
    <w:p>
      <w:pPr>
        <w:pStyle w:val="773"/>
        <w:pBdr/>
        <w:spacing/>
        <w:ind w:firstLine="708"/>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Acosta Silva, A. (2009). Príncipes, burócratas y gerentes. El gobierno de las universidades públicas en México, Mexico, ANUIES, 228 pp. </w:t>
      </w:r>
      <w:r>
        <w:rPr>
          <w:rFonts w:ascii="Times New Roman" w:hAnsi="Times New Roman" w:eastAsia="Times New Roman" w:cs="Times New Roman"/>
          <w:color w:val="000000"/>
          <w:sz w:val="24"/>
          <w:szCs w:val="24"/>
          <w:highlight w:val="none"/>
        </w:rPr>
      </w:r>
    </w:p>
    <w:p>
      <w:pPr>
        <w:pStyle w:val="773"/>
        <w:pBdr/>
        <w:spacing/>
        <w:ind w:firstLine="708"/>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Acosta Silva, A., Atairo, D. y Camou, A. (2015). “Gobernabili</w:t>
      </w:r>
      <w:r>
        <w:rPr>
          <w:rFonts w:eastAsia="Times New Roman" w:cs="Times New Roman"/>
          <w:color w:val="000000"/>
          <w:sz w:val="24"/>
        </w:rPr>
        <w:t xml:space="preserve">dad y democracia en la universidad pública latinoamericana: Argentina y México en perspectiva comparada”, en Los desafíos de la universidad pública en América Latina y el Caribe, Adrián Acosta Silva… [et.al.]. CLACSO. Ciudad Autónoma de Buenos Aires; 2015.</w:t>
      </w:r>
      <w:r>
        <w:rPr>
          <w:rFonts w:ascii="Times New Roman" w:hAnsi="Times New Roman" w:eastAsia="Times New Roman" w:cs="Times New Roman"/>
          <w:color w:val="000000"/>
          <w:sz w:val="24"/>
          <w:szCs w:val="24"/>
          <w:highlight w:val="none"/>
        </w:rPr>
      </w:r>
    </w:p>
    <w:p>
      <w:pPr>
        <w:pStyle w:val="773"/>
        <w:pBdr/>
        <w:spacing/>
        <w:ind w:firstLine="708"/>
        <w:rPr/>
      </w:pPr>
      <w:r>
        <w:rPr>
          <w:rFonts w:eastAsia="Times New Roman" w:cs="Times New Roman"/>
          <w:color w:val="000000"/>
          <w:sz w:val="24"/>
        </w:rPr>
        <w:t xml:space="preserve">Brunner, J.J. (2009). Educación Superior en Chile: Instituciones, Mercados y Políticas Gubernamentales (1967-2007). Ediciones Universidad Diego Portales, Santiago de Chile, Chile.</w:t>
      </w:r>
      <w:r/>
    </w:p>
    <w:p>
      <w:pPr>
        <w:pStyle w:val="773"/>
        <w:pBdr/>
        <w:spacing/>
        <w:ind w:firstLine="708"/>
        <w:rPr/>
      </w:pPr>
      <w:r>
        <w:rPr>
          <w:rFonts w:eastAsia="Times New Roman" w:cs="Times New Roman"/>
          <w:color w:val="000000"/>
          <w:sz w:val="24"/>
        </w:rPr>
        <w:t xml:space="preserve">Clark, B</w:t>
      </w:r>
      <w:r>
        <w:rPr>
          <w:rFonts w:eastAsia="Times New Roman" w:cs="Times New Roman"/>
          <w:color w:val="000000"/>
          <w:sz w:val="24"/>
          <w:lang w:val="es-ES"/>
        </w:rPr>
        <w:t xml:space="preserve">.</w:t>
      </w:r>
      <w:r>
        <w:rPr>
          <w:rFonts w:eastAsia="Times New Roman" w:cs="Times New Roman"/>
          <w:color w:val="000000"/>
          <w:sz w:val="24"/>
        </w:rPr>
        <w:t xml:space="preserve">R. (1998). Creating Entrepreneurial Universities. Organizational Pathways of Transformation. Oxford: IAU Press-Pergamon.</w:t>
      </w:r>
      <w:r/>
    </w:p>
    <w:p>
      <w:pPr>
        <w:pStyle w:val="773"/>
        <w:pBdr/>
        <w:spacing/>
        <w:ind w:firstLine="708"/>
        <w:rPr/>
      </w:pPr>
      <w:r>
        <w:rPr>
          <w:rFonts w:eastAsia="Times New Roman" w:cs="Times New Roman"/>
          <w:color w:val="000000"/>
          <w:sz w:val="24"/>
        </w:rPr>
        <w:t xml:space="preserve">de Jong, S. (2023), “A Novel Definition of Professional Staff”, Kerridge, S., Poli, S. and Yang-Yoshihara, M. (Ed.) The Emerald Handbook of Research Management and Administration Around the World, Emerald Publishing Limited, Leeds, pp. 99-112.</w:t>
      </w:r>
      <w:r/>
    </w:p>
    <w:p>
      <w:pPr>
        <w:pStyle w:val="773"/>
        <w:pBdr/>
        <w:spacing/>
        <w:ind w:firstLine="708"/>
        <w:rPr/>
      </w:pPr>
      <w:r>
        <w:rPr>
          <w:rFonts w:eastAsia="Times New Roman" w:cs="Times New Roman"/>
          <w:color w:val="000000"/>
          <w:sz w:val="24"/>
        </w:rPr>
        <w:t xml:space="preserve">Fernández Lamarra, N. y Aiello, M. (2014). La evaluación </w:t>
      </w:r>
      <w:r>
        <w:rPr>
          <w:rFonts w:eastAsia="Times New Roman" w:cs="Times New Roman"/>
          <w:color w:val="000000"/>
          <w:sz w:val="24"/>
        </w:rPr>
        <w:t xml:space="preserve">universitaria en Argentina en el marco de América Latina. Situación y desafíos en relación al aseguramiento de la calidad. En H. Monarca y J. Valle (Coords.), Evaluación de la calidad de la Educación Superior en Iberoamérica (pp. 21-48). Madrid: GIPES-UAM.</w:t>
      </w:r>
      <w:r/>
    </w:p>
    <w:p>
      <w:pPr>
        <w:pStyle w:val="773"/>
        <w:pBdr/>
        <w:spacing/>
        <w:ind w:firstLine="708"/>
        <w:rPr/>
      </w:pPr>
      <w:r>
        <w:rPr>
          <w:rFonts w:eastAsia="Times New Roman" w:cs="Times New Roman"/>
          <w:color w:val="000000"/>
          <w:sz w:val="24"/>
        </w:rPr>
        <w:t xml:space="preserve">Ganga Contreras, F. &amp; Burotto, J. F. (2012). Dimensión de los máximos cuerpos colegiados de las universidades de Chile: una mirada de agente y principal. Revista de la educación superior, 41(162), 47-66.</w:t>
      </w:r>
      <w:r/>
    </w:p>
    <w:p>
      <w:pPr>
        <w:pStyle w:val="773"/>
        <w:pBdr/>
        <w:spacing/>
        <w:ind w:firstLine="708"/>
        <w:rPr/>
      </w:pPr>
      <w:r>
        <w:rPr>
          <w:rFonts w:eastAsia="Times New Roman" w:cs="Times New Roman"/>
          <w:color w:val="000000"/>
          <w:sz w:val="24"/>
        </w:rPr>
        <w:t xml:space="preserve">Kehm, B. M. (2015a). The Influence of New Higher </w:t>
      </w:r>
      <w:r>
        <w:rPr>
          <w:rFonts w:eastAsia="Times New Roman" w:cs="Times New Roman"/>
          <w:color w:val="000000"/>
          <w:sz w:val="24"/>
        </w:rPr>
        <w:t xml:space="preserve">Education Professionals on Academic Work. In: Teichler, U., Cummings, W. (eds) Forming, Recruiting and Managing the Academic Profession. The Changing Academy–The Changing Academic Profession in International Comparative Perspective, vol 14. Springer, Cham.</w:t>
      </w:r>
      <w:r/>
    </w:p>
    <w:p>
      <w:pPr>
        <w:pStyle w:val="773"/>
        <w:pBdr/>
        <w:spacing/>
        <w:ind w:firstLine="708"/>
        <w:rPr/>
      </w:pPr>
      <w:r>
        <w:rPr>
          <w:rFonts w:eastAsia="Times New Roman" w:cs="Times New Roman"/>
          <w:color w:val="000000"/>
          <w:sz w:val="24"/>
        </w:rPr>
        <w:t xml:space="preserve">---------------- (2015b). Academics and new higher educat</w:t>
      </w:r>
      <w:r>
        <w:rPr>
          <w:rFonts w:eastAsia="Times New Roman" w:cs="Times New Roman"/>
          <w:color w:val="000000"/>
          <w:sz w:val="24"/>
        </w:rPr>
        <w:t xml:space="preserve">ion professionals: Tensions, reciprocal influences and forms of professionalization. In T. Fumasoli, G. Goastellec, &amp; B. M. Kehm (Eds.), Academic Work and Careers in Europe: Trends, Challenges, Perspectives (pp. 177–200). Springer International Publishing.</w:t>
      </w:r>
      <w:r/>
    </w:p>
    <w:p>
      <w:pPr>
        <w:pStyle w:val="773"/>
        <w:pBdr/>
        <w:spacing/>
        <w:ind w:firstLine="708"/>
        <w:rPr/>
      </w:pPr>
      <w:r>
        <w:rPr>
          <w:rFonts w:eastAsia="Times New Roman" w:cs="Times New Roman"/>
          <w:color w:val="000000"/>
          <w:sz w:val="24"/>
        </w:rPr>
        <w:t xml:space="preserve">Labraña, J., Henríquez Aravena, A., &amp; Gómez Poblete, M. R. (2024). Internacionalización universitaria en Chile: nueva gestión pública y resistencias. Revista Iberoamericana De Educación Superior, 15 (42), 3–19. </w:t>
      </w:r>
      <w:r/>
    </w:p>
    <w:p>
      <w:pPr>
        <w:pStyle w:val="773"/>
        <w:pBdr/>
        <w:spacing/>
        <w:ind w:firstLine="708"/>
        <w:rPr>
          <w:rFonts w:ascii="Times New Roman" w:hAnsi="Times New Roman" w:eastAsia="Times New Roman" w:cs="Times New Roman"/>
          <w:color w:val="000000"/>
          <w:sz w:val="24"/>
          <w:szCs w:val="24"/>
          <w:highlight w:val="none"/>
        </w:rPr>
      </w:pPr>
      <w:r>
        <w:rPr>
          <w:rFonts w:eastAsia="Times New Roman" w:cs="Times New Roman"/>
          <w:color w:val="000000"/>
          <w:sz w:val="24"/>
        </w:rPr>
        <w:t xml:space="preserve">López Zárate, R. (2013). Percepciones de académicos, directivos y funcionarios sobre la legitimidad y el liderazgo de los rectores de las Universidades Públicas mexicanas. Revista Mexicana de Investigación Educativa.</w:t>
      </w:r>
      <w:r>
        <w:rPr>
          <w:rFonts w:ascii="Times New Roman" w:hAnsi="Times New Roman" w:eastAsia="Times New Roman" w:cs="Times New Roman"/>
          <w:color w:val="000000"/>
          <w:sz w:val="24"/>
          <w:szCs w:val="24"/>
          <w:highlight w:val="none"/>
        </w:rPr>
      </w:r>
    </w:p>
    <w:p>
      <w:pPr>
        <w:pStyle w:val="773"/>
        <w:pBdr/>
        <w:spacing/>
        <w:ind w:firstLine="708"/>
        <w:rPr/>
      </w:pPr>
      <w:r>
        <w:rPr>
          <w:rFonts w:eastAsia="Times New Roman" w:cs="Times New Roman"/>
          <w:color w:val="000000"/>
          <w:sz w:val="24"/>
        </w:rPr>
        <w:t xml:space="preserve">Macfarlane, B. 2011. The morphing of academic practice: Unbundling and the rise of the para-academic. Higher Education Quarterly 65 (1): 59–73.</w:t>
      </w:r>
      <w:r/>
    </w:p>
    <w:p>
      <w:pPr>
        <w:pStyle w:val="773"/>
        <w:pBdr/>
        <w:spacing/>
        <w:ind w:firstLine="708"/>
        <w:rPr/>
      </w:pPr>
      <w:r>
        <w:rPr>
          <w:rFonts w:eastAsia="Times New Roman" w:cs="Times New Roman"/>
          <w:color w:val="000000"/>
          <w:sz w:val="24"/>
        </w:rPr>
        <w:t xml:space="preserve">Marquina, M. (2020). “Entre ser ‘técnico’, ‘académico’ o ‘político’ en la Universidad. Los nuevos roles de gestión en las universidades argentinas”. RELAPAE, (12), pp. 82-96.</w:t>
      </w:r>
      <w:r/>
    </w:p>
    <w:p>
      <w:pPr>
        <w:pStyle w:val="773"/>
        <w:pBdr/>
        <w:spacing/>
        <w:ind w:firstLine="708"/>
        <w:rPr/>
      </w:pPr>
      <w:r>
        <w:rPr>
          <w:rFonts w:eastAsia="Times New Roman" w:cs="Times New Roman"/>
          <w:color w:val="000000"/>
          <w:sz w:val="24"/>
        </w:rPr>
        <w:t xml:space="preserve">Marquina, M.; Santín, S.; Rodríguez, W.; Reznik, N.; Lizzano, V.; Lizitza, N.; Denes, C.; Giménez, G. &amp; Mazzeo, I. (2024). “Nuevas áre</w:t>
      </w:r>
      <w:r>
        <w:rPr>
          <w:rFonts w:eastAsia="Times New Roman" w:cs="Times New Roman"/>
          <w:color w:val="000000"/>
          <w:sz w:val="24"/>
        </w:rPr>
        <w:t xml:space="preserve">as y roles en el gobierno y la gestión de las universidades nacionales argentinas: entre la colegialidad y el gerencialismo”, en Estudios de Política y Administración de la Educación; IV; 6-2024; 215-235. Universidad Nacional de Tres de Febrero, Argentina.</w:t>
      </w:r>
      <w:r/>
    </w:p>
    <w:p>
      <w:pPr>
        <w:pStyle w:val="773"/>
        <w:pBdr/>
        <w:spacing/>
        <w:ind w:firstLine="708"/>
        <w:rPr/>
      </w:pPr>
      <w:r>
        <w:rPr>
          <w:rFonts w:eastAsia="Times New Roman" w:cs="Times New Roman"/>
          <w:color w:val="000000"/>
          <w:sz w:val="24"/>
        </w:rPr>
        <w:t xml:space="preserve">Nosiglia, M. C. &amp; Fuksman, B. (2021). La participación de los académicos en la gestión de las universidades públicas argentinas. Hallazgos del estudio internacional APIKS. Revista de Educación, (24.2), 159-181.</w:t>
      </w:r>
      <w:r/>
    </w:p>
    <w:p>
      <w:pPr>
        <w:pStyle w:val="773"/>
        <w:pBdr/>
        <w:spacing/>
        <w:ind w:firstLine="708"/>
        <w:rPr/>
      </w:pPr>
      <w:r>
        <w:rPr>
          <w:rFonts w:eastAsia="Times New Roman" w:cs="Times New Roman"/>
          <w:color w:val="000000"/>
          <w:sz w:val="24"/>
        </w:rPr>
        <w:t xml:space="preserve">Obeide, S. (2020). Nuevos roles, nuevas identidades: ¿el nacimiento de un nuevo sector en las universidades públicas Argentinas?. Integración y Conocimiento, 9(1), 101–112. </w:t>
      </w:r>
      <w:r/>
    </w:p>
    <w:p>
      <w:pPr>
        <w:pStyle w:val="773"/>
        <w:pBdr/>
        <w:spacing/>
        <w:ind w:firstLine="708"/>
        <w:rPr/>
      </w:pPr>
      <w:r>
        <w:rPr>
          <w:rFonts w:eastAsia="Times New Roman" w:cs="Times New Roman"/>
          <w:color w:val="000000"/>
          <w:sz w:val="24"/>
        </w:rPr>
        <w:t xml:space="preserve">Obexer, R. (2022). Lost in third space: Identity work of a “blended professional” in higher education. Studies in Technology Enhanced Learning, 2(3).</w:t>
      </w:r>
      <w:r/>
    </w:p>
    <w:p>
      <w:pPr>
        <w:pStyle w:val="773"/>
        <w:pBdr/>
        <w:spacing/>
        <w:ind w:firstLine="708"/>
        <w:rPr/>
      </w:pPr>
      <w:r>
        <w:rPr>
          <w:rFonts w:eastAsia="Times New Roman" w:cs="Times New Roman"/>
          <w:color w:val="000000"/>
          <w:sz w:val="24"/>
        </w:rPr>
        <w:t xml:space="preserve">Rifo, M. &amp; Torralbo, F. (2023). “Nuevos profesionales en educación superior: Gerencialismo o buroc</w:t>
      </w:r>
      <w:r>
        <w:rPr>
          <w:rFonts w:eastAsia="Times New Roman" w:cs="Times New Roman"/>
          <w:color w:val="000000"/>
          <w:sz w:val="24"/>
        </w:rPr>
        <w:t xml:space="preserve">ratización en el gobierno de las instituciones”, en Labraña, Brunner, Rodríguez-Ponce &amp; Puyol (Coord.) Redefiniendo la educación superior chilena: cambio organizacional y nuevas formas de gobernanza. Santiago de Chile: Ediciones Universidad Diego Portales.</w:t>
      </w:r>
      <w:r/>
    </w:p>
    <w:p>
      <w:pPr>
        <w:pStyle w:val="773"/>
        <w:pBdr/>
        <w:spacing/>
        <w:ind w:firstLine="708"/>
        <w:rPr/>
      </w:pPr>
      <w:r>
        <w:rPr>
          <w:rFonts w:eastAsia="Times New Roman" w:cs="Times New Roman"/>
          <w:color w:val="000000"/>
          <w:sz w:val="24"/>
        </w:rPr>
        <w:t xml:space="preserve">Ry</w:t>
      </w:r>
      <w:r>
        <w:rPr>
          <w:rFonts w:eastAsia="Times New Roman" w:cs="Times New Roman"/>
          <w:color w:val="000000"/>
          <w:sz w:val="24"/>
        </w:rPr>
        <w:t xml:space="preserve">ttberg, M. (2020). Professional Support Staff at Higher Education Institutions. Navigating Ambiguities in Hybrid Roles. Doctoral Thesis in Education and Communication in the Technological Sciences. KTH Royal Institute of Technology. Stockholm, Sweden 2020.</w:t>
      </w:r>
      <w:r/>
    </w:p>
    <w:p>
      <w:pPr>
        <w:pStyle w:val="773"/>
        <w:pBdr/>
        <w:spacing/>
        <w:ind w:firstLine="708"/>
        <w:rPr/>
      </w:pPr>
      <w:r>
        <w:rPr>
          <w:rFonts w:eastAsia="Times New Roman" w:cs="Times New Roman"/>
          <w:color w:val="000000"/>
          <w:sz w:val="24"/>
        </w:rPr>
        <w:t xml:space="preserve">Ryttberg, M. &amp; Geschwind, L. (2017). Professional support staff at higher education institutions in Sweden: roles and success factors for the job. Tertiary Education and Management.</w:t>
      </w:r>
      <w:r/>
    </w:p>
    <w:p>
      <w:pPr>
        <w:pStyle w:val="773"/>
        <w:pBdr/>
        <w:spacing/>
        <w:ind w:firstLine="708"/>
        <w:rPr/>
      </w:pPr>
      <w:r>
        <w:rPr>
          <w:rFonts w:eastAsia="Times New Roman" w:cs="Times New Roman"/>
          <w:color w:val="000000"/>
          <w:sz w:val="24"/>
        </w:rPr>
        <w:t xml:space="preserve">Schneijderberg, C. (2017). Higher Education Professionals: A Growing Profession, en Shin J., Teixeira P. (eds) Encyclopedia of International Higher Education Systems and Institutions. Springer, Dordrecht.</w:t>
      </w:r>
      <w:r/>
    </w:p>
    <w:p>
      <w:pPr>
        <w:pStyle w:val="773"/>
        <w:pBdr/>
        <w:spacing/>
        <w:ind w:firstLine="708"/>
        <w:rPr/>
      </w:pPr>
      <w:r>
        <w:rPr>
          <w:rFonts w:eastAsia="Times New Roman" w:cs="Times New Roman"/>
          <w:color w:val="000000"/>
          <w:sz w:val="24"/>
        </w:rPr>
        <w:t xml:space="preserve">Scharager, J. (2017). Nuevos actores en un viejo escenario: la profesionalización de la gestión de la calidad académica en Chile, 1990-2015. Tesis Doctoral. Leiden University.</w:t>
      </w:r>
      <w:r/>
    </w:p>
    <w:p>
      <w:pPr>
        <w:pStyle w:val="773"/>
        <w:pBdr/>
        <w:spacing/>
        <w:ind w:firstLine="708"/>
        <w:rPr/>
      </w:pPr>
      <w:r>
        <w:rPr>
          <w:rFonts w:eastAsia="Times New Roman" w:cs="Times New Roman"/>
          <w:color w:val="000000"/>
          <w:sz w:val="24"/>
        </w:rPr>
        <w:t xml:space="preserve">Scharager, J. &amp; Rodríguez, P. (2019). Identidad profesional de los administradores de la calidad en universidades chilenas: entre la invisibilización y la burocratización. Calidad en la educación, (50), 254-283.</w:t>
      </w:r>
      <w:r/>
    </w:p>
    <w:p>
      <w:pPr>
        <w:pStyle w:val="773"/>
        <w:pBdr/>
        <w:spacing/>
        <w:ind w:firstLine="708"/>
        <w:rPr/>
      </w:pPr>
      <w:r>
        <w:rPr>
          <w:rFonts w:eastAsia="Times New Roman" w:cs="Times New Roman"/>
          <w:color w:val="000000"/>
          <w:sz w:val="24"/>
        </w:rPr>
        <w:t xml:space="preserve">Slaughter, S. y Leslie, L. L. (1997). Academic capitalism: politics, policies, and the entrepreneurial university. Baltimore: Johns Hopkins University Press.</w:t>
      </w:r>
      <w:r/>
    </w:p>
    <w:p>
      <w:pPr>
        <w:pStyle w:val="773"/>
        <w:pBdr/>
        <w:spacing/>
        <w:ind/>
        <w:rPr/>
      </w:pPr>
      <w:r>
        <w:rPr>
          <w:rFonts w:eastAsia="Times New Roman" w:cs="Times New Roman"/>
          <w:color w:val="000000"/>
          <w:sz w:val="24"/>
        </w:rPr>
        <w:t xml:space="preserve">Sthioul, A., González, R., Rifo, M. y Tor</w:t>
      </w:r>
      <w:r>
        <w:rPr>
          <w:rFonts w:eastAsia="Times New Roman" w:cs="Times New Roman"/>
          <w:color w:val="000000"/>
          <w:sz w:val="24"/>
        </w:rPr>
        <w:t xml:space="preserve">ralbo, F. (2018). ¿Un cuarto estamento universitario? Percepción de grupos directivos y académicos de las universidades estatales sobre este nuevo equipo de profesionales en la gestión universitaria. Serie Evidencias, Nº 39; p. 22. Ministerio de Educación.</w:t>
      </w:r>
      <w:r/>
    </w:p>
    <w:p>
      <w:pPr>
        <w:pStyle w:val="773"/>
        <w:pBdr/>
        <w:spacing/>
        <w:ind w:firstLine="708"/>
        <w:rPr/>
      </w:pPr>
      <w:r>
        <w:rPr>
          <w:rFonts w:eastAsia="Times New Roman" w:cs="Times New Roman"/>
          <w:color w:val="000000"/>
          <w:sz w:val="24"/>
        </w:rPr>
        <w:t xml:space="preserve">Suasnábar, C. (2002). Resistencia, cambio</w:t>
      </w:r>
      <w:r>
        <w:rPr>
          <w:rFonts w:eastAsia="Times New Roman" w:cs="Times New Roman"/>
          <w:color w:val="000000"/>
          <w:sz w:val="24"/>
        </w:rPr>
        <w:t xml:space="preserve"> y adaptación en las universidades argentinas: problemas conceptuales y tendencias emergentes en el gobierno y la gestión académica. Fundamentos en Humanidades, vol. III, núm. 5-6, febrero-marzo, 2002. Universidad Nacional de San Luis. San Luis, Argentina.</w:t>
      </w:r>
      <w:r/>
    </w:p>
    <w:p>
      <w:pPr>
        <w:pStyle w:val="773"/>
        <w:pBdr/>
        <w:spacing/>
        <w:ind w:firstLine="708"/>
        <w:rPr/>
      </w:pPr>
      <w:r>
        <w:rPr>
          <w:rFonts w:eastAsia="Times New Roman" w:cs="Times New Roman"/>
          <w:color w:val="000000"/>
          <w:sz w:val="24"/>
        </w:rPr>
        <w:t xml:space="preserve">Szekeres, J. 2011. Professional staff carve out a new space. Journal of Higher Education Policy and Management 33 (6): 679–691. </w:t>
      </w:r>
      <w:r/>
    </w:p>
    <w:p>
      <w:pPr>
        <w:pStyle w:val="773"/>
        <w:pBdr/>
        <w:spacing/>
        <w:ind w:firstLine="708"/>
        <w:rPr/>
      </w:pPr>
      <w:r>
        <w:rPr>
          <w:rFonts w:eastAsia="Times New Roman" w:cs="Times New Roman"/>
          <w:color w:val="000000"/>
          <w:sz w:val="24"/>
        </w:rPr>
        <w:t xml:space="preserve">Tünnermann Bernheim, C. (2008). Noventa años de la Reforma Universitaria de Córdoba (1918-2008). CLACSO, Consejo Latinoamericano de Ciencias Sociales. Colección Grupos de Trabajo, Serie de Estudios Latinoamericanos, Argentina.</w:t>
      </w:r>
      <w:r/>
    </w:p>
    <w:p>
      <w:pPr>
        <w:pStyle w:val="773"/>
        <w:pBdr/>
        <w:spacing/>
        <w:ind w:firstLine="708"/>
        <w:rPr/>
      </w:pPr>
      <w:r>
        <w:rPr>
          <w:rFonts w:eastAsia="Times New Roman" w:cs="Times New Roman"/>
          <w:color w:val="000000"/>
          <w:sz w:val="24"/>
        </w:rPr>
        <w:t xml:space="preserve">Veles, N., Graham, C. &amp; Ovaska, C. (2023). “University professional staff roles, identities, and spaces of interaction: systematic review of literature published in 2000–2020”, in Policy Reviews in Higher Education, 7:2, 127-168. </w:t>
      </w:r>
      <w:r/>
    </w:p>
    <w:p>
      <w:pPr>
        <w:pStyle w:val="773"/>
        <w:pBdr/>
        <w:spacing/>
        <w:ind w:firstLine="708"/>
        <w:rPr/>
      </w:pPr>
      <w:r>
        <w:rPr>
          <w:rFonts w:eastAsia="Times New Roman" w:cs="Times New Roman"/>
          <w:color w:val="000000"/>
          <w:sz w:val="24"/>
        </w:rPr>
        <w:t xml:space="preserve">Vilches, L. (2021). The Rise of the Professional Staff in Chilean Public Universities. An Analysis through the Lens of University Models. GRIN Verlag.</w:t>
      </w:r>
      <w:r/>
    </w:p>
    <w:p>
      <w:pPr>
        <w:pStyle w:val="773"/>
        <w:pBdr/>
        <w:spacing/>
        <w:ind w:firstLine="708"/>
        <w:rPr/>
      </w:pPr>
      <w:r>
        <w:rPr>
          <w:rFonts w:eastAsia="Times New Roman" w:cs="Times New Roman"/>
          <w:color w:val="000000"/>
          <w:sz w:val="24"/>
        </w:rPr>
        <w:t xml:space="preserve">Whitchurch, C. (2008). Beyond administration and management: reconstructing the identities of professional staff in UK higher education. Journal of Higher Education Policy and Management, 30(4), 375–386.</w:t>
      </w:r>
      <w:r/>
    </w:p>
    <w:p>
      <w:pPr>
        <w:pStyle w:val="773"/>
        <w:pBdr/>
        <w:spacing/>
        <w:ind w:firstLine="708"/>
        <w:rPr/>
      </w:pPr>
      <w:r>
        <w:rPr>
          <w:rFonts w:eastAsia="Times New Roman" w:cs="Times New Roman"/>
          <w:color w:val="000000"/>
          <w:sz w:val="24"/>
        </w:rPr>
        <w:t xml:space="preserve">------------------- (2010). Optimising the Potential of Third Space Professionals in Higher Education. Zeitschrift für Hochschulentwicklung.</w:t>
      </w:r>
      <w:r/>
    </w:p>
    <w:p>
      <w:pPr>
        <w:pStyle w:val="773"/>
        <w:pBdr/>
        <w:spacing/>
        <w:ind w:firstLine="708"/>
        <w:rPr/>
      </w:pPr>
      <w:r>
        <w:rPr>
          <w:rFonts w:eastAsia="Times New Roman" w:cs="Times New Roman"/>
          <w:color w:val="000000"/>
          <w:sz w:val="24"/>
        </w:rPr>
        <w:t xml:space="preserve">------------------- (2013). Reconstructing Identities in Higher Education: The Rise of Third Space Professionals. London, UK: Routledge.</w:t>
      </w:r>
      <w:r/>
    </w:p>
    <w:p>
      <w:pPr>
        <w:pStyle w:val="773"/>
        <w:pBdr/>
        <w:spacing/>
        <w:ind w:firstLine="708"/>
        <w:rPr/>
      </w:pPr>
      <w:r>
        <w:rPr>
          <w:rFonts w:eastAsia="Times New Roman" w:cs="Times New Roman"/>
          <w:color w:val="000000"/>
          <w:sz w:val="24"/>
        </w:rPr>
        <w:t xml:space="preserve">------------------- (2015). The </w:t>
      </w:r>
      <w:r>
        <w:rPr>
          <w:rFonts w:eastAsia="Times New Roman" w:cs="Times New Roman"/>
          <w:color w:val="000000"/>
          <w:sz w:val="24"/>
        </w:rPr>
        <w:t xml:space="preserve">Rise of Third Space Professionals: Paradoxes and Dilemmas. In: Teichler, U., Cummings, W. (eds) Forming, Recruiting and Managing the Academic Profession. The Changing Academic Profession in International Comparative Perspective, vol 14. pp 79–99. Springer.</w:t>
      </w:r>
      <w:r/>
    </w:p>
    <w:p>
      <w:pPr>
        <w:pStyle w:val="773"/>
        <w:pBdr/>
        <w:spacing/>
        <w:ind w:firstLine="708"/>
        <w:rPr/>
      </w:pPr>
      <w:r>
        <w:rPr>
          <w:rFonts w:eastAsia="Times New Roman" w:cs="Times New Roman"/>
          <w:color w:val="000000"/>
          <w:sz w:val="24"/>
        </w:rPr>
        <w:t xml:space="preserve">Zahir, A. (2010). Third Space Professionals as Policy Actors. Zeitschrift für Hochschulentwicklung.</w:t>
      </w:r>
      <w:r/>
    </w:p>
    <w:p>
      <w:pPr>
        <w:pStyle w:val="773"/>
        <w:pBdr/>
        <w:spacing/>
        <w:ind/>
        <w:rPr/>
      </w:pPr>
      <w:r/>
      <w:r/>
    </w:p>
    <w:p>
      <w:pPr>
        <w:pStyle w:val="773"/>
        <w:pBdr/>
        <w:spacing/>
        <w:ind/>
        <w:rPr>
          <w:rFonts w:ascii="Times New Roman" w:hAnsi="Times New Roman" w:cs="Times New Roman"/>
          <w:b/>
          <w:bCs/>
          <w:lang w:val="es-ES"/>
        </w:rPr>
      </w:pPr>
      <w:r/>
      <w:r>
        <w:rPr>
          <w:rFonts w:ascii="Times New Roman" w:hAnsi="Times New Roman" w:cs="Times New Roman"/>
          <w:b/>
          <w:bCs/>
          <w:lang w:val="es-ES"/>
        </w:rPr>
      </w:r>
    </w:p>
    <w:sectPr>
      <w:headerReference w:type="default" r:id="rId8"/>
      <w:footerReference w:type="default" r:id="rId9"/>
      <w:footnotePr/>
      <w:endnotePr/>
      <w:type w:val="nextPage"/>
      <w:pgSz w:h="16838" w:orient="portrait" w:w="11906"/>
      <w:pgMar w:top="2410" w:right="1701" w:bottom="1843" w:left="1701" w:header="284" w:footer="0" w:gutter="0"/>
      <w:pgBorders w:display="allPages" w:offsetFrom="page" w:zOrder="front">
        <w:left w:color="00b0f0" w:space="12" w:sz="48" w:val="single"/>
        <w:right w:color="00b0f0" w:space="12" w:sz="48" w:val="single"/>
      </w:pgBorders>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CJK SC">
    <w:panose1 w:val="020B0500000000000000"/>
  </w:font>
  <w:font w:name="Lohit Devanagari">
    <w:panose1 w:val="020B0600000000000000"/>
  </w:font>
  <w:font w:name="Liberation Sans">
    <w:panose1 w:val="020B0604020202020204"/>
  </w:font>
  <w:font w:name="Arial">
    <w:panose1 w:val="020B0604020202020204"/>
  </w:font>
  <w:font w:name="Calibri Light">
    <w:panose1 w:val="020F030202020403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5"/>
      <w:pBdr/>
      <w:spacing/>
      <w:ind/>
      <w:rPr/>
    </w:pPr>
    <w:r>
      <mc:AlternateContent>
        <mc:Choice Requires="wpg">
          <w:drawing>
            <wp:inline xmlns:wp="http://schemas.openxmlformats.org/drawingml/2006/wordprocessingDrawing" distT="0" distB="0" distL="0" distR="0">
              <wp:extent cx="5400040" cy="428625"/>
              <wp:effectExtent l="0" t="0" r="0" b="0"/>
              <wp:docPr id="2"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descr=""/>
                      <pic:cNvPicPr>
                        <a:picLocks noChangeAspect="1"/>
                      </pic:cNvPicPr>
                      <pic:nvPr/>
                    </pic:nvPicPr>
                    <pic:blipFill rotWithShape="1">
                      <a:blip r:embed="rId1"/>
                      <a:stretch/>
                    </pic:blipFill>
                    <pic:spPr bwMode="auto">
                      <a:xfrm>
                        <a:off x="0" y="0"/>
                        <a:ext cx="5400040" cy="428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5.20pt;height:33.75pt;mso-wrap-distance-left:0.00pt;mso-wrap-distance-top:0.00pt;mso-wrap-distance-right:0.00pt;mso-wrap-distance-bottom:0.00pt;z-index:1;" stroked="false">
              <v:imagedata r:id="rId1" o:title=""/>
              <o:lock v:ext="edit" rotation="t"/>
            </v:shape>
          </w:pict>
        </mc:Fallback>
      </mc:AlternateContent>
    </w:r>
    <w:r/>
  </w:p>
  <w:p>
    <w:pPr>
      <w:pStyle w:val="79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4"/>
      <w:pBdr/>
      <w:spacing/>
      <w:ind/>
      <w:jc w:val="center"/>
      <w:rPr/>
    </w:pPr>
    <w:r>
      <mc:AlternateContent>
        <mc:Choice Requires="wpg">
          <w:drawing>
            <wp:inline xmlns:wp="http://schemas.openxmlformats.org/drawingml/2006/wordprocessingDrawing" distT="0" distB="0" distL="0" distR="0">
              <wp:extent cx="2595880" cy="108204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pic:cNvPicPr>
                      <pic:nvPr/>
                    </pic:nvPicPr>
                    <pic:blipFill rotWithShape="1">
                      <a:blip r:embed="rId1"/>
                      <a:stretch/>
                    </pic:blipFill>
                    <pic:spPr bwMode="auto">
                      <a:xfrm>
                        <a:off x="0" y="0"/>
                        <a:ext cx="2595880" cy="1082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04.40pt;height:85.20pt;mso-wrap-distance-left:0.00pt;mso-wrap-distance-top:0.00pt;mso-wrap-distance-right:0.00pt;mso-wrap-distance-bottom:0.00pt;z-index:1;" stroked="false">
              <v:imagedata r:id="rId1" o:title=""/>
              <o:lock v:ext="edit" rotation="t"/>
            </v:shape>
          </w:pict>
        </mc:Fallback>
      </mc:AlternateContent>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es-AR" w:eastAsia="en-US" w:bidi="ar-SA"/>
        <w14:ligatures w14:val="standardContextual"/>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72">
    <w:name w:val="Emphasis"/>
    <w:basedOn w:val="748"/>
    <w:uiPriority w:val="20"/>
    <w:qFormat/>
    <w:pPr>
      <w:pBdr/>
      <w:spacing/>
      <w:ind/>
    </w:pPr>
    <w:rPr>
      <w:i/>
      <w:iCs/>
    </w:rPr>
  </w:style>
  <w:style w:type="character" w:styleId="183">
    <w:name w:val="footnote reference"/>
    <w:basedOn w:val="748"/>
    <w:uiPriority w:val="99"/>
    <w:semiHidden/>
    <w:unhideWhenUsed/>
    <w:pPr>
      <w:pBdr/>
      <w:spacing/>
      <w:ind/>
    </w:pPr>
    <w:rPr>
      <w:vertAlign w:val="superscript"/>
    </w:rPr>
  </w:style>
  <w:style w:type="character" w:styleId="186">
    <w:name w:val="endnote reference"/>
    <w:basedOn w:val="748"/>
    <w:uiPriority w:val="99"/>
    <w:semiHidden/>
    <w:unhideWhenUsed/>
    <w:pPr>
      <w:pBdr/>
      <w:spacing/>
      <w:ind/>
    </w:pPr>
    <w:rPr>
      <w:vertAlign w:val="superscript"/>
    </w:rPr>
  </w:style>
  <w:style w:type="character" w:styleId="187">
    <w:name w:val="Hyperlink"/>
    <w:basedOn w:val="748"/>
    <w:uiPriority w:val="99"/>
    <w:unhideWhenUsed/>
    <w:pPr>
      <w:pBdr/>
      <w:spacing/>
      <w:ind/>
    </w:pPr>
    <w:rPr>
      <w:color w:val="0563c1" w:themeColor="hyperlink"/>
      <w:u w:val="single"/>
    </w:rPr>
  </w:style>
  <w:style w:type="character" w:styleId="188">
    <w:name w:val="FollowedHyperlink"/>
    <w:basedOn w:val="748"/>
    <w:uiPriority w:val="99"/>
    <w:semiHidden/>
    <w:unhideWhenUsed/>
    <w:pPr>
      <w:pBdr/>
      <w:spacing/>
      <w:ind/>
    </w:pPr>
    <w:rPr>
      <w:color w:val="954f72" w:themeColor="followedHyperlink"/>
      <w:u w:val="single"/>
    </w:rPr>
  </w:style>
  <w:style w:type="paragraph" w:styleId="710" w:default="1">
    <w:name w:val="Normal"/>
    <w:qFormat/>
    <w:pPr>
      <w:widowControl w:val="true"/>
      <w:pBdr/>
      <w:bidi w:val="false"/>
      <w:spacing w:after="160" w:afterAutospacing="0" w:before="0" w:beforeAutospacing="0" w:line="240" w:lineRule="auto"/>
      <w:ind/>
      <w:jc w:val="both"/>
    </w:pPr>
    <w:rPr>
      <w:rFonts w:ascii="Times New Roman" w:hAnsi="Times New Roman" w:eastAsia="Calibri" w:cs="Times New Roman" w:eastAsiaTheme="minorHAnsi"/>
      <w:b w:val="0"/>
      <w:bCs w:val="0"/>
      <w:color w:val="auto"/>
      <w:sz w:val="24"/>
      <w:szCs w:val="24"/>
      <w:lang w:val="en-US" w:eastAsia="en-US" w:bidi="ar-SA"/>
      <w14:ligatures w14:val="standardContextual"/>
    </w:rPr>
  </w:style>
  <w:style w:type="paragraph" w:styleId="711">
    <w:name w:val="Heading 1"/>
    <w:basedOn w:val="710"/>
    <w:next w:val="710"/>
    <w:link w:val="749"/>
    <w:uiPriority w:val="9"/>
    <w:qFormat/>
    <w:pPr>
      <w:keepNext w:val="true"/>
      <w:keepLines w:val="true"/>
      <w:pBdr/>
      <w:spacing w:after="80" w:before="360"/>
      <w:ind/>
      <w:outlineLvl w:val="0"/>
    </w:pPr>
    <w:rPr>
      <w:rFonts w:ascii="Calibri Light" w:hAnsi="Calibri Light" w:eastAsia="Arial" w:cs="Arial" w:asciiTheme="majorHAnsi" w:hAnsiTheme="majorHAnsi" w:eastAsiaTheme="majorEastAsia" w:cstheme="majorBidi"/>
      <w:color w:val="2f5496" w:themeColor="accent1" w:themeShade="BF"/>
      <w:sz w:val="40"/>
      <w:szCs w:val="40"/>
    </w:rPr>
  </w:style>
  <w:style w:type="paragraph" w:styleId="712">
    <w:name w:val="Heading 2"/>
    <w:basedOn w:val="710"/>
    <w:next w:val="710"/>
    <w:link w:val="750"/>
    <w:uiPriority w:val="9"/>
    <w:semiHidden/>
    <w:unhideWhenUsed/>
    <w:qFormat/>
    <w:pPr>
      <w:keepNext w:val="true"/>
      <w:keepLines w:val="true"/>
      <w:pBdr/>
      <w:spacing w:after="80" w:before="160"/>
      <w:ind/>
      <w:outlineLvl w:val="1"/>
    </w:pPr>
    <w:rPr>
      <w:rFonts w:ascii="Calibri Light" w:hAnsi="Calibri Light" w:eastAsia="Arial" w:cs="Arial" w:asciiTheme="majorHAnsi" w:hAnsiTheme="majorHAnsi" w:eastAsiaTheme="majorEastAsia" w:cstheme="majorBidi"/>
      <w:color w:val="2f5496" w:themeColor="accent1" w:themeShade="BF"/>
      <w:sz w:val="32"/>
      <w:szCs w:val="32"/>
    </w:rPr>
  </w:style>
  <w:style w:type="paragraph" w:styleId="713">
    <w:name w:val="Heading 3"/>
    <w:basedOn w:val="710"/>
    <w:next w:val="710"/>
    <w:link w:val="751"/>
    <w:uiPriority w:val="9"/>
    <w:semiHidden/>
    <w:unhideWhenUsed/>
    <w:qFormat/>
    <w:pPr>
      <w:keepNext w:val="true"/>
      <w:keepLines w:val="true"/>
      <w:pBdr/>
      <w:spacing w:after="80" w:before="160"/>
      <w:ind/>
      <w:outlineLvl w:val="2"/>
    </w:pPr>
    <w:rPr>
      <w:rFonts w:eastAsia="Arial" w:cs="Arial" w:eastAsiaTheme="majorEastAsia" w:cstheme="majorBidi"/>
      <w:color w:val="2f5496" w:themeColor="accent1" w:themeShade="BF"/>
      <w:sz w:val="28"/>
      <w:szCs w:val="28"/>
    </w:rPr>
  </w:style>
  <w:style w:type="paragraph" w:styleId="714">
    <w:name w:val="Heading 4"/>
    <w:basedOn w:val="710"/>
    <w:next w:val="710"/>
    <w:link w:val="752"/>
    <w:uiPriority w:val="9"/>
    <w:semiHidden/>
    <w:unhideWhenUsed/>
    <w:qFormat/>
    <w:pPr>
      <w:keepNext w:val="true"/>
      <w:keepLines w:val="true"/>
      <w:pBdr/>
      <w:spacing w:after="40" w:before="80"/>
      <w:ind/>
      <w:outlineLvl w:val="3"/>
    </w:pPr>
    <w:rPr>
      <w:rFonts w:eastAsia="Arial" w:cs="Arial" w:eastAsiaTheme="majorEastAsia" w:cstheme="majorBidi"/>
      <w:i/>
      <w:iCs/>
      <w:color w:val="2f5496" w:themeColor="accent1" w:themeShade="BF"/>
    </w:rPr>
  </w:style>
  <w:style w:type="paragraph" w:styleId="715">
    <w:name w:val="Heading 5"/>
    <w:basedOn w:val="710"/>
    <w:next w:val="710"/>
    <w:link w:val="753"/>
    <w:uiPriority w:val="9"/>
    <w:semiHidden/>
    <w:unhideWhenUsed/>
    <w:qFormat/>
    <w:pPr>
      <w:keepNext w:val="true"/>
      <w:keepLines w:val="true"/>
      <w:pBdr/>
      <w:spacing w:after="40" w:before="80"/>
      <w:ind/>
      <w:outlineLvl w:val="4"/>
    </w:pPr>
    <w:rPr>
      <w:rFonts w:eastAsia="Arial" w:cs="Arial" w:eastAsiaTheme="majorEastAsia" w:cstheme="majorBidi"/>
      <w:color w:val="2f5496" w:themeColor="accent1" w:themeShade="BF"/>
    </w:rPr>
  </w:style>
  <w:style w:type="paragraph" w:styleId="716">
    <w:name w:val="Heading 6"/>
    <w:basedOn w:val="710"/>
    <w:next w:val="710"/>
    <w:link w:val="754"/>
    <w:uiPriority w:val="9"/>
    <w:semiHidden/>
    <w:unhideWhenUsed/>
    <w:qFormat/>
    <w:pPr>
      <w:keepNext w:val="true"/>
      <w:keepLines w:val="true"/>
      <w:pBdr/>
      <w:spacing w:after="0" w:before="40"/>
      <w:ind/>
      <w:outlineLvl w:val="5"/>
    </w:pPr>
    <w:rPr>
      <w:rFonts w:eastAsia="Arial" w:cs="Arial" w:eastAsiaTheme="majorEastAsia" w:cstheme="majorBidi"/>
      <w:i/>
      <w:iCs/>
      <w:color w:val="595959" w:themeColor="text1" w:themeTint="A6"/>
    </w:rPr>
  </w:style>
  <w:style w:type="paragraph" w:styleId="717">
    <w:name w:val="Heading 7"/>
    <w:basedOn w:val="710"/>
    <w:next w:val="710"/>
    <w:link w:val="755"/>
    <w:uiPriority w:val="9"/>
    <w:semiHidden/>
    <w:unhideWhenUsed/>
    <w:qFormat/>
    <w:pPr>
      <w:keepNext w:val="true"/>
      <w:keepLines w:val="true"/>
      <w:pBdr/>
      <w:spacing w:after="0" w:before="40"/>
      <w:ind/>
      <w:outlineLvl w:val="6"/>
    </w:pPr>
    <w:rPr>
      <w:rFonts w:eastAsia="Arial" w:cs="Arial" w:eastAsiaTheme="majorEastAsia" w:cstheme="majorBidi"/>
      <w:color w:val="595959" w:themeColor="text1" w:themeTint="A6"/>
    </w:rPr>
  </w:style>
  <w:style w:type="paragraph" w:styleId="718">
    <w:name w:val="Heading 8"/>
    <w:basedOn w:val="710"/>
    <w:next w:val="710"/>
    <w:link w:val="756"/>
    <w:uiPriority w:val="9"/>
    <w:semiHidden/>
    <w:unhideWhenUsed/>
    <w:qFormat/>
    <w:pPr>
      <w:keepNext w:val="true"/>
      <w:keepLines w:val="true"/>
      <w:pBdr/>
      <w:spacing w:after="0" w:before="0"/>
      <w:ind/>
      <w:outlineLvl w:val="7"/>
    </w:pPr>
    <w:rPr>
      <w:rFonts w:eastAsia="Arial" w:cs="Arial" w:eastAsiaTheme="majorEastAsia" w:cstheme="majorBidi"/>
      <w:i/>
      <w:iCs/>
      <w:color w:val="272727" w:themeColor="text1" w:themeTint="D8"/>
    </w:rPr>
  </w:style>
  <w:style w:type="paragraph" w:styleId="719">
    <w:name w:val="Heading 9"/>
    <w:basedOn w:val="710"/>
    <w:next w:val="710"/>
    <w:link w:val="757"/>
    <w:uiPriority w:val="9"/>
    <w:semiHidden/>
    <w:unhideWhenUsed/>
    <w:qFormat/>
    <w:pPr>
      <w:keepNext w:val="true"/>
      <w:keepLines w:val="true"/>
      <w:pBdr/>
      <w:spacing w:after="0" w:before="0"/>
      <w:ind/>
      <w:outlineLvl w:val="8"/>
    </w:pPr>
    <w:rPr>
      <w:rFonts w:eastAsia="Arial" w:cs="Arial" w:eastAsiaTheme="majorEastAsia" w:cstheme="majorBidi"/>
      <w:color w:val="272727" w:themeColor="text1" w:themeTint="D8"/>
    </w:rPr>
  </w:style>
  <w:style w:type="character" w:styleId="720">
    <w:name w:val="Heading 1 Char"/>
    <w:basedOn w:val="748"/>
    <w:uiPriority w:val="9"/>
    <w:qFormat/>
    <w:pPr>
      <w:pBdr/>
      <w:spacing/>
      <w:ind/>
    </w:pPr>
    <w:rPr>
      <w:rFonts w:ascii="Arial" w:hAnsi="Arial" w:eastAsia="Arial" w:cs="Arial"/>
      <w:color w:val="0f4761" w:themeColor="accent1" w:themeShade="BF"/>
      <w:sz w:val="40"/>
      <w:szCs w:val="40"/>
    </w:rPr>
  </w:style>
  <w:style w:type="character" w:styleId="721">
    <w:name w:val="Heading 2 Char"/>
    <w:basedOn w:val="748"/>
    <w:uiPriority w:val="9"/>
    <w:qFormat/>
    <w:pPr>
      <w:pBdr/>
      <w:spacing/>
      <w:ind/>
    </w:pPr>
    <w:rPr>
      <w:rFonts w:ascii="Arial" w:hAnsi="Arial" w:eastAsia="Arial" w:cs="Arial"/>
      <w:color w:val="0f4761" w:themeColor="accent1" w:themeShade="BF"/>
      <w:sz w:val="32"/>
      <w:szCs w:val="32"/>
    </w:rPr>
  </w:style>
  <w:style w:type="character" w:styleId="722">
    <w:name w:val="Heading 3 Char"/>
    <w:basedOn w:val="748"/>
    <w:uiPriority w:val="9"/>
    <w:qFormat/>
    <w:pPr>
      <w:pBdr/>
      <w:spacing/>
      <w:ind/>
    </w:pPr>
    <w:rPr>
      <w:rFonts w:ascii="Arial" w:hAnsi="Arial" w:eastAsia="Arial" w:cs="Arial"/>
      <w:color w:val="0f4761" w:themeColor="accent1" w:themeShade="BF"/>
      <w:sz w:val="28"/>
      <w:szCs w:val="28"/>
    </w:rPr>
  </w:style>
  <w:style w:type="character" w:styleId="723">
    <w:name w:val="Heading 4 Char"/>
    <w:basedOn w:val="748"/>
    <w:uiPriority w:val="9"/>
    <w:qFormat/>
    <w:pPr>
      <w:pBdr/>
      <w:spacing/>
      <w:ind/>
    </w:pPr>
    <w:rPr>
      <w:rFonts w:ascii="Arial" w:hAnsi="Arial" w:eastAsia="Arial" w:cs="Arial"/>
      <w:i/>
      <w:iCs/>
      <w:color w:val="0f4761" w:themeColor="accent1" w:themeShade="BF"/>
    </w:rPr>
  </w:style>
  <w:style w:type="character" w:styleId="724">
    <w:name w:val="Heading 5 Char"/>
    <w:basedOn w:val="748"/>
    <w:uiPriority w:val="9"/>
    <w:qFormat/>
    <w:pPr>
      <w:pBdr/>
      <w:spacing/>
      <w:ind/>
    </w:pPr>
    <w:rPr>
      <w:rFonts w:ascii="Arial" w:hAnsi="Arial" w:eastAsia="Arial" w:cs="Arial"/>
      <w:color w:val="0f4761" w:themeColor="accent1" w:themeShade="BF"/>
    </w:rPr>
  </w:style>
  <w:style w:type="character" w:styleId="725">
    <w:name w:val="Heading 6 Char"/>
    <w:basedOn w:val="748"/>
    <w:uiPriority w:val="9"/>
    <w:qFormat/>
    <w:pPr>
      <w:pBdr/>
      <w:spacing/>
      <w:ind/>
    </w:pPr>
    <w:rPr>
      <w:rFonts w:ascii="Arial" w:hAnsi="Arial" w:eastAsia="Arial" w:cs="Arial"/>
      <w:i/>
      <w:iCs/>
      <w:color w:val="595959" w:themeColor="text1" w:themeTint="A6"/>
    </w:rPr>
  </w:style>
  <w:style w:type="character" w:styleId="726">
    <w:name w:val="Heading 7 Char"/>
    <w:basedOn w:val="748"/>
    <w:uiPriority w:val="9"/>
    <w:qFormat/>
    <w:pPr>
      <w:pBdr/>
      <w:spacing/>
      <w:ind/>
    </w:pPr>
    <w:rPr>
      <w:rFonts w:ascii="Arial" w:hAnsi="Arial" w:eastAsia="Arial" w:cs="Arial"/>
      <w:color w:val="595959" w:themeColor="text1" w:themeTint="A6"/>
    </w:rPr>
  </w:style>
  <w:style w:type="character" w:styleId="727">
    <w:name w:val="Heading 8 Char"/>
    <w:basedOn w:val="748"/>
    <w:uiPriority w:val="9"/>
    <w:qFormat/>
    <w:pPr>
      <w:pBdr/>
      <w:spacing/>
      <w:ind/>
    </w:pPr>
    <w:rPr>
      <w:rFonts w:ascii="Arial" w:hAnsi="Arial" w:eastAsia="Arial" w:cs="Arial"/>
      <w:i/>
      <w:iCs/>
      <w:color w:val="272727" w:themeColor="text1" w:themeTint="D8"/>
    </w:rPr>
  </w:style>
  <w:style w:type="character" w:styleId="728">
    <w:name w:val="Heading 9 Char"/>
    <w:basedOn w:val="748"/>
    <w:uiPriority w:val="9"/>
    <w:qFormat/>
    <w:pPr>
      <w:pBdr/>
      <w:spacing/>
      <w:ind/>
    </w:pPr>
    <w:rPr>
      <w:rFonts w:ascii="Arial" w:hAnsi="Arial" w:eastAsia="Arial" w:cs="Arial"/>
      <w:i/>
      <w:iCs/>
      <w:color w:val="272727" w:themeColor="text1" w:themeTint="D8"/>
    </w:rPr>
  </w:style>
  <w:style w:type="character" w:styleId="729">
    <w:name w:val="Title Char"/>
    <w:basedOn w:val="748"/>
    <w:uiPriority w:val="10"/>
    <w:qFormat/>
    <w:pPr>
      <w:pBdr/>
      <w:spacing/>
      <w:ind/>
    </w:pPr>
    <w:rPr>
      <w:rFonts w:ascii="Arial" w:hAnsi="Arial" w:eastAsia="Arial" w:cs="Arial"/>
      <w:spacing w:val="-10"/>
      <w:sz w:val="56"/>
      <w:szCs w:val="56"/>
    </w:rPr>
  </w:style>
  <w:style w:type="character" w:styleId="730">
    <w:name w:val="Subtitle Char"/>
    <w:basedOn w:val="748"/>
    <w:uiPriority w:val="11"/>
    <w:qFormat/>
    <w:pPr>
      <w:pBdr/>
      <w:spacing/>
      <w:ind/>
    </w:pPr>
    <w:rPr>
      <w:color w:val="595959" w:themeColor="text1" w:themeTint="A6"/>
      <w:spacing w:val="15"/>
      <w:sz w:val="28"/>
      <w:szCs w:val="28"/>
    </w:rPr>
  </w:style>
  <w:style w:type="character" w:styleId="731">
    <w:name w:val="Quote Char"/>
    <w:basedOn w:val="748"/>
    <w:link w:val="790"/>
    <w:uiPriority w:val="29"/>
    <w:qFormat/>
    <w:pPr>
      <w:pBdr/>
      <w:spacing/>
      <w:ind/>
    </w:pPr>
    <w:rPr>
      <w:i/>
      <w:iCs/>
      <w:color w:val="404040" w:themeColor="text1" w:themeTint="BF"/>
    </w:rPr>
  </w:style>
  <w:style w:type="character" w:styleId="732">
    <w:name w:val="Intense Quote Char"/>
    <w:basedOn w:val="748"/>
    <w:link w:val="792"/>
    <w:uiPriority w:val="30"/>
    <w:qFormat/>
    <w:pPr>
      <w:pBdr/>
      <w:spacing/>
      <w:ind/>
    </w:pPr>
    <w:rPr>
      <w:i/>
      <w:iCs/>
      <w:color w:val="0f4761" w:themeColor="accent1" w:themeShade="BF"/>
    </w:rPr>
  </w:style>
  <w:style w:type="character" w:styleId="733">
    <w:name w:val="Subtle Emphasis"/>
    <w:basedOn w:val="748"/>
    <w:uiPriority w:val="19"/>
    <w:qFormat/>
    <w:pPr>
      <w:pBdr/>
      <w:spacing/>
      <w:ind/>
    </w:pPr>
    <w:rPr>
      <w:i/>
      <w:iCs/>
      <w:color w:val="404040" w:themeColor="text1" w:themeTint="BF"/>
    </w:rPr>
  </w:style>
  <w:style w:type="character" w:styleId="734">
    <w:name w:val="Destacado"/>
    <w:basedOn w:val="748"/>
    <w:uiPriority w:val="20"/>
    <w:qFormat/>
    <w:pPr>
      <w:pBdr/>
      <w:spacing/>
      <w:ind/>
    </w:pPr>
    <w:rPr>
      <w:i/>
      <w:iCs/>
    </w:rPr>
  </w:style>
  <w:style w:type="character" w:styleId="735">
    <w:name w:val="Strong"/>
    <w:basedOn w:val="748"/>
    <w:uiPriority w:val="22"/>
    <w:qFormat/>
    <w:pPr>
      <w:pBdr/>
      <w:spacing/>
      <w:ind/>
    </w:pPr>
    <w:rPr>
      <w:b/>
      <w:bCs/>
    </w:rPr>
  </w:style>
  <w:style w:type="character" w:styleId="736">
    <w:name w:val="Subtle Reference"/>
    <w:basedOn w:val="748"/>
    <w:uiPriority w:val="31"/>
    <w:qFormat/>
    <w:pPr>
      <w:pBdr/>
      <w:spacing/>
      <w:ind/>
    </w:pPr>
    <w:rPr>
      <w:smallCaps/>
      <w:color w:val="5a5a5a" w:themeColor="text1" w:themeTint="A5"/>
    </w:rPr>
  </w:style>
  <w:style w:type="character" w:styleId="737">
    <w:name w:val="Book Title"/>
    <w:basedOn w:val="748"/>
    <w:uiPriority w:val="33"/>
    <w:qFormat/>
    <w:pPr>
      <w:pBdr/>
      <w:spacing/>
      <w:ind/>
    </w:pPr>
    <w:rPr>
      <w:b/>
      <w:bCs/>
      <w:i/>
      <w:iCs/>
      <w:spacing w:val="5"/>
    </w:rPr>
  </w:style>
  <w:style w:type="character" w:styleId="738">
    <w:name w:val="Header Char"/>
    <w:basedOn w:val="748"/>
    <w:uiPriority w:val="99"/>
    <w:qFormat/>
    <w:pPr>
      <w:pBdr/>
      <w:spacing/>
      <w:ind/>
    </w:pPr>
  </w:style>
  <w:style w:type="character" w:styleId="739">
    <w:name w:val="Footer Char"/>
    <w:basedOn w:val="748"/>
    <w:uiPriority w:val="99"/>
    <w:qFormat/>
    <w:pPr>
      <w:pBdr/>
      <w:spacing/>
      <w:ind/>
    </w:pPr>
  </w:style>
  <w:style w:type="character" w:styleId="740">
    <w:name w:val="Footnote Text Char"/>
    <w:basedOn w:val="748"/>
    <w:uiPriority w:val="99"/>
    <w:semiHidden/>
    <w:qFormat/>
    <w:pPr>
      <w:pBdr/>
      <w:spacing/>
      <w:ind/>
    </w:pPr>
    <w:rPr>
      <w:sz w:val="20"/>
      <w:szCs w:val="20"/>
    </w:rPr>
  </w:style>
  <w:style w:type="character" w:styleId="741">
    <w:name w:val="Caracteres de nota al pie"/>
    <w:basedOn w:val="748"/>
    <w:uiPriority w:val="99"/>
    <w:semiHidden/>
    <w:unhideWhenUsed/>
    <w:qFormat/>
    <w:pPr>
      <w:pBdr/>
      <w:spacing/>
      <w:ind/>
    </w:pPr>
    <w:rPr>
      <w:vertAlign w:val="superscript"/>
    </w:rPr>
  </w:style>
  <w:style w:type="character" w:styleId="742">
    <w:name w:val="Ancla de nota al pie"/>
    <w:pPr>
      <w:pBdr/>
      <w:spacing/>
      <w:ind/>
    </w:pPr>
    <w:rPr>
      <w:vertAlign w:val="superscript"/>
    </w:rPr>
  </w:style>
  <w:style w:type="character" w:styleId="743">
    <w:name w:val="Endnote Text Char"/>
    <w:basedOn w:val="748"/>
    <w:uiPriority w:val="99"/>
    <w:semiHidden/>
    <w:qFormat/>
    <w:pPr>
      <w:pBdr/>
      <w:spacing/>
      <w:ind/>
    </w:pPr>
    <w:rPr>
      <w:sz w:val="20"/>
      <w:szCs w:val="20"/>
    </w:rPr>
  </w:style>
  <w:style w:type="character" w:styleId="744">
    <w:name w:val="Caracteres de nota final"/>
    <w:basedOn w:val="748"/>
    <w:uiPriority w:val="99"/>
    <w:semiHidden/>
    <w:unhideWhenUsed/>
    <w:qFormat/>
    <w:pPr>
      <w:pBdr/>
      <w:spacing/>
      <w:ind/>
    </w:pPr>
    <w:rPr>
      <w:vertAlign w:val="superscript"/>
    </w:rPr>
  </w:style>
  <w:style w:type="character" w:styleId="745">
    <w:name w:val="Ancla de nota final"/>
    <w:pPr>
      <w:pBdr/>
      <w:spacing/>
      <w:ind/>
    </w:pPr>
    <w:rPr>
      <w:vertAlign w:val="superscript"/>
    </w:rPr>
  </w:style>
  <w:style w:type="character" w:styleId="746">
    <w:name w:val="Enlace de Internet visitado"/>
    <w:basedOn w:val="748"/>
    <w:uiPriority w:val="99"/>
    <w:semiHidden/>
    <w:unhideWhenUsed/>
    <w:pPr>
      <w:pBdr/>
      <w:spacing/>
      <w:ind/>
    </w:pPr>
    <w:rPr>
      <w:color w:val="954f72" w:themeColor="followedHyperlink"/>
      <w:u w:val="single"/>
    </w:rPr>
  </w:style>
  <w:style w:type="character" w:styleId="747">
    <w:name w:val="Placeholder Text"/>
    <w:basedOn w:val="748"/>
    <w:uiPriority w:val="99"/>
    <w:semiHidden/>
    <w:qFormat/>
    <w:pPr>
      <w:pBdr/>
      <w:spacing/>
      <w:ind/>
    </w:pPr>
    <w:rPr>
      <w:color w:val="666666"/>
    </w:rPr>
  </w:style>
  <w:style w:type="character" w:styleId="748" w:default="1">
    <w:name w:val="Default Paragraph Font"/>
    <w:uiPriority w:val="1"/>
    <w:semiHidden/>
    <w:unhideWhenUsed/>
    <w:qFormat/>
    <w:pPr>
      <w:pBdr/>
      <w:spacing/>
      <w:ind/>
    </w:pPr>
  </w:style>
  <w:style w:type="character" w:styleId="749" w:customStyle="1">
    <w:name w:val="Título 1 Car"/>
    <w:basedOn w:val="748"/>
    <w:uiPriority w:val="9"/>
    <w:qFormat/>
    <w:pPr>
      <w:pBdr/>
      <w:spacing/>
      <w:ind/>
    </w:pPr>
    <w:rPr>
      <w:rFonts w:ascii="Calibri Light" w:hAnsi="Calibri Light" w:eastAsia="Arial" w:cs="Arial" w:asciiTheme="majorHAnsi" w:hAnsiTheme="majorHAnsi" w:eastAsiaTheme="majorEastAsia" w:cstheme="majorBidi"/>
      <w:color w:val="2f5496" w:themeColor="accent1" w:themeShade="BF"/>
      <w:sz w:val="40"/>
      <w:szCs w:val="40"/>
    </w:rPr>
  </w:style>
  <w:style w:type="character" w:styleId="750" w:customStyle="1">
    <w:name w:val="Título 2 Car"/>
    <w:basedOn w:val="748"/>
    <w:uiPriority w:val="9"/>
    <w:semiHidden/>
    <w:qFormat/>
    <w:pPr>
      <w:pBdr/>
      <w:spacing/>
      <w:ind/>
    </w:pPr>
    <w:rPr>
      <w:rFonts w:ascii="Calibri Light" w:hAnsi="Calibri Light" w:eastAsia="Arial" w:cs="Arial" w:asciiTheme="majorHAnsi" w:hAnsiTheme="majorHAnsi" w:eastAsiaTheme="majorEastAsia" w:cstheme="majorBidi"/>
      <w:color w:val="2f5496" w:themeColor="accent1" w:themeShade="BF"/>
      <w:sz w:val="32"/>
      <w:szCs w:val="32"/>
    </w:rPr>
  </w:style>
  <w:style w:type="character" w:styleId="751" w:customStyle="1">
    <w:name w:val="Título 3 Car"/>
    <w:basedOn w:val="748"/>
    <w:uiPriority w:val="9"/>
    <w:semiHidden/>
    <w:qFormat/>
    <w:pPr>
      <w:pBdr/>
      <w:spacing/>
      <w:ind/>
    </w:pPr>
    <w:rPr>
      <w:rFonts w:eastAsia="Arial" w:cs="Arial" w:eastAsiaTheme="majorEastAsia" w:cstheme="majorBidi"/>
      <w:color w:val="2f5496" w:themeColor="accent1" w:themeShade="BF"/>
      <w:sz w:val="28"/>
      <w:szCs w:val="28"/>
    </w:rPr>
  </w:style>
  <w:style w:type="character" w:styleId="752" w:customStyle="1">
    <w:name w:val="Título 4 Car"/>
    <w:basedOn w:val="748"/>
    <w:uiPriority w:val="9"/>
    <w:semiHidden/>
    <w:qFormat/>
    <w:pPr>
      <w:pBdr/>
      <w:spacing/>
      <w:ind/>
    </w:pPr>
    <w:rPr>
      <w:rFonts w:eastAsia="Arial" w:cs="Arial" w:eastAsiaTheme="majorEastAsia" w:cstheme="majorBidi"/>
      <w:i/>
      <w:iCs/>
      <w:color w:val="2f5496" w:themeColor="accent1" w:themeShade="BF"/>
    </w:rPr>
  </w:style>
  <w:style w:type="character" w:styleId="753" w:customStyle="1">
    <w:name w:val="Título 5 Car"/>
    <w:basedOn w:val="748"/>
    <w:uiPriority w:val="9"/>
    <w:semiHidden/>
    <w:qFormat/>
    <w:pPr>
      <w:pBdr/>
      <w:spacing/>
      <w:ind/>
    </w:pPr>
    <w:rPr>
      <w:rFonts w:eastAsia="Arial" w:cs="Arial" w:eastAsiaTheme="majorEastAsia" w:cstheme="majorBidi"/>
      <w:color w:val="2f5496" w:themeColor="accent1" w:themeShade="BF"/>
    </w:rPr>
  </w:style>
  <w:style w:type="character" w:styleId="754" w:customStyle="1">
    <w:name w:val="Título 6 Car"/>
    <w:basedOn w:val="748"/>
    <w:uiPriority w:val="9"/>
    <w:semiHidden/>
    <w:qFormat/>
    <w:pPr>
      <w:pBdr/>
      <w:spacing/>
      <w:ind/>
    </w:pPr>
    <w:rPr>
      <w:rFonts w:eastAsia="Arial" w:cs="Arial" w:eastAsiaTheme="majorEastAsia" w:cstheme="majorBidi"/>
      <w:i/>
      <w:iCs/>
      <w:color w:val="595959" w:themeColor="text1" w:themeTint="A6"/>
    </w:rPr>
  </w:style>
  <w:style w:type="character" w:styleId="755" w:customStyle="1">
    <w:name w:val="Título 7 Car"/>
    <w:basedOn w:val="748"/>
    <w:uiPriority w:val="9"/>
    <w:semiHidden/>
    <w:qFormat/>
    <w:pPr>
      <w:pBdr/>
      <w:spacing/>
      <w:ind/>
    </w:pPr>
    <w:rPr>
      <w:rFonts w:eastAsia="Arial" w:cs="Arial" w:eastAsiaTheme="majorEastAsia" w:cstheme="majorBidi"/>
      <w:color w:val="595959" w:themeColor="text1" w:themeTint="A6"/>
    </w:rPr>
  </w:style>
  <w:style w:type="character" w:styleId="756" w:customStyle="1">
    <w:name w:val="Título 8 Car"/>
    <w:basedOn w:val="748"/>
    <w:uiPriority w:val="9"/>
    <w:semiHidden/>
    <w:qFormat/>
    <w:pPr>
      <w:pBdr/>
      <w:spacing/>
      <w:ind/>
    </w:pPr>
    <w:rPr>
      <w:rFonts w:eastAsia="Arial" w:cs="Arial" w:eastAsiaTheme="majorEastAsia" w:cstheme="majorBidi"/>
      <w:i/>
      <w:iCs/>
      <w:color w:val="272727" w:themeColor="text1" w:themeTint="D8"/>
    </w:rPr>
  </w:style>
  <w:style w:type="character" w:styleId="757" w:customStyle="1">
    <w:name w:val="Título 9 Car"/>
    <w:basedOn w:val="748"/>
    <w:uiPriority w:val="9"/>
    <w:semiHidden/>
    <w:qFormat/>
    <w:pPr>
      <w:pBdr/>
      <w:spacing/>
      <w:ind/>
    </w:pPr>
    <w:rPr>
      <w:rFonts w:eastAsia="Arial" w:cs="Arial" w:eastAsiaTheme="majorEastAsia" w:cstheme="majorBidi"/>
      <w:color w:val="272727" w:themeColor="text1" w:themeTint="D8"/>
    </w:rPr>
  </w:style>
  <w:style w:type="character" w:styleId="758" w:customStyle="1">
    <w:name w:val="Título Car"/>
    <w:basedOn w:val="748"/>
    <w:uiPriority w:val="10"/>
    <w:qFormat/>
    <w:pPr>
      <w:pBdr/>
      <w:spacing/>
      <w:ind/>
    </w:pPr>
    <w:rPr>
      <w:rFonts w:ascii="Calibri Light" w:hAnsi="Calibri Light" w:eastAsia="Arial" w:cs="Arial" w:asciiTheme="majorHAnsi" w:hAnsiTheme="majorHAnsi" w:eastAsiaTheme="majorEastAsia" w:cstheme="majorBidi"/>
      <w:spacing w:val="-10"/>
      <w:sz w:val="56"/>
      <w:szCs w:val="56"/>
    </w:rPr>
  </w:style>
  <w:style w:type="character" w:styleId="759" w:customStyle="1">
    <w:name w:val="Subtítulo Car"/>
    <w:basedOn w:val="748"/>
    <w:uiPriority w:val="11"/>
    <w:qFormat/>
    <w:pPr>
      <w:pBdr/>
      <w:spacing/>
      <w:ind/>
    </w:pPr>
    <w:rPr>
      <w:rFonts w:eastAsia="Arial" w:cs="Arial" w:eastAsiaTheme="majorEastAsia" w:cstheme="majorBidi"/>
      <w:color w:val="595959" w:themeColor="text1" w:themeTint="A6"/>
      <w:spacing w:val="15"/>
      <w:sz w:val="28"/>
      <w:szCs w:val="28"/>
    </w:rPr>
  </w:style>
  <w:style w:type="character" w:styleId="760" w:customStyle="1">
    <w:name w:val="Cita Car"/>
    <w:basedOn w:val="748"/>
    <w:link w:val="790"/>
    <w:uiPriority w:val="29"/>
    <w:qFormat/>
    <w:pPr>
      <w:pBdr/>
      <w:spacing/>
      <w:ind/>
    </w:pPr>
    <w:rPr>
      <w:i/>
      <w:iCs/>
      <w:color w:val="404040" w:themeColor="text1" w:themeTint="BF"/>
    </w:rPr>
  </w:style>
  <w:style w:type="character" w:styleId="761">
    <w:name w:val="Intense Emphasis"/>
    <w:basedOn w:val="748"/>
    <w:uiPriority w:val="21"/>
    <w:qFormat/>
    <w:pPr>
      <w:pBdr/>
      <w:spacing/>
      <w:ind/>
    </w:pPr>
    <w:rPr>
      <w:i/>
      <w:iCs/>
      <w:color w:val="2f5496" w:themeColor="accent1" w:themeShade="BF"/>
    </w:rPr>
  </w:style>
  <w:style w:type="character" w:styleId="762" w:customStyle="1">
    <w:name w:val="Cita destacada Car"/>
    <w:basedOn w:val="748"/>
    <w:link w:val="792"/>
    <w:uiPriority w:val="30"/>
    <w:qFormat/>
    <w:pPr>
      <w:pBdr/>
      <w:spacing/>
      <w:ind/>
    </w:pPr>
    <w:rPr>
      <w:i/>
      <w:iCs/>
      <w:color w:val="2f5496" w:themeColor="accent1" w:themeShade="BF"/>
    </w:rPr>
  </w:style>
  <w:style w:type="character" w:styleId="763">
    <w:name w:val="Intense Reference"/>
    <w:basedOn w:val="748"/>
    <w:uiPriority w:val="32"/>
    <w:qFormat/>
    <w:pPr>
      <w:pBdr/>
      <w:spacing/>
      <w:ind/>
    </w:pPr>
    <w:rPr>
      <w:b/>
      <w:bCs/>
      <w:smallCaps/>
      <w:color w:val="2f5496" w:themeColor="accent1" w:themeShade="BF"/>
      <w:spacing w:val="5"/>
    </w:rPr>
  </w:style>
  <w:style w:type="character" w:styleId="764" w:customStyle="1">
    <w:name w:val="Encabezado Car"/>
    <w:basedOn w:val="748"/>
    <w:uiPriority w:val="99"/>
    <w:qFormat/>
    <w:pPr>
      <w:pBdr/>
      <w:spacing/>
      <w:ind/>
    </w:pPr>
  </w:style>
  <w:style w:type="character" w:styleId="765" w:customStyle="1">
    <w:name w:val="Pie de página Car"/>
    <w:basedOn w:val="748"/>
    <w:uiPriority w:val="99"/>
    <w:qFormat/>
    <w:pPr>
      <w:pBdr/>
      <w:spacing/>
      <w:ind/>
    </w:pPr>
  </w:style>
  <w:style w:type="character" w:styleId="766">
    <w:name w:val="Enlace de Internet"/>
    <w:basedOn w:val="748"/>
    <w:uiPriority w:val="99"/>
    <w:unhideWhenUsed/>
    <w:pPr>
      <w:pBdr/>
      <w:spacing/>
      <w:ind/>
    </w:pPr>
    <w:rPr>
      <w:color w:val="0563c1" w:themeColor="hyperlink"/>
      <w:u w:val="single"/>
    </w:rPr>
  </w:style>
  <w:style w:type="character" w:styleId="767">
    <w:name w:val="Unresolved Mention"/>
    <w:basedOn w:val="748"/>
    <w:uiPriority w:val="99"/>
    <w:semiHidden/>
    <w:unhideWhenUsed/>
    <w:qFormat/>
    <w:pPr>
      <w:pBdr/>
      <w:spacing/>
      <w:ind/>
    </w:pPr>
    <w:rPr>
      <w:color w:val="605e5c"/>
      <w:shd w:val="clear" w:color="auto" w:fill="e1dfdd"/>
    </w:rPr>
  </w:style>
  <w:style w:type="paragraph" w:styleId="768">
    <w:name w:val="Título"/>
    <w:basedOn w:val="710"/>
    <w:next w:val="769"/>
    <w:qFormat/>
    <w:pPr>
      <w:keepNext w:val="true"/>
      <w:pBdr/>
      <w:spacing w:after="120" w:before="240"/>
      <w:ind/>
    </w:pPr>
    <w:rPr>
      <w:rFonts w:ascii="Liberation Sans" w:hAnsi="Liberation Sans" w:eastAsia="Noto Sans CJK SC" w:cs="Lohit Devanagari"/>
      <w:sz w:val="28"/>
      <w:szCs w:val="28"/>
    </w:rPr>
  </w:style>
  <w:style w:type="paragraph" w:styleId="769">
    <w:name w:val="Body Text"/>
    <w:basedOn w:val="710"/>
    <w:pPr>
      <w:pBdr/>
      <w:spacing w:after="140" w:before="0" w:line="276" w:lineRule="auto"/>
      <w:ind/>
    </w:pPr>
  </w:style>
  <w:style w:type="paragraph" w:styleId="770">
    <w:name w:val="List"/>
    <w:basedOn w:val="769"/>
    <w:pPr>
      <w:pBdr/>
      <w:spacing/>
      <w:ind/>
    </w:pPr>
    <w:rPr>
      <w:rFonts w:cs="Lohit Devanagari"/>
    </w:rPr>
  </w:style>
  <w:style w:type="paragraph" w:styleId="771">
    <w:name w:val="Caption"/>
    <w:basedOn w:val="710"/>
    <w:next w:val="710"/>
    <w:uiPriority w:val="35"/>
    <w:unhideWhenUsed/>
    <w:qFormat/>
    <w:pPr>
      <w:pBdr/>
      <w:spacing w:after="200" w:before="0" w:line="240" w:lineRule="auto"/>
      <w:ind/>
    </w:pPr>
    <w:rPr>
      <w:i/>
      <w:iCs/>
      <w:color w:val="0e2841" w:themeColor="text2"/>
      <w:sz w:val="18"/>
      <w:szCs w:val="18"/>
    </w:rPr>
  </w:style>
  <w:style w:type="paragraph" w:styleId="772">
    <w:name w:val="Índice"/>
    <w:basedOn w:val="710"/>
    <w:qFormat/>
    <w:pPr>
      <w:suppressLineNumbers w:val="true"/>
      <w:pBdr/>
      <w:spacing/>
      <w:ind/>
    </w:pPr>
    <w:rPr>
      <w:rFonts w:cs="Lohit Devanagari"/>
    </w:rPr>
  </w:style>
  <w:style w:type="paragraph" w:styleId="773">
    <w:name w:val="No Spacing"/>
    <w:basedOn w:val="710"/>
    <w:uiPriority w:val="1"/>
    <w:qFormat/>
    <w:pPr>
      <w:pBdr/>
      <w:spacing w:after="0" w:before="0" w:line="240" w:lineRule="auto"/>
      <w:ind/>
    </w:pPr>
  </w:style>
  <w:style w:type="paragraph" w:styleId="774">
    <w:name w:val="footnote text"/>
    <w:basedOn w:val="710"/>
    <w:link w:val="740"/>
    <w:uiPriority w:val="99"/>
    <w:semiHidden/>
    <w:unhideWhenUsed/>
    <w:pPr>
      <w:pBdr/>
      <w:spacing w:after="0" w:before="0" w:line="240" w:lineRule="auto"/>
      <w:ind/>
    </w:pPr>
    <w:rPr>
      <w:sz w:val="20"/>
      <w:szCs w:val="20"/>
    </w:rPr>
  </w:style>
  <w:style w:type="paragraph" w:styleId="775">
    <w:name w:val="endnote text"/>
    <w:basedOn w:val="710"/>
    <w:link w:val="743"/>
    <w:uiPriority w:val="99"/>
    <w:semiHidden/>
    <w:unhideWhenUsed/>
    <w:pPr>
      <w:pBdr/>
      <w:spacing w:after="0" w:before="0" w:line="240" w:lineRule="auto"/>
      <w:ind/>
    </w:pPr>
    <w:rPr>
      <w:sz w:val="20"/>
      <w:szCs w:val="20"/>
    </w:rPr>
  </w:style>
  <w:style w:type="paragraph" w:styleId="776">
    <w:name w:val="toc 1"/>
    <w:basedOn w:val="710"/>
    <w:next w:val="710"/>
    <w:uiPriority w:val="39"/>
    <w:unhideWhenUsed/>
    <w:pPr>
      <w:pBdr/>
      <w:spacing w:after="100" w:before="0"/>
      <w:ind/>
    </w:pPr>
  </w:style>
  <w:style w:type="paragraph" w:styleId="777">
    <w:name w:val="toc 2"/>
    <w:basedOn w:val="710"/>
    <w:next w:val="710"/>
    <w:uiPriority w:val="39"/>
    <w:unhideWhenUsed/>
    <w:pPr>
      <w:pBdr/>
      <w:spacing w:after="100" w:before="0"/>
      <w:ind w:firstLine="0" w:left="220"/>
    </w:pPr>
  </w:style>
  <w:style w:type="paragraph" w:styleId="778">
    <w:name w:val="toc 3"/>
    <w:basedOn w:val="710"/>
    <w:next w:val="710"/>
    <w:uiPriority w:val="39"/>
    <w:unhideWhenUsed/>
    <w:pPr>
      <w:pBdr/>
      <w:spacing w:after="100" w:before="0"/>
      <w:ind w:firstLine="0" w:left="440"/>
    </w:pPr>
  </w:style>
  <w:style w:type="paragraph" w:styleId="779">
    <w:name w:val="toc 4"/>
    <w:basedOn w:val="710"/>
    <w:next w:val="710"/>
    <w:uiPriority w:val="39"/>
    <w:unhideWhenUsed/>
    <w:pPr>
      <w:pBdr/>
      <w:spacing w:after="100" w:before="0"/>
      <w:ind w:firstLine="0" w:left="660"/>
    </w:pPr>
  </w:style>
  <w:style w:type="paragraph" w:styleId="780">
    <w:name w:val="toc 5"/>
    <w:basedOn w:val="710"/>
    <w:next w:val="710"/>
    <w:uiPriority w:val="39"/>
    <w:unhideWhenUsed/>
    <w:pPr>
      <w:pBdr/>
      <w:spacing w:after="100" w:before="0"/>
      <w:ind w:firstLine="0" w:left="880"/>
    </w:pPr>
  </w:style>
  <w:style w:type="paragraph" w:styleId="781">
    <w:name w:val="toc 6"/>
    <w:basedOn w:val="710"/>
    <w:next w:val="710"/>
    <w:uiPriority w:val="39"/>
    <w:unhideWhenUsed/>
    <w:pPr>
      <w:pBdr/>
      <w:spacing w:after="100" w:before="0"/>
      <w:ind w:firstLine="0" w:left="1100"/>
    </w:pPr>
  </w:style>
  <w:style w:type="paragraph" w:styleId="782">
    <w:name w:val="toc 7"/>
    <w:basedOn w:val="710"/>
    <w:next w:val="710"/>
    <w:uiPriority w:val="39"/>
    <w:unhideWhenUsed/>
    <w:pPr>
      <w:pBdr/>
      <w:spacing w:after="100" w:before="0"/>
      <w:ind w:firstLine="0" w:left="1320"/>
    </w:pPr>
  </w:style>
  <w:style w:type="paragraph" w:styleId="783">
    <w:name w:val="toc 8"/>
    <w:basedOn w:val="710"/>
    <w:next w:val="710"/>
    <w:uiPriority w:val="39"/>
    <w:unhideWhenUsed/>
    <w:pPr>
      <w:pBdr/>
      <w:spacing w:after="100" w:before="0"/>
      <w:ind w:firstLine="0" w:left="1540"/>
    </w:pPr>
  </w:style>
  <w:style w:type="paragraph" w:styleId="784">
    <w:name w:val="toc 9"/>
    <w:basedOn w:val="710"/>
    <w:next w:val="710"/>
    <w:uiPriority w:val="39"/>
    <w:unhideWhenUsed/>
    <w:pPr>
      <w:pBdr/>
      <w:spacing w:after="100" w:before="0"/>
      <w:ind w:firstLine="0" w:left="1760"/>
    </w:pPr>
  </w:style>
  <w:style w:type="paragraph" w:styleId="785">
    <w:name w:val="Index Heading"/>
    <w:basedOn w:val="768"/>
    <w:pPr>
      <w:pBdr/>
      <w:spacing/>
      <w:ind/>
    </w:pPr>
  </w:style>
  <w:style w:type="paragraph" w:styleId="786">
    <w:name w:val="TOC Heading"/>
    <w:uiPriority w:val="39"/>
    <w:unhideWhenUsed/>
    <w:pPr>
      <w:widowControl w:val="true"/>
      <w:pBdr/>
      <w:bidi w:val="false"/>
      <w:spacing w:after="160" w:afterAutospacing="0" w:before="0" w:beforeAutospacing="0" w:line="276" w:lineRule="auto"/>
      <w:ind/>
      <w:jc w:val="left"/>
    </w:pPr>
    <w:rPr>
      <w:rFonts w:ascii="Calibri" w:hAnsi="Calibri" w:eastAsia="Calibri" w:cs="Arial" w:asciiTheme="minorHAnsi" w:hAnsiTheme="minorHAnsi" w:eastAsiaTheme="minorHAnsi" w:cstheme="minorBidi"/>
      <w:color w:val="auto"/>
      <w:sz w:val="24"/>
      <w:szCs w:val="24"/>
      <w:lang w:val="es-AR" w:eastAsia="en-US" w:bidi="ar-SA"/>
      <w14:ligatures w14:val="standardContextual"/>
    </w:rPr>
  </w:style>
  <w:style w:type="paragraph" w:styleId="787">
    <w:name w:val="table of figures"/>
    <w:basedOn w:val="710"/>
    <w:next w:val="710"/>
    <w:uiPriority w:val="99"/>
    <w:unhideWhenUsed/>
    <w:qFormat/>
    <w:pPr>
      <w:pBdr/>
      <w:spacing w:after="0" w:afterAutospacing="0" w:before="0"/>
      <w:ind/>
    </w:pPr>
  </w:style>
  <w:style w:type="paragraph" w:styleId="788">
    <w:name w:val="Title"/>
    <w:basedOn w:val="710"/>
    <w:next w:val="710"/>
    <w:link w:val="758"/>
    <w:uiPriority w:val="10"/>
    <w:qFormat/>
    <w:pPr>
      <w:pBdr/>
      <w:spacing w:after="80" w:before="0" w:line="240" w:lineRule="auto"/>
      <w:ind/>
      <w:contextualSpacing w:val="true"/>
    </w:pPr>
    <w:rPr>
      <w:rFonts w:ascii="Calibri Light" w:hAnsi="Calibri Light" w:eastAsia="Arial" w:cs="Arial" w:asciiTheme="majorHAnsi" w:hAnsiTheme="majorHAnsi" w:eastAsiaTheme="majorEastAsia" w:cstheme="majorBidi"/>
      <w:spacing w:val="-10"/>
      <w:sz w:val="56"/>
      <w:szCs w:val="56"/>
    </w:rPr>
  </w:style>
  <w:style w:type="paragraph" w:styleId="789">
    <w:name w:val="Subtitle"/>
    <w:basedOn w:val="710"/>
    <w:next w:val="710"/>
    <w:link w:val="759"/>
    <w:uiPriority w:val="11"/>
    <w:qFormat/>
    <w:pPr>
      <w:pBdr/>
      <w:spacing/>
      <w:ind/>
    </w:pPr>
    <w:rPr>
      <w:rFonts w:eastAsia="Arial" w:cs="Arial" w:eastAsiaTheme="majorEastAsia" w:cstheme="majorBidi"/>
      <w:color w:val="595959" w:themeColor="text1" w:themeTint="A6"/>
      <w:spacing w:val="15"/>
      <w:sz w:val="28"/>
      <w:szCs w:val="28"/>
    </w:rPr>
  </w:style>
  <w:style w:type="paragraph" w:styleId="790">
    <w:name w:val="Quote"/>
    <w:basedOn w:val="710"/>
    <w:next w:val="710"/>
    <w:link w:val="760"/>
    <w:uiPriority w:val="29"/>
    <w:qFormat/>
    <w:pPr>
      <w:pBdr/>
      <w:spacing w:after="160" w:before="160"/>
      <w:ind/>
      <w:jc w:val="center"/>
    </w:pPr>
    <w:rPr>
      <w:i/>
      <w:iCs/>
      <w:color w:val="404040" w:themeColor="text1" w:themeTint="BF"/>
    </w:rPr>
  </w:style>
  <w:style w:type="paragraph" w:styleId="791">
    <w:name w:val="List Paragraph"/>
    <w:basedOn w:val="710"/>
    <w:uiPriority w:val="34"/>
    <w:qFormat/>
    <w:pPr>
      <w:pBdr/>
      <w:spacing w:after="160" w:before="0"/>
      <w:ind w:firstLine="0" w:left="720"/>
      <w:contextualSpacing w:val="true"/>
    </w:pPr>
  </w:style>
  <w:style w:type="paragraph" w:styleId="792">
    <w:name w:val="Intense Quote"/>
    <w:basedOn w:val="710"/>
    <w:next w:val="710"/>
    <w:link w:val="762"/>
    <w:uiPriority w:val="30"/>
    <w:qFormat/>
    <w:pPr>
      <w:pBdr>
        <w:top w:val="single" w:color="2f5496" w:sz="4" w:space="10"/>
        <w:bottom w:val="single" w:color="2f5496" w:sz="4" w:space="10"/>
      </w:pBdr>
      <w:spacing w:after="360" w:before="360"/>
      <w:ind w:right="864" w:firstLine="0" w:left="864"/>
      <w:jc w:val="center"/>
    </w:pPr>
    <w:rPr>
      <w:i/>
      <w:iCs/>
      <w:color w:val="2f5496" w:themeColor="accent1" w:themeShade="BF"/>
    </w:rPr>
  </w:style>
  <w:style w:type="paragraph" w:styleId="793">
    <w:name w:val="Cabecera y pie"/>
    <w:basedOn w:val="710"/>
    <w:qFormat/>
    <w:pPr>
      <w:pBdr/>
      <w:spacing/>
      <w:ind/>
    </w:pPr>
  </w:style>
  <w:style w:type="paragraph" w:styleId="794">
    <w:name w:val="Header"/>
    <w:basedOn w:val="710"/>
    <w:link w:val="764"/>
    <w:uiPriority w:val="99"/>
    <w:unhideWhenUsed/>
    <w:pPr>
      <w:pBdr/>
      <w:tabs>
        <w:tab w:val="clear" w:leader="none" w:pos="708"/>
        <w:tab w:val="center" w:leader="none" w:pos="4252"/>
        <w:tab w:val="right" w:leader="none" w:pos="8504"/>
      </w:tabs>
      <w:spacing w:after="0" w:before="0" w:line="240" w:lineRule="auto"/>
      <w:ind/>
    </w:pPr>
  </w:style>
  <w:style w:type="paragraph" w:styleId="795">
    <w:name w:val="Footer"/>
    <w:basedOn w:val="710"/>
    <w:link w:val="765"/>
    <w:uiPriority w:val="99"/>
    <w:unhideWhenUsed/>
    <w:pPr>
      <w:pBdr/>
      <w:tabs>
        <w:tab w:val="clear" w:leader="none" w:pos="708"/>
        <w:tab w:val="center" w:leader="none" w:pos="4252"/>
        <w:tab w:val="right" w:leader="none" w:pos="8504"/>
      </w:tabs>
      <w:spacing w:after="0" w:before="0" w:line="240" w:lineRule="auto"/>
      <w:ind/>
    </w:pPr>
  </w:style>
  <w:style w:type="numbering" w:styleId="796" w:default="1">
    <w:name w:val="No List"/>
    <w:uiPriority w:val="99"/>
    <w:semiHidden/>
    <w:unhideWhenUsed/>
    <w:qFormat/>
    <w:pPr>
      <w:pBdr/>
      <w:spacing/>
      <w:ind/>
    </w:pPr>
  </w:style>
  <w:style w:type="table" w:styleId="797">
    <w:name w:val="Table Grid"/>
    <w:basedOn w:val="923"/>
    <w:uiPriority w:val="59"/>
    <w:pPr>
      <w:pBdr/>
      <w:spacing w:after="0" w:line="240" w:lineRule="auto"/>
      <w:ind/>
    </w:pPr>
    <w:tblPr>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Table Grid Light"/>
    <w:basedOn w:val="923"/>
    <w:uiPriority w:val="59"/>
    <w:pPr>
      <w:pBdr/>
      <w:spacing w:after="0" w:line="240" w:lineRule="auto"/>
      <w:ind/>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1"/>
    <w:basedOn w:val="923"/>
    <w:uiPriority w:val="59"/>
    <w:pPr>
      <w:pBdr/>
      <w:spacing w:after="0" w:line="240" w:lineRule="auto"/>
      <w:ind/>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fill="f2f2f2" w:themeFill="text1" w:themeFillTint="00"/>
        <w:tcBorders/>
      </w:tcPr>
    </w:tblStylePr>
    <w:tblStylePr w:type="band1Vert">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Plain Table 2"/>
    <w:basedOn w:val="923"/>
    <w:uiPriority w:val="59"/>
    <w:pPr>
      <w:pBdr/>
      <w:spacing w:after="0" w:line="240" w:lineRule="auto"/>
      <w:ind/>
    </w:pPr>
    <w:tblPr>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3"/>
    <w:basedOn w:val="923"/>
    <w:uiPriority w:val="99"/>
    <w:pPr>
      <w:pBdr/>
      <w:spacing w:after="0" w:line="240" w:lineRule="auto"/>
      <w:ind/>
    </w:pPr>
    <w:tblPr>
      <w:tblStyleRowBandSize w:val="1"/>
      <w:tblStyleColBandSize w:val="1"/>
      <w:tblBorders/>
    </w:tblPr>
    <w:tcPr>
      <w:tcBorders/>
    </w:tcPr>
    <w:tblStylePr w:type="band1Horz">
      <w:rPr>
        <w:color w:val="404040"/>
        <w:sz w:val="22"/>
      </w:rPr>
      <w:pPr>
        <w:pBdr/>
        <w:spacing/>
        <w:ind/>
      </w:pPr>
      <w:tblPr>
        <w:tblBorders/>
      </w:tblPr>
      <w:tcPr>
        <w:shd w:val="clear" w:color="ffffff" w:fill="f2f2f2" w:themeFill="text1" w:themeFillTint="00"/>
        <w:tcBorders/>
      </w:tcPr>
    </w:tblStylePr>
    <w:tblStylePr w:type="band1Vert">
      <w:rPr>
        <w:color w:val="404040"/>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Plain Table 4"/>
    <w:basedOn w:val="923"/>
    <w:uiPriority w:val="99"/>
    <w:pPr>
      <w:pBdr/>
      <w:spacing w:after="0" w:line="240" w:lineRule="auto"/>
      <w:ind/>
    </w:pPr>
    <w:tblPr>
      <w:tblStyleRowBandSize w:val="1"/>
      <w:tblStyleColBandSize w:val="1"/>
      <w:tblBorders/>
    </w:tblPr>
    <w:tcPr>
      <w:tcBorders/>
    </w:tcPr>
    <w:tblStylePr w:type="band1Horz">
      <w:rPr>
        <w:color w:val="404040"/>
        <w:sz w:val="22"/>
      </w:rPr>
      <w:pPr>
        <w:pBdr/>
        <w:spacing/>
        <w:ind/>
      </w:pPr>
      <w:tblPr>
        <w:tblBorders/>
      </w:tblPr>
      <w:tcPr>
        <w:shd w:val="clear" w:color="ffffff" w:fill="f2f2f2" w:themeFill="text1" w:themeFillTint="00"/>
        <w:tcBorders/>
      </w:tcPr>
    </w:tblStylePr>
    <w:tblStylePr w:type="band1Vert">
      <w:rPr>
        <w:color w:val="404040"/>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Plain Table 5"/>
    <w:basedOn w:val="923"/>
    <w:uiPriority w:val="99"/>
    <w:pPr>
      <w:pBdr/>
      <w:spacing w:after="0" w:line="240" w:lineRule="auto"/>
      <w:ind/>
    </w:pPr>
    <w:tblPr>
      <w:tblStyleRowBandSize w:val="1"/>
      <w:tblStyleColBandSize w:val="1"/>
      <w:tblBorders/>
    </w:tblPr>
    <w:tcPr>
      <w:tcBorders/>
    </w:tcPr>
    <w:tblStylePr w:type="band1Horz">
      <w:rPr>
        <w:color w:val="404040"/>
        <w:sz w:val="22"/>
      </w:rPr>
      <w:pPr>
        <w:pBdr/>
        <w:spacing/>
        <w:ind/>
      </w:pPr>
      <w:tblPr>
        <w:tblBorders/>
      </w:tblPr>
      <w:tcPr>
        <w:shd w:val="clear" w:color="ffffff" w:fill="f2f2f2" w:themeFill="text1" w:themeFillTint="00"/>
        <w:tcBorders/>
      </w:tcPr>
    </w:tblStylePr>
    <w:tblStylePr w:type="band1Vert">
      <w:rPr>
        <w:color w:val="404040"/>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1 Light"/>
    <w:basedOn w:val="923"/>
    <w:uiPriority w:val="99"/>
    <w:pPr>
      <w:pBdr/>
      <w:spacing w:after="0" w:line="240" w:lineRule="auto"/>
      <w:ind/>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color w:val="404040"/>
        <w:sz w:val="22"/>
      </w:rPr>
      <w:pPr>
        <w:pBdr/>
        <w:spacing/>
        <w:ind/>
      </w:pPr>
      <w:tblPr>
        <w:tblBorders/>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1 Light - Accent 1"/>
    <w:basedOn w:val="923"/>
    <w:uiPriority w:val="99"/>
    <w:pPr>
      <w:pBdr/>
      <w:spacing w:after="0" w:line="240" w:lineRule="auto"/>
      <w:ind/>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color w:val="404040"/>
        <w:sz w:val="22"/>
      </w:rPr>
      <w:pPr>
        <w:pBdr/>
        <w:spacing/>
        <w:ind/>
      </w:pPr>
      <w:tblPr>
        <w:tblBorders/>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 Accent 2"/>
    <w:basedOn w:val="923"/>
    <w:uiPriority w:val="99"/>
    <w:pPr>
      <w:pBdr/>
      <w:spacing w:after="0" w:line="240" w:lineRule="auto"/>
      <w:ind/>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color w:val="404040"/>
        <w:sz w:val="22"/>
      </w:rPr>
      <w:pPr>
        <w:pBdr/>
        <w:spacing/>
        <w:ind/>
      </w:pPr>
      <w:tblPr>
        <w:tblBorders/>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 Accent 3"/>
    <w:basedOn w:val="923"/>
    <w:uiPriority w:val="99"/>
    <w:pPr>
      <w:pBdr/>
      <w:spacing w:after="0" w:line="240" w:lineRule="auto"/>
      <w:ind/>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color w:val="404040"/>
        <w:sz w:val="22"/>
      </w:rPr>
      <w:pPr>
        <w:pBdr/>
        <w:spacing/>
        <w:ind/>
      </w:pPr>
      <w:tblPr>
        <w:tblBorders/>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 Accent 4"/>
    <w:basedOn w:val="923"/>
    <w:uiPriority w:val="99"/>
    <w:pPr>
      <w:pBdr/>
      <w:spacing w:after="0" w:line="240" w:lineRule="auto"/>
      <w:ind/>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color w:val="404040"/>
        <w:sz w:val="22"/>
      </w:rPr>
      <w:pPr>
        <w:pBdr/>
        <w:spacing/>
        <w:ind/>
      </w:pPr>
      <w:tblPr>
        <w:tblBorders/>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1 Light - Accent 5"/>
    <w:basedOn w:val="923"/>
    <w:uiPriority w:val="99"/>
    <w:pPr>
      <w:pBdr/>
      <w:spacing w:after="0" w:line="240" w:lineRule="auto"/>
      <w:ind/>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color w:val="404040"/>
        <w:sz w:val="22"/>
      </w:rPr>
      <w:pPr>
        <w:pBdr/>
        <w:spacing/>
        <w:ind/>
      </w:pPr>
      <w:tblPr>
        <w:tblBorders/>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 Accent 6"/>
    <w:basedOn w:val="923"/>
    <w:uiPriority w:val="99"/>
    <w:pPr>
      <w:pBdr/>
      <w:spacing w:after="0" w:line="240" w:lineRule="auto"/>
      <w:ind/>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color w:val="404040"/>
        <w:sz w:val="22"/>
      </w:rPr>
      <w:pPr>
        <w:pBdr/>
        <w:spacing/>
        <w:ind/>
      </w:pPr>
      <w:tblPr>
        <w:tblBorders/>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2"/>
    <w:basedOn w:val="923"/>
    <w:uiPriority w:val="99"/>
    <w:pPr>
      <w:pBdr/>
      <w:spacing w:after="0" w:line="240" w:lineRule="auto"/>
      <w:ind/>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color w:val="404040"/>
        <w:sz w:val="22"/>
      </w:rPr>
      <w:pPr>
        <w:pBdr/>
        <w:spacing/>
        <w:ind/>
      </w:pPr>
      <w:tblPr>
        <w:tblBorders/>
      </w:tblPr>
      <w:tcPr>
        <w:shd w:val="clear" w:color="ffffff" w:fill="cbcbcb" w:themeFill="text1" w:themeFillTint="34"/>
        <w:tcBorders/>
      </w:tcPr>
    </w:tblStylePr>
    <w:tblStylePr w:type="band1Vert">
      <w:rPr>
        <w:color w:val="404040"/>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2 - Accent 1"/>
    <w:basedOn w:val="923"/>
    <w:uiPriority w:val="99"/>
    <w:pPr>
      <w:pBdr/>
      <w:spacing w:after="0" w:line="240" w:lineRule="auto"/>
      <w:ind/>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color w:val="404040"/>
        <w:sz w:val="22"/>
      </w:rPr>
      <w:pPr>
        <w:pBdr/>
        <w:spacing/>
        <w:ind/>
      </w:pPr>
      <w:tblPr>
        <w:tblBorders/>
      </w:tblPr>
      <w:tcPr>
        <w:shd w:val="clear" w:color="ffffff" w:fill="d9e2f3" w:themeFill="accent1" w:themeFillTint="34"/>
        <w:tcBorders/>
      </w:tcPr>
    </w:tblStylePr>
    <w:tblStylePr w:type="band1Vert">
      <w:rPr>
        <w:color w:val="404040"/>
        <w:sz w:val="22"/>
      </w:rPr>
      <w:pPr>
        <w:pBdr/>
        <w:spacing/>
        <w:ind/>
      </w:pPr>
      <w:tblPr>
        <w:tblBorders/>
      </w:tblPr>
      <w:tcPr>
        <w:shd w:val="clear" w:color="ffffff"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 Accent 2"/>
    <w:basedOn w:val="923"/>
    <w:uiPriority w:val="99"/>
    <w:pPr>
      <w:pBdr/>
      <w:spacing w:after="0" w:line="240" w:lineRule="auto"/>
      <w:ind/>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404040"/>
        <w:sz w:val="22"/>
      </w:rPr>
      <w:pPr>
        <w:pBdr/>
        <w:spacing/>
        <w:ind/>
      </w:pPr>
      <w:tblPr>
        <w:tblBorders/>
      </w:tblPr>
      <w:tcPr>
        <w:shd w:val="clear" w:color="ffffff" w:fill="fbe6d7" w:themeFill="accent2" w:themeFillTint="32"/>
        <w:tcBorders/>
      </w:tcPr>
    </w:tblStylePr>
    <w:tblStylePr w:type="band1Vert">
      <w:rPr>
        <w:color w:val="404040"/>
        <w:sz w:val="22"/>
      </w:rPr>
      <w:pPr>
        <w:pBdr/>
        <w:spacing/>
        <w:ind/>
      </w:pPr>
      <w:tblPr>
        <w:tblBorders/>
      </w:tblPr>
      <w:tcPr>
        <w:shd w:val="clear" w:color="ffffff"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 Accent 3"/>
    <w:basedOn w:val="923"/>
    <w:uiPriority w:val="99"/>
    <w:pPr>
      <w:pBdr/>
      <w:spacing w:after="0" w:line="240" w:lineRule="auto"/>
      <w:ind/>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404040"/>
        <w:sz w:val="22"/>
      </w:rPr>
      <w:pPr>
        <w:pBdr/>
        <w:spacing/>
        <w:ind/>
      </w:pPr>
      <w:tblPr>
        <w:tblBorders/>
      </w:tblPr>
      <w:tcPr>
        <w:shd w:val="clear" w:color="ffffff" w:fill="ededed" w:themeFill="accent3" w:themeFillTint="34"/>
        <w:tcBorders/>
      </w:tcPr>
    </w:tblStylePr>
    <w:tblStylePr w:type="band1Vert">
      <w:rPr>
        <w:color w:val="404040"/>
        <w:sz w:val="22"/>
      </w:rPr>
      <w:pPr>
        <w:pBdr/>
        <w:spacing/>
        <w:ind/>
      </w:pPr>
      <w:tblPr>
        <w:tblBorders/>
      </w:tblPr>
      <w:tcPr>
        <w:shd w:val="clear" w:color="ffffff"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 Accent 4"/>
    <w:basedOn w:val="923"/>
    <w:uiPriority w:val="99"/>
    <w:pPr>
      <w:pBdr/>
      <w:spacing w:after="0" w:line="240" w:lineRule="auto"/>
      <w:ind/>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404040"/>
        <w:sz w:val="22"/>
      </w:rPr>
      <w:pPr>
        <w:pBdr/>
        <w:spacing/>
        <w:ind/>
      </w:pPr>
      <w:tblPr>
        <w:tblBorders/>
      </w:tblPr>
      <w:tcPr>
        <w:shd w:val="clear" w:color="ffffff" w:fill="fff2cb" w:themeFill="accent4" w:themeFillTint="34"/>
        <w:tcBorders/>
      </w:tcPr>
    </w:tblStylePr>
    <w:tblStylePr w:type="band1Vert">
      <w:rPr>
        <w:color w:val="404040"/>
        <w:sz w:val="22"/>
      </w:rPr>
      <w:pPr>
        <w:pBdr/>
        <w:spacing/>
        <w:ind/>
      </w:pPr>
      <w:tblPr>
        <w:tblBorders/>
      </w:tblPr>
      <w:tcPr>
        <w:shd w:val="clear" w:color="ffffff"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 Accent 5"/>
    <w:basedOn w:val="923"/>
    <w:uiPriority w:val="99"/>
    <w:pPr>
      <w:pBdr/>
      <w:spacing w:after="0" w:line="240" w:lineRule="auto"/>
      <w:ind/>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color w:val="404040"/>
        <w:sz w:val="22"/>
      </w:rPr>
      <w:pPr>
        <w:pBdr/>
        <w:spacing/>
        <w:ind/>
      </w:pPr>
      <w:tblPr>
        <w:tblBorders/>
      </w:tblPr>
      <w:tcPr>
        <w:shd w:val="clear" w:color="ffffff" w:fill="deebf6" w:themeFill="accent5" w:themeFillTint="34"/>
        <w:tcBorders/>
      </w:tcPr>
    </w:tblStylePr>
    <w:tblStylePr w:type="band1Vert">
      <w:rPr>
        <w:color w:val="404040"/>
        <w:sz w:val="22"/>
      </w:rPr>
      <w:pPr>
        <w:pBdr/>
        <w:spacing/>
        <w:ind/>
      </w:pPr>
      <w:tblPr>
        <w:tblBorders/>
      </w:tblPr>
      <w:tcPr>
        <w:shd w:val="clear" w:color="ffffff"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 Accent 6"/>
    <w:basedOn w:val="923"/>
    <w:uiPriority w:val="99"/>
    <w:pPr>
      <w:pBdr/>
      <w:spacing w:after="0" w:line="240" w:lineRule="auto"/>
      <w:ind/>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color w:val="404040"/>
        <w:sz w:val="22"/>
      </w:rPr>
      <w:pPr>
        <w:pBdr/>
        <w:spacing/>
        <w:ind/>
      </w:pPr>
      <w:tblPr>
        <w:tblBorders/>
      </w:tblPr>
      <w:tcPr>
        <w:shd w:val="clear" w:color="ffffff" w:fill="e2efd9" w:themeFill="accent6" w:themeFillTint="34"/>
        <w:tcBorders/>
      </w:tcPr>
    </w:tblStylePr>
    <w:tblStylePr w:type="band1Vert">
      <w:rPr>
        <w:color w:val="404040"/>
        <w:sz w:val="22"/>
      </w:rPr>
      <w:pPr>
        <w:pBdr/>
        <w:spacing/>
        <w:ind/>
      </w:pPr>
      <w:tblPr>
        <w:tblBorders/>
      </w:tblPr>
      <w:tcPr>
        <w:shd w:val="clear" w:color="ffffff"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3"/>
    <w:basedOn w:val="923"/>
    <w:uiPriority w:val="99"/>
    <w:pPr>
      <w:pBdr/>
      <w:spacing w:after="0" w:line="240" w:lineRule="auto"/>
      <w:ind/>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color w:val="404040"/>
        <w:sz w:val="22"/>
      </w:rPr>
      <w:pPr>
        <w:pBdr/>
        <w:spacing/>
        <w:ind/>
      </w:pPr>
      <w:tblPr>
        <w:tblBorders/>
      </w:tblPr>
      <w:tcPr>
        <w:shd w:val="clear" w:color="ffffff" w:fill="cbcbcb" w:themeFill="text1" w:themeFillTint="34"/>
        <w:tcBorders/>
      </w:tcPr>
    </w:tblStylePr>
    <w:tblStylePr w:type="band1Vert">
      <w:rPr>
        <w:color w:val="404040"/>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3 - Accent 1"/>
    <w:basedOn w:val="923"/>
    <w:uiPriority w:val="99"/>
    <w:pPr>
      <w:pBdr/>
      <w:spacing w:after="0" w:line="240" w:lineRule="auto"/>
      <w:ind/>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color w:val="404040"/>
        <w:sz w:val="22"/>
      </w:rPr>
      <w:pPr>
        <w:pBdr/>
        <w:spacing/>
        <w:ind/>
      </w:pPr>
      <w:tblPr>
        <w:tblBorders/>
      </w:tblPr>
      <w:tcPr>
        <w:shd w:val="clear" w:color="ffffff" w:fill="d9e2f3" w:themeFill="accent1" w:themeFillTint="34"/>
        <w:tcBorders/>
      </w:tcPr>
    </w:tblStylePr>
    <w:tblStylePr w:type="band1Vert">
      <w:rPr>
        <w:color w:val="404040"/>
        <w:sz w:val="22"/>
      </w:rPr>
      <w:pPr>
        <w:pBdr/>
        <w:spacing/>
        <w:ind/>
      </w:pPr>
      <w:tblPr>
        <w:tblBorders/>
      </w:tblPr>
      <w:tcPr>
        <w:shd w:val="clear" w:color="ffffff"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 Accent 2"/>
    <w:basedOn w:val="923"/>
    <w:uiPriority w:val="99"/>
    <w:pPr>
      <w:pBdr/>
      <w:spacing w:after="0" w:line="240" w:lineRule="auto"/>
      <w:ind/>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404040"/>
        <w:sz w:val="22"/>
      </w:rPr>
      <w:pPr>
        <w:pBdr/>
        <w:spacing/>
        <w:ind/>
      </w:pPr>
      <w:tblPr>
        <w:tblBorders/>
      </w:tblPr>
      <w:tcPr>
        <w:shd w:val="clear" w:color="ffffff" w:fill="fbe6d7" w:themeFill="accent2" w:themeFillTint="32"/>
        <w:tcBorders/>
      </w:tcPr>
    </w:tblStylePr>
    <w:tblStylePr w:type="band1Vert">
      <w:rPr>
        <w:color w:val="404040"/>
        <w:sz w:val="22"/>
      </w:rPr>
      <w:pPr>
        <w:pBdr/>
        <w:spacing/>
        <w:ind/>
      </w:pPr>
      <w:tblPr>
        <w:tblBorders/>
      </w:tblPr>
      <w:tcPr>
        <w:shd w:val="clear" w:color="ffffff"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 Accent 3"/>
    <w:basedOn w:val="923"/>
    <w:uiPriority w:val="99"/>
    <w:pPr>
      <w:pBdr/>
      <w:spacing w:after="0" w:line="240" w:lineRule="auto"/>
      <w:ind/>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404040"/>
        <w:sz w:val="22"/>
      </w:rPr>
      <w:pPr>
        <w:pBdr/>
        <w:spacing/>
        <w:ind/>
      </w:pPr>
      <w:tblPr>
        <w:tblBorders/>
      </w:tblPr>
      <w:tcPr>
        <w:shd w:val="clear" w:color="ffffff" w:fill="ededed" w:themeFill="accent3" w:themeFillTint="34"/>
        <w:tcBorders/>
      </w:tcPr>
    </w:tblStylePr>
    <w:tblStylePr w:type="band1Vert">
      <w:rPr>
        <w:color w:val="404040"/>
        <w:sz w:val="22"/>
      </w:rPr>
      <w:pPr>
        <w:pBdr/>
        <w:spacing/>
        <w:ind/>
      </w:pPr>
      <w:tblPr>
        <w:tblBorders/>
      </w:tblPr>
      <w:tcPr>
        <w:shd w:val="clear" w:color="ffffff"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 Accent 4"/>
    <w:basedOn w:val="923"/>
    <w:uiPriority w:val="99"/>
    <w:pPr>
      <w:pBdr/>
      <w:spacing w:after="0" w:line="240" w:lineRule="auto"/>
      <w:ind/>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404040"/>
        <w:sz w:val="22"/>
      </w:rPr>
      <w:pPr>
        <w:pBdr/>
        <w:spacing/>
        <w:ind/>
      </w:pPr>
      <w:tblPr>
        <w:tblBorders/>
      </w:tblPr>
      <w:tcPr>
        <w:shd w:val="clear" w:color="ffffff" w:fill="fff2cb" w:themeFill="accent4" w:themeFillTint="34"/>
        <w:tcBorders/>
      </w:tcPr>
    </w:tblStylePr>
    <w:tblStylePr w:type="band1Vert">
      <w:rPr>
        <w:color w:val="404040"/>
        <w:sz w:val="22"/>
      </w:rPr>
      <w:pPr>
        <w:pBdr/>
        <w:spacing/>
        <w:ind/>
      </w:pPr>
      <w:tblPr>
        <w:tblBorders/>
      </w:tblPr>
      <w:tcPr>
        <w:shd w:val="clear" w:color="ffffff"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 Accent 5"/>
    <w:basedOn w:val="923"/>
    <w:uiPriority w:val="99"/>
    <w:pPr>
      <w:pBdr/>
      <w:spacing w:after="0" w:line="240" w:lineRule="auto"/>
      <w:ind/>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color w:val="404040"/>
        <w:sz w:val="22"/>
      </w:rPr>
      <w:pPr>
        <w:pBdr/>
        <w:spacing/>
        <w:ind/>
      </w:pPr>
      <w:tblPr>
        <w:tblBorders/>
      </w:tblPr>
      <w:tcPr>
        <w:shd w:val="clear" w:color="ffffff" w:fill="deebf6" w:themeFill="accent5" w:themeFillTint="34"/>
        <w:tcBorders/>
      </w:tcPr>
    </w:tblStylePr>
    <w:tblStylePr w:type="band1Vert">
      <w:rPr>
        <w:color w:val="404040"/>
        <w:sz w:val="22"/>
      </w:rPr>
      <w:pPr>
        <w:pBdr/>
        <w:spacing/>
        <w:ind/>
      </w:pPr>
      <w:tblPr>
        <w:tblBorders/>
      </w:tblPr>
      <w:tcPr>
        <w:shd w:val="clear" w:color="ffffff"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 Accent 6"/>
    <w:basedOn w:val="923"/>
    <w:uiPriority w:val="99"/>
    <w:pPr>
      <w:pBdr/>
      <w:spacing w:after="0" w:line="240" w:lineRule="auto"/>
      <w:ind/>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color w:val="404040"/>
        <w:sz w:val="22"/>
      </w:rPr>
      <w:pPr>
        <w:pBdr/>
        <w:spacing/>
        <w:ind/>
      </w:pPr>
      <w:tblPr>
        <w:tblBorders/>
      </w:tblPr>
      <w:tcPr>
        <w:shd w:val="clear" w:color="ffffff" w:fill="e2efd9" w:themeFill="accent6" w:themeFillTint="34"/>
        <w:tcBorders/>
      </w:tcPr>
    </w:tblStylePr>
    <w:tblStylePr w:type="band1Vert">
      <w:rPr>
        <w:color w:val="404040"/>
        <w:sz w:val="22"/>
      </w:rPr>
      <w:pPr>
        <w:pBdr/>
        <w:spacing/>
        <w:ind/>
      </w:pPr>
      <w:tblPr>
        <w:tblBorders/>
      </w:tblPr>
      <w:tcPr>
        <w:shd w:val="clear" w:color="ffffff"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4"/>
    <w:basedOn w:val="923"/>
    <w:uiPriority w:val="59"/>
    <w:pPr>
      <w:pBdr/>
      <w:spacing w:after="0" w:line="240" w:lineRule="auto"/>
      <w:ind/>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color w:val="404040"/>
        <w:sz w:val="22"/>
      </w:rPr>
      <w:pPr>
        <w:pBdr/>
        <w:spacing/>
        <w:ind/>
      </w:pPr>
      <w:tblPr>
        <w:tblBorders/>
      </w:tblPr>
      <w:tcPr>
        <w:shd w:val="clear" w:color="ffffff" w:fill="cbcbcb" w:themeFill="text1" w:themeFillTint="34"/>
        <w:tcBorders/>
      </w:tcPr>
    </w:tblStylePr>
    <w:tblStylePr w:type="band1Vert">
      <w:rPr>
        <w:color w:val="404040"/>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4 - Accent 1"/>
    <w:basedOn w:val="923"/>
    <w:uiPriority w:val="59"/>
    <w:pPr>
      <w:pBdr/>
      <w:spacing w:after="0" w:line="240" w:lineRule="auto"/>
      <w:ind/>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color w:val="404040"/>
        <w:sz w:val="22"/>
      </w:rPr>
      <w:pPr>
        <w:pBdr/>
        <w:spacing/>
        <w:ind/>
      </w:pPr>
      <w:tblPr>
        <w:tblBorders/>
      </w:tblPr>
      <w:tcPr>
        <w:shd w:val="clear" w:color="ffffff" w:fill="dae3f3" w:themeFill="accent1" w:themeFillTint="32"/>
        <w:tcBorders/>
      </w:tcPr>
    </w:tblStylePr>
    <w:tblStylePr w:type="band1Vert">
      <w:rPr>
        <w:color w:val="404040"/>
        <w:sz w:val="22"/>
      </w:rPr>
      <w:pPr>
        <w:pBdr/>
        <w:spacing/>
        <w:ind/>
      </w:pPr>
      <w:tblPr>
        <w:tblBorders/>
      </w:tblPr>
      <w:tcPr>
        <w:shd w:val="clear" w:color="ffffff"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537ec9" w:themeFill="accent1" w:themeFillTint="EA"/>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 Accent 2"/>
    <w:basedOn w:val="923"/>
    <w:uiPriority w:val="59"/>
    <w:pPr>
      <w:pBdr/>
      <w:spacing w:after="0" w:line="240" w:lineRule="auto"/>
      <w:ind/>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color w:val="404040"/>
        <w:sz w:val="22"/>
      </w:rPr>
      <w:pPr>
        <w:pBdr/>
        <w:spacing/>
        <w:ind/>
      </w:pPr>
      <w:tblPr>
        <w:tblBorders/>
      </w:tblPr>
      <w:tcPr>
        <w:shd w:val="clear" w:color="ffffff" w:fill="fbe6d7" w:themeFill="accent2" w:themeFillTint="32"/>
        <w:tcBorders/>
      </w:tcPr>
    </w:tblStylePr>
    <w:tblStylePr w:type="band1Vert">
      <w:rPr>
        <w:color w:val="404040"/>
        <w:sz w:val="22"/>
      </w:rPr>
      <w:pPr>
        <w:pBdr/>
        <w:spacing/>
        <w:ind/>
      </w:pPr>
      <w:tblPr>
        <w:tblBorders/>
      </w:tblPr>
      <w:tcPr>
        <w:shd w:val="clear" w:color="ffffff"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f4b285" w:themeFill="accent2" w:themeFillTint="97"/>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 Accent 3"/>
    <w:basedOn w:val="923"/>
    <w:uiPriority w:val="59"/>
    <w:pPr>
      <w:pBdr/>
      <w:spacing w:after="0" w:line="240" w:lineRule="auto"/>
      <w:ind/>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color w:val="404040"/>
        <w:sz w:val="22"/>
      </w:rPr>
      <w:pPr>
        <w:pBdr/>
        <w:spacing/>
        <w:ind/>
      </w:pPr>
      <w:tblPr>
        <w:tblBorders/>
      </w:tblPr>
      <w:tcPr>
        <w:shd w:val="clear" w:color="ffffff" w:fill="ededed" w:themeFill="accent3" w:themeFillTint="34"/>
        <w:tcBorders/>
      </w:tcPr>
    </w:tblStylePr>
    <w:tblStylePr w:type="band1Vert">
      <w:rPr>
        <w:color w:val="404040"/>
        <w:sz w:val="22"/>
      </w:rPr>
      <w:pPr>
        <w:pBdr/>
        <w:spacing/>
        <w:ind/>
      </w:pPr>
      <w:tblPr>
        <w:tblBorders/>
      </w:tblPr>
      <w:tcPr>
        <w:shd w:val="clear" w:color="ffffff"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a5a5a5" w:themeFill="accent3" w:themeFillTint="FE"/>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 Accent 4"/>
    <w:basedOn w:val="923"/>
    <w:uiPriority w:val="59"/>
    <w:pPr>
      <w:pBdr/>
      <w:spacing w:after="0" w:line="240" w:lineRule="auto"/>
      <w:ind/>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color w:val="404040"/>
        <w:sz w:val="22"/>
      </w:rPr>
      <w:pPr>
        <w:pBdr/>
        <w:spacing/>
        <w:ind/>
      </w:pPr>
      <w:tblPr>
        <w:tblBorders/>
      </w:tblPr>
      <w:tcPr>
        <w:shd w:val="clear" w:color="ffffff" w:fill="fff2cb" w:themeFill="accent4" w:themeFillTint="34"/>
        <w:tcBorders/>
      </w:tcPr>
    </w:tblStylePr>
    <w:tblStylePr w:type="band1Vert">
      <w:rPr>
        <w:color w:val="404040"/>
        <w:sz w:val="22"/>
      </w:rPr>
      <w:pPr>
        <w:pBdr/>
        <w:spacing/>
        <w:ind/>
      </w:pPr>
      <w:tblPr>
        <w:tblBorders/>
      </w:tblPr>
      <w:tcPr>
        <w:shd w:val="clear" w:color="ffffff"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ffd965" w:themeFill="accent4" w:themeFillTint="9A"/>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 Accent 5"/>
    <w:basedOn w:val="923"/>
    <w:uiPriority w:val="59"/>
    <w:pPr>
      <w:pBdr/>
      <w:spacing w:after="0" w:line="240" w:lineRule="auto"/>
      <w:ind/>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color w:val="404040"/>
        <w:sz w:val="22"/>
      </w:rPr>
      <w:pPr>
        <w:pBdr/>
        <w:spacing/>
        <w:ind/>
      </w:pPr>
      <w:tblPr>
        <w:tblBorders/>
      </w:tblPr>
      <w:tcPr>
        <w:shd w:val="clear" w:color="ffffff" w:fill="deebf6" w:themeFill="accent5" w:themeFillTint="34"/>
        <w:tcBorders/>
      </w:tcPr>
    </w:tblStylePr>
    <w:tblStylePr w:type="band1Vert">
      <w:rPr>
        <w:color w:val="404040"/>
        <w:sz w:val="22"/>
      </w:rPr>
      <w:pPr>
        <w:pBdr/>
        <w:spacing/>
        <w:ind/>
      </w:pPr>
      <w:tblPr>
        <w:tblBorders/>
      </w:tblPr>
      <w:tcPr>
        <w:shd w:val="clear" w:color="ffffff"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 Accent 6"/>
    <w:basedOn w:val="923"/>
    <w:uiPriority w:val="59"/>
    <w:pPr>
      <w:pBdr/>
      <w:spacing w:after="0" w:line="240" w:lineRule="auto"/>
      <w:ind/>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color w:val="404040"/>
        <w:sz w:val="22"/>
      </w:rPr>
      <w:pPr>
        <w:pBdr/>
        <w:spacing/>
        <w:ind/>
      </w:pPr>
      <w:tblPr>
        <w:tblBorders/>
      </w:tblPr>
      <w:tcPr>
        <w:shd w:val="clear" w:color="ffffff" w:fill="e2efd9" w:themeFill="accent6" w:themeFillTint="34"/>
        <w:tcBorders/>
      </w:tcPr>
    </w:tblStylePr>
    <w:tblStylePr w:type="band1Vert">
      <w:rPr>
        <w:color w:val="404040"/>
        <w:sz w:val="22"/>
      </w:rPr>
      <w:pPr>
        <w:pBdr/>
        <w:spacing/>
        <w:ind/>
      </w:pPr>
      <w:tblPr>
        <w:tblBorders/>
      </w:tblPr>
      <w:tcPr>
        <w:shd w:val="clear" w:color="ffffff"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5 Dark"/>
    <w:basedOn w:val="923"/>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8a8a8a" w:themeFill="text1" w:themeFillTint="75"/>
        <w:tcBorders/>
      </w:tcPr>
    </w:tblStylePr>
    <w:tblStylePr w:type="band1Vert">
      <w:pPr>
        <w:pBdr/>
        <w:spacing/>
        <w:ind/>
      </w:pPr>
      <w:tblPr>
        <w:tblBorders/>
      </w:tblPr>
      <w:tcPr>
        <w:shd w:val="clear" w:color="ffffff"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ffff" w:fill="000000" w:themeFill="text1"/>
        <w:tcBorders/>
      </w:tcPr>
    </w:tblStylePr>
    <w:tblStylePr w:type="firstRow">
      <w:rPr>
        <w:b/>
        <w:color w:val="ffffff"/>
        <w:sz w:val="22"/>
      </w:rPr>
      <w:pPr>
        <w:pBdr/>
        <w:spacing/>
        <w:ind/>
      </w:pPr>
      <w:tblPr>
        <w:tblBorders/>
      </w:tblPr>
      <w:tcPr>
        <w:shd w:val="clear" w:color="ffffff" w:fill="000000" w:themeFill="text1"/>
        <w:tcBorders/>
      </w:tcPr>
    </w:tblStylePr>
    <w:tblStylePr w:type="lastCol">
      <w:rPr>
        <w:b/>
        <w:color w:val="ffffff"/>
        <w:sz w:val="22"/>
      </w:rPr>
      <w:pPr>
        <w:pBdr/>
        <w:spacing/>
        <w:ind/>
      </w:pPr>
      <w:tblPr>
        <w:tblBorders/>
      </w:tblPr>
      <w:tcPr>
        <w:shd w:val="clear" w:color="ffffff" w:fill="000000" w:themeFill="text1"/>
        <w:tcBorders/>
      </w:tcPr>
    </w:tblStylePr>
    <w:tblStylePr w:type="lastRow">
      <w:rPr>
        <w:b/>
        <w:color w:val="ffffff"/>
        <w:sz w:val="22"/>
      </w:rPr>
      <w:pPr>
        <w:pBdr/>
        <w:spacing/>
        <w:ind/>
      </w:pPr>
      <w:tblPr>
        <w:tblBorders/>
      </w:tblPr>
      <w:tcPr>
        <w:shd w:val="clear" w:color="ffffff"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5 Dark- Accent 1"/>
    <w:basedOn w:val="923"/>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a9bee4" w:themeFill="accent1" w:themeFillTint="75"/>
        <w:tcBorders/>
      </w:tcPr>
    </w:tblStylePr>
    <w:tblStylePr w:type="band1Vert">
      <w:pPr>
        <w:pBdr/>
        <w:spacing/>
        <w:ind/>
      </w:pPr>
      <w:tblPr>
        <w:tblBorders/>
      </w:tblPr>
      <w:tcPr>
        <w:shd w:val="clear" w:color="ffffff"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ffff" w:fill="4472c4" w:themeFill="accent1"/>
        <w:tcBorders/>
      </w:tcPr>
    </w:tblStylePr>
    <w:tblStylePr w:type="firstRow">
      <w:rPr>
        <w:b/>
        <w:color w:val="ffffff"/>
        <w:sz w:val="22"/>
      </w:rPr>
      <w:pPr>
        <w:pBdr/>
        <w:spacing/>
        <w:ind/>
      </w:pPr>
      <w:tblPr>
        <w:tblBorders/>
      </w:tblPr>
      <w:tcPr>
        <w:shd w:val="clear" w:color="ffffff" w:fill="4472c4" w:themeFill="accent1"/>
        <w:tcBorders/>
      </w:tcPr>
    </w:tblStylePr>
    <w:tblStylePr w:type="lastCol">
      <w:rPr>
        <w:b/>
        <w:color w:val="ffffff"/>
        <w:sz w:val="22"/>
      </w:rPr>
      <w:pPr>
        <w:pBdr/>
        <w:spacing/>
        <w:ind/>
      </w:pPr>
      <w:tblPr>
        <w:tblBorders/>
      </w:tblPr>
      <w:tcPr>
        <w:shd w:val="clear" w:color="ffffff" w:fill="4472c4" w:themeFill="accent1"/>
        <w:tcBorders/>
      </w:tcPr>
    </w:tblStylePr>
    <w:tblStylePr w:type="lastRow">
      <w:rPr>
        <w:b/>
        <w:color w:val="ffffff"/>
        <w:sz w:val="22"/>
      </w:rPr>
      <w:pPr>
        <w:pBdr/>
        <w:spacing/>
        <w:ind/>
      </w:pPr>
      <w:tblPr>
        <w:tblBorders/>
      </w:tblPr>
      <w:tcPr>
        <w:shd w:val="clear" w:color="ffffff"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 Accent 2"/>
    <w:basedOn w:val="923"/>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f7c3a0" w:themeFill="accent2" w:themeFillTint="75"/>
        <w:tcBorders/>
      </w:tcPr>
    </w:tblStylePr>
    <w:tblStylePr w:type="band1Vert">
      <w:pPr>
        <w:pBdr/>
        <w:spacing/>
        <w:ind/>
      </w:pPr>
      <w:tblPr>
        <w:tblBorders/>
      </w:tblPr>
      <w:tcPr>
        <w:shd w:val="clear" w:color="ffffff"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ffff" w:fill="ed7d31" w:themeFill="accent2"/>
        <w:tcBorders/>
      </w:tcPr>
    </w:tblStylePr>
    <w:tblStylePr w:type="firstRow">
      <w:rPr>
        <w:b/>
        <w:color w:val="ffffff"/>
        <w:sz w:val="22"/>
      </w:rPr>
      <w:pPr>
        <w:pBdr/>
        <w:spacing/>
        <w:ind/>
      </w:pPr>
      <w:tblPr>
        <w:tblBorders/>
      </w:tblPr>
      <w:tcPr>
        <w:shd w:val="clear" w:color="ffffff" w:fill="ed7d31" w:themeFill="accent2"/>
        <w:tcBorders/>
      </w:tcPr>
    </w:tblStylePr>
    <w:tblStylePr w:type="lastCol">
      <w:rPr>
        <w:b/>
        <w:color w:val="ffffff"/>
        <w:sz w:val="22"/>
      </w:rPr>
      <w:pPr>
        <w:pBdr/>
        <w:spacing/>
        <w:ind/>
      </w:pPr>
      <w:tblPr>
        <w:tblBorders/>
      </w:tblPr>
      <w:tcPr>
        <w:shd w:val="clear" w:color="ffffff" w:fill="ed7d31" w:themeFill="accent2"/>
        <w:tcBorders/>
      </w:tcPr>
    </w:tblStylePr>
    <w:tblStylePr w:type="lastRow">
      <w:rPr>
        <w:b/>
        <w:color w:val="ffffff"/>
        <w:sz w:val="22"/>
      </w:rPr>
      <w:pPr>
        <w:pBdr/>
        <w:spacing/>
        <w:ind/>
      </w:pPr>
      <w:tblPr>
        <w:tblBorders/>
      </w:tblPr>
      <w:tcPr>
        <w:shd w:val="clear" w:color="ffffff"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 Accent 3"/>
    <w:basedOn w:val="923"/>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d6d6d6" w:themeFill="accent3" w:themeFillTint="75"/>
        <w:tcBorders/>
      </w:tcPr>
    </w:tblStylePr>
    <w:tblStylePr w:type="band1Vert">
      <w:pPr>
        <w:pBdr/>
        <w:spacing/>
        <w:ind/>
      </w:pPr>
      <w:tblPr>
        <w:tblBorders/>
      </w:tblPr>
      <w:tcPr>
        <w:shd w:val="clear" w:color="ffffff"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ffff" w:fill="a5a5a5" w:themeFill="accent3"/>
        <w:tcBorders/>
      </w:tcPr>
    </w:tblStylePr>
    <w:tblStylePr w:type="firstRow">
      <w:rPr>
        <w:b/>
        <w:color w:val="ffffff"/>
        <w:sz w:val="22"/>
      </w:rPr>
      <w:pPr>
        <w:pBdr/>
        <w:spacing/>
        <w:ind/>
      </w:pPr>
      <w:tblPr>
        <w:tblBorders/>
      </w:tblPr>
      <w:tcPr>
        <w:shd w:val="clear" w:color="ffffff" w:fill="a5a5a5" w:themeFill="accent3"/>
        <w:tcBorders/>
      </w:tcPr>
    </w:tblStylePr>
    <w:tblStylePr w:type="lastCol">
      <w:rPr>
        <w:b/>
        <w:color w:val="ffffff"/>
        <w:sz w:val="22"/>
      </w:rPr>
      <w:pPr>
        <w:pBdr/>
        <w:spacing/>
        <w:ind/>
      </w:pPr>
      <w:tblPr>
        <w:tblBorders/>
      </w:tblPr>
      <w:tcPr>
        <w:shd w:val="clear" w:color="ffffff" w:fill="a5a5a5" w:themeFill="accent3"/>
        <w:tcBorders/>
      </w:tcPr>
    </w:tblStylePr>
    <w:tblStylePr w:type="lastRow">
      <w:rPr>
        <w:b/>
        <w:color w:val="ffffff"/>
        <w:sz w:val="22"/>
      </w:rPr>
      <w:pPr>
        <w:pBdr/>
        <w:spacing/>
        <w:ind/>
      </w:pPr>
      <w:tblPr>
        <w:tblBorders/>
      </w:tblPr>
      <w:tcPr>
        <w:shd w:val="clear" w:color="ffffff"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Accent 4"/>
    <w:basedOn w:val="923"/>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ffe28a" w:themeFill="accent4" w:themeFillTint="75"/>
        <w:tcBorders/>
      </w:tcPr>
    </w:tblStylePr>
    <w:tblStylePr w:type="band1Vert">
      <w:pPr>
        <w:pBdr/>
        <w:spacing/>
        <w:ind/>
      </w:pPr>
      <w:tblPr>
        <w:tblBorders/>
      </w:tblPr>
      <w:tcPr>
        <w:shd w:val="clear" w:color="ffffff"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ffff" w:fill="ffc000" w:themeFill="accent4"/>
        <w:tcBorders/>
      </w:tcPr>
    </w:tblStylePr>
    <w:tblStylePr w:type="firstRow">
      <w:rPr>
        <w:b/>
        <w:color w:val="ffffff"/>
        <w:sz w:val="22"/>
      </w:rPr>
      <w:pPr>
        <w:pBdr/>
        <w:spacing/>
        <w:ind/>
      </w:pPr>
      <w:tblPr>
        <w:tblBorders/>
      </w:tblPr>
      <w:tcPr>
        <w:shd w:val="clear" w:color="ffffff" w:fill="ffc000" w:themeFill="accent4"/>
        <w:tcBorders/>
      </w:tcPr>
    </w:tblStylePr>
    <w:tblStylePr w:type="lastCol">
      <w:rPr>
        <w:b/>
        <w:color w:val="ffffff"/>
        <w:sz w:val="22"/>
      </w:rPr>
      <w:pPr>
        <w:pBdr/>
        <w:spacing/>
        <w:ind/>
      </w:pPr>
      <w:tblPr>
        <w:tblBorders/>
      </w:tblPr>
      <w:tcPr>
        <w:shd w:val="clear" w:color="ffffff" w:fill="ffc000" w:themeFill="accent4"/>
        <w:tcBorders/>
      </w:tcPr>
    </w:tblStylePr>
    <w:tblStylePr w:type="lastRow">
      <w:rPr>
        <w:b/>
        <w:color w:val="ffffff"/>
        <w:sz w:val="22"/>
      </w:rPr>
      <w:pPr>
        <w:pBdr/>
        <w:spacing/>
        <w:ind/>
      </w:pPr>
      <w:tblPr>
        <w:tblBorders/>
      </w:tblPr>
      <w:tcPr>
        <w:shd w:val="clear" w:color="ffffff"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 Accent 5"/>
    <w:basedOn w:val="923"/>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b4d1ec" w:themeFill="accent5" w:themeFillTint="75"/>
        <w:tcBorders/>
      </w:tcPr>
    </w:tblStylePr>
    <w:tblStylePr w:type="band1Vert">
      <w:pPr>
        <w:pBdr/>
        <w:spacing/>
        <w:ind/>
      </w:pPr>
      <w:tblPr>
        <w:tblBorders/>
      </w:tblPr>
      <w:tcPr>
        <w:shd w:val="clear" w:color="ffffff"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ffff" w:fill="5b9bd5" w:themeFill="accent5"/>
        <w:tcBorders/>
      </w:tcPr>
    </w:tblStylePr>
    <w:tblStylePr w:type="firstRow">
      <w:rPr>
        <w:b/>
        <w:color w:val="ffffff"/>
        <w:sz w:val="22"/>
      </w:rPr>
      <w:pPr>
        <w:pBdr/>
        <w:spacing/>
        <w:ind/>
      </w:pPr>
      <w:tblPr>
        <w:tblBorders/>
      </w:tblPr>
      <w:tcPr>
        <w:shd w:val="clear" w:color="ffffff" w:fill="5b9bd5" w:themeFill="accent5"/>
        <w:tcBorders/>
      </w:tcPr>
    </w:tblStylePr>
    <w:tblStylePr w:type="lastCol">
      <w:rPr>
        <w:b/>
        <w:color w:val="ffffff"/>
        <w:sz w:val="22"/>
      </w:rPr>
      <w:pPr>
        <w:pBdr/>
        <w:spacing/>
        <w:ind/>
      </w:pPr>
      <w:tblPr>
        <w:tblBorders/>
      </w:tblPr>
      <w:tcPr>
        <w:shd w:val="clear" w:color="ffffff" w:fill="5b9bd5" w:themeFill="accent5"/>
        <w:tcBorders/>
      </w:tcPr>
    </w:tblStylePr>
    <w:tblStylePr w:type="lastRow">
      <w:rPr>
        <w:b/>
        <w:color w:val="ffffff"/>
        <w:sz w:val="22"/>
      </w:rPr>
      <w:pPr>
        <w:pBdr/>
        <w:spacing/>
        <w:ind/>
      </w:pPr>
      <w:tblPr>
        <w:tblBorders/>
      </w:tblPr>
      <w:tcPr>
        <w:shd w:val="clear" w:color="ffffff"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5 Dark - Accent 6"/>
    <w:basedOn w:val="923"/>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bddba8" w:themeFill="accent6" w:themeFillTint="75"/>
        <w:tcBorders/>
      </w:tcPr>
    </w:tblStylePr>
    <w:tblStylePr w:type="band1Vert">
      <w:pPr>
        <w:pBdr/>
        <w:spacing/>
        <w:ind/>
      </w:pPr>
      <w:tblPr>
        <w:tblBorders/>
      </w:tblPr>
      <w:tcPr>
        <w:shd w:val="clear" w:color="ffffff"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ffffff"/>
        <w:sz w:val="22"/>
      </w:rPr>
      <w:pPr>
        <w:pBdr/>
        <w:spacing/>
        <w:ind/>
      </w:pPr>
      <w:tblPr>
        <w:tblBorders/>
      </w:tblPr>
      <w:tcPr>
        <w:shd w:val="clear" w:color="ffffff" w:fill="70ad47" w:themeFill="accent6"/>
        <w:tcBorders/>
      </w:tcPr>
    </w:tblStylePr>
    <w:tblStylePr w:type="firstRow">
      <w:rPr>
        <w:b/>
        <w:color w:val="ffffff"/>
        <w:sz w:val="22"/>
      </w:rPr>
      <w:pPr>
        <w:pBdr/>
        <w:spacing/>
        <w:ind/>
      </w:pPr>
      <w:tblPr>
        <w:tblBorders/>
      </w:tblPr>
      <w:tcPr>
        <w:shd w:val="clear" w:color="ffffff" w:fill="70ad47" w:themeFill="accent6"/>
        <w:tcBorders/>
      </w:tcPr>
    </w:tblStylePr>
    <w:tblStylePr w:type="lastCol">
      <w:rPr>
        <w:b/>
        <w:color w:val="ffffff"/>
        <w:sz w:val="22"/>
      </w:rPr>
      <w:pPr>
        <w:pBdr/>
        <w:spacing/>
        <w:ind/>
      </w:pPr>
      <w:tblPr>
        <w:tblBorders/>
      </w:tblPr>
      <w:tcPr>
        <w:shd w:val="clear" w:color="ffffff" w:fill="70ad47" w:themeFill="accent6"/>
        <w:tcBorders/>
      </w:tcPr>
    </w:tblStylePr>
    <w:tblStylePr w:type="lastRow">
      <w:rPr>
        <w:b/>
        <w:color w:val="ffffff"/>
        <w:sz w:val="22"/>
      </w:rPr>
      <w:pPr>
        <w:pBdr/>
        <w:spacing/>
        <w:ind/>
      </w:pPr>
      <w:tblPr>
        <w:tblBorders/>
      </w:tblPr>
      <w:tcPr>
        <w:shd w:val="clear" w:color="ffffff"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6 Colorful"/>
    <w:basedOn w:val="923"/>
    <w:uiPriority w:val="99"/>
    <w:pPr>
      <w:pBdr/>
      <w:spacing w:after="0" w:line="240" w:lineRule="auto"/>
      <w:ind/>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color w:val="404040" w:themeColor="text1" w:themeTint="80" w:themeShade="95"/>
        <w:sz w:val="22"/>
      </w:rPr>
      <w:pPr>
        <w:pBdr/>
        <w:spacing/>
        <w:ind/>
      </w:pPr>
      <w:tblPr>
        <w:tblBorders/>
      </w:tblPr>
      <w:tcPr>
        <w:shd w:val="clear" w:color="ffffff" w:fill="cbcbcb" w:themeFill="text1" w:themeFillTint="34"/>
        <w:tcBorders/>
      </w:tcPr>
    </w:tblStylePr>
    <w:tblStylePr w:type="band1Vert">
      <w:pPr>
        <w:pBdr/>
        <w:spacing/>
        <w:ind/>
      </w:pPr>
      <w:tblPr>
        <w:tblBorders/>
      </w:tblPr>
      <w:tcPr>
        <w:shd w:val="clear" w:color="ffffff" w:fill="cbcbcb" w:themeFill="text1" w:themeFillTint="34"/>
        <w:tcBorders/>
      </w:tcPr>
    </w:tblStylePr>
    <w:tblStylePr w:type="band2Horz">
      <w:rPr>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text1" w:themeTint="80" w:themeShade="95"/>
        <w:sz w:val="22"/>
      </w:rPr>
      <w:pPr>
        <w:pBdr/>
        <w:spacing/>
        <w:ind/>
      </w:pPr>
      <w:tblPr>
        <w:tblBorders/>
      </w:tblPr>
      <w:tcPr>
        <w:tcBorders/>
      </w:tcPr>
    </w:tblStylePr>
  </w:style>
  <w:style w:type="table" w:styleId="840">
    <w:name w:val="Grid Table 6 Colorful - Accent 1"/>
    <w:basedOn w:val="923"/>
    <w:uiPriority w:val="99"/>
    <w:pPr>
      <w:pBdr/>
      <w:spacing w:after="0" w:line="240" w:lineRule="auto"/>
      <w:ind/>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color w:val="404040" w:themeColor="accent1" w:themeTint="80" w:themeShade="95"/>
        <w:sz w:val="22"/>
      </w:rPr>
      <w:pPr>
        <w:pBdr/>
        <w:spacing/>
        <w:ind/>
      </w:pPr>
      <w:tblPr>
        <w:tblBorders/>
      </w:tblPr>
      <w:tcPr>
        <w:shd w:val="clear" w:color="ffffff" w:fill="d9e2f3" w:themeFill="accent1" w:themeFillTint="34"/>
        <w:tcBorders/>
      </w:tcPr>
    </w:tblStylePr>
    <w:tblStylePr w:type="band1Vert">
      <w:pPr>
        <w:pBdr/>
        <w:spacing/>
        <w:ind/>
      </w:pPr>
      <w:tblPr>
        <w:tblBorders/>
      </w:tblPr>
      <w:tcPr>
        <w:shd w:val="clear" w:color="ffffff" w:fill="d9e2f3" w:themeFill="accent1" w:themeFillTint="34"/>
        <w:tcBorders/>
      </w:tcPr>
    </w:tblStylePr>
    <w:tblStylePr w:type="band2Horz">
      <w:rPr>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1" w:themeTint="80" w:themeShade="95"/>
        <w:sz w:val="22"/>
      </w:rPr>
      <w:pPr>
        <w:pBdr/>
        <w:spacing/>
        <w:ind/>
      </w:pPr>
      <w:tblPr>
        <w:tblBorders/>
      </w:tblPr>
      <w:tcPr>
        <w:tcBorders/>
      </w:tcPr>
    </w:tblStylePr>
  </w:style>
  <w:style w:type="table" w:styleId="841">
    <w:name w:val="Grid Table 6 Colorful - Accent 2"/>
    <w:basedOn w:val="923"/>
    <w:uiPriority w:val="99"/>
    <w:pPr>
      <w:pBdr/>
      <w:spacing w:after="0" w:line="240" w:lineRule="auto"/>
      <w:ind/>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404040" w:themeColor="accent2" w:themeTint="97" w:themeShade="95"/>
        <w:sz w:val="22"/>
      </w:rPr>
      <w:pPr>
        <w:pBdr/>
        <w:spacing/>
        <w:ind/>
      </w:pPr>
      <w:tblPr>
        <w:tblBorders/>
      </w:tblPr>
      <w:tcPr>
        <w:shd w:val="clear" w:color="ffffff" w:fill="fbe6d7" w:themeFill="accent2" w:themeFillTint="32"/>
        <w:tcBorders/>
      </w:tcPr>
    </w:tblStylePr>
    <w:tblStylePr w:type="band1Vert">
      <w:pPr>
        <w:pBdr/>
        <w:spacing/>
        <w:ind/>
      </w:pPr>
      <w:tblPr>
        <w:tblBorders/>
      </w:tblPr>
      <w:tcPr>
        <w:shd w:val="clear" w:color="ffffff" w:fill="fbe6d7" w:themeFill="accent2" w:themeFillTint="32"/>
        <w:tcBorders/>
      </w:tcPr>
    </w:tblStylePr>
    <w:tblStylePr w:type="band2Horz">
      <w:rPr>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2" w:themeTint="97" w:themeShade="95"/>
        <w:sz w:val="22"/>
      </w:rPr>
      <w:pPr>
        <w:pBdr/>
        <w:spacing/>
        <w:ind/>
      </w:pPr>
      <w:tblPr>
        <w:tblBorders/>
      </w:tblPr>
      <w:tcPr>
        <w:tcBorders/>
      </w:tcPr>
    </w:tblStylePr>
  </w:style>
  <w:style w:type="table" w:styleId="842">
    <w:name w:val="Grid Table 6 Colorful - Accent 3"/>
    <w:basedOn w:val="923"/>
    <w:uiPriority w:val="99"/>
    <w:pPr>
      <w:pBdr/>
      <w:spacing w:after="0" w:line="240" w:lineRule="auto"/>
      <w:ind/>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404040" w:themeColor="accent3" w:themeTint="FE" w:themeShade="95"/>
        <w:sz w:val="22"/>
      </w:rPr>
      <w:pPr>
        <w:pBdr/>
        <w:spacing/>
        <w:ind/>
      </w:pPr>
      <w:tblPr>
        <w:tblBorders/>
      </w:tblPr>
      <w:tcPr>
        <w:shd w:val="clear" w:color="ffffff" w:fill="ededed" w:themeFill="accent3" w:themeFillTint="34"/>
        <w:tcBorders/>
      </w:tcPr>
    </w:tblStylePr>
    <w:tblStylePr w:type="band1Vert">
      <w:pPr>
        <w:pBdr/>
        <w:spacing/>
        <w:ind/>
      </w:pPr>
      <w:tblPr>
        <w:tblBorders/>
      </w:tblPr>
      <w:tcPr>
        <w:shd w:val="clear" w:color="ffffff" w:fill="ededed" w:themeFill="accent3" w:themeFillTint="34"/>
        <w:tcBorders/>
      </w:tcPr>
    </w:tblStylePr>
    <w:tblStylePr w:type="band2Horz">
      <w:rPr>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3" w:themeTint="FE" w:themeShade="95"/>
        <w:sz w:val="22"/>
      </w:rPr>
      <w:pPr>
        <w:pBdr/>
        <w:spacing/>
        <w:ind/>
      </w:pPr>
      <w:tblPr>
        <w:tblBorders/>
      </w:tblPr>
      <w:tcPr>
        <w:tcBorders/>
      </w:tcPr>
    </w:tblStylePr>
  </w:style>
  <w:style w:type="table" w:styleId="843">
    <w:name w:val="Grid Table 6 Colorful - Accent 4"/>
    <w:basedOn w:val="923"/>
    <w:uiPriority w:val="99"/>
    <w:pPr>
      <w:pBdr/>
      <w:spacing w:after="0" w:line="240" w:lineRule="auto"/>
      <w:ind/>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404040" w:themeColor="accent4" w:themeTint="9A" w:themeShade="95"/>
        <w:sz w:val="22"/>
      </w:rPr>
      <w:pPr>
        <w:pBdr/>
        <w:spacing/>
        <w:ind/>
      </w:pPr>
      <w:tblPr>
        <w:tblBorders/>
      </w:tblPr>
      <w:tcPr>
        <w:shd w:val="clear" w:color="ffffff" w:fill="fff2cb" w:themeFill="accent4" w:themeFillTint="34"/>
        <w:tcBorders/>
      </w:tcPr>
    </w:tblStylePr>
    <w:tblStylePr w:type="band1Vert">
      <w:pPr>
        <w:pBdr/>
        <w:spacing/>
        <w:ind/>
      </w:pPr>
      <w:tblPr>
        <w:tblBorders/>
      </w:tblPr>
      <w:tcPr>
        <w:shd w:val="clear" w:color="ffffff" w:fill="fff2cb" w:themeFill="accent4" w:themeFillTint="34"/>
        <w:tcBorders/>
      </w:tcPr>
    </w:tblStylePr>
    <w:tblStylePr w:type="band2Horz">
      <w:rPr>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4" w:themeTint="9A" w:themeShade="95"/>
        <w:sz w:val="22"/>
      </w:rPr>
      <w:pPr>
        <w:pBdr/>
        <w:spacing/>
        <w:ind/>
      </w:pPr>
      <w:tblPr>
        <w:tblBorders/>
      </w:tblPr>
      <w:tcPr>
        <w:tcBorders/>
      </w:tcPr>
    </w:tblStylePr>
  </w:style>
  <w:style w:type="table" w:styleId="844">
    <w:name w:val="Grid Table 6 Colorful - Accent 5"/>
    <w:basedOn w:val="923"/>
    <w:uiPriority w:val="99"/>
    <w:pPr>
      <w:pBdr/>
      <w:spacing w:after="0" w:line="240" w:lineRule="auto"/>
      <w:ind/>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color w:val="404040" w:themeColor="accent5" w:themeShade="95"/>
        <w:sz w:val="22"/>
      </w:rPr>
      <w:pPr>
        <w:pBdr/>
        <w:spacing/>
        <w:ind/>
      </w:pPr>
      <w:tblPr>
        <w:tblBorders/>
      </w:tblPr>
      <w:tcPr>
        <w:shd w:val="clear" w:color="ffffff" w:fill="deebf6" w:themeFill="accent5" w:themeFillTint="34"/>
        <w:tcBorders/>
      </w:tcPr>
    </w:tblStylePr>
    <w:tblStylePr w:type="band1Vert">
      <w:pPr>
        <w:pBdr/>
        <w:spacing/>
        <w:ind/>
      </w:pPr>
      <w:tblPr>
        <w:tblBorders/>
      </w:tblPr>
      <w:tcPr>
        <w:shd w:val="clear" w:color="ffffff" w:fill="deebf6" w:themeFill="accent5" w:themeFillTint="34"/>
        <w:tcBorders/>
      </w:tcPr>
    </w:tblStylePr>
    <w:tblStylePr w:type="band2Horz">
      <w:rPr>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5" w:themeShade="95"/>
        <w:sz w:val="22"/>
      </w:rPr>
      <w:pPr>
        <w:pBdr/>
        <w:spacing/>
        <w:ind/>
      </w:pPr>
      <w:tblPr>
        <w:tblBorders/>
      </w:tblPr>
      <w:tcPr>
        <w:tcBorders/>
      </w:tcPr>
    </w:tblStylePr>
  </w:style>
  <w:style w:type="table" w:styleId="845">
    <w:name w:val="Grid Table 6 Colorful - Accent 6"/>
    <w:basedOn w:val="923"/>
    <w:uiPriority w:val="99"/>
    <w:pPr>
      <w:pBdr/>
      <w:spacing w:after="0" w:line="240" w:lineRule="auto"/>
      <w:ind/>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color w:val="404040" w:themeColor="accent5" w:themeShade="95"/>
        <w:sz w:val="22"/>
      </w:rPr>
      <w:pPr>
        <w:pBdr/>
        <w:spacing/>
        <w:ind/>
      </w:pPr>
      <w:tblPr>
        <w:tblBorders/>
      </w:tblPr>
      <w:tcPr>
        <w:shd w:val="clear" w:color="ffffff" w:fill="e2efd9" w:themeFill="accent6" w:themeFillTint="34"/>
        <w:tcBorders/>
      </w:tcPr>
    </w:tblStylePr>
    <w:tblStylePr w:type="band1Vert">
      <w:pPr>
        <w:pBdr/>
        <w:spacing/>
        <w:ind/>
      </w:pPr>
      <w:tblPr>
        <w:tblBorders/>
      </w:tblPr>
      <w:tcPr>
        <w:shd w:val="clear" w:color="ffffff" w:fill="e2efd9" w:themeFill="accent6" w:themeFillTint="34"/>
        <w:tcBorders/>
      </w:tcPr>
    </w:tblStylePr>
    <w:tblStylePr w:type="band2Horz">
      <w:rPr>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5" w:themeShade="95"/>
        <w:sz w:val="22"/>
      </w:rPr>
      <w:pPr>
        <w:pBdr/>
        <w:spacing/>
        <w:ind/>
      </w:pPr>
      <w:tblPr>
        <w:tblBorders/>
      </w:tblPr>
      <w:tcPr>
        <w:tcBorders/>
      </w:tcPr>
    </w:tblStylePr>
  </w:style>
  <w:style w:type="table" w:styleId="846">
    <w:name w:val="Grid Table 7 Colorful"/>
    <w:basedOn w:val="923"/>
    <w:uiPriority w:val="99"/>
    <w:pPr>
      <w:pBdr/>
      <w:spacing w:after="0" w:line="240" w:lineRule="auto"/>
      <w:ind/>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fffff" w:fill="f2f2f2" w:themeFill="text1" w:themeFillTint="00"/>
        <w:tcBorders/>
      </w:tcPr>
    </w:tblStylePr>
    <w:tblStylePr w:type="band1Vert">
      <w:pPr>
        <w:pBdr/>
        <w:spacing/>
        <w:ind/>
      </w:pPr>
      <w:tblPr>
        <w:tblBorders/>
      </w:tblPr>
      <w:tcPr>
        <w:shd w:val="clear" w:color="ffffff" w:fill="f2f2f2" w:themeFill="text1" w:themeFillTint="0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b/>
        <w:color w:val="4a4a4a" w:themeColor="tex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b/>
        <w:color w:val="4a4a4a" w:themeColor="text1" w:themeTint="80" w:themeShade="95"/>
        <w:sz w:val="22"/>
      </w:rPr>
      <w:pPr>
        <w:pBdr/>
        <w:spacing/>
        <w:ind/>
      </w:pPr>
      <w:tblPr>
        <w:tblBorders/>
      </w:tbl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 Accent 1"/>
    <w:basedOn w:val="923"/>
    <w:uiPriority w:val="99"/>
    <w:pPr>
      <w:pBdr/>
      <w:spacing w:after="0" w:line="240" w:lineRule="auto"/>
      <w:ind/>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color w:val="3660ac" w:themeColor="accent1" w:themeTint="80" w:themeShade="95"/>
        <w:sz w:val="22"/>
      </w:rPr>
      <w:pPr>
        <w:pBdr/>
        <w:spacing/>
        <w:ind/>
      </w:pPr>
      <w:tblPr>
        <w:tblBorders/>
      </w:tblPr>
      <w:tcPr>
        <w:shd w:val="clear" w:color="ffffff" w:fill="d9e2f3" w:themeFill="accent1" w:themeFillTint="34"/>
        <w:tcBorders/>
      </w:tcPr>
    </w:tblStylePr>
    <w:tblStylePr w:type="band1Vert">
      <w:pPr>
        <w:pBdr/>
        <w:spacing/>
        <w:ind/>
      </w:pPr>
      <w:tblPr>
        <w:tblBorders/>
      </w:tblPr>
      <w:tcPr>
        <w:shd w:val="clear" w:color="ffffff" w:fill="d9e2f3" w:themeFill="accent1" w:themeFillTint="34"/>
        <w:tcBorders/>
      </w:tcPr>
    </w:tblStylePr>
    <w:tblStylePr w:type="band2Horz">
      <w:rPr>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b/>
        <w:color w:val="3660ac" w:themeColor="accen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3660ac" w:themeColor="accent1" w:themeTint="80"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b/>
        <w:color w:val="3660ac" w:themeColor="accent1" w:themeTint="80" w:themeShade="95"/>
        <w:sz w:val="22"/>
      </w:rPr>
      <w:pPr>
        <w:pBdr/>
        <w:spacing/>
        <w:ind/>
      </w:pPr>
      <w:tblPr>
        <w:tblBorders/>
      </w:tbl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 Accent 2"/>
    <w:basedOn w:val="923"/>
    <w:uiPriority w:val="99"/>
    <w:pPr>
      <w:pBdr/>
      <w:spacing w:after="0" w:line="240" w:lineRule="auto"/>
      <w:ind/>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cb5d12" w:themeColor="accent2" w:themeTint="97" w:themeShade="95"/>
        <w:sz w:val="22"/>
      </w:rPr>
      <w:pPr>
        <w:pBdr/>
        <w:spacing/>
        <w:ind/>
      </w:pPr>
      <w:tblPr>
        <w:tblBorders/>
      </w:tblPr>
      <w:tcPr>
        <w:shd w:val="clear" w:color="ffffff" w:fill="fbe6d7" w:themeFill="accent2" w:themeFillTint="32"/>
        <w:tcBorders/>
      </w:tcPr>
    </w:tblStylePr>
    <w:tblStylePr w:type="band1Vert">
      <w:pPr>
        <w:pBdr/>
        <w:spacing/>
        <w:ind/>
      </w:pPr>
      <w:tblPr>
        <w:tblBorders/>
      </w:tblPr>
      <w:tcPr>
        <w:shd w:val="clear" w:color="ffffff" w:fill="fbe6d7" w:themeFill="accent2" w:themeFillTint="32"/>
        <w:tcBorders/>
      </w:tcPr>
    </w:tblStylePr>
    <w:tblStylePr w:type="band2Horz">
      <w:rPr>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b/>
        <w:color w:val="cb5d12" w:themeColor="accent2" w:themeTint="97"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b5d12" w:themeColor="accent2" w:themeTint="97" w:themeShade="95"/>
        <w:sz w:val="22"/>
      </w:rPr>
      <w:pPr>
        <w:pBdr/>
        <w:spacing/>
        <w:ind/>
      </w:pPr>
      <w:tblPr>
        <w:tblBorders/>
      </w:tbl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b/>
        <w:color w:val="cb5d12" w:themeColor="accent2" w:themeTint="97" w:themeShade="95"/>
        <w:sz w:val="22"/>
      </w:rPr>
      <w:pPr>
        <w:pBdr/>
        <w:spacing/>
        <w:ind/>
      </w:pPr>
      <w:tblPr>
        <w:tblBorders/>
      </w:tbl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 Accent 3"/>
    <w:basedOn w:val="923"/>
    <w:uiPriority w:val="99"/>
    <w:pPr>
      <w:pBdr/>
      <w:spacing w:after="0" w:line="240" w:lineRule="auto"/>
      <w:ind/>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616161" w:themeColor="accent3" w:themeTint="FE" w:themeShade="95"/>
        <w:sz w:val="22"/>
      </w:rPr>
      <w:pPr>
        <w:pBdr/>
        <w:spacing/>
        <w:ind/>
      </w:pPr>
      <w:tblPr>
        <w:tblBorders/>
      </w:tblPr>
      <w:tcPr>
        <w:shd w:val="clear" w:color="ffffff" w:fill="ededed" w:themeFill="accent3" w:themeFillTint="34"/>
        <w:tcBorders/>
      </w:tcPr>
    </w:tblStylePr>
    <w:tblStylePr w:type="band1Vert">
      <w:pPr>
        <w:pBdr/>
        <w:spacing/>
        <w:ind/>
      </w:pPr>
      <w:tblPr>
        <w:tblBorders/>
      </w:tblPr>
      <w:tcPr>
        <w:shd w:val="clear" w:color="ffffff" w:fill="ededed" w:themeFill="accent3" w:themeFillTint="34"/>
        <w:tcBorders/>
      </w:tcPr>
    </w:tblStylePr>
    <w:tblStylePr w:type="band2Horz">
      <w:rPr>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b/>
        <w:color w:val="616161" w:themeColor="accent3" w:themeTint="FE"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616161" w:themeColor="accent3" w:themeTint="FE" w:themeShade="95"/>
        <w:sz w:val="22"/>
      </w:rPr>
      <w:pPr>
        <w:pBdr/>
        <w:spacing/>
        <w:ind/>
      </w:pPr>
      <w:tblPr>
        <w:tblBorders/>
      </w:tbl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b/>
        <w:color w:val="616161" w:themeColor="accent3" w:themeTint="FE" w:themeShade="95"/>
        <w:sz w:val="22"/>
      </w:rPr>
      <w:pPr>
        <w:pBdr/>
        <w:spacing/>
        <w:ind/>
      </w:pPr>
      <w:tblPr>
        <w:tblBorders/>
      </w:tbl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7 Colorful - Accent 4"/>
    <w:basedOn w:val="923"/>
    <w:uiPriority w:val="99"/>
    <w:pPr>
      <w:pBdr/>
      <w:spacing w:after="0" w:line="240" w:lineRule="auto"/>
      <w:ind/>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d09d00" w:themeColor="accent4" w:themeTint="9A" w:themeShade="95"/>
        <w:sz w:val="22"/>
      </w:rPr>
      <w:pPr>
        <w:pBdr/>
        <w:spacing/>
        <w:ind/>
      </w:pPr>
      <w:tblPr>
        <w:tblBorders/>
      </w:tblPr>
      <w:tcPr>
        <w:shd w:val="clear" w:color="ffffff" w:fill="fff2cb" w:themeFill="accent4" w:themeFillTint="34"/>
        <w:tcBorders/>
      </w:tcPr>
    </w:tblStylePr>
    <w:tblStylePr w:type="band1Vert">
      <w:pPr>
        <w:pBdr/>
        <w:spacing/>
        <w:ind/>
      </w:pPr>
      <w:tblPr>
        <w:tblBorders/>
      </w:tblPr>
      <w:tcPr>
        <w:shd w:val="clear" w:color="ffffff" w:fill="fff2cb" w:themeFill="accent4" w:themeFillTint="34"/>
        <w:tcBorders/>
      </w:tcPr>
    </w:tblStylePr>
    <w:tblStylePr w:type="band2Horz">
      <w:rPr>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b/>
        <w:color w:val="d09d00" w:themeColor="accent4"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d09d00" w:themeColor="accent4" w:themeTint="9A" w:themeShade="95"/>
        <w:sz w:val="22"/>
      </w:rPr>
      <w:pPr>
        <w:pBdr/>
        <w:spacing/>
        <w:ind/>
      </w:pPr>
      <w:tblPr>
        <w:tblBorders/>
      </w:tbl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b/>
        <w:color w:val="d09d00" w:themeColor="accent4" w:themeTint="9A" w:themeShade="95"/>
        <w:sz w:val="22"/>
      </w:rPr>
      <w:pPr>
        <w:pBdr/>
        <w:spacing/>
        <w:ind/>
      </w:pPr>
      <w:tblPr>
        <w:tblBorders/>
      </w:tbl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7 Colorful - Accent 5"/>
    <w:basedOn w:val="923"/>
    <w:uiPriority w:val="99"/>
    <w:pPr>
      <w:pBdr/>
      <w:spacing w:after="0" w:line="240" w:lineRule="auto"/>
      <w:ind/>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color w:val="245b8d" w:themeColor="accent5" w:themeShade="95"/>
        <w:sz w:val="22"/>
      </w:rPr>
      <w:pPr>
        <w:pBdr/>
        <w:spacing/>
        <w:ind/>
      </w:pPr>
      <w:tblPr>
        <w:tblBorders/>
      </w:tblPr>
      <w:tcPr>
        <w:shd w:val="clear" w:color="ffffff" w:fill="deebf6" w:themeFill="accent5" w:themeFillTint="34"/>
        <w:tcBorders/>
      </w:tcPr>
    </w:tblStylePr>
    <w:tblStylePr w:type="band1Vert">
      <w:pPr>
        <w:pBdr/>
        <w:spacing/>
        <w:ind/>
      </w:pPr>
      <w:tblPr>
        <w:tblBorders/>
      </w:tblPr>
      <w:tcPr>
        <w:shd w:val="clear" w:color="ffffff" w:fill="deebf6" w:themeFill="accent5" w:themeFillTint="34"/>
        <w:tcBorders/>
      </w:tcPr>
    </w:tblStylePr>
    <w:tblStylePr w:type="band2Horz">
      <w:rPr>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b/>
        <w:color w:val="245b8d" w:themeColor="accent5"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45b8d" w:themeColor="accent5" w:themeShade="95"/>
        <w:sz w:val="22"/>
      </w:rPr>
      <w:pPr>
        <w:pBdr/>
        <w:spacing/>
        <w:ind/>
      </w:pPr>
      <w:tblPr>
        <w:tblBorders/>
      </w:tbl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b/>
        <w:color w:val="245b8d" w:themeColor="accent5" w:themeShade="95"/>
        <w:sz w:val="22"/>
      </w:rPr>
      <w:pPr>
        <w:pBdr/>
        <w:spacing/>
        <w:ind/>
      </w:pPr>
      <w:tblPr>
        <w:tblBorders/>
      </w:tbl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7 Colorful - Accent 6"/>
    <w:basedOn w:val="923"/>
    <w:uiPriority w:val="99"/>
    <w:pPr>
      <w:pBdr/>
      <w:spacing w:after="0" w:line="240" w:lineRule="auto"/>
      <w:ind/>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color w:val="416529" w:themeColor="accent6" w:themeShade="95"/>
        <w:sz w:val="22"/>
      </w:rPr>
      <w:pPr>
        <w:pBdr/>
        <w:spacing/>
        <w:ind/>
      </w:pPr>
      <w:tblPr>
        <w:tblBorders/>
      </w:tblPr>
      <w:tcPr>
        <w:shd w:val="clear" w:color="ffffff" w:fill="e2efd9" w:themeFill="accent6" w:themeFillTint="34"/>
        <w:tcBorders/>
      </w:tcPr>
    </w:tblStylePr>
    <w:tblStylePr w:type="band1Vert">
      <w:pPr>
        <w:pBdr/>
        <w:spacing/>
        <w:ind/>
      </w:pPr>
      <w:tblPr>
        <w:tblBorders/>
      </w:tblPr>
      <w:tcPr>
        <w:shd w:val="clear" w:color="ffffff" w:fill="e2efd9" w:themeFill="accent6" w:themeFillTint="34"/>
        <w:tcBorders/>
      </w:tcPr>
    </w:tblStylePr>
    <w:tblStylePr w:type="band2Horz">
      <w:rPr>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b/>
        <w:color w:val="416529" w:themeColor="accent6"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416529" w:themeColor="accent6" w:themeShade="95"/>
        <w:sz w:val="22"/>
      </w:rPr>
      <w:pPr>
        <w:pBdr/>
        <w:spacing/>
        <w:ind/>
      </w:pPr>
      <w:tblPr>
        <w:tblBorders/>
      </w:tbl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b/>
        <w:color w:val="416529" w:themeColor="accent6" w:themeShade="95"/>
        <w:sz w:val="22"/>
      </w:rPr>
      <w:pPr>
        <w:pBdr/>
        <w:spacing/>
        <w:ind/>
      </w:pPr>
      <w:tblPr>
        <w:tblBorders/>
      </w:tbl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w:basedOn w:val="92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 Accent 1"/>
    <w:basedOn w:val="92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d0dcf0" w:themeFill="accent1" w:themeFillTint="40"/>
        <w:tcBorders/>
      </w:tcPr>
    </w:tblStylePr>
    <w:tblStylePr w:type="band1Vert">
      <w:pPr>
        <w:pBdr/>
        <w:spacing/>
        <w:ind/>
      </w:pPr>
      <w:tblPr>
        <w:tblBorders/>
      </w:tblPr>
      <w:tcPr>
        <w:shd w:val="clear" w:color="ffffff"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 Accent 2"/>
    <w:basedOn w:val="92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adecb" w:themeFill="accent2" w:themeFillTint="40"/>
        <w:tcBorders/>
      </w:tcPr>
    </w:tblStylePr>
    <w:tblStylePr w:type="band1Vert">
      <w:pPr>
        <w:pBdr/>
        <w:spacing/>
        <w:ind/>
      </w:pPr>
      <w:tblPr>
        <w:tblBorders/>
      </w:tblPr>
      <w:tcPr>
        <w:shd w:val="clear" w:color="ffffff"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 Accent 3"/>
    <w:basedOn w:val="92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e8e8e8" w:themeFill="accent3" w:themeFillTint="40"/>
        <w:tcBorders/>
      </w:tcPr>
    </w:tblStylePr>
    <w:tblStylePr w:type="band1Vert">
      <w:pPr>
        <w:pBdr/>
        <w:spacing/>
        <w:ind/>
      </w:pPr>
      <w:tblPr>
        <w:tblBorders/>
      </w:tblPr>
      <w:tcPr>
        <w:shd w:val="clear" w:color="ffffff"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 Accent 4"/>
    <w:basedOn w:val="92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fefbf" w:themeFill="accent4" w:themeFillTint="40"/>
        <w:tcBorders/>
      </w:tcPr>
    </w:tblStylePr>
    <w:tblStylePr w:type="band1Vert">
      <w:pPr>
        <w:pBdr/>
        <w:spacing/>
        <w:ind/>
      </w:pPr>
      <w:tblPr>
        <w:tblBorders/>
      </w:tblPr>
      <w:tcPr>
        <w:shd w:val="clear" w:color="ffffff"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1 Light - Accent 5"/>
    <w:basedOn w:val="92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d6e6f4" w:themeFill="accent5" w:themeFillTint="40"/>
        <w:tcBorders/>
      </w:tcPr>
    </w:tblStylePr>
    <w:tblStylePr w:type="band1Vert">
      <w:pPr>
        <w:pBdr/>
        <w:spacing/>
        <w:ind/>
      </w:pPr>
      <w:tblPr>
        <w:tblBorders/>
      </w:tblPr>
      <w:tcPr>
        <w:shd w:val="clear" w:color="ffffff"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1 Light - Accent 6"/>
    <w:basedOn w:val="92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dbecd0" w:themeFill="accent6" w:themeFillTint="40"/>
        <w:tcBorders/>
      </w:tcPr>
    </w:tblStylePr>
    <w:tblStylePr w:type="band1Vert">
      <w:pPr>
        <w:pBdr/>
        <w:spacing/>
        <w:ind/>
      </w:pPr>
      <w:tblPr>
        <w:tblBorders/>
      </w:tblPr>
      <w:tcPr>
        <w:shd w:val="clear" w:color="ffffff"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w:basedOn w:val="923"/>
    <w:uiPriority w:val="99"/>
    <w:pPr>
      <w:pBdr/>
      <w:spacing w:after="0" w:line="240" w:lineRule="auto"/>
      <w:ind/>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color w:val="404040"/>
        <w:sz w:val="22"/>
      </w:rPr>
      <w:pPr>
        <w:pBdr/>
        <w:spacing/>
        <w:ind/>
      </w:pPr>
      <w:tblPr>
        <w:tblBorders/>
      </w:tblPr>
      <w:tcPr>
        <w:shd w:val="clear" w:color="ffffff" w:fill="bfbfbf" w:themeFill="text1" w:themeFillTint="40"/>
        <w:tcBorders/>
      </w:tcPr>
    </w:tblStylePr>
    <w:tblStylePr w:type="band1Vert">
      <w:rPr>
        <w:color w:val="404040"/>
        <w:sz w:val="22"/>
      </w:rPr>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 Accent 1"/>
    <w:basedOn w:val="923"/>
    <w:uiPriority w:val="99"/>
    <w:pPr>
      <w:pBdr/>
      <w:spacing w:after="0" w:line="240" w:lineRule="auto"/>
      <w:ind/>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color w:val="404040"/>
        <w:sz w:val="22"/>
      </w:rPr>
      <w:pPr>
        <w:pBdr/>
        <w:spacing/>
        <w:ind/>
      </w:pPr>
      <w:tblPr>
        <w:tblBorders/>
      </w:tblPr>
      <w:tcPr>
        <w:shd w:val="clear" w:color="ffffff" w:fill="d0dcf0" w:themeFill="accent1" w:themeFillTint="40"/>
        <w:tcBorders/>
      </w:tcPr>
    </w:tblStylePr>
    <w:tblStylePr w:type="band1Vert">
      <w:rPr>
        <w:color w:val="404040"/>
        <w:sz w:val="22"/>
      </w:rPr>
      <w:pPr>
        <w:pBdr/>
        <w:spacing/>
        <w:ind/>
      </w:pPr>
      <w:tblPr>
        <w:tblBorders/>
      </w:tblPr>
      <w:tcPr>
        <w:shd w:val="clear" w:color="ffffff"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 Accent 2"/>
    <w:basedOn w:val="923"/>
    <w:uiPriority w:val="99"/>
    <w:pPr>
      <w:pBdr/>
      <w:spacing w:after="0" w:line="240" w:lineRule="auto"/>
      <w:ind/>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color w:val="404040"/>
        <w:sz w:val="22"/>
      </w:rPr>
      <w:pPr>
        <w:pBdr/>
        <w:spacing/>
        <w:ind/>
      </w:pPr>
      <w:tblPr>
        <w:tblBorders/>
      </w:tblPr>
      <w:tcPr>
        <w:shd w:val="clear" w:color="ffffff" w:fill="fadecb" w:themeFill="accent2" w:themeFillTint="40"/>
        <w:tcBorders/>
      </w:tcPr>
    </w:tblStylePr>
    <w:tblStylePr w:type="band1Vert">
      <w:rPr>
        <w:color w:val="404040"/>
        <w:sz w:val="22"/>
      </w:rPr>
      <w:pPr>
        <w:pBdr/>
        <w:spacing/>
        <w:ind/>
      </w:pPr>
      <w:tblPr>
        <w:tblBorders/>
      </w:tblPr>
      <w:tcPr>
        <w:shd w:val="clear" w:color="ffffff"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 Accent 3"/>
    <w:basedOn w:val="923"/>
    <w:uiPriority w:val="99"/>
    <w:pPr>
      <w:pBdr/>
      <w:spacing w:after="0" w:line="240" w:lineRule="auto"/>
      <w:ind/>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color w:val="404040"/>
        <w:sz w:val="22"/>
      </w:rPr>
      <w:pPr>
        <w:pBdr/>
        <w:spacing/>
        <w:ind/>
      </w:pPr>
      <w:tblPr>
        <w:tblBorders/>
      </w:tblPr>
      <w:tcPr>
        <w:shd w:val="clear" w:color="ffffff" w:fill="e8e8e8" w:themeFill="accent3" w:themeFillTint="40"/>
        <w:tcBorders/>
      </w:tcPr>
    </w:tblStylePr>
    <w:tblStylePr w:type="band1Vert">
      <w:rPr>
        <w:color w:val="404040"/>
        <w:sz w:val="22"/>
      </w:rPr>
      <w:pPr>
        <w:pBdr/>
        <w:spacing/>
        <w:ind/>
      </w:pPr>
      <w:tblPr>
        <w:tblBorders/>
      </w:tblPr>
      <w:tcPr>
        <w:shd w:val="clear" w:color="ffffff"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 Accent 4"/>
    <w:basedOn w:val="923"/>
    <w:uiPriority w:val="99"/>
    <w:pPr>
      <w:pBdr/>
      <w:spacing w:after="0" w:line="240" w:lineRule="auto"/>
      <w:ind/>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color w:val="404040"/>
        <w:sz w:val="22"/>
      </w:rPr>
      <w:pPr>
        <w:pBdr/>
        <w:spacing/>
        <w:ind/>
      </w:pPr>
      <w:tblPr>
        <w:tblBorders/>
      </w:tblPr>
      <w:tcPr>
        <w:shd w:val="clear" w:color="ffffff" w:fill="ffefbf" w:themeFill="accent4" w:themeFillTint="40"/>
        <w:tcBorders/>
      </w:tcPr>
    </w:tblStylePr>
    <w:tblStylePr w:type="band1Vert">
      <w:rPr>
        <w:color w:val="404040"/>
        <w:sz w:val="22"/>
      </w:rPr>
      <w:pPr>
        <w:pBdr/>
        <w:spacing/>
        <w:ind/>
      </w:pPr>
      <w:tblPr>
        <w:tblBorders/>
      </w:tblPr>
      <w:tcPr>
        <w:shd w:val="clear" w:color="ffffff"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2 - Accent 5"/>
    <w:basedOn w:val="923"/>
    <w:uiPriority w:val="99"/>
    <w:pPr>
      <w:pBdr/>
      <w:spacing w:after="0" w:line="240" w:lineRule="auto"/>
      <w:ind/>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color w:val="404040"/>
        <w:sz w:val="22"/>
      </w:rPr>
      <w:pPr>
        <w:pBdr/>
        <w:spacing/>
        <w:ind/>
      </w:pPr>
      <w:tblPr>
        <w:tblBorders/>
      </w:tblPr>
      <w:tcPr>
        <w:shd w:val="clear" w:color="ffffff" w:fill="d6e6f4" w:themeFill="accent5" w:themeFillTint="40"/>
        <w:tcBorders/>
      </w:tcPr>
    </w:tblStylePr>
    <w:tblStylePr w:type="band1Vert">
      <w:rPr>
        <w:color w:val="404040"/>
        <w:sz w:val="22"/>
      </w:rPr>
      <w:pPr>
        <w:pBdr/>
        <w:spacing/>
        <w:ind/>
      </w:pPr>
      <w:tblPr>
        <w:tblBorders/>
      </w:tblPr>
      <w:tcPr>
        <w:shd w:val="clear" w:color="ffffff"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2 - Accent 6"/>
    <w:basedOn w:val="923"/>
    <w:uiPriority w:val="99"/>
    <w:pPr>
      <w:pBdr/>
      <w:spacing w:after="0" w:line="240" w:lineRule="auto"/>
      <w:ind/>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color w:val="404040"/>
        <w:sz w:val="22"/>
      </w:rPr>
      <w:pPr>
        <w:pBdr/>
        <w:spacing/>
        <w:ind/>
      </w:pPr>
      <w:tblPr>
        <w:tblBorders/>
      </w:tblPr>
      <w:tcPr>
        <w:shd w:val="clear" w:color="ffffff" w:fill="dbecd0" w:themeFill="accent6" w:themeFillTint="40"/>
        <w:tcBorders/>
      </w:tcPr>
    </w:tblStylePr>
    <w:tblStylePr w:type="band1Vert">
      <w:rPr>
        <w:color w:val="404040"/>
        <w:sz w:val="22"/>
      </w:rPr>
      <w:pPr>
        <w:pBdr/>
        <w:spacing/>
        <w:ind/>
      </w:pPr>
      <w:tblPr>
        <w:tblBorders/>
      </w:tblPr>
      <w:tcPr>
        <w:shd w:val="clear" w:color="ffffff"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sz w:val="22"/>
      </w:rPr>
      <w:pPr>
        <w:pBdr/>
        <w:spacing/>
        <w:ind/>
      </w:pPr>
      <w:tblPr>
        <w:tblBorders/>
      </w:tblPr>
      <w:tcPr>
        <w:tcBorders/>
      </w:tcPr>
    </w:tblStylePr>
    <w:tblStylePr w:type="firstRow">
      <w:rPr>
        <w:b/>
        <w:color w:val="404040"/>
        <w:sz w:val="22"/>
      </w:rPr>
      <w:pPr>
        <w:pBdr/>
        <w:spacing/>
        <w:ind/>
      </w:pPr>
      <w:tblPr>
        <w:tblBorders/>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pPr>
        <w:pBdr/>
        <w:spacing/>
        <w:ind/>
      </w:pPr>
      <w:tblPr>
        <w:tblBorders/>
      </w:tblPr>
      <w:tcPr>
        <w:tcBorders/>
      </w:tcPr>
    </w:tblStylePr>
    <w:tblStylePr w:type="lastRow">
      <w:rPr>
        <w:b/>
        <w:color w:val="404040"/>
        <w:sz w:val="22"/>
      </w:rPr>
      <w:pPr>
        <w:pBdr/>
        <w:spacing/>
        <w:ind/>
      </w:pPr>
      <w:tblPr>
        <w:tblBorders/>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w:basedOn w:val="92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3 - Accent 1"/>
    <w:basedOn w:val="923"/>
    <w:uiPriority w:val="99"/>
    <w:pPr>
      <w:pBdr/>
      <w:spacing w:after="0" w:line="240" w:lineRule="auto"/>
      <w:ind/>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 Accent 2"/>
    <w:basedOn w:val="923"/>
    <w:uiPriority w:val="99"/>
    <w:pPr>
      <w:pBdr/>
      <w:spacing w:after="0" w:line="240" w:lineRule="auto"/>
      <w:ind/>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color w:val="404040"/>
        <w:sz w:val="22"/>
      </w:rPr>
      <w:pPr>
        <w:pBdr/>
        <w:spacing/>
        <w:ind/>
      </w:pPr>
      <w:tblPr>
        <w:tblBorders/>
      </w:tblPr>
      <w:tcPr>
        <w:tcBorders>
          <w:top w:val="single" w:color="000000" w:themeColor="accent2" w:sz="4" w:space="0"/>
          <w:bottom w:val="single" w:color="000000" w:themeColor="accent2" w:sz="4" w:space="0"/>
        </w:tcBorders>
      </w:tcPr>
    </w:tblStylePr>
    <w:tblStylePr w:type="band1Vert">
      <w:rPr>
        <w:color w:val="404040"/>
        <w:sz w:val="22"/>
      </w:rPr>
      <w:pPr>
        <w:pBdr/>
        <w:spacing/>
        <w:ind/>
      </w:pPr>
      <w:tblPr>
        <w:tblBorders/>
      </w:tblPr>
      <w:tcPr>
        <w:tcBorders>
          <w:left w:val="single" w:color="000000" w:themeColor="accent2" w:sz="4" w:space="0"/>
          <w:right w:val="single" w:color="000000" w:themeColor="accent2"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 Accent 3"/>
    <w:basedOn w:val="923"/>
    <w:uiPriority w:val="99"/>
    <w:pPr>
      <w:pBdr/>
      <w:spacing w:after="0" w:line="240" w:lineRule="auto"/>
      <w:ind/>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color w:val="404040"/>
        <w:sz w:val="22"/>
      </w:rPr>
      <w:pPr>
        <w:pBdr/>
        <w:spacing/>
        <w:ind/>
      </w:pPr>
      <w:tblPr>
        <w:tblBorders/>
      </w:tblPr>
      <w:tcPr>
        <w:tcBorders>
          <w:top w:val="single" w:color="000000" w:themeColor="accent3" w:sz="4" w:space="0"/>
          <w:bottom w:val="single" w:color="000000" w:themeColor="accent3" w:sz="4" w:space="0"/>
        </w:tcBorders>
      </w:tcPr>
    </w:tblStylePr>
    <w:tblStylePr w:type="band1Vert">
      <w:rPr>
        <w:color w:val="404040"/>
        <w:sz w:val="22"/>
      </w:rPr>
      <w:pPr>
        <w:pBdr/>
        <w:spacing/>
        <w:ind/>
      </w:pPr>
      <w:tblPr>
        <w:tblBorders/>
      </w:tblPr>
      <w:tcPr>
        <w:tcBorders>
          <w:left w:val="single" w:color="000000" w:themeColor="accent3" w:sz="4" w:space="0"/>
          <w:right w:val="single" w:color="000000" w:themeColor="accent3"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 Accent 4"/>
    <w:basedOn w:val="923"/>
    <w:uiPriority w:val="99"/>
    <w:pPr>
      <w:pBdr/>
      <w:spacing w:after="0" w:line="240" w:lineRule="auto"/>
      <w:ind/>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color w:val="404040"/>
        <w:sz w:val="22"/>
      </w:rPr>
      <w:pPr>
        <w:pBdr/>
        <w:spacing/>
        <w:ind/>
      </w:pPr>
      <w:tblPr>
        <w:tblBorders/>
      </w:tblPr>
      <w:tcPr>
        <w:tcBorders>
          <w:top w:val="single" w:color="000000" w:themeColor="accent4" w:sz="4" w:space="0"/>
          <w:bottom w:val="single" w:color="000000" w:themeColor="accent4" w:sz="4" w:space="0"/>
        </w:tcBorders>
      </w:tcPr>
    </w:tblStylePr>
    <w:tblStylePr w:type="band1Vert">
      <w:rPr>
        <w:color w:val="404040"/>
        <w:sz w:val="22"/>
      </w:rPr>
      <w:pPr>
        <w:pBdr/>
        <w:spacing/>
        <w:ind/>
      </w:pPr>
      <w:tblPr>
        <w:tblBorders/>
      </w:tblPr>
      <w:tcPr>
        <w:tcBorders>
          <w:left w:val="single" w:color="000000" w:themeColor="accent4" w:sz="4" w:space="0"/>
          <w:right w:val="single" w:color="000000" w:themeColor="accent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3 - Accent 5"/>
    <w:basedOn w:val="923"/>
    <w:uiPriority w:val="99"/>
    <w:pPr>
      <w:pBdr/>
      <w:spacing w:after="0" w:line="240" w:lineRule="auto"/>
      <w:ind/>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color w:val="404040"/>
        <w:sz w:val="22"/>
      </w:rPr>
      <w:pPr>
        <w:pBdr/>
        <w:spacing/>
        <w:ind/>
      </w:pPr>
      <w:tblPr>
        <w:tblBorders/>
      </w:tblPr>
      <w:tcPr>
        <w:tcBorders>
          <w:top w:val="single" w:color="000000" w:themeColor="accent5" w:sz="4" w:space="0"/>
          <w:bottom w:val="single" w:color="000000" w:themeColor="accent5" w:sz="4" w:space="0"/>
        </w:tcBorders>
      </w:tcPr>
    </w:tblStylePr>
    <w:tblStylePr w:type="band1Vert">
      <w:rPr>
        <w:color w:val="404040"/>
        <w:sz w:val="22"/>
      </w:rPr>
      <w:pPr>
        <w:pBdr/>
        <w:spacing/>
        <w:ind/>
      </w:pPr>
      <w:tblPr>
        <w:tblBorders/>
      </w:tblPr>
      <w:tcPr>
        <w:tcBorders>
          <w:left w:val="single" w:color="000000" w:themeColor="accent5" w:sz="4" w:space="0"/>
          <w:right w:val="single" w:color="000000" w:themeColor="accent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3 - Accent 6"/>
    <w:basedOn w:val="923"/>
    <w:uiPriority w:val="99"/>
    <w:pPr>
      <w:pBdr/>
      <w:spacing w:after="0" w:line="240" w:lineRule="auto"/>
      <w:ind/>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color w:val="404040"/>
        <w:sz w:val="22"/>
      </w:rPr>
      <w:pPr>
        <w:pBdr/>
        <w:spacing/>
        <w:ind/>
      </w:pPr>
      <w:tblPr>
        <w:tblBorders/>
      </w:tblPr>
      <w:tcPr>
        <w:tcBorders>
          <w:top w:val="single" w:color="000000" w:themeColor="accent6" w:sz="4" w:space="0"/>
          <w:bottom w:val="single" w:color="000000" w:themeColor="accent6" w:sz="4" w:space="0"/>
        </w:tcBorders>
      </w:tcPr>
    </w:tblStylePr>
    <w:tblStylePr w:type="band1Vert">
      <w:rPr>
        <w:color w:val="404040"/>
        <w:sz w:val="22"/>
      </w:rPr>
      <w:pPr>
        <w:pBdr/>
        <w:spacing/>
        <w:ind/>
      </w:pPr>
      <w:tblPr>
        <w:tblBorders/>
      </w:tblPr>
      <w:tcPr>
        <w:tcBorders>
          <w:left w:val="single" w:color="000000" w:themeColor="accent6" w:sz="4" w:space="0"/>
          <w:right w:val="single" w:color="000000" w:themeColor="accent6"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4"/>
    <w:basedOn w:val="92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color w:val="404040"/>
        <w:sz w:val="22"/>
      </w:rPr>
      <w:pPr>
        <w:pBdr/>
        <w:spacing/>
        <w:ind/>
      </w:pPr>
      <w:tblPr>
        <w:tblBorders/>
      </w:tblPr>
      <w:tcPr>
        <w:shd w:val="clear" w:color="ffffff" w:fill="bfbfbf" w:themeFill="text1" w:themeFillTint="40"/>
        <w:tcBorders/>
      </w:tcPr>
    </w:tblStylePr>
    <w:tblStylePr w:type="band1Vert">
      <w:rPr>
        <w:color w:val="404040"/>
        <w:sz w:val="22"/>
      </w:rPr>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4 - Accent 1"/>
    <w:basedOn w:val="923"/>
    <w:uiPriority w:val="99"/>
    <w:pPr>
      <w:pBdr/>
      <w:spacing w:after="0" w:line="240" w:lineRule="auto"/>
      <w:ind/>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color w:val="404040"/>
        <w:sz w:val="22"/>
      </w:rPr>
      <w:pPr>
        <w:pBdr/>
        <w:spacing/>
        <w:ind/>
      </w:pPr>
      <w:tblPr>
        <w:tblBorders/>
      </w:tblPr>
      <w:tcPr>
        <w:shd w:val="clear" w:color="ffffff" w:fill="d0dcf0" w:themeFill="accent1" w:themeFillTint="40"/>
        <w:tcBorders/>
      </w:tcPr>
    </w:tblStylePr>
    <w:tblStylePr w:type="band1Vert">
      <w:rPr>
        <w:color w:val="404040"/>
        <w:sz w:val="22"/>
      </w:rPr>
      <w:pPr>
        <w:pBdr/>
        <w:spacing/>
        <w:ind/>
      </w:pPr>
      <w:tblPr>
        <w:tblBorders/>
      </w:tblPr>
      <w:tcPr>
        <w:shd w:val="clear" w:color="ffffff"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 Accent 2"/>
    <w:basedOn w:val="923"/>
    <w:uiPriority w:val="99"/>
    <w:pPr>
      <w:pBdr/>
      <w:spacing w:after="0" w:line="240" w:lineRule="auto"/>
      <w:ind/>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color w:val="404040"/>
        <w:sz w:val="22"/>
      </w:rPr>
      <w:pPr>
        <w:pBdr/>
        <w:spacing/>
        <w:ind/>
      </w:pPr>
      <w:tblPr>
        <w:tblBorders/>
      </w:tblPr>
      <w:tcPr>
        <w:shd w:val="clear" w:color="ffffff" w:fill="fadecb" w:themeFill="accent2" w:themeFillTint="40"/>
        <w:tcBorders/>
      </w:tcPr>
    </w:tblStylePr>
    <w:tblStylePr w:type="band1Vert">
      <w:rPr>
        <w:color w:val="404040"/>
        <w:sz w:val="22"/>
      </w:rPr>
      <w:pPr>
        <w:pBdr/>
        <w:spacing/>
        <w:ind/>
      </w:pPr>
      <w:tblPr>
        <w:tblBorders/>
      </w:tblPr>
      <w:tcPr>
        <w:shd w:val="clear" w:color="ffffff"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 Accent 3"/>
    <w:basedOn w:val="923"/>
    <w:uiPriority w:val="99"/>
    <w:pPr>
      <w:pBdr/>
      <w:spacing w:after="0" w:line="240" w:lineRule="auto"/>
      <w:ind/>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color w:val="404040"/>
        <w:sz w:val="22"/>
      </w:rPr>
      <w:pPr>
        <w:pBdr/>
        <w:spacing/>
        <w:ind/>
      </w:pPr>
      <w:tblPr>
        <w:tblBorders/>
      </w:tblPr>
      <w:tcPr>
        <w:shd w:val="clear" w:color="ffffff" w:fill="e8e8e8" w:themeFill="accent3" w:themeFillTint="40"/>
        <w:tcBorders/>
      </w:tcPr>
    </w:tblStylePr>
    <w:tblStylePr w:type="band1Vert">
      <w:rPr>
        <w:color w:val="404040"/>
        <w:sz w:val="22"/>
      </w:rPr>
      <w:pPr>
        <w:pBdr/>
        <w:spacing/>
        <w:ind/>
      </w:pPr>
      <w:tblPr>
        <w:tblBorders/>
      </w:tblPr>
      <w:tcPr>
        <w:shd w:val="clear" w:color="ffffff"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 Accent 4"/>
    <w:basedOn w:val="923"/>
    <w:uiPriority w:val="99"/>
    <w:pPr>
      <w:pBdr/>
      <w:spacing w:after="0" w:line="240" w:lineRule="auto"/>
      <w:ind/>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color w:val="404040"/>
        <w:sz w:val="22"/>
      </w:rPr>
      <w:pPr>
        <w:pBdr/>
        <w:spacing/>
        <w:ind/>
      </w:pPr>
      <w:tblPr>
        <w:tblBorders/>
      </w:tblPr>
      <w:tcPr>
        <w:shd w:val="clear" w:color="ffffff" w:fill="ffefbf" w:themeFill="accent4" w:themeFillTint="40"/>
        <w:tcBorders/>
      </w:tcPr>
    </w:tblStylePr>
    <w:tblStylePr w:type="band1Vert">
      <w:rPr>
        <w:color w:val="404040"/>
        <w:sz w:val="22"/>
      </w:rPr>
      <w:pPr>
        <w:pBdr/>
        <w:spacing/>
        <w:ind/>
      </w:pPr>
      <w:tblPr>
        <w:tblBorders/>
      </w:tblPr>
      <w:tcPr>
        <w:shd w:val="clear" w:color="ffffff"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4 - Accent 5"/>
    <w:basedOn w:val="923"/>
    <w:uiPriority w:val="99"/>
    <w:pPr>
      <w:pBdr/>
      <w:spacing w:after="0" w:line="240" w:lineRule="auto"/>
      <w:ind/>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color w:val="404040"/>
        <w:sz w:val="22"/>
      </w:rPr>
      <w:pPr>
        <w:pBdr/>
        <w:spacing/>
        <w:ind/>
      </w:pPr>
      <w:tblPr>
        <w:tblBorders/>
      </w:tblPr>
      <w:tcPr>
        <w:shd w:val="clear" w:color="ffffff" w:fill="d6e6f4" w:themeFill="accent5" w:themeFillTint="40"/>
        <w:tcBorders/>
      </w:tcPr>
    </w:tblStylePr>
    <w:tblStylePr w:type="band1Vert">
      <w:rPr>
        <w:color w:val="404040"/>
        <w:sz w:val="22"/>
      </w:rPr>
      <w:pPr>
        <w:pBdr/>
        <w:spacing/>
        <w:ind/>
      </w:pPr>
      <w:tblPr>
        <w:tblBorders/>
      </w:tblPr>
      <w:tcPr>
        <w:shd w:val="clear" w:color="ffffff"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4 - Accent 6"/>
    <w:basedOn w:val="923"/>
    <w:uiPriority w:val="99"/>
    <w:pPr>
      <w:pBdr/>
      <w:spacing w:after="0" w:line="240" w:lineRule="auto"/>
      <w:ind/>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color w:val="404040"/>
        <w:sz w:val="22"/>
      </w:rPr>
      <w:pPr>
        <w:pBdr/>
        <w:spacing/>
        <w:ind/>
      </w:pPr>
      <w:tblPr>
        <w:tblBorders/>
      </w:tblPr>
      <w:tcPr>
        <w:shd w:val="clear" w:color="ffffff" w:fill="dbecd0" w:themeFill="accent6" w:themeFillTint="40"/>
        <w:tcBorders/>
      </w:tcPr>
    </w:tblStylePr>
    <w:tblStylePr w:type="band1Vert">
      <w:rPr>
        <w:color w:val="404040"/>
        <w:sz w:val="22"/>
      </w:rPr>
      <w:pPr>
        <w:pBdr/>
        <w:spacing/>
        <w:ind/>
      </w:pPr>
      <w:tblPr>
        <w:tblBorders/>
      </w:tblPr>
      <w:tcPr>
        <w:shd w:val="clear" w:color="ffffff"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ffffff"/>
        <w:sz w:val="22"/>
      </w:rPr>
      <w:pPr>
        <w:pBdr/>
        <w:spacing/>
        <w:ind/>
      </w:pPr>
      <w:tblPr>
        <w:tblBorders/>
      </w:tblPr>
      <w:tcPr>
        <w:shd w:val="clear" w:color="ffffff"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5 Dark"/>
    <w:basedOn w:val="923"/>
    <w:uiPriority w:val="99"/>
    <w:pPr>
      <w:pBdr/>
      <w:spacing w:after="0" w:line="240" w:lineRule="auto"/>
      <w:ind/>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cBorders/>
    </w:tcPr>
    <w:tblStylePr w:type="band1Horz">
      <w:pPr>
        <w:pBdr/>
        <w:spacing/>
        <w:ind/>
      </w:pPr>
      <w:tblPr>
        <w:tblBorders/>
      </w:tblPr>
      <w:tcPr>
        <w:shd w:val="clear" w:color="ffffff"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text1"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7f7f7f" w:themeFill="text1" w:themeFillTint="80"/>
        <w:tcBorders>
          <w:top w:val="single" w:color="000000" w:themeColor="tex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2">
    <w:name w:val="List Table 5 Dark - Accent 1"/>
    <w:basedOn w:val="923"/>
    <w:uiPriority w:val="99"/>
    <w:pPr>
      <w:pBdr/>
      <w:spacing w:after="0" w:line="240" w:lineRule="auto"/>
      <w:ind/>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cBorders/>
    </w:tcPr>
    <w:tblStylePr w:type="band1Horz">
      <w:pPr>
        <w:pBdr/>
        <w:spacing/>
        <w:ind/>
      </w:pPr>
      <w:tblPr>
        <w:tblBorders/>
      </w:tblPr>
      <w:tcPr>
        <w:shd w:val="clear" w:color="ffffff"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3">
    <w:name w:val="List Table 5 Dark - Accent 2"/>
    <w:basedOn w:val="923"/>
    <w:uiPriority w:val="99"/>
    <w:pPr>
      <w:pBdr/>
      <w:spacing w:after="0" w:line="240" w:lineRule="auto"/>
      <w:ind/>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cBorders/>
    </w:tcPr>
    <w:tblStylePr w:type="band1Horz">
      <w:pPr>
        <w:pBdr/>
        <w:spacing/>
        <w:ind/>
      </w:pPr>
      <w:tblPr>
        <w:tblBorders/>
      </w:tblPr>
      <w:tcPr>
        <w:shd w:val="clear" w:color="ffffff"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2"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f4b285" w:themeFill="accent2" w:themeFillTint="97"/>
        <w:tcBorders>
          <w:top w:val="single" w:color="000000" w:themeColor="accent2"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4">
    <w:name w:val="List Table 5 Dark - Accent 3"/>
    <w:basedOn w:val="923"/>
    <w:uiPriority w:val="99"/>
    <w:pPr>
      <w:pBdr/>
      <w:spacing w:after="0" w:line="240" w:lineRule="auto"/>
      <w:ind/>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cBorders/>
    </w:tcPr>
    <w:tblStylePr w:type="band1Horz">
      <w:pPr>
        <w:pBdr/>
        <w:spacing/>
        <w:ind/>
      </w:pPr>
      <w:tblPr>
        <w:tblBorders/>
      </w:tblPr>
      <w:tcPr>
        <w:shd w:val="clear" w:color="ffffff"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3"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c9c9c9" w:themeFill="accent3" w:themeFillTint="98"/>
        <w:tcBorders>
          <w:top w:val="single" w:color="000000" w:themeColor="accent3"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5">
    <w:name w:val="List Table 5 Dark - Accent 4"/>
    <w:basedOn w:val="923"/>
    <w:uiPriority w:val="99"/>
    <w:pPr>
      <w:pBdr/>
      <w:spacing w:after="0" w:line="240" w:lineRule="auto"/>
      <w:ind/>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cBorders/>
    </w:tcPr>
    <w:tblStylePr w:type="band1Horz">
      <w:pPr>
        <w:pBdr/>
        <w:spacing/>
        <w:ind/>
      </w:pPr>
      <w:tblPr>
        <w:tblBorders/>
      </w:tblPr>
      <w:tcPr>
        <w:shd w:val="clear" w:color="ffffff"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4"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ffd965" w:themeFill="accent4" w:themeFillTint="9A"/>
        <w:tcBorders>
          <w:top w:val="single" w:color="000000" w:themeColor="accent4"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6">
    <w:name w:val="List Table 5 Dark - Accent 5"/>
    <w:basedOn w:val="923"/>
    <w:uiPriority w:val="99"/>
    <w:pPr>
      <w:pBdr/>
      <w:spacing w:after="0" w:line="240" w:lineRule="auto"/>
      <w:ind/>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cBorders/>
    </w:tcPr>
    <w:tblStylePr w:type="band1Horz">
      <w:pPr>
        <w:pBdr/>
        <w:spacing/>
        <w:ind/>
      </w:pPr>
      <w:tblPr>
        <w:tblBorders/>
      </w:tblPr>
      <w:tcPr>
        <w:shd w:val="clear" w:color="ffffff"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5"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9cc3e6" w:themeFill="accent5" w:themeFillTint="9A"/>
        <w:tcBorders>
          <w:top w:val="single" w:color="000000" w:themeColor="accent5"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7">
    <w:name w:val="List Table 5 Dark - Accent 6"/>
    <w:basedOn w:val="923"/>
    <w:uiPriority w:val="99"/>
    <w:pPr>
      <w:pBdr/>
      <w:spacing w:after="0" w:line="240" w:lineRule="auto"/>
      <w:ind/>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cBorders/>
    </w:tcPr>
    <w:tblStylePr w:type="band1Horz">
      <w:pPr>
        <w:pBdr/>
        <w:spacing/>
        <w:ind/>
      </w:pPr>
      <w:tblPr>
        <w:tblBorders/>
      </w:tblPr>
      <w:tcPr>
        <w:shd w:val="clear" w:color="ffffff"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6"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a9d18f" w:themeFill="accent6" w:themeFillTint="98"/>
        <w:tcBorders>
          <w:top w:val="single" w:color="000000" w:themeColor="accent6"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8">
    <w:name w:val="List Table 6 Colorful"/>
    <w:basedOn w:val="923"/>
    <w:uiPriority w:val="99"/>
    <w:pPr>
      <w:pBdr/>
      <w:spacing w:after="0" w:line="240" w:lineRule="auto"/>
      <w:ind/>
    </w:pPr>
    <w:tblPr>
      <w:tblStyleRowBandSize w:val="1"/>
      <w:tblStyleColBandSize w:val="1"/>
      <w:tblBorders>
        <w:top w:val="single" w:color="000000" w:themeColor="text1" w:themeTint="80" w:sz="4" w:space="0"/>
        <w:bottom w:val="single" w:color="000000" w:themeColor="text1" w:themeTint="80" w:sz="4" w:space="0"/>
      </w:tblBorders>
    </w:tblPr>
    <w:tcPr>
      <w:tcBorders/>
    </w:tcPr>
    <w:tblStylePr w:type="band1Horz">
      <w:rPr>
        <w:color w:val="404040" w:themeColor="text1"/>
        <w:sz w:val="22"/>
      </w:rPr>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rPr>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6 Colorful - Accent 1"/>
    <w:basedOn w:val="923"/>
    <w:uiPriority w:val="99"/>
    <w:pPr>
      <w:pBdr/>
      <w:spacing w:after="0" w:line="240" w:lineRule="auto"/>
      <w:ind/>
    </w:pPr>
    <w:tblPr>
      <w:tblStyleRowBandSize w:val="1"/>
      <w:tblStyleColBandSize w:val="1"/>
      <w:tblBorders>
        <w:top w:val="single" w:color="000000" w:themeColor="accent1" w:sz="4" w:space="0"/>
        <w:bottom w:val="single" w:color="000000" w:themeColor="accent1" w:sz="4" w:space="0"/>
      </w:tblBorders>
    </w:tblPr>
    <w:tcPr>
      <w:tcBorders/>
    </w:tcPr>
    <w:tblStylePr w:type="band1Horz">
      <w:rPr>
        <w:color w:val="404040" w:themeColor="accent1" w:themeShade="95"/>
        <w:sz w:val="22"/>
      </w:rPr>
      <w:pPr>
        <w:pBdr/>
        <w:spacing/>
        <w:ind/>
      </w:pPr>
      <w:tblPr>
        <w:tblBorders/>
      </w:tblPr>
      <w:tcPr>
        <w:shd w:val="clear" w:color="ffffff" w:fill="d0dcf0" w:themeFill="accent1" w:themeFillTint="40"/>
        <w:tcBorders/>
      </w:tcPr>
    </w:tblStylePr>
    <w:tblStylePr w:type="band1Vert">
      <w:pPr>
        <w:pBdr/>
        <w:spacing/>
        <w:ind/>
      </w:pPr>
      <w:tblPr>
        <w:tblBorders/>
      </w:tblPr>
      <w:tcPr>
        <w:shd w:val="clear" w:color="ffffff" w:fill="d0dcf0" w:themeFill="accent1" w:themeFillTint="40"/>
        <w:tcBorders/>
      </w:tcPr>
    </w:tblStylePr>
    <w:tblStylePr w:type="band2Horz">
      <w:rPr>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6 Colorful - Accent 2"/>
    <w:basedOn w:val="923"/>
    <w:uiPriority w:val="99"/>
    <w:pPr>
      <w:pBdr/>
      <w:spacing w:after="0" w:line="240" w:lineRule="auto"/>
      <w:ind/>
    </w:pPr>
    <w:tblPr>
      <w:tblStyleRowBandSize w:val="1"/>
      <w:tblStyleColBandSize w:val="1"/>
      <w:tblBorders>
        <w:top w:val="single" w:color="000000" w:themeColor="accent2" w:themeTint="97" w:sz="4" w:space="0"/>
        <w:bottom w:val="single" w:color="000000" w:themeColor="accent2" w:themeTint="97" w:sz="4" w:space="0"/>
      </w:tblBorders>
    </w:tblPr>
    <w:tcPr>
      <w:tcBorders/>
    </w:tcPr>
    <w:tblStylePr w:type="band1Horz">
      <w:rPr>
        <w:color w:val="404040" w:themeColor="accent2" w:themeTint="97" w:themeShade="95"/>
        <w:sz w:val="22"/>
      </w:rPr>
      <w:pPr>
        <w:pBdr/>
        <w:spacing/>
        <w:ind/>
      </w:pPr>
      <w:tblPr>
        <w:tblBorders/>
      </w:tblPr>
      <w:tcPr>
        <w:shd w:val="clear" w:color="ffffff" w:fill="fadecb" w:themeFill="accent2" w:themeFillTint="40"/>
        <w:tcBorders/>
      </w:tcPr>
    </w:tblStylePr>
    <w:tblStylePr w:type="band1Vert">
      <w:pPr>
        <w:pBdr/>
        <w:spacing/>
        <w:ind/>
      </w:pPr>
      <w:tblPr>
        <w:tblBorders/>
      </w:tblPr>
      <w:tcPr>
        <w:shd w:val="clear" w:color="ffffff" w:fill="fadecb" w:themeFill="accent2" w:themeFillTint="40"/>
        <w:tcBorders/>
      </w:tcPr>
    </w:tblStylePr>
    <w:tblStylePr w:type="band2Horz">
      <w:rPr>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 Accent 3"/>
    <w:basedOn w:val="923"/>
    <w:uiPriority w:val="99"/>
    <w:pPr>
      <w:pBdr/>
      <w:spacing w:after="0" w:line="240" w:lineRule="auto"/>
      <w:ind/>
    </w:pPr>
    <w:tblPr>
      <w:tblStyleRowBandSize w:val="1"/>
      <w:tblStyleColBandSize w:val="1"/>
      <w:tblBorders>
        <w:top w:val="single" w:color="000000" w:themeColor="accent3" w:themeTint="98" w:sz="4" w:space="0"/>
        <w:bottom w:val="single" w:color="000000" w:themeColor="accent3" w:themeTint="98" w:sz="4" w:space="0"/>
      </w:tblBorders>
    </w:tblPr>
    <w:tcPr>
      <w:tcBorders/>
    </w:tcPr>
    <w:tblStylePr w:type="band1Horz">
      <w:rPr>
        <w:color w:val="404040" w:themeColor="accent3" w:themeTint="98" w:themeShade="95"/>
        <w:sz w:val="22"/>
      </w:rPr>
      <w:pPr>
        <w:pBdr/>
        <w:spacing/>
        <w:ind/>
      </w:pPr>
      <w:tblPr>
        <w:tblBorders/>
      </w:tblPr>
      <w:tcPr>
        <w:shd w:val="clear" w:color="ffffff" w:fill="e8e8e8" w:themeFill="accent3" w:themeFillTint="40"/>
        <w:tcBorders/>
      </w:tcPr>
    </w:tblStylePr>
    <w:tblStylePr w:type="band1Vert">
      <w:pPr>
        <w:pBdr/>
        <w:spacing/>
        <w:ind/>
      </w:pPr>
      <w:tblPr>
        <w:tblBorders/>
      </w:tblPr>
      <w:tcPr>
        <w:shd w:val="clear" w:color="ffffff" w:fill="e8e8e8" w:themeFill="accent3" w:themeFillTint="40"/>
        <w:tcBorders/>
      </w:tcPr>
    </w:tblStylePr>
    <w:tblStylePr w:type="band2Horz">
      <w:rPr>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6 Colorful - Accent 4"/>
    <w:basedOn w:val="923"/>
    <w:uiPriority w:val="99"/>
    <w:pPr>
      <w:pBdr/>
      <w:spacing w:after="0" w:line="240" w:lineRule="auto"/>
      <w:ind/>
    </w:pPr>
    <w:tblPr>
      <w:tblStyleRowBandSize w:val="1"/>
      <w:tblStyleColBandSize w:val="1"/>
      <w:tblBorders>
        <w:top w:val="single" w:color="000000" w:themeColor="accent4" w:themeTint="9A" w:sz="4" w:space="0"/>
        <w:bottom w:val="single" w:color="000000" w:themeColor="accent4" w:themeTint="9A" w:sz="4" w:space="0"/>
      </w:tblBorders>
    </w:tblPr>
    <w:tcPr>
      <w:tcBorders/>
    </w:tcPr>
    <w:tblStylePr w:type="band1Horz">
      <w:rPr>
        <w:color w:val="404040" w:themeColor="accent4" w:themeTint="9A" w:themeShade="95"/>
        <w:sz w:val="22"/>
      </w:rPr>
      <w:pPr>
        <w:pBdr/>
        <w:spacing/>
        <w:ind/>
      </w:pPr>
      <w:tblPr>
        <w:tblBorders/>
      </w:tblPr>
      <w:tcPr>
        <w:shd w:val="clear" w:color="ffffff" w:fill="ffefbf" w:themeFill="accent4" w:themeFillTint="40"/>
        <w:tcBorders/>
      </w:tcPr>
    </w:tblStylePr>
    <w:tblStylePr w:type="band1Vert">
      <w:pPr>
        <w:pBdr/>
        <w:spacing/>
        <w:ind/>
      </w:pPr>
      <w:tblPr>
        <w:tblBorders/>
      </w:tblPr>
      <w:tcPr>
        <w:shd w:val="clear" w:color="ffffff" w:fill="ffefbf" w:themeFill="accent4" w:themeFillTint="40"/>
        <w:tcBorders/>
      </w:tcPr>
    </w:tblStylePr>
    <w:tblStylePr w:type="band2Horz">
      <w:rPr>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6 Colorful - Accent 5"/>
    <w:basedOn w:val="923"/>
    <w:uiPriority w:val="99"/>
    <w:pPr>
      <w:pBdr/>
      <w:spacing w:after="0" w:line="240" w:lineRule="auto"/>
      <w:ind/>
    </w:pPr>
    <w:tblPr>
      <w:tblStyleRowBandSize w:val="1"/>
      <w:tblStyleColBandSize w:val="1"/>
      <w:tblBorders>
        <w:top w:val="single" w:color="000000" w:themeColor="accent5" w:themeTint="9A" w:sz="4" w:space="0"/>
        <w:bottom w:val="single" w:color="000000" w:themeColor="accent5" w:themeTint="9A" w:sz="4" w:space="0"/>
      </w:tblBorders>
    </w:tblPr>
    <w:tcPr>
      <w:tcBorders/>
    </w:tcPr>
    <w:tblStylePr w:type="band1Horz">
      <w:rPr>
        <w:color w:val="404040" w:themeColor="accent5" w:themeTint="9A" w:themeShade="95"/>
        <w:sz w:val="22"/>
      </w:rPr>
      <w:pPr>
        <w:pBdr/>
        <w:spacing/>
        <w:ind/>
      </w:pPr>
      <w:tblPr>
        <w:tblBorders/>
      </w:tblPr>
      <w:tcPr>
        <w:shd w:val="clear" w:color="ffffff" w:fill="d6e6f4" w:themeFill="accent5" w:themeFillTint="40"/>
        <w:tcBorders/>
      </w:tcPr>
    </w:tblStylePr>
    <w:tblStylePr w:type="band1Vert">
      <w:pPr>
        <w:pBdr/>
        <w:spacing/>
        <w:ind/>
      </w:pPr>
      <w:tblPr>
        <w:tblBorders/>
      </w:tblPr>
      <w:tcPr>
        <w:shd w:val="clear" w:color="ffffff" w:fill="d6e6f4" w:themeFill="accent5" w:themeFillTint="40"/>
        <w:tcBorders/>
      </w:tcPr>
    </w:tblStylePr>
    <w:tblStylePr w:type="band2Horz">
      <w:rPr>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6 Colorful - Accent 6"/>
    <w:basedOn w:val="923"/>
    <w:uiPriority w:val="99"/>
    <w:pPr>
      <w:pBdr/>
      <w:spacing w:after="0" w:line="240" w:lineRule="auto"/>
      <w:ind/>
    </w:pPr>
    <w:tblPr>
      <w:tblStyleRowBandSize w:val="1"/>
      <w:tblStyleColBandSize w:val="1"/>
      <w:tblBorders>
        <w:top w:val="single" w:color="000000" w:themeColor="accent6" w:themeTint="98" w:sz="4" w:space="0"/>
        <w:bottom w:val="single" w:color="000000" w:themeColor="accent6" w:themeTint="98" w:sz="4" w:space="0"/>
      </w:tblBorders>
    </w:tblPr>
    <w:tcPr>
      <w:tcBorders/>
    </w:tcPr>
    <w:tblStylePr w:type="band1Horz">
      <w:rPr>
        <w:color w:val="404040" w:themeColor="accent6" w:themeTint="98" w:themeShade="95"/>
        <w:sz w:val="22"/>
      </w:rPr>
      <w:pPr>
        <w:pBdr/>
        <w:spacing/>
        <w:ind/>
      </w:pPr>
      <w:tblPr>
        <w:tblBorders/>
      </w:tblPr>
      <w:tcPr>
        <w:shd w:val="clear" w:color="ffffff" w:fill="dbecd0" w:themeFill="accent6" w:themeFillTint="40"/>
        <w:tcBorders/>
      </w:tcPr>
    </w:tblStylePr>
    <w:tblStylePr w:type="band1Vert">
      <w:pPr>
        <w:pBdr/>
        <w:spacing/>
        <w:ind/>
      </w:pPr>
      <w:tblPr>
        <w:tblBorders/>
      </w:tblPr>
      <w:tcPr>
        <w:shd w:val="clear" w:color="ffffff" w:fill="dbecd0" w:themeFill="accent6" w:themeFillTint="40"/>
        <w:tcBorders/>
      </w:tcPr>
    </w:tblStylePr>
    <w:tblStylePr w:type="band2Horz">
      <w:rPr>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7 Colorful"/>
    <w:basedOn w:val="923"/>
    <w:uiPriority w:val="99"/>
    <w:pPr>
      <w:pBdr/>
      <w:spacing w:after="0" w:line="240" w:lineRule="auto"/>
      <w:ind/>
    </w:pPr>
    <w:tblPr>
      <w:tblStyleRowBandSize w:val="1"/>
      <w:tblStyleColBandSize w:val="1"/>
      <w:tblBorders>
        <w:right w:val="single" w:color="000000"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i/>
        <w:color w:val="4a4a4a" w:themeColor="tex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i/>
        <w:color w:val="4a4a4a" w:themeColor="text1" w:themeTint="80" w:themeShade="95"/>
        <w:sz w:val="22"/>
      </w:rPr>
      <w:pPr>
        <w:pBdr/>
        <w:spacing/>
        <w:ind/>
      </w:pPr>
      <w:tblPr>
        <w:tblBorders/>
      </w:tbl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a4a4a" w:themeColor="text1" w:themeTint="80" w:themeShade="95"/>
        <w:sz w:val="22"/>
      </w:rPr>
      <w:pPr>
        <w:pBdr/>
        <w:spacing/>
        <w:ind/>
      </w:pPr>
      <w:tblPr>
        <w:tblBorders/>
      </w:tblPr>
      <w:tcPr>
        <w:tcBorders/>
      </w:tcPr>
    </w:tblStylePr>
  </w:style>
  <w:style w:type="table" w:styleId="896">
    <w:name w:val="List Table 7 Colorful - Accent 1"/>
    <w:basedOn w:val="923"/>
    <w:uiPriority w:val="99"/>
    <w:pPr>
      <w:pBdr/>
      <w:spacing w:after="0" w:line="240" w:lineRule="auto"/>
      <w:ind/>
    </w:pPr>
    <w:tblPr>
      <w:tblStyleRowBandSize w:val="1"/>
      <w:tblStyleColBandSize w:val="1"/>
      <w:tblBorders>
        <w:right w:val="single" w:color="000000" w:themeColor="accent1" w:sz="4" w:space="0"/>
      </w:tblBorders>
    </w:tblPr>
    <w:tcPr>
      <w:tcBorders/>
    </w:tcPr>
    <w:tblStylePr w:type="band1Horz">
      <w:rPr>
        <w:color w:val="254275" w:themeColor="accent1" w:themeShade="95"/>
        <w:sz w:val="22"/>
      </w:rPr>
      <w:pPr>
        <w:pBdr/>
        <w:spacing/>
        <w:ind/>
      </w:pPr>
      <w:tblPr>
        <w:tblBorders/>
      </w:tblPr>
      <w:tcPr>
        <w:shd w:val="clear" w:color="ffffff" w:fill="d0dcf0" w:themeFill="accent1" w:themeFillTint="40"/>
        <w:tcBorders/>
      </w:tcPr>
    </w:tblStylePr>
    <w:tblStylePr w:type="band1Vert">
      <w:pPr>
        <w:pBdr/>
        <w:spacing/>
        <w:ind/>
      </w:pPr>
      <w:tblPr>
        <w:tblBorders/>
      </w:tblPr>
      <w:tcPr>
        <w:shd w:val="clear" w:color="ffffff" w:fill="d0dcf0" w:themeFill="accent1" w:themeFillTint="40"/>
        <w:tcBorders/>
      </w:tcPr>
    </w:tblStylePr>
    <w:tblStylePr w:type="band2Horz">
      <w:rPr>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i/>
        <w:color w:val="254275" w:themeColor="accent1"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i/>
        <w:color w:val="254275" w:themeColor="accent1" w:themeShade="95"/>
        <w:sz w:val="22"/>
      </w:rPr>
      <w:pPr>
        <w:pBdr/>
        <w:spacing/>
        <w:ind/>
      </w:pPr>
      <w:tblPr>
        <w:tblBorders/>
      </w:tbl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254275" w:themeColor="accent1" w:themeShade="95"/>
        <w:sz w:val="22"/>
      </w:rPr>
      <w:pPr>
        <w:pBdr/>
        <w:spacing/>
        <w:ind/>
      </w:pPr>
      <w:tblPr>
        <w:tblBorders/>
      </w:tblPr>
      <w:tcPr>
        <w:tcBorders/>
      </w:tcPr>
    </w:tblStylePr>
  </w:style>
  <w:style w:type="table" w:styleId="897">
    <w:name w:val="List Table 7 Colorful - Accent 2"/>
    <w:basedOn w:val="923"/>
    <w:uiPriority w:val="99"/>
    <w:pPr>
      <w:pBdr/>
      <w:spacing w:after="0" w:line="240" w:lineRule="auto"/>
      <w:ind/>
    </w:pPr>
    <w:tblPr>
      <w:tblStyleRowBandSize w:val="1"/>
      <w:tblStyleColBandSize w:val="1"/>
      <w:tblBorders>
        <w:right w:val="single" w:color="000000" w:themeColor="accent2" w:themeTint="97" w:sz="4" w:space="0"/>
      </w:tblBorders>
    </w:tblPr>
    <w:tcPr>
      <w:tcBorders/>
    </w:tcPr>
    <w:tblStylePr w:type="band1Horz">
      <w:rPr>
        <w:color w:val="cb5d12" w:themeColor="accent2" w:themeTint="97" w:themeShade="95"/>
        <w:sz w:val="22"/>
      </w:rPr>
      <w:pPr>
        <w:pBdr/>
        <w:spacing/>
        <w:ind/>
      </w:pPr>
      <w:tblPr>
        <w:tblBorders/>
      </w:tblPr>
      <w:tcPr>
        <w:shd w:val="clear" w:color="ffffff" w:fill="fadecb" w:themeFill="accent2" w:themeFillTint="40"/>
        <w:tcBorders/>
      </w:tcPr>
    </w:tblStylePr>
    <w:tblStylePr w:type="band1Vert">
      <w:pPr>
        <w:pBdr/>
        <w:spacing/>
        <w:ind/>
      </w:pPr>
      <w:tblPr>
        <w:tblBorders/>
      </w:tblPr>
      <w:tcPr>
        <w:shd w:val="clear" w:color="ffffff" w:fill="fadecb" w:themeFill="accent2" w:themeFillTint="40"/>
        <w:tcBorders/>
      </w:tcPr>
    </w:tblStylePr>
    <w:tblStylePr w:type="band2Horz">
      <w:rPr>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i/>
        <w:color w:val="cb5d12" w:themeColor="accent2" w:themeTint="97"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b5d12" w:themeColor="accent2" w:themeTint="97" w:themeShade="95"/>
        <w:sz w:val="22"/>
      </w:rPr>
      <w:pPr>
        <w:pBdr/>
        <w:spacing/>
        <w:ind/>
      </w:pPr>
      <w:tblPr>
        <w:tblBorders/>
      </w:tbl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i/>
        <w:color w:val="cb5d12" w:themeColor="accent2" w:themeTint="97" w:themeShade="95"/>
        <w:sz w:val="22"/>
      </w:rPr>
      <w:pPr>
        <w:pBdr/>
        <w:spacing/>
        <w:ind/>
      </w:pPr>
      <w:tblPr>
        <w:tblBorders/>
      </w:tbl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cb5d12" w:themeColor="accent2" w:themeTint="97" w:themeShade="95"/>
        <w:sz w:val="22"/>
      </w:rPr>
      <w:pPr>
        <w:pBdr/>
        <w:spacing/>
        <w:ind/>
      </w:pPr>
      <w:tblPr>
        <w:tblBorders/>
      </w:tblPr>
      <w:tcPr>
        <w:tcBorders/>
      </w:tcPr>
    </w:tblStylePr>
  </w:style>
  <w:style w:type="table" w:styleId="898">
    <w:name w:val="List Table 7 Colorful - Accent 3"/>
    <w:basedOn w:val="923"/>
    <w:uiPriority w:val="99"/>
    <w:pPr>
      <w:pBdr/>
      <w:spacing w:after="0" w:line="240" w:lineRule="auto"/>
      <w:ind/>
    </w:pPr>
    <w:tblPr>
      <w:tblStyleRowBandSize w:val="1"/>
      <w:tblStyleColBandSize w:val="1"/>
      <w:tblBorders>
        <w:right w:val="single" w:color="000000" w:themeColor="accent3" w:themeTint="98" w:sz="4" w:space="0"/>
      </w:tblBorders>
    </w:tblPr>
    <w:tcPr>
      <w:tcBorders/>
    </w:tcPr>
    <w:tblStylePr w:type="band1Horz">
      <w:rPr>
        <w:color w:val="767676" w:themeColor="accent3" w:themeTint="98" w:themeShade="95"/>
        <w:sz w:val="22"/>
      </w:rPr>
      <w:pPr>
        <w:pBdr/>
        <w:spacing/>
        <w:ind/>
      </w:pPr>
      <w:tblPr>
        <w:tblBorders/>
      </w:tblPr>
      <w:tcPr>
        <w:shd w:val="clear" w:color="ffffff" w:fill="e8e8e8" w:themeFill="accent3" w:themeFillTint="40"/>
        <w:tcBorders/>
      </w:tcPr>
    </w:tblStylePr>
    <w:tblStylePr w:type="band1Vert">
      <w:pPr>
        <w:pBdr/>
        <w:spacing/>
        <w:ind/>
      </w:pPr>
      <w:tblPr>
        <w:tblBorders/>
      </w:tblPr>
      <w:tcPr>
        <w:shd w:val="clear" w:color="ffffff" w:fill="e8e8e8" w:themeFill="accent3" w:themeFillTint="40"/>
        <w:tcBorders/>
      </w:tcPr>
    </w:tblStylePr>
    <w:tblStylePr w:type="band2Horz">
      <w:rPr>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i/>
        <w:color w:val="767676" w:themeColor="accent3" w:themeTint="98"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767676" w:themeColor="accent3" w:themeTint="98" w:themeShade="95"/>
        <w:sz w:val="22"/>
      </w:rPr>
      <w:pPr>
        <w:pBdr/>
        <w:spacing/>
        <w:ind/>
      </w:pPr>
      <w:tblPr>
        <w:tblBorders/>
      </w:tbl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i/>
        <w:color w:val="767676" w:themeColor="accent3" w:themeTint="98" w:themeShade="95"/>
        <w:sz w:val="22"/>
      </w:rPr>
      <w:pPr>
        <w:pBdr/>
        <w:spacing/>
        <w:ind/>
      </w:pPr>
      <w:tblPr>
        <w:tblBorders/>
      </w:tbl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767676" w:themeColor="accent3" w:themeTint="98" w:themeShade="95"/>
        <w:sz w:val="22"/>
      </w:rPr>
      <w:pPr>
        <w:pBdr/>
        <w:spacing/>
        <w:ind/>
      </w:pPr>
      <w:tblPr>
        <w:tblBorders/>
      </w:tblPr>
      <w:tcPr>
        <w:tcBorders/>
      </w:tcPr>
    </w:tblStylePr>
  </w:style>
  <w:style w:type="table" w:styleId="899">
    <w:name w:val="List Table 7 Colorful - Accent 4"/>
    <w:basedOn w:val="923"/>
    <w:uiPriority w:val="99"/>
    <w:pPr>
      <w:pBdr/>
      <w:spacing w:after="0" w:line="240" w:lineRule="auto"/>
      <w:ind/>
    </w:pPr>
    <w:tblPr>
      <w:tblStyleRowBandSize w:val="1"/>
      <w:tblStyleColBandSize w:val="1"/>
      <w:tblBorders>
        <w:right w:val="single" w:color="000000" w:themeColor="accent4" w:themeTint="9A" w:sz="4" w:space="0"/>
      </w:tblBorders>
    </w:tblPr>
    <w:tcPr>
      <w:tcBorders/>
    </w:tcPr>
    <w:tblStylePr w:type="band1Horz">
      <w:rPr>
        <w:color w:val="d09d00" w:themeColor="accent4" w:themeTint="9A" w:themeShade="95"/>
        <w:sz w:val="22"/>
      </w:rPr>
      <w:pPr>
        <w:pBdr/>
        <w:spacing/>
        <w:ind/>
      </w:pPr>
      <w:tblPr>
        <w:tblBorders/>
      </w:tblPr>
      <w:tcPr>
        <w:shd w:val="clear" w:color="ffffff" w:fill="ffefbf" w:themeFill="accent4" w:themeFillTint="40"/>
        <w:tcBorders/>
      </w:tcPr>
    </w:tblStylePr>
    <w:tblStylePr w:type="band1Vert">
      <w:pPr>
        <w:pBdr/>
        <w:spacing/>
        <w:ind/>
      </w:pPr>
      <w:tblPr>
        <w:tblBorders/>
      </w:tblPr>
      <w:tcPr>
        <w:shd w:val="clear" w:color="ffffff" w:fill="ffefbf" w:themeFill="accent4" w:themeFillTint="40"/>
        <w:tcBorders/>
      </w:tcPr>
    </w:tblStylePr>
    <w:tblStylePr w:type="band2Horz">
      <w:rPr>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i/>
        <w:color w:val="d09d00" w:themeColor="accent4"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d09d00" w:themeColor="accent4" w:themeTint="9A" w:themeShade="95"/>
        <w:sz w:val="22"/>
      </w:rPr>
      <w:pPr>
        <w:pBdr/>
        <w:spacing/>
        <w:ind/>
      </w:pPr>
      <w:tblPr>
        <w:tblBorders/>
      </w:tbl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i/>
        <w:color w:val="d09d00" w:themeColor="accent4" w:themeTint="9A" w:themeShade="95"/>
        <w:sz w:val="22"/>
      </w:rPr>
      <w:pPr>
        <w:pBdr/>
        <w:spacing/>
        <w:ind/>
      </w:pPr>
      <w:tblPr>
        <w:tblBorders/>
      </w:tbl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d09d00" w:themeColor="accent4" w:themeTint="9A" w:themeShade="95"/>
        <w:sz w:val="22"/>
      </w:rPr>
      <w:pPr>
        <w:pBdr/>
        <w:spacing/>
        <w:ind/>
      </w:pPr>
      <w:tblPr>
        <w:tblBorders/>
      </w:tblPr>
      <w:tcPr>
        <w:tcBorders/>
      </w:tcPr>
    </w:tblStylePr>
  </w:style>
  <w:style w:type="table" w:styleId="900">
    <w:name w:val="List Table 7 Colorful - Accent 5"/>
    <w:basedOn w:val="923"/>
    <w:uiPriority w:val="99"/>
    <w:pPr>
      <w:pBdr/>
      <w:spacing w:after="0" w:line="240" w:lineRule="auto"/>
      <w:ind/>
    </w:pPr>
    <w:tblPr>
      <w:tblStyleRowBandSize w:val="1"/>
      <w:tblStyleColBandSize w:val="1"/>
      <w:tblBorders>
        <w:right w:val="single" w:color="000000" w:themeColor="accent5" w:themeTint="9A" w:sz="4" w:space="0"/>
      </w:tblBorders>
    </w:tblPr>
    <w:tcPr>
      <w:tcBorders/>
    </w:tcPr>
    <w:tblStylePr w:type="band1Horz">
      <w:rPr>
        <w:color w:val="2e74b3" w:themeColor="accent5" w:themeTint="9A" w:themeShade="95"/>
        <w:sz w:val="22"/>
      </w:rPr>
      <w:pPr>
        <w:pBdr/>
        <w:spacing/>
        <w:ind/>
      </w:pPr>
      <w:tblPr>
        <w:tblBorders/>
      </w:tblPr>
      <w:tcPr>
        <w:shd w:val="clear" w:color="ffffff" w:fill="d6e6f4" w:themeFill="accent5" w:themeFillTint="40"/>
        <w:tcBorders/>
      </w:tcPr>
    </w:tblStylePr>
    <w:tblStylePr w:type="band1Vert">
      <w:pPr>
        <w:pBdr/>
        <w:spacing/>
        <w:ind/>
      </w:pPr>
      <w:tblPr>
        <w:tblBorders/>
      </w:tblPr>
      <w:tcPr>
        <w:shd w:val="clear" w:color="ffffff" w:fill="d6e6f4" w:themeFill="accent5" w:themeFillTint="40"/>
        <w:tcBorders/>
      </w:tcPr>
    </w:tblStylePr>
    <w:tblStylePr w:type="band2Horz">
      <w:rPr>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i/>
        <w:color w:val="2e74b3" w:themeColor="accent5"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e74b3" w:themeColor="accent5" w:themeTint="9A" w:themeShade="95"/>
        <w:sz w:val="22"/>
      </w:rPr>
      <w:pPr>
        <w:pBdr/>
        <w:spacing/>
        <w:ind/>
      </w:pPr>
      <w:tblPr>
        <w:tblBorders/>
      </w:tbl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i/>
        <w:color w:val="2e74b3" w:themeColor="accent5" w:themeTint="9A" w:themeShade="95"/>
        <w:sz w:val="22"/>
      </w:rPr>
      <w:pPr>
        <w:pBdr/>
        <w:spacing/>
        <w:ind/>
      </w:pPr>
      <w:tblPr>
        <w:tblBorders/>
      </w:tbl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2e74b3" w:themeColor="accent5" w:themeTint="9A" w:themeShade="95"/>
        <w:sz w:val="22"/>
      </w:rPr>
      <w:pPr>
        <w:pBdr/>
        <w:spacing/>
        <w:ind/>
      </w:pPr>
      <w:tblPr>
        <w:tblBorders/>
      </w:tblPr>
      <w:tcPr>
        <w:tcBorders/>
      </w:tcPr>
    </w:tblStylePr>
  </w:style>
  <w:style w:type="table" w:styleId="901">
    <w:name w:val="List Table 7 Colorful - Accent 6"/>
    <w:basedOn w:val="923"/>
    <w:uiPriority w:val="99"/>
    <w:pPr>
      <w:pBdr/>
      <w:spacing w:after="0" w:line="240" w:lineRule="auto"/>
      <w:ind/>
    </w:pPr>
    <w:tblPr>
      <w:tblStyleRowBandSize w:val="1"/>
      <w:tblStyleColBandSize w:val="1"/>
      <w:tblBorders>
        <w:right w:val="single" w:color="000000" w:themeColor="accent6" w:themeTint="98" w:sz="4" w:space="0"/>
      </w:tblBorders>
    </w:tblPr>
    <w:tcPr>
      <w:tcBorders/>
    </w:tcPr>
    <w:tblStylePr w:type="band1Horz">
      <w:rPr>
        <w:color w:val="5e923c" w:themeColor="accent6" w:themeTint="98" w:themeShade="95"/>
        <w:sz w:val="22"/>
      </w:rPr>
      <w:pPr>
        <w:pBdr/>
        <w:spacing/>
        <w:ind/>
      </w:pPr>
      <w:tblPr>
        <w:tblBorders/>
      </w:tblPr>
      <w:tcPr>
        <w:shd w:val="clear" w:color="ffffff" w:fill="dbecd0" w:themeFill="accent6" w:themeFillTint="40"/>
        <w:tcBorders/>
      </w:tcPr>
    </w:tblStylePr>
    <w:tblStylePr w:type="band1Vert">
      <w:pPr>
        <w:pBdr/>
        <w:spacing/>
        <w:ind/>
      </w:pPr>
      <w:tblPr>
        <w:tblBorders/>
      </w:tblPr>
      <w:tcPr>
        <w:shd w:val="clear" w:color="ffffff" w:fill="dbecd0" w:themeFill="accent6" w:themeFillTint="40"/>
        <w:tcBorders/>
      </w:tcPr>
    </w:tblStylePr>
    <w:tblStylePr w:type="band2Horz">
      <w:rPr>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i/>
        <w:color w:val="5e923c" w:themeColor="accent6" w:themeTint="98"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5e923c" w:themeColor="accent6" w:themeTint="98" w:themeShade="95"/>
        <w:sz w:val="22"/>
      </w:rPr>
      <w:pPr>
        <w:pBdr/>
        <w:spacing/>
        <w:ind/>
      </w:pPr>
      <w:tblPr>
        <w:tblBorders/>
      </w:tbl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i/>
        <w:color w:val="5e923c" w:themeColor="accent6" w:themeTint="98" w:themeShade="95"/>
        <w:sz w:val="22"/>
      </w:rPr>
      <w:pPr>
        <w:pBdr/>
        <w:spacing/>
        <w:ind/>
      </w:pPr>
      <w:tblPr>
        <w:tblBorders/>
      </w:tbl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5e923c" w:themeColor="accent6" w:themeTint="98" w:themeShade="95"/>
        <w:sz w:val="22"/>
      </w:rPr>
      <w:pPr>
        <w:pBdr/>
        <w:spacing/>
        <w:ind/>
      </w:pPr>
      <w:tblPr>
        <w:tblBorders/>
      </w:tblPr>
      <w:tcPr>
        <w:tcBorders/>
      </w:tcPr>
    </w:tblStylePr>
  </w:style>
  <w:style w:type="table" w:styleId="902">
    <w:name w:val="Lined - Accent"/>
    <w:basedOn w:val="923"/>
    <w:uiPriority w:val="99"/>
    <w:pPr>
      <w:pBdr/>
      <w:spacing w:after="0" w:line="240" w:lineRule="auto"/>
      <w:ind/>
    </w:pPr>
    <w:rPr>
      <w:color w:val="404040"/>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f2f2f2" w:themeFill="text1" w:themeFillTint="00"/>
        <w:tcBorders/>
      </w:tcPr>
    </w:tblStylePr>
    <w:tblStylePr w:type="band2Vert">
      <w:rPr>
        <w:color w:val="404040"/>
        <w:sz w:val="22"/>
      </w:rPr>
      <w:pPr>
        <w:pBdr/>
        <w:spacing/>
        <w:ind/>
      </w:pPr>
      <w:tblPr>
        <w:tblBorders/>
      </w:tblPr>
      <w:tcPr>
        <w:shd w:val="clear" w:color="ffffff" w:fill="f2f2f2" w:themeFill="text1" w:themeFillTint="00"/>
        <w:tcBorders/>
      </w:tcPr>
    </w:tblStylePr>
    <w:tblStylePr w:type="firstCol">
      <w:rPr>
        <w:color w:val="f2f2f2"/>
        <w:sz w:val="22"/>
      </w:rPr>
      <w:pPr>
        <w:pBdr/>
        <w:spacing/>
        <w:ind/>
      </w:pPr>
      <w:tblPr>
        <w:tblBorders/>
      </w:tblPr>
      <w:tcPr>
        <w:shd w:val="clear" w:color="ffffff" w:fill="7f7f7f" w:themeFill="text1" w:themeFillTint="80"/>
        <w:tcBorders/>
      </w:tcPr>
    </w:tblStylePr>
    <w:tblStylePr w:type="firstRow">
      <w:rPr>
        <w:color w:val="f2f2f2"/>
        <w:sz w:val="22"/>
      </w:rPr>
      <w:pPr>
        <w:pBdr/>
        <w:spacing/>
        <w:ind/>
      </w:pPr>
      <w:tblPr>
        <w:tblBorders/>
      </w:tblPr>
      <w:tcPr>
        <w:shd w:val="clear" w:color="ffffff" w:fill="7f7f7f" w:themeFill="text1" w:themeFillTint="80"/>
        <w:tcBorders/>
      </w:tcPr>
    </w:tblStylePr>
    <w:tblStylePr w:type="lastCol">
      <w:rPr>
        <w:color w:val="f2f2f2"/>
        <w:sz w:val="22"/>
      </w:rPr>
      <w:pPr>
        <w:pBdr/>
        <w:spacing/>
        <w:ind/>
      </w:pPr>
      <w:tblPr>
        <w:tblBorders/>
      </w:tblPr>
      <w:tcPr>
        <w:shd w:val="clear" w:color="ffffff" w:fill="7f7f7f" w:themeFill="text1" w:themeFillTint="80"/>
        <w:tcBorders/>
      </w:tcPr>
    </w:tblStylePr>
    <w:tblStylePr w:type="lastRow">
      <w:rPr>
        <w:color w:val="f2f2f2"/>
        <w:sz w:val="22"/>
      </w:rPr>
      <w:pPr>
        <w:pBdr/>
        <w:spacing/>
        <w:ind/>
      </w:pPr>
      <w:tblPr>
        <w:tblBorders/>
      </w:tblPr>
      <w:tcPr>
        <w:shd w:val="clear" w:color="fffff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ned - Accent 1"/>
    <w:basedOn w:val="923"/>
    <w:uiPriority w:val="99"/>
    <w:pPr>
      <w:pBdr/>
      <w:spacing w:after="0" w:line="240" w:lineRule="auto"/>
      <w:ind/>
    </w:pPr>
    <w:rPr>
      <w:color w:val="404040"/>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c4d3ec" w:themeFill="accent1" w:themeFillTint="50"/>
        <w:tcBorders/>
      </w:tcPr>
    </w:tblStylePr>
    <w:tblStylePr w:type="band2Vert">
      <w:rPr>
        <w:color w:val="404040"/>
        <w:sz w:val="22"/>
      </w:rPr>
      <w:pPr>
        <w:pBdr/>
        <w:spacing/>
        <w:ind/>
      </w:pPr>
      <w:tblPr>
        <w:tblBorders/>
      </w:tblPr>
      <w:tcPr>
        <w:shd w:val="clear" w:color="ffffff" w:fill="c4d3ec" w:themeFill="accent1" w:themeFillTint="50"/>
        <w:tcBorders/>
      </w:tcPr>
    </w:tblStylePr>
    <w:tblStylePr w:type="firstCol">
      <w:rPr>
        <w:color w:val="f2f2f2"/>
        <w:sz w:val="22"/>
      </w:rPr>
      <w:pPr>
        <w:pBdr/>
        <w:spacing/>
        <w:ind/>
      </w:pPr>
      <w:tblPr>
        <w:tblBorders/>
      </w:tblPr>
      <w:tcPr>
        <w:shd w:val="clear" w:color="ffffff" w:fill="537ec9" w:themeFill="accent1" w:themeFillTint="EA"/>
        <w:tcBorders/>
      </w:tcPr>
    </w:tblStylePr>
    <w:tblStylePr w:type="firstRow">
      <w:rPr>
        <w:color w:val="f2f2f2"/>
        <w:sz w:val="22"/>
      </w:rPr>
      <w:pPr>
        <w:pBdr/>
        <w:spacing/>
        <w:ind/>
      </w:pPr>
      <w:tblPr>
        <w:tblBorders/>
      </w:tblPr>
      <w:tcPr>
        <w:shd w:val="clear" w:color="ffffff" w:fill="537ec9" w:themeFill="accent1" w:themeFillTint="EA"/>
        <w:tcBorders/>
      </w:tcPr>
    </w:tblStylePr>
    <w:tblStylePr w:type="lastCol">
      <w:rPr>
        <w:color w:val="f2f2f2"/>
        <w:sz w:val="22"/>
      </w:rPr>
      <w:pPr>
        <w:pBdr/>
        <w:spacing/>
        <w:ind/>
      </w:pPr>
      <w:tblPr>
        <w:tblBorders/>
      </w:tblPr>
      <w:tcPr>
        <w:shd w:val="clear" w:color="ffffff" w:fill="537ec9" w:themeFill="accent1" w:themeFillTint="EA"/>
        <w:tcBorders/>
      </w:tcPr>
    </w:tblStylePr>
    <w:tblStylePr w:type="lastRow">
      <w:rPr>
        <w:color w:val="f2f2f2"/>
        <w:sz w:val="22"/>
      </w:rPr>
      <w:pPr>
        <w:pBdr/>
        <w:spacing/>
        <w:ind/>
      </w:pPr>
      <w:tblPr>
        <w:tblBorders/>
      </w:tblPr>
      <w:tcPr>
        <w:shd w:val="clear" w:color="ffffff"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ned - Accent 2"/>
    <w:basedOn w:val="923"/>
    <w:uiPriority w:val="99"/>
    <w:pPr>
      <w:pBdr/>
      <w:spacing w:after="0" w:line="240" w:lineRule="auto"/>
      <w:ind/>
    </w:pPr>
    <w:rPr>
      <w:color w:val="404040"/>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fbe6d7" w:themeFill="accent2" w:themeFillTint="32"/>
        <w:tcBorders/>
      </w:tcPr>
    </w:tblStylePr>
    <w:tblStylePr w:type="band2Vert">
      <w:rPr>
        <w:color w:val="404040"/>
        <w:sz w:val="22"/>
      </w:rPr>
      <w:pPr>
        <w:pBdr/>
        <w:spacing/>
        <w:ind/>
      </w:pPr>
      <w:tblPr>
        <w:tblBorders/>
      </w:tblPr>
      <w:tcPr>
        <w:shd w:val="clear" w:color="ffffff" w:fill="fbe6d7" w:themeFill="accent2" w:themeFillTint="32"/>
        <w:tcBorders/>
      </w:tcPr>
    </w:tblStylePr>
    <w:tblStylePr w:type="firstCol">
      <w:rPr>
        <w:color w:val="f2f2f2"/>
        <w:sz w:val="22"/>
      </w:rPr>
      <w:pPr>
        <w:pBdr/>
        <w:spacing/>
        <w:ind/>
      </w:pPr>
      <w:tblPr>
        <w:tblBorders/>
      </w:tblPr>
      <w:tcPr>
        <w:shd w:val="clear" w:color="ffffff" w:fill="f4b285" w:themeFill="accent2" w:themeFillTint="97"/>
        <w:tcBorders/>
      </w:tcPr>
    </w:tblStylePr>
    <w:tblStylePr w:type="firstRow">
      <w:rPr>
        <w:color w:val="f2f2f2"/>
        <w:sz w:val="22"/>
      </w:rPr>
      <w:pPr>
        <w:pBdr/>
        <w:spacing/>
        <w:ind/>
      </w:pPr>
      <w:tblPr>
        <w:tblBorders/>
      </w:tblPr>
      <w:tcPr>
        <w:shd w:val="clear" w:color="ffffff" w:fill="f4b285" w:themeFill="accent2" w:themeFillTint="97"/>
        <w:tcBorders/>
      </w:tcPr>
    </w:tblStylePr>
    <w:tblStylePr w:type="lastCol">
      <w:rPr>
        <w:color w:val="f2f2f2"/>
        <w:sz w:val="22"/>
      </w:rPr>
      <w:pPr>
        <w:pBdr/>
        <w:spacing/>
        <w:ind/>
      </w:pPr>
      <w:tblPr>
        <w:tblBorders/>
      </w:tblPr>
      <w:tcPr>
        <w:shd w:val="clear" w:color="ffffff" w:fill="f4b285" w:themeFill="accent2" w:themeFillTint="97"/>
        <w:tcBorders/>
      </w:tcPr>
    </w:tblStylePr>
    <w:tblStylePr w:type="lastRow">
      <w:rPr>
        <w:color w:val="f2f2f2"/>
        <w:sz w:val="22"/>
      </w:rPr>
      <w:pPr>
        <w:pBdr/>
        <w:spacing/>
        <w:ind/>
      </w:pPr>
      <w:tblPr>
        <w:tblBorders/>
      </w:tblPr>
      <w:tcPr>
        <w:shd w:val="clear" w:color="ffffff"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ned - Accent 3"/>
    <w:basedOn w:val="923"/>
    <w:uiPriority w:val="99"/>
    <w:pPr>
      <w:pBdr/>
      <w:spacing w:after="0" w:line="240" w:lineRule="auto"/>
      <w:ind/>
    </w:pPr>
    <w:rPr>
      <w:color w:val="404040"/>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ededed" w:themeFill="accent3" w:themeFillTint="34"/>
        <w:tcBorders/>
      </w:tcPr>
    </w:tblStylePr>
    <w:tblStylePr w:type="band2Vert">
      <w:rPr>
        <w:color w:val="404040"/>
        <w:sz w:val="22"/>
      </w:rPr>
      <w:pPr>
        <w:pBdr/>
        <w:spacing/>
        <w:ind/>
      </w:pPr>
      <w:tblPr>
        <w:tblBorders/>
      </w:tblPr>
      <w:tcPr>
        <w:shd w:val="clear" w:color="ffffff" w:fill="ededed" w:themeFill="accent3" w:themeFillTint="34"/>
        <w:tcBorders/>
      </w:tcPr>
    </w:tblStylePr>
    <w:tblStylePr w:type="firstCol">
      <w:rPr>
        <w:color w:val="f2f2f2"/>
        <w:sz w:val="22"/>
      </w:rPr>
      <w:pPr>
        <w:pBdr/>
        <w:spacing/>
        <w:ind/>
      </w:pPr>
      <w:tblPr>
        <w:tblBorders/>
      </w:tblPr>
      <w:tcPr>
        <w:shd w:val="clear" w:color="ffffff" w:fill="a5a5a5" w:themeFill="accent3" w:themeFillTint="FE"/>
        <w:tcBorders/>
      </w:tcPr>
    </w:tblStylePr>
    <w:tblStylePr w:type="firstRow">
      <w:rPr>
        <w:color w:val="f2f2f2"/>
        <w:sz w:val="22"/>
      </w:rPr>
      <w:pPr>
        <w:pBdr/>
        <w:spacing/>
        <w:ind/>
      </w:pPr>
      <w:tblPr>
        <w:tblBorders/>
      </w:tblPr>
      <w:tcPr>
        <w:shd w:val="clear" w:color="ffffff" w:fill="a5a5a5" w:themeFill="accent3" w:themeFillTint="FE"/>
        <w:tcBorders/>
      </w:tcPr>
    </w:tblStylePr>
    <w:tblStylePr w:type="lastCol">
      <w:rPr>
        <w:color w:val="f2f2f2"/>
        <w:sz w:val="22"/>
      </w:rPr>
      <w:pPr>
        <w:pBdr/>
        <w:spacing/>
        <w:ind/>
      </w:pPr>
      <w:tblPr>
        <w:tblBorders/>
      </w:tblPr>
      <w:tcPr>
        <w:shd w:val="clear" w:color="ffffff" w:fill="a5a5a5" w:themeFill="accent3" w:themeFillTint="FE"/>
        <w:tcBorders/>
      </w:tcPr>
    </w:tblStylePr>
    <w:tblStylePr w:type="lastRow">
      <w:rPr>
        <w:color w:val="f2f2f2"/>
        <w:sz w:val="22"/>
      </w:rPr>
      <w:pPr>
        <w:pBdr/>
        <w:spacing/>
        <w:ind/>
      </w:pPr>
      <w:tblPr>
        <w:tblBorders/>
      </w:tblPr>
      <w:tcPr>
        <w:shd w:val="clear" w:color="ffffff"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ned - Accent 4"/>
    <w:basedOn w:val="923"/>
    <w:uiPriority w:val="99"/>
    <w:pPr>
      <w:pBdr/>
      <w:spacing w:after="0" w:line="240" w:lineRule="auto"/>
      <w:ind/>
    </w:pPr>
    <w:rPr>
      <w:color w:val="404040"/>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fff2cb" w:themeFill="accent4" w:themeFillTint="34"/>
        <w:tcBorders/>
      </w:tcPr>
    </w:tblStylePr>
    <w:tblStylePr w:type="band2Vert">
      <w:rPr>
        <w:color w:val="404040"/>
        <w:sz w:val="22"/>
      </w:rPr>
      <w:pPr>
        <w:pBdr/>
        <w:spacing/>
        <w:ind/>
      </w:pPr>
      <w:tblPr>
        <w:tblBorders/>
      </w:tblPr>
      <w:tcPr>
        <w:shd w:val="clear" w:color="ffffff" w:fill="fff2cb" w:themeFill="accent4" w:themeFillTint="34"/>
        <w:tcBorders/>
      </w:tcPr>
    </w:tblStylePr>
    <w:tblStylePr w:type="firstCol">
      <w:rPr>
        <w:color w:val="f2f2f2"/>
        <w:sz w:val="22"/>
      </w:rPr>
      <w:pPr>
        <w:pBdr/>
        <w:spacing/>
        <w:ind/>
      </w:pPr>
      <w:tblPr>
        <w:tblBorders/>
      </w:tblPr>
      <w:tcPr>
        <w:shd w:val="clear" w:color="ffffff" w:fill="ffd965" w:themeFill="accent4" w:themeFillTint="9A"/>
        <w:tcBorders/>
      </w:tcPr>
    </w:tblStylePr>
    <w:tblStylePr w:type="firstRow">
      <w:rPr>
        <w:color w:val="f2f2f2"/>
        <w:sz w:val="22"/>
      </w:rPr>
      <w:pPr>
        <w:pBdr/>
        <w:spacing/>
        <w:ind/>
      </w:pPr>
      <w:tblPr>
        <w:tblBorders/>
      </w:tblPr>
      <w:tcPr>
        <w:shd w:val="clear" w:color="ffffff" w:fill="ffd965" w:themeFill="accent4" w:themeFillTint="9A"/>
        <w:tcBorders/>
      </w:tcPr>
    </w:tblStylePr>
    <w:tblStylePr w:type="lastCol">
      <w:rPr>
        <w:color w:val="f2f2f2"/>
        <w:sz w:val="22"/>
      </w:rPr>
      <w:pPr>
        <w:pBdr/>
        <w:spacing/>
        <w:ind/>
      </w:pPr>
      <w:tblPr>
        <w:tblBorders/>
      </w:tblPr>
      <w:tcPr>
        <w:shd w:val="clear" w:color="ffffff" w:fill="ffd965" w:themeFill="accent4" w:themeFillTint="9A"/>
        <w:tcBorders/>
      </w:tcPr>
    </w:tblStylePr>
    <w:tblStylePr w:type="lastRow">
      <w:rPr>
        <w:color w:val="f2f2f2"/>
        <w:sz w:val="22"/>
      </w:rPr>
      <w:pPr>
        <w:pBdr/>
        <w:spacing/>
        <w:ind/>
      </w:pPr>
      <w:tblPr>
        <w:tblBorders/>
      </w:tblPr>
      <w:tcPr>
        <w:shd w:val="clear" w:color="ffffff"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ned - Accent 5"/>
    <w:basedOn w:val="923"/>
    <w:uiPriority w:val="99"/>
    <w:pPr>
      <w:pBdr/>
      <w:spacing w:after="0" w:line="240" w:lineRule="auto"/>
      <w:ind/>
    </w:pPr>
    <w:rPr>
      <w:color w:val="404040"/>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deebf6" w:themeFill="accent5" w:themeFillTint="34"/>
        <w:tcBorders/>
      </w:tcPr>
    </w:tblStylePr>
    <w:tblStylePr w:type="band2Vert">
      <w:rPr>
        <w:color w:val="404040"/>
        <w:sz w:val="22"/>
      </w:rPr>
      <w:pPr>
        <w:pBdr/>
        <w:spacing/>
        <w:ind/>
      </w:pPr>
      <w:tblPr>
        <w:tblBorders/>
      </w:tblPr>
      <w:tcPr>
        <w:shd w:val="clear" w:color="ffffff" w:fill="deebf6" w:themeFill="accent5" w:themeFillTint="34"/>
        <w:tcBorders/>
      </w:tcPr>
    </w:tblStylePr>
    <w:tblStylePr w:type="firstCol">
      <w:rPr>
        <w:color w:val="f2f2f2"/>
        <w:sz w:val="22"/>
      </w:rPr>
      <w:pPr>
        <w:pBdr/>
        <w:spacing/>
        <w:ind/>
      </w:pPr>
      <w:tblPr>
        <w:tblBorders/>
      </w:tblPr>
      <w:tcPr>
        <w:shd w:val="clear" w:color="ffffff" w:fill="5b9bd5" w:themeFill="accent5"/>
        <w:tcBorders/>
      </w:tcPr>
    </w:tblStylePr>
    <w:tblStylePr w:type="firstRow">
      <w:rPr>
        <w:color w:val="f2f2f2"/>
        <w:sz w:val="22"/>
      </w:rPr>
      <w:pPr>
        <w:pBdr/>
        <w:spacing/>
        <w:ind/>
      </w:pPr>
      <w:tblPr>
        <w:tblBorders/>
      </w:tblPr>
      <w:tcPr>
        <w:shd w:val="clear" w:color="ffffff" w:fill="5b9bd5" w:themeFill="accent5"/>
        <w:tcBorders/>
      </w:tcPr>
    </w:tblStylePr>
    <w:tblStylePr w:type="lastCol">
      <w:rPr>
        <w:color w:val="f2f2f2"/>
        <w:sz w:val="22"/>
      </w:rPr>
      <w:pPr>
        <w:pBdr/>
        <w:spacing/>
        <w:ind/>
      </w:pPr>
      <w:tblPr>
        <w:tblBorders/>
      </w:tblPr>
      <w:tcPr>
        <w:shd w:val="clear" w:color="ffffff" w:fill="5b9bd5" w:themeFill="accent5"/>
        <w:tcBorders/>
      </w:tcPr>
    </w:tblStylePr>
    <w:tblStylePr w:type="lastRow">
      <w:rPr>
        <w:color w:val="f2f2f2"/>
        <w:sz w:val="22"/>
      </w:rPr>
      <w:pPr>
        <w:pBdr/>
        <w:spacing/>
        <w:ind/>
      </w:pPr>
      <w:tblPr>
        <w:tblBorders/>
      </w:tblPr>
      <w:tcPr>
        <w:shd w:val="clear" w:color="ffffff"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ned - Accent 6"/>
    <w:basedOn w:val="923"/>
    <w:uiPriority w:val="99"/>
    <w:pPr>
      <w:pBdr/>
      <w:spacing w:after="0" w:line="240" w:lineRule="auto"/>
      <w:ind/>
    </w:pPr>
    <w:rPr>
      <w:color w:val="404040"/>
    </w:rPr>
    <w:tblPr>
      <w:tblStyleRowBandSize w:val="1"/>
      <w:tblStyleColBandSize w:val="1"/>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e2efd9" w:themeFill="accent6" w:themeFillTint="34"/>
        <w:tcBorders/>
      </w:tcPr>
    </w:tblStylePr>
    <w:tblStylePr w:type="band2Vert">
      <w:rPr>
        <w:color w:val="404040"/>
        <w:sz w:val="22"/>
      </w:rPr>
      <w:pPr>
        <w:pBdr/>
        <w:spacing/>
        <w:ind/>
      </w:pPr>
      <w:tblPr>
        <w:tblBorders/>
      </w:tblPr>
      <w:tcPr>
        <w:shd w:val="clear" w:color="ffffff" w:fill="e2efd9" w:themeFill="accent6" w:themeFillTint="34"/>
        <w:tcBorders/>
      </w:tcPr>
    </w:tblStylePr>
    <w:tblStylePr w:type="firstCol">
      <w:rPr>
        <w:color w:val="f2f2f2"/>
        <w:sz w:val="22"/>
      </w:rPr>
      <w:pPr>
        <w:pBdr/>
        <w:spacing/>
        <w:ind/>
      </w:pPr>
      <w:tblPr>
        <w:tblBorders/>
      </w:tblPr>
      <w:tcPr>
        <w:shd w:val="clear" w:color="ffffff" w:fill="70ad47" w:themeFill="accent6"/>
        <w:tcBorders/>
      </w:tcPr>
    </w:tblStylePr>
    <w:tblStylePr w:type="firstRow">
      <w:rPr>
        <w:color w:val="f2f2f2"/>
        <w:sz w:val="22"/>
      </w:rPr>
      <w:pPr>
        <w:pBdr/>
        <w:spacing/>
        <w:ind/>
      </w:pPr>
      <w:tblPr>
        <w:tblBorders/>
      </w:tblPr>
      <w:tcPr>
        <w:shd w:val="clear" w:color="ffffff" w:fill="70ad47" w:themeFill="accent6"/>
        <w:tcBorders/>
      </w:tcPr>
    </w:tblStylePr>
    <w:tblStylePr w:type="lastCol">
      <w:rPr>
        <w:color w:val="f2f2f2"/>
        <w:sz w:val="22"/>
      </w:rPr>
      <w:pPr>
        <w:pBdr/>
        <w:spacing/>
        <w:ind/>
      </w:pPr>
      <w:tblPr>
        <w:tblBorders/>
      </w:tblPr>
      <w:tcPr>
        <w:shd w:val="clear" w:color="ffffff" w:fill="70ad47" w:themeFill="accent6"/>
        <w:tcBorders/>
      </w:tcPr>
    </w:tblStylePr>
    <w:tblStylePr w:type="lastRow">
      <w:rPr>
        <w:color w:val="f2f2f2"/>
        <w:sz w:val="22"/>
      </w:rPr>
      <w:pPr>
        <w:pBdr/>
        <w:spacing/>
        <w:ind/>
      </w:pPr>
      <w:tblPr>
        <w:tblBorders/>
      </w:tblPr>
      <w:tcPr>
        <w:shd w:val="clear" w:color="ffffff"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amp; Lined - Accent"/>
    <w:basedOn w:val="923"/>
    <w:uiPriority w:val="99"/>
    <w:pPr>
      <w:pBdr/>
      <w:spacing w:after="0" w:line="240" w:lineRule="auto"/>
      <w:ind/>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f2f2f2" w:themeFill="text1" w:themeFillTint="00"/>
        <w:tcBorders/>
      </w:tcPr>
    </w:tblStylePr>
    <w:tblStylePr w:type="band2Vert">
      <w:rPr>
        <w:color w:val="404040"/>
        <w:sz w:val="22"/>
      </w:rPr>
      <w:pPr>
        <w:pBdr/>
        <w:spacing/>
        <w:ind/>
      </w:pPr>
      <w:tblPr>
        <w:tblBorders/>
      </w:tblPr>
      <w:tcPr>
        <w:shd w:val="clear" w:color="ffffff" w:fill="f2f2f2" w:themeFill="text1" w:themeFillTint="00"/>
        <w:tcBorders/>
      </w:tcPr>
    </w:tblStylePr>
    <w:tblStylePr w:type="firstCol">
      <w:rPr>
        <w:color w:val="f2f2f2"/>
        <w:sz w:val="22"/>
      </w:rPr>
      <w:pPr>
        <w:pBdr/>
        <w:spacing/>
        <w:ind/>
      </w:pPr>
      <w:tblPr>
        <w:tblBorders/>
      </w:tblPr>
      <w:tcPr>
        <w:shd w:val="clear" w:color="ffffff" w:fill="7f7f7f" w:themeFill="text1" w:themeFillTint="80"/>
        <w:tcBorders/>
      </w:tcPr>
    </w:tblStylePr>
    <w:tblStylePr w:type="firstRow">
      <w:rPr>
        <w:color w:val="f2f2f2"/>
        <w:sz w:val="22"/>
      </w:rPr>
      <w:pPr>
        <w:pBdr/>
        <w:spacing/>
        <w:ind/>
      </w:pPr>
      <w:tblPr>
        <w:tblBorders/>
      </w:tblPr>
      <w:tcPr>
        <w:shd w:val="clear" w:color="ffffff" w:fill="7f7f7f" w:themeFill="text1" w:themeFillTint="80"/>
        <w:tcBorders/>
      </w:tcPr>
    </w:tblStylePr>
    <w:tblStylePr w:type="lastCol">
      <w:rPr>
        <w:color w:val="f2f2f2"/>
        <w:sz w:val="22"/>
      </w:rPr>
      <w:pPr>
        <w:pBdr/>
        <w:spacing/>
        <w:ind/>
      </w:pPr>
      <w:tblPr>
        <w:tblBorders/>
      </w:tblPr>
      <w:tcPr>
        <w:shd w:val="clear" w:color="ffffff" w:fill="7f7f7f" w:themeFill="text1" w:themeFillTint="80"/>
        <w:tcBorders/>
      </w:tcPr>
    </w:tblStylePr>
    <w:tblStylePr w:type="lastRow">
      <w:rPr>
        <w:color w:val="f2f2f2"/>
        <w:sz w:val="22"/>
      </w:rPr>
      <w:pPr>
        <w:pBdr/>
        <w:spacing/>
        <w:ind/>
      </w:pPr>
      <w:tblPr>
        <w:tblBorders/>
      </w:tblPr>
      <w:tcPr>
        <w:shd w:val="clear" w:color="fffff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amp; Lined - Accent 1"/>
    <w:basedOn w:val="923"/>
    <w:uiPriority w:val="99"/>
    <w:pPr>
      <w:pBdr/>
      <w:spacing w:after="0" w:line="240" w:lineRule="auto"/>
      <w:ind/>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c4d3ec" w:themeFill="accent1" w:themeFillTint="50"/>
        <w:tcBorders/>
      </w:tcPr>
    </w:tblStylePr>
    <w:tblStylePr w:type="band2Vert">
      <w:rPr>
        <w:color w:val="404040"/>
        <w:sz w:val="22"/>
      </w:rPr>
      <w:pPr>
        <w:pBdr/>
        <w:spacing/>
        <w:ind/>
      </w:pPr>
      <w:tblPr>
        <w:tblBorders/>
      </w:tblPr>
      <w:tcPr>
        <w:shd w:val="clear" w:color="ffffff" w:fill="c4d3ec" w:themeFill="accent1" w:themeFillTint="50"/>
        <w:tcBorders/>
      </w:tcPr>
    </w:tblStylePr>
    <w:tblStylePr w:type="firstCol">
      <w:rPr>
        <w:color w:val="f2f2f2"/>
        <w:sz w:val="22"/>
      </w:rPr>
      <w:pPr>
        <w:pBdr/>
        <w:spacing/>
        <w:ind/>
      </w:pPr>
      <w:tblPr>
        <w:tblBorders/>
      </w:tblPr>
      <w:tcPr>
        <w:shd w:val="clear" w:color="ffffff" w:fill="537ec9" w:themeFill="accent1" w:themeFillTint="EA"/>
        <w:tcBorders/>
      </w:tcPr>
    </w:tblStylePr>
    <w:tblStylePr w:type="firstRow">
      <w:rPr>
        <w:color w:val="f2f2f2"/>
        <w:sz w:val="22"/>
      </w:rPr>
      <w:pPr>
        <w:pBdr/>
        <w:spacing/>
        <w:ind/>
      </w:pPr>
      <w:tblPr>
        <w:tblBorders/>
      </w:tblPr>
      <w:tcPr>
        <w:shd w:val="clear" w:color="ffffff" w:fill="537ec9" w:themeFill="accent1" w:themeFillTint="EA"/>
        <w:tcBorders/>
      </w:tcPr>
    </w:tblStylePr>
    <w:tblStylePr w:type="lastCol">
      <w:rPr>
        <w:color w:val="f2f2f2"/>
        <w:sz w:val="22"/>
      </w:rPr>
      <w:pPr>
        <w:pBdr/>
        <w:spacing/>
        <w:ind/>
      </w:pPr>
      <w:tblPr>
        <w:tblBorders/>
      </w:tblPr>
      <w:tcPr>
        <w:shd w:val="clear" w:color="ffffff" w:fill="537ec9" w:themeFill="accent1" w:themeFillTint="EA"/>
        <w:tcBorders/>
      </w:tcPr>
    </w:tblStylePr>
    <w:tblStylePr w:type="lastRow">
      <w:rPr>
        <w:color w:val="f2f2f2"/>
        <w:sz w:val="22"/>
      </w:rPr>
      <w:pPr>
        <w:pBdr/>
        <w:spacing/>
        <w:ind/>
      </w:pPr>
      <w:tblPr>
        <w:tblBorders/>
      </w:tblPr>
      <w:tcPr>
        <w:shd w:val="clear" w:color="ffffff"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2"/>
    <w:basedOn w:val="923"/>
    <w:uiPriority w:val="99"/>
    <w:pPr>
      <w:pBdr/>
      <w:spacing w:after="0" w:line="240" w:lineRule="auto"/>
      <w:ind/>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fbe6d7" w:themeFill="accent2" w:themeFillTint="32"/>
        <w:tcBorders/>
      </w:tcPr>
    </w:tblStylePr>
    <w:tblStylePr w:type="band2Vert">
      <w:rPr>
        <w:color w:val="404040"/>
        <w:sz w:val="22"/>
      </w:rPr>
      <w:pPr>
        <w:pBdr/>
        <w:spacing/>
        <w:ind/>
      </w:pPr>
      <w:tblPr>
        <w:tblBorders/>
      </w:tblPr>
      <w:tcPr>
        <w:shd w:val="clear" w:color="ffffff" w:fill="fbe6d7" w:themeFill="accent2" w:themeFillTint="32"/>
        <w:tcBorders/>
      </w:tcPr>
    </w:tblStylePr>
    <w:tblStylePr w:type="firstCol">
      <w:rPr>
        <w:color w:val="f2f2f2"/>
        <w:sz w:val="22"/>
      </w:rPr>
      <w:pPr>
        <w:pBdr/>
        <w:spacing/>
        <w:ind/>
      </w:pPr>
      <w:tblPr>
        <w:tblBorders/>
      </w:tblPr>
      <w:tcPr>
        <w:shd w:val="clear" w:color="ffffff" w:fill="f4b285" w:themeFill="accent2" w:themeFillTint="97"/>
        <w:tcBorders/>
      </w:tcPr>
    </w:tblStylePr>
    <w:tblStylePr w:type="firstRow">
      <w:rPr>
        <w:color w:val="f2f2f2"/>
        <w:sz w:val="22"/>
      </w:rPr>
      <w:pPr>
        <w:pBdr/>
        <w:spacing/>
        <w:ind/>
      </w:pPr>
      <w:tblPr>
        <w:tblBorders/>
      </w:tblPr>
      <w:tcPr>
        <w:shd w:val="clear" w:color="ffffff" w:fill="f4b285" w:themeFill="accent2" w:themeFillTint="97"/>
        <w:tcBorders/>
      </w:tcPr>
    </w:tblStylePr>
    <w:tblStylePr w:type="lastCol">
      <w:rPr>
        <w:color w:val="f2f2f2"/>
        <w:sz w:val="22"/>
      </w:rPr>
      <w:pPr>
        <w:pBdr/>
        <w:spacing/>
        <w:ind/>
      </w:pPr>
      <w:tblPr>
        <w:tblBorders/>
      </w:tblPr>
      <w:tcPr>
        <w:shd w:val="clear" w:color="ffffff" w:fill="f4b285" w:themeFill="accent2" w:themeFillTint="97"/>
        <w:tcBorders/>
      </w:tcPr>
    </w:tblStylePr>
    <w:tblStylePr w:type="lastRow">
      <w:rPr>
        <w:color w:val="f2f2f2"/>
        <w:sz w:val="22"/>
      </w:rPr>
      <w:pPr>
        <w:pBdr/>
        <w:spacing/>
        <w:ind/>
      </w:pPr>
      <w:tblPr>
        <w:tblBorders/>
      </w:tblPr>
      <w:tcPr>
        <w:shd w:val="clear" w:color="ffffff"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amp; Lined - Accent 3"/>
    <w:basedOn w:val="923"/>
    <w:uiPriority w:val="99"/>
    <w:pPr>
      <w:pBdr/>
      <w:spacing w:after="0" w:line="240" w:lineRule="auto"/>
      <w:ind/>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ededed" w:themeFill="accent3" w:themeFillTint="34"/>
        <w:tcBorders/>
      </w:tcPr>
    </w:tblStylePr>
    <w:tblStylePr w:type="band2Vert">
      <w:rPr>
        <w:color w:val="404040"/>
        <w:sz w:val="22"/>
      </w:rPr>
      <w:pPr>
        <w:pBdr/>
        <w:spacing/>
        <w:ind/>
      </w:pPr>
      <w:tblPr>
        <w:tblBorders/>
      </w:tblPr>
      <w:tcPr>
        <w:shd w:val="clear" w:color="ffffff" w:fill="ededed" w:themeFill="accent3" w:themeFillTint="34"/>
        <w:tcBorders/>
      </w:tcPr>
    </w:tblStylePr>
    <w:tblStylePr w:type="firstCol">
      <w:rPr>
        <w:color w:val="f2f2f2"/>
        <w:sz w:val="22"/>
      </w:rPr>
      <w:pPr>
        <w:pBdr/>
        <w:spacing/>
        <w:ind/>
      </w:pPr>
      <w:tblPr>
        <w:tblBorders/>
      </w:tblPr>
      <w:tcPr>
        <w:shd w:val="clear" w:color="ffffff" w:fill="a5a5a5" w:themeFill="accent3" w:themeFillTint="FE"/>
        <w:tcBorders/>
      </w:tcPr>
    </w:tblStylePr>
    <w:tblStylePr w:type="firstRow">
      <w:rPr>
        <w:color w:val="f2f2f2"/>
        <w:sz w:val="22"/>
      </w:rPr>
      <w:pPr>
        <w:pBdr/>
        <w:spacing/>
        <w:ind/>
      </w:pPr>
      <w:tblPr>
        <w:tblBorders/>
      </w:tblPr>
      <w:tcPr>
        <w:shd w:val="clear" w:color="ffffff" w:fill="a5a5a5" w:themeFill="accent3" w:themeFillTint="FE"/>
        <w:tcBorders/>
      </w:tcPr>
    </w:tblStylePr>
    <w:tblStylePr w:type="lastCol">
      <w:rPr>
        <w:color w:val="f2f2f2"/>
        <w:sz w:val="22"/>
      </w:rPr>
      <w:pPr>
        <w:pBdr/>
        <w:spacing/>
        <w:ind/>
      </w:pPr>
      <w:tblPr>
        <w:tblBorders/>
      </w:tblPr>
      <w:tcPr>
        <w:shd w:val="clear" w:color="ffffff" w:fill="a5a5a5" w:themeFill="accent3" w:themeFillTint="FE"/>
        <w:tcBorders/>
      </w:tcPr>
    </w:tblStylePr>
    <w:tblStylePr w:type="lastRow">
      <w:rPr>
        <w:color w:val="f2f2f2"/>
        <w:sz w:val="22"/>
      </w:rPr>
      <w:pPr>
        <w:pBdr/>
        <w:spacing/>
        <w:ind/>
      </w:pPr>
      <w:tblPr>
        <w:tblBorders/>
      </w:tblPr>
      <w:tcPr>
        <w:shd w:val="clear" w:color="ffffff"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4"/>
    <w:basedOn w:val="923"/>
    <w:uiPriority w:val="99"/>
    <w:pPr>
      <w:pBdr/>
      <w:spacing w:after="0" w:line="240" w:lineRule="auto"/>
      <w:ind/>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fff2cb" w:themeFill="accent4" w:themeFillTint="34"/>
        <w:tcBorders/>
      </w:tcPr>
    </w:tblStylePr>
    <w:tblStylePr w:type="band2Vert">
      <w:rPr>
        <w:color w:val="404040"/>
        <w:sz w:val="22"/>
      </w:rPr>
      <w:pPr>
        <w:pBdr/>
        <w:spacing/>
        <w:ind/>
      </w:pPr>
      <w:tblPr>
        <w:tblBorders/>
      </w:tblPr>
      <w:tcPr>
        <w:shd w:val="clear" w:color="ffffff" w:fill="fff2cb" w:themeFill="accent4" w:themeFillTint="34"/>
        <w:tcBorders/>
      </w:tcPr>
    </w:tblStylePr>
    <w:tblStylePr w:type="firstCol">
      <w:rPr>
        <w:color w:val="f2f2f2"/>
        <w:sz w:val="22"/>
      </w:rPr>
      <w:pPr>
        <w:pBdr/>
        <w:spacing/>
        <w:ind/>
      </w:pPr>
      <w:tblPr>
        <w:tblBorders/>
      </w:tblPr>
      <w:tcPr>
        <w:shd w:val="clear" w:color="ffffff" w:fill="ffd965" w:themeFill="accent4" w:themeFillTint="9A"/>
        <w:tcBorders/>
      </w:tcPr>
    </w:tblStylePr>
    <w:tblStylePr w:type="firstRow">
      <w:rPr>
        <w:color w:val="f2f2f2"/>
        <w:sz w:val="22"/>
      </w:rPr>
      <w:pPr>
        <w:pBdr/>
        <w:spacing/>
        <w:ind/>
      </w:pPr>
      <w:tblPr>
        <w:tblBorders/>
      </w:tblPr>
      <w:tcPr>
        <w:shd w:val="clear" w:color="ffffff" w:fill="ffd965" w:themeFill="accent4" w:themeFillTint="9A"/>
        <w:tcBorders/>
      </w:tcPr>
    </w:tblStylePr>
    <w:tblStylePr w:type="lastCol">
      <w:rPr>
        <w:color w:val="f2f2f2"/>
        <w:sz w:val="22"/>
      </w:rPr>
      <w:pPr>
        <w:pBdr/>
        <w:spacing/>
        <w:ind/>
      </w:pPr>
      <w:tblPr>
        <w:tblBorders/>
      </w:tblPr>
      <w:tcPr>
        <w:shd w:val="clear" w:color="ffffff" w:fill="ffd965" w:themeFill="accent4" w:themeFillTint="9A"/>
        <w:tcBorders/>
      </w:tcPr>
    </w:tblStylePr>
    <w:tblStylePr w:type="lastRow">
      <w:rPr>
        <w:color w:val="f2f2f2"/>
        <w:sz w:val="22"/>
      </w:rPr>
      <w:pPr>
        <w:pBdr/>
        <w:spacing/>
        <w:ind/>
      </w:pPr>
      <w:tblPr>
        <w:tblBorders/>
      </w:tblPr>
      <w:tcPr>
        <w:shd w:val="clear" w:color="ffffff"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amp; Lined - Accent 5"/>
    <w:basedOn w:val="923"/>
    <w:uiPriority w:val="99"/>
    <w:pPr>
      <w:pBdr/>
      <w:spacing w:after="0" w:line="240" w:lineRule="auto"/>
      <w:ind/>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deebf6" w:themeFill="accent5" w:themeFillTint="34"/>
        <w:tcBorders/>
      </w:tcPr>
    </w:tblStylePr>
    <w:tblStylePr w:type="band2Vert">
      <w:rPr>
        <w:color w:val="404040"/>
        <w:sz w:val="22"/>
      </w:rPr>
      <w:pPr>
        <w:pBdr/>
        <w:spacing/>
        <w:ind/>
      </w:pPr>
      <w:tblPr>
        <w:tblBorders/>
      </w:tblPr>
      <w:tcPr>
        <w:shd w:val="clear" w:color="ffffff" w:fill="deebf6" w:themeFill="accent5" w:themeFillTint="34"/>
        <w:tcBorders/>
      </w:tcPr>
    </w:tblStylePr>
    <w:tblStylePr w:type="firstCol">
      <w:rPr>
        <w:color w:val="f2f2f2"/>
        <w:sz w:val="22"/>
      </w:rPr>
      <w:pPr>
        <w:pBdr/>
        <w:spacing/>
        <w:ind/>
      </w:pPr>
      <w:tblPr>
        <w:tblBorders/>
      </w:tblPr>
      <w:tcPr>
        <w:shd w:val="clear" w:color="ffffff" w:fill="5b9bd5" w:themeFill="accent5"/>
        <w:tcBorders/>
      </w:tcPr>
    </w:tblStylePr>
    <w:tblStylePr w:type="firstRow">
      <w:rPr>
        <w:color w:val="f2f2f2"/>
        <w:sz w:val="22"/>
      </w:rPr>
      <w:pPr>
        <w:pBdr/>
        <w:spacing/>
        <w:ind/>
      </w:pPr>
      <w:tblPr>
        <w:tblBorders/>
      </w:tblPr>
      <w:tcPr>
        <w:shd w:val="clear" w:color="ffffff" w:fill="5b9bd5" w:themeFill="accent5"/>
        <w:tcBorders/>
      </w:tcPr>
    </w:tblStylePr>
    <w:tblStylePr w:type="lastCol">
      <w:rPr>
        <w:color w:val="f2f2f2"/>
        <w:sz w:val="22"/>
      </w:rPr>
      <w:pPr>
        <w:pBdr/>
        <w:spacing/>
        <w:ind/>
      </w:pPr>
      <w:tblPr>
        <w:tblBorders/>
      </w:tblPr>
      <w:tcPr>
        <w:shd w:val="clear" w:color="ffffff" w:fill="5b9bd5" w:themeFill="accent5"/>
        <w:tcBorders/>
      </w:tcPr>
    </w:tblStylePr>
    <w:tblStylePr w:type="lastRow">
      <w:rPr>
        <w:color w:val="f2f2f2"/>
        <w:sz w:val="22"/>
      </w:rPr>
      <w:pPr>
        <w:pBdr/>
        <w:spacing/>
        <w:ind/>
      </w:pPr>
      <w:tblPr>
        <w:tblBorders/>
      </w:tblPr>
      <w:tcPr>
        <w:shd w:val="clear" w:color="ffffff"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amp; Lined - Accent 6"/>
    <w:basedOn w:val="923"/>
    <w:uiPriority w:val="99"/>
    <w:pPr>
      <w:pBdr/>
      <w:spacing w:after="0" w:line="240" w:lineRule="auto"/>
      <w:ind/>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color w:val="404040"/>
        <w:sz w:val="22"/>
      </w:rPr>
      <w:pPr>
        <w:pBdr/>
        <w:spacing/>
        <w:ind/>
      </w:pPr>
      <w:tblPr>
        <w:tblBorders/>
      </w:tblPr>
      <w:tcPr>
        <w:tcBorders/>
      </w:tcPr>
    </w:tblStylePr>
    <w:tblStylePr w:type="band1Vert">
      <w:rPr>
        <w:color w:val="404040"/>
        <w:sz w:val="22"/>
      </w:rPr>
      <w:pPr>
        <w:pBdr/>
        <w:spacing/>
        <w:ind/>
      </w:pPr>
      <w:tblPr>
        <w:tblBorders/>
      </w:tblPr>
      <w:tcPr>
        <w:tcBorders/>
      </w:tcPr>
    </w:tblStylePr>
    <w:tblStylePr w:type="band2Horz">
      <w:rPr>
        <w:color w:val="404040"/>
        <w:sz w:val="22"/>
      </w:rPr>
      <w:pPr>
        <w:pBdr/>
        <w:spacing/>
        <w:ind/>
      </w:pPr>
      <w:tblPr>
        <w:tblBorders/>
      </w:tblPr>
      <w:tcPr>
        <w:shd w:val="clear" w:color="ffffff" w:fill="e2efd9" w:themeFill="accent6" w:themeFillTint="34"/>
        <w:tcBorders/>
      </w:tcPr>
    </w:tblStylePr>
    <w:tblStylePr w:type="band2Vert">
      <w:rPr>
        <w:color w:val="404040"/>
        <w:sz w:val="22"/>
      </w:rPr>
      <w:pPr>
        <w:pBdr/>
        <w:spacing/>
        <w:ind/>
      </w:pPr>
      <w:tblPr>
        <w:tblBorders/>
      </w:tblPr>
      <w:tcPr>
        <w:shd w:val="clear" w:color="ffffff" w:fill="e2efd9" w:themeFill="accent6" w:themeFillTint="34"/>
        <w:tcBorders/>
      </w:tcPr>
    </w:tblStylePr>
    <w:tblStylePr w:type="firstCol">
      <w:rPr>
        <w:color w:val="f2f2f2"/>
        <w:sz w:val="22"/>
      </w:rPr>
      <w:pPr>
        <w:pBdr/>
        <w:spacing/>
        <w:ind/>
      </w:pPr>
      <w:tblPr>
        <w:tblBorders/>
      </w:tblPr>
      <w:tcPr>
        <w:shd w:val="clear" w:color="ffffff" w:fill="70ad47" w:themeFill="accent6"/>
        <w:tcBorders/>
      </w:tcPr>
    </w:tblStylePr>
    <w:tblStylePr w:type="firstRow">
      <w:rPr>
        <w:color w:val="f2f2f2"/>
        <w:sz w:val="22"/>
      </w:rPr>
      <w:pPr>
        <w:pBdr/>
        <w:spacing/>
        <w:ind/>
      </w:pPr>
      <w:tblPr>
        <w:tblBorders/>
      </w:tblPr>
      <w:tcPr>
        <w:shd w:val="clear" w:color="ffffff" w:fill="70ad47" w:themeFill="accent6"/>
        <w:tcBorders/>
      </w:tcPr>
    </w:tblStylePr>
    <w:tblStylePr w:type="lastCol">
      <w:rPr>
        <w:color w:val="f2f2f2"/>
        <w:sz w:val="22"/>
      </w:rPr>
      <w:pPr>
        <w:pBdr/>
        <w:spacing/>
        <w:ind/>
      </w:pPr>
      <w:tblPr>
        <w:tblBorders/>
      </w:tblPr>
      <w:tcPr>
        <w:shd w:val="clear" w:color="ffffff" w:fill="70ad47" w:themeFill="accent6"/>
        <w:tcBorders/>
      </w:tcPr>
    </w:tblStylePr>
    <w:tblStylePr w:type="lastRow">
      <w:rPr>
        <w:color w:val="f2f2f2"/>
        <w:sz w:val="22"/>
      </w:rPr>
      <w:pPr>
        <w:pBdr/>
        <w:spacing/>
        <w:ind/>
      </w:pPr>
      <w:tblPr>
        <w:tblBorders/>
      </w:tblPr>
      <w:tcPr>
        <w:shd w:val="clear" w:color="ffffff"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w:basedOn w:val="923"/>
    <w:uiPriority w:val="99"/>
    <w:pPr>
      <w:pBdr/>
      <w:spacing w:after="0" w:line="240" w:lineRule="auto"/>
      <w:ind/>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color w:val="404040"/>
        <w:sz w:val="22"/>
      </w:rPr>
      <w:pPr>
        <w:pBdr/>
        <w:spacing/>
        <w:ind/>
      </w:pPr>
      <w:tblPr>
        <w:tblBorders/>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000000" w:themeColor="text1" w:sz="12" w:space="0"/>
        </w:tcBorders>
      </w:tcPr>
    </w:tblStylePr>
    <w:tblStylePr w:type="lastCol">
      <w:rPr>
        <w:color w:val="404040"/>
        <w:sz w:val="22"/>
      </w:rPr>
      <w:pPr>
        <w:pBdr/>
        <w:spacing/>
        <w:ind/>
      </w:pPr>
      <w:tblPr>
        <w:tblBorders/>
      </w:tblPr>
      <w:tcPr>
        <w:tcBorders>
          <w:left w:val="single" w:color="000000" w:themeColor="text1" w:sz="12" w:space="0"/>
        </w:tcBorders>
      </w:tcPr>
    </w:tblStylePr>
    <w:tblStylePr w:type="lastRow">
      <w:rPr>
        <w:color w:val="404040"/>
        <w:sz w:val="22"/>
      </w:rPr>
      <w:pPr>
        <w:pBdr/>
        <w:spacing/>
        <w:ind/>
      </w:pPr>
      <w:tblPr>
        <w:tblBorders/>
      </w:tblPr>
      <w:tcPr>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 Accent 1"/>
    <w:basedOn w:val="923"/>
    <w:uiPriority w:val="99"/>
    <w:pPr>
      <w:pBdr/>
      <w:spacing w:after="0" w:line="240" w:lineRule="auto"/>
      <w:ind/>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color w:val="404040"/>
        <w:sz w:val="22"/>
      </w:rPr>
      <w:pPr>
        <w:pBdr/>
        <w:spacing/>
        <w:ind/>
      </w:pPr>
      <w:tblPr>
        <w:tblBorders/>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000000" w:themeColor="accent1" w:sz="12" w:space="0"/>
        </w:tcBorders>
      </w:tcPr>
    </w:tblStylePr>
    <w:tblStylePr w:type="lastCol">
      <w:rPr>
        <w:color w:val="404040"/>
        <w:sz w:val="22"/>
      </w:rPr>
      <w:pPr>
        <w:pBdr/>
        <w:spacing/>
        <w:ind/>
      </w:pPr>
      <w:tblPr>
        <w:tblBorders/>
      </w:tblPr>
      <w:tcPr>
        <w:tcBorders>
          <w:left w:val="single" w:color="000000" w:themeColor="accent1" w:sz="12" w:space="0"/>
        </w:tcBorders>
      </w:tcPr>
    </w:tblStylePr>
    <w:tblStylePr w:type="lastRow">
      <w:rPr>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 Accent 2"/>
    <w:basedOn w:val="923"/>
    <w:uiPriority w:val="99"/>
    <w:pPr>
      <w:pBdr/>
      <w:spacing w:after="0" w:line="240" w:lineRule="auto"/>
      <w:ind/>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color w:val="404040"/>
        <w:sz w:val="22"/>
      </w:rPr>
      <w:pPr>
        <w:pBdr/>
        <w:spacing/>
        <w:ind/>
      </w:pPr>
      <w:tblPr>
        <w:tblBorders/>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000000" w:themeColor="accent2" w:sz="12" w:space="0"/>
        </w:tcBorders>
      </w:tcPr>
    </w:tblStylePr>
    <w:tblStylePr w:type="lastCol">
      <w:rPr>
        <w:color w:val="404040"/>
        <w:sz w:val="22"/>
      </w:rPr>
      <w:pPr>
        <w:pBdr/>
        <w:spacing/>
        <w:ind/>
      </w:pPr>
      <w:tblPr>
        <w:tblBorders/>
      </w:tblPr>
      <w:tcPr>
        <w:tcBorders>
          <w:left w:val="single" w:color="000000" w:themeColor="accent2" w:sz="12" w:space="0"/>
        </w:tcBorders>
      </w:tcPr>
    </w:tblStylePr>
    <w:tblStylePr w:type="lastRow">
      <w:rPr>
        <w:color w:val="404040"/>
        <w:sz w:val="22"/>
      </w:rPr>
      <w:pPr>
        <w:pBdr/>
        <w:spacing/>
        <w:ind/>
      </w:pPr>
      <w:tblPr>
        <w:tblBorders/>
      </w:tblPr>
      <w:tcPr>
        <w:tcBorders>
          <w:top w:val="single" w:color="000000" w:themeColor="accent2"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 Accent 3"/>
    <w:basedOn w:val="923"/>
    <w:uiPriority w:val="99"/>
    <w:pPr>
      <w:pBdr/>
      <w:spacing w:after="0" w:line="240" w:lineRule="auto"/>
      <w:ind/>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color w:val="404040"/>
        <w:sz w:val="22"/>
      </w:rPr>
      <w:pPr>
        <w:pBdr/>
        <w:spacing/>
        <w:ind/>
      </w:pPr>
      <w:tblPr>
        <w:tblBorders/>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000000" w:themeColor="accent3" w:sz="12" w:space="0"/>
        </w:tcBorders>
      </w:tcPr>
    </w:tblStylePr>
    <w:tblStylePr w:type="lastCol">
      <w:rPr>
        <w:color w:val="404040"/>
        <w:sz w:val="22"/>
      </w:rPr>
      <w:pPr>
        <w:pBdr/>
        <w:spacing/>
        <w:ind/>
      </w:pPr>
      <w:tblPr>
        <w:tblBorders/>
      </w:tblPr>
      <w:tcPr>
        <w:tcBorders>
          <w:left w:val="single" w:color="000000" w:themeColor="accent3" w:sz="12" w:space="0"/>
        </w:tcBorders>
      </w:tcPr>
    </w:tblStylePr>
    <w:tblStylePr w:type="lastRow">
      <w:rPr>
        <w:color w:val="404040"/>
        <w:sz w:val="22"/>
      </w:rPr>
      <w:pPr>
        <w:pBdr/>
        <w:spacing/>
        <w:ind/>
      </w:pPr>
      <w:tblPr>
        <w:tblBorders/>
      </w:tblPr>
      <w:tcPr>
        <w:tcBorders>
          <w:top w:val="single" w:color="000000" w:themeColor="accent3"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 Accent 4"/>
    <w:basedOn w:val="923"/>
    <w:uiPriority w:val="99"/>
    <w:pPr>
      <w:pBdr/>
      <w:spacing w:after="0" w:line="240" w:lineRule="auto"/>
      <w:ind/>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color w:val="404040"/>
        <w:sz w:val="22"/>
      </w:rPr>
      <w:pPr>
        <w:pBdr/>
        <w:spacing/>
        <w:ind/>
      </w:pPr>
      <w:tblPr>
        <w:tblBorders/>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000000" w:themeColor="accent4" w:sz="12" w:space="0"/>
        </w:tcBorders>
      </w:tcPr>
    </w:tblStylePr>
    <w:tblStylePr w:type="lastCol">
      <w:rPr>
        <w:color w:val="404040"/>
        <w:sz w:val="22"/>
      </w:rPr>
      <w:pPr>
        <w:pBdr/>
        <w:spacing/>
        <w:ind/>
      </w:pPr>
      <w:tblPr>
        <w:tblBorders/>
      </w:tblPr>
      <w:tcPr>
        <w:tcBorders>
          <w:left w:val="single" w:color="000000" w:themeColor="accent4" w:sz="12" w:space="0"/>
        </w:tcBorders>
      </w:tcPr>
    </w:tblStylePr>
    <w:tblStylePr w:type="lastRow">
      <w:rPr>
        <w:color w:val="404040"/>
        <w:sz w:val="22"/>
      </w:rPr>
      <w:pPr>
        <w:pBdr/>
        <w:spacing/>
        <w:ind/>
      </w:pPr>
      <w:tblPr>
        <w:tblBorders/>
      </w:tblPr>
      <w:tcPr>
        <w:tcBorders>
          <w:top w:val="single" w:color="000000" w:themeColor="accent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 Accent 5"/>
    <w:basedOn w:val="923"/>
    <w:uiPriority w:val="99"/>
    <w:pPr>
      <w:pBdr/>
      <w:spacing w:after="0" w:line="240" w:lineRule="auto"/>
      <w:ind/>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color w:val="404040"/>
        <w:sz w:val="22"/>
      </w:rPr>
      <w:pPr>
        <w:pBdr/>
        <w:spacing/>
        <w:ind/>
      </w:pPr>
      <w:tblPr>
        <w:tblBorders/>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000000" w:themeColor="accent5" w:sz="12" w:space="0"/>
        </w:tcBorders>
      </w:tcPr>
    </w:tblStylePr>
    <w:tblStylePr w:type="lastCol">
      <w:rPr>
        <w:color w:val="404040"/>
        <w:sz w:val="22"/>
      </w:rPr>
      <w:pPr>
        <w:pBdr/>
        <w:spacing/>
        <w:ind/>
      </w:pPr>
      <w:tblPr>
        <w:tblBorders/>
      </w:tblPr>
      <w:tcPr>
        <w:tcBorders>
          <w:left w:val="single" w:color="000000" w:themeColor="accent5" w:sz="12" w:space="0"/>
        </w:tcBorders>
      </w:tcPr>
    </w:tblStylePr>
    <w:tblStylePr w:type="lastRow">
      <w:rPr>
        <w:color w:val="404040"/>
        <w:sz w:val="22"/>
      </w:rPr>
      <w:pPr>
        <w:pBdr/>
        <w:spacing/>
        <w:ind/>
      </w:pPr>
      <w:tblPr>
        <w:tblBorders/>
      </w:tblPr>
      <w:tcPr>
        <w:tcBorders>
          <w:top w:val="single" w:color="000000" w:themeColor="accent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 Accent 6"/>
    <w:basedOn w:val="923"/>
    <w:uiPriority w:val="99"/>
    <w:pPr>
      <w:pBdr/>
      <w:spacing w:after="0" w:line="240" w:lineRule="auto"/>
      <w:ind/>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color w:val="404040"/>
        <w:sz w:val="22"/>
      </w:rPr>
      <w:pPr>
        <w:pBdr/>
        <w:spacing/>
        <w:ind/>
      </w:pPr>
      <w:tblPr>
        <w:tblBorders/>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404040"/>
        <w:sz w:val="22"/>
      </w:rPr>
      <w:pPr>
        <w:pBdr/>
        <w:spacing/>
        <w:ind/>
      </w:pPr>
      <w:tblPr>
        <w:tblBorders/>
      </w:tblPr>
      <w:tcPr>
        <w:tcBorders/>
      </w:tcPr>
    </w:tblStylePr>
    <w:tblStylePr w:type="firstRow">
      <w:rPr>
        <w:color w:val="404040"/>
        <w:sz w:val="22"/>
      </w:rPr>
      <w:pPr>
        <w:pBdr/>
        <w:spacing/>
        <w:ind/>
      </w:pPr>
      <w:tblPr>
        <w:tblBorders/>
      </w:tblPr>
      <w:tcPr>
        <w:tcBorders>
          <w:bottom w:val="single" w:color="000000" w:themeColor="accent6" w:sz="12" w:space="0"/>
        </w:tcBorders>
      </w:tcPr>
    </w:tblStylePr>
    <w:tblStylePr w:type="lastCol">
      <w:rPr>
        <w:color w:val="404040"/>
        <w:sz w:val="22"/>
      </w:rPr>
      <w:pPr>
        <w:pBdr/>
        <w:spacing/>
        <w:ind/>
      </w:pPr>
      <w:tblPr>
        <w:tblBorders/>
      </w:tblPr>
      <w:tcPr>
        <w:tcBorders>
          <w:left w:val="single" w:color="000000" w:themeColor="accent6" w:sz="12" w:space="0"/>
        </w:tcBorders>
      </w:tcPr>
    </w:tblStylePr>
    <w:tblStylePr w:type="lastRow">
      <w:rPr>
        <w:color w:val="404040"/>
        <w:sz w:val="22"/>
      </w:rPr>
      <w:pPr>
        <w:pBdr/>
        <w:spacing/>
        <w:ind/>
      </w:pPr>
      <w:tblPr>
        <w:tblBorders/>
      </w:tblPr>
      <w:tcPr>
        <w:tcBorders>
          <w:top w:val="single" w:color="000000" w:themeColor="accent6"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image" Target="media/image3.png"/><Relationship Id="rId11" Type="http://schemas.openxmlformats.org/officeDocument/2006/relationships/image" Target="media/image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2.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ONLYOFFICE/9.4.0.129</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dc:description/>
  <dc:language>es-UY</dc:language>
  <cp:revision>12</cp:revision>
  <dcterms:created xsi:type="dcterms:W3CDTF">2026-03-14T03:50:00Z</dcterms:created>
  <dcterms:modified xsi:type="dcterms:W3CDTF">2026-06-04T15:25:19Z</dcterms:modified>
</cp:coreProperties>
</file>