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rPr>
      </w:pPr>
    </w:p>
    <w:p>
      <w:pPr>
        <w:jc w:val="center"/>
        <w:rPr>
          <w:rFonts w:ascii="Times New Roman" w:hAnsi="Times New Roman" w:cs="Times New Roman"/>
          <w:b/>
          <w:bCs/>
        </w:rPr>
      </w:pPr>
      <w:r>
        <w:rPr>
          <w:rFonts w:ascii="Times New Roman" w:hAnsi="Times New Roman" w:cs="Times New Roman"/>
          <w:b/>
          <w:bCs/>
        </w:rPr>
        <w:t>As produções acad</w:t>
      </w:r>
      <w:r>
        <w:rPr>
          <w:rFonts w:ascii="Times New Roman" w:hAnsi="Times New Roman" w:cs="Times New Roman"/>
          <w:b/>
          <w:bCs/>
          <w:lang w:val="pt-BR"/>
        </w:rPr>
        <w:t>ê</w:t>
      </w:r>
      <w:r>
        <w:rPr>
          <w:rFonts w:ascii="Times New Roman" w:hAnsi="Times New Roman" w:cs="Times New Roman"/>
          <w:b/>
          <w:bCs/>
        </w:rPr>
        <w:t>micas sobre autonomia universitária: temáticas, conceitos e teóricos</w:t>
      </w:r>
    </w:p>
    <w:p>
      <w:pPr>
        <w:jc w:val="center"/>
        <w:rPr>
          <w:rFonts w:ascii="Times New Roman" w:hAnsi="Times New Roman" w:cs="Times New Roman"/>
        </w:rPr>
      </w:pPr>
    </w:p>
    <w:p>
      <w:pPr>
        <w:spacing w:after="0" w:line="240" w:lineRule="auto"/>
        <w:jc w:val="right"/>
        <w:rPr>
          <w:rFonts w:ascii="Times New Roman" w:hAnsi="Times New Roman" w:cs="Times New Roman"/>
        </w:rPr>
      </w:pPr>
      <w:r>
        <w:rPr>
          <w:rFonts w:ascii="Times New Roman" w:hAnsi="Times New Roman" w:cs="Times New Roman"/>
          <w:lang w:val="pt-PT"/>
        </w:rPr>
        <w:t>Pôrto, Juvelina Freitas</w:t>
      </w:r>
    </w:p>
    <w:p>
      <w:pPr>
        <w:wordWrap w:val="0"/>
        <w:spacing w:after="0" w:line="240" w:lineRule="auto"/>
        <w:jc w:val="right"/>
        <w:rPr>
          <w:rFonts w:ascii="Times New Roman" w:hAnsi="Times New Roman" w:cs="Times New Roman"/>
          <w:lang w:val="pt-PT"/>
        </w:rPr>
      </w:pPr>
      <w:r>
        <w:rPr>
          <w:rFonts w:ascii="Times New Roman" w:hAnsi="Times New Roman" w:cs="Times New Roman"/>
          <w:lang w:val="pt-PT"/>
        </w:rPr>
        <w:t>Universidade Federal de Santa Maria</w:t>
      </w:r>
    </w:p>
    <w:p>
      <w:pPr>
        <w:spacing w:after="0" w:line="240" w:lineRule="auto"/>
        <w:jc w:val="right"/>
        <w:rPr>
          <w:rFonts w:ascii="Times New Roman" w:hAnsi="Times New Roman" w:cs="Times New Roman"/>
          <w:lang w:val="pt-PT"/>
        </w:rPr>
      </w:pPr>
      <w:r>
        <w:rPr>
          <w:rFonts w:ascii="Times New Roman" w:hAnsi="Times New Roman" w:cs="Times New Roman"/>
          <w:lang w:val="pt-PT"/>
        </w:rPr>
        <w:t>juvelina.porto@ufsm.br</w:t>
      </w:r>
    </w:p>
    <w:p>
      <w:pPr>
        <w:rPr>
          <w:rFonts w:ascii="Times New Roman" w:hAnsi="Times New Roman" w:cs="Times New Roman"/>
        </w:rPr>
      </w:pPr>
    </w:p>
    <w:p>
      <w:pPr>
        <w:spacing w:after="0" w:line="240" w:lineRule="auto"/>
        <w:jc w:val="right"/>
        <w:rPr>
          <w:rFonts w:ascii="Times New Roman" w:hAnsi="Times New Roman" w:cs="Times New Roman"/>
          <w:color w:val="auto"/>
        </w:rPr>
      </w:pPr>
      <w:r>
        <w:rPr>
          <w:rFonts w:ascii="Times New Roman" w:hAnsi="Times New Roman" w:cs="Times New Roman"/>
          <w:color w:val="auto"/>
          <w:lang w:val="pt-BR"/>
        </w:rPr>
        <w:t>Dalla Corte, Marilene Gabriel</w:t>
      </w:r>
      <w:r>
        <w:rPr>
          <w:rFonts w:ascii="Times New Roman" w:hAnsi="Times New Roman" w:cs="Times New Roman"/>
          <w:color w:val="auto"/>
        </w:rPr>
        <w:t xml:space="preserve"> </w:t>
      </w:r>
    </w:p>
    <w:p>
      <w:pPr>
        <w:wordWrap w:val="0"/>
        <w:spacing w:after="0" w:line="240" w:lineRule="auto"/>
        <w:jc w:val="right"/>
        <w:rPr>
          <w:rFonts w:ascii="Times New Roman" w:hAnsi="Times New Roman" w:cs="Times New Roman"/>
          <w:color w:val="auto"/>
        </w:rPr>
      </w:pPr>
      <w:r>
        <w:rPr>
          <w:rFonts w:ascii="Times New Roman" w:hAnsi="Times New Roman" w:cs="Times New Roman"/>
          <w:color w:val="auto"/>
          <w:lang w:val="pt-PT"/>
        </w:rPr>
        <w:t>Universidade Federal de Santa Maria</w:t>
      </w:r>
    </w:p>
    <w:p>
      <w:pPr>
        <w:spacing w:after="0" w:line="240" w:lineRule="auto"/>
        <w:jc w:val="right"/>
        <w:rPr>
          <w:rFonts w:ascii="Times New Roman" w:hAnsi="Times New Roman" w:cs="Times New Roman"/>
        </w:rPr>
      </w:pPr>
      <w:r>
        <w:rPr>
          <w:color w:val="auto"/>
        </w:rPr>
        <w:fldChar w:fldCharType="begin"/>
      </w:r>
      <w:r>
        <w:rPr>
          <w:color w:val="auto"/>
        </w:rPr>
        <w:instrText xml:space="preserve"> HYPERLINK "mailto:marilenedallacorte@gmail.com" </w:instrText>
      </w:r>
      <w:r>
        <w:rPr>
          <w:color w:val="auto"/>
        </w:rPr>
        <w:fldChar w:fldCharType="separate"/>
      </w:r>
      <w:r>
        <w:rPr>
          <w:rStyle w:val="14"/>
          <w:rFonts w:ascii="Times New Roman" w:hAnsi="Times New Roman" w:cs="Times New Roman"/>
          <w:color w:val="auto"/>
          <w:u w:val="none"/>
          <w:lang w:val="pt-BR"/>
        </w:rPr>
        <w:t>marilenedallacorte@gmail.com</w:t>
      </w:r>
      <w:r>
        <w:rPr>
          <w:rStyle w:val="14"/>
          <w:rFonts w:ascii="Times New Roman" w:hAnsi="Times New Roman" w:cs="Times New Roman"/>
          <w:color w:val="auto"/>
          <w:u w:val="none"/>
          <w:lang w:val="pt-BR"/>
        </w:rPr>
        <w:fldChar w:fldCharType="end"/>
      </w:r>
    </w:p>
    <w:p>
      <w:pPr>
        <w:spacing w:after="0" w:line="240" w:lineRule="auto"/>
        <w:jc w:val="right"/>
        <w:rPr>
          <w:rFonts w:ascii="Times New Roman" w:hAnsi="Times New Roman" w:cs="Times New Roman"/>
        </w:rPr>
      </w:pPr>
    </w:p>
    <w:p>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p>
    <w:p>
      <w:pPr>
        <w:spacing w:after="0" w:line="240" w:lineRule="auto"/>
        <w:jc w:val="right"/>
        <w:rPr>
          <w:rFonts w:ascii="Times New Roman" w:hAnsi="Times New Roman" w:cs="Times New Roman"/>
        </w:rPr>
      </w:pPr>
    </w:p>
    <w:p>
      <w:pPr>
        <w:spacing w:line="240" w:lineRule="auto"/>
        <w:jc w:val="both"/>
        <w:rPr>
          <w:rFonts w:ascii="Times New Roman" w:hAnsi="Times New Roman" w:cs="Times New Roman"/>
          <w:b/>
          <w:bCs/>
        </w:rPr>
      </w:pPr>
      <w:r>
        <w:rPr>
          <w:rFonts w:ascii="Times New Roman" w:hAnsi="Times New Roman" w:cs="Times New Roman"/>
          <w:b/>
          <w:bCs/>
          <w:lang w:val="en-US"/>
        </w:rPr>
        <w:t>Resum</w:t>
      </w:r>
      <w:r>
        <w:rPr>
          <w:rFonts w:ascii="Times New Roman" w:hAnsi="Times New Roman" w:cs="Times New Roman"/>
          <w:b/>
          <w:bCs/>
          <w:lang w:val="pt-PT"/>
        </w:rPr>
        <w:t>o</w:t>
      </w:r>
      <w:r>
        <w:rPr>
          <w:rFonts w:ascii="Times New Roman" w:hAnsi="Times New Roman" w:cs="Times New Roman"/>
          <w:b/>
          <w:bCs/>
          <w:lang w:val="en-US"/>
        </w:rPr>
        <w:t xml:space="preserve">: </w:t>
      </w:r>
      <w:r>
        <w:rPr>
          <w:rFonts w:hint="default" w:ascii="Times New Roman" w:hAnsi="Times New Roman" w:cs="Times New Roman"/>
          <w:lang w:val="en-US"/>
        </w:rPr>
        <w:t xml:space="preserve">Esta pesquisa está contida na base fundamental do estudo de doutoramento em educação - em andamento, sobre Gestão Democrática nos Conselhos Superiores de Instituições Públicas de Ensino Superior, temática que integra o escopo do Grupo de Estudos e Pesquisas em Políticas Públicas e Gestão Educacional - Gestar/CNPq/UFSM. É um estudo de natureza qualitativa, e caráter exploratório, realizado na Biblioteca Digital de Teses e Dissertações (BDTD), por meio da pesquisa do </w:t>
      </w:r>
      <w:r>
        <w:rPr>
          <w:rFonts w:hint="default" w:ascii="Times New Roman" w:hAnsi="Times New Roman" w:cs="Times New Roman"/>
          <w:lang w:val="pt-PT"/>
        </w:rPr>
        <w:t>E</w:t>
      </w:r>
      <w:r>
        <w:rPr>
          <w:rFonts w:hint="default" w:ascii="Times New Roman" w:hAnsi="Times New Roman" w:cs="Times New Roman"/>
          <w:lang w:val="en-US"/>
        </w:rPr>
        <w:t xml:space="preserve">stado do </w:t>
      </w:r>
      <w:r>
        <w:rPr>
          <w:rFonts w:hint="default" w:ascii="Times New Roman" w:hAnsi="Times New Roman" w:cs="Times New Roman"/>
          <w:lang w:val="pt-PT"/>
        </w:rPr>
        <w:t>C</w:t>
      </w:r>
      <w:r>
        <w:rPr>
          <w:rFonts w:hint="default" w:ascii="Times New Roman" w:hAnsi="Times New Roman" w:cs="Times New Roman"/>
          <w:lang w:val="en-US"/>
        </w:rPr>
        <w:t>onhecimeto nas produções acadêmicas sobre a temática (Morosini,</w:t>
      </w:r>
      <w:r>
        <w:rPr>
          <w:rFonts w:hint="default" w:ascii="Times New Roman" w:hAnsi="Times New Roman" w:cs="Times New Roman"/>
          <w:lang w:val="pt-PT"/>
        </w:rPr>
        <w:t xml:space="preserve"> et al.,</w:t>
      </w:r>
      <w:r>
        <w:rPr>
          <w:rFonts w:hint="default" w:ascii="Times New Roman" w:hAnsi="Times New Roman" w:cs="Times New Roman"/>
          <w:lang w:val="en-US"/>
        </w:rPr>
        <w:t xml:space="preserve"> 2021) e análise de dados foi ancorada na Análise de Conteúdo (Bardin, 2011). Tem por objetivo principal analisar as temáticas e referenciais sobre autonomia universitária nas produções acadêmicas das Instituições de Ensino Superior do Brasil, disponíveis na BDTD através do tempo. A pesquisa foi desenvolvida, devido a necessidade de olhar para autonomia universitária, pois a própria Constituição Federal brasileira de 1988 afirma, em seu Artigo 207, que as universidades, possuem este direito político. Inicialmente o estudo mapeou as produções de forma geral, observando o foco das discussões, os conceitos e teóricos utilizados. Após foi realizada uma análise mais aprofundada nas produções referentes a instituições públicas de ensino superior do Brasil. Os resultados apontaram ser este um assunto relativamente novo, sendo o primeiro estudo registr</w:t>
      </w:r>
      <w:r>
        <w:rPr>
          <w:rFonts w:hint="default" w:ascii="Times New Roman" w:hAnsi="Times New Roman" w:cs="Times New Roman"/>
          <w:lang w:val="pt-PT"/>
        </w:rPr>
        <w:t>a</w:t>
      </w:r>
      <w:r>
        <w:rPr>
          <w:rFonts w:hint="default" w:ascii="Times New Roman" w:hAnsi="Times New Roman" w:cs="Times New Roman"/>
          <w:lang w:val="en-US"/>
        </w:rPr>
        <w:t>do na BDTD em 1996, porém vem apresentando um crescimento nas produções no decorrer do tempo. As temáticas de discussões se apresentam variadas, desde a própria conceituação de “autonomia universitária” até estudos específicos sobre organização da autonomia em uma determinada instituição. Os conceitos e teóricos da mesma forma, englobando desde uma abordagem mais pontual e política da autonomia até uma abordagem mais capitalista,  em que a autonomia é adotada como impulsionadora do neoliberalismo. Após análise, encontramos oito temáticas que se destacam, sendo que algumas produções apresentavam mais de uma no mesmo contexto de discussão, demonstrando um debate complexo. Dentre essas, destacamos as três temáticas mais recorrentes nos achados: atores, administrativa e financeira; sendo que majoritariamente estes estudos perpassam por influências e limites dessas temáticas entre elas e sobre a própria autonomia. Diante do exposto, conclui-se que as produções apresentam a preocupação da comunidade acadêmica aos contextos sociais e políticos contemporâneos, buscando formas de utilizar de sua autonomia para colaborar com o desenvolvimento em geral, porém demonstram que a autonomia, direito constitucional, não é unanimidade conceitual, tampouco uma realidade no país. A supremacia da temática relacionada aos atores é ponto crucial nesta análise, demonstrando que mais do que direito constitucional, a autonomia depende dos movimentos e direcionamentos dados pelos atores envolvidos no exercício da mesma.</w:t>
      </w:r>
    </w:p>
    <w:p>
      <w:pPr>
        <w:spacing w:line="240" w:lineRule="auto"/>
        <w:jc w:val="both"/>
        <w:rPr>
          <w:rFonts w:ascii="Times New Roman" w:hAnsi="Times New Roman" w:cs="Times New Roman"/>
          <w:lang w:val="pt-BR"/>
        </w:rPr>
      </w:pPr>
      <w:r>
        <w:rPr>
          <w:rFonts w:ascii="Times New Roman" w:hAnsi="Times New Roman" w:cs="Times New Roman"/>
          <w:b/>
          <w:bCs/>
        </w:rPr>
        <w:t>Pala</w:t>
      </w:r>
      <w:r>
        <w:rPr>
          <w:rFonts w:ascii="Times New Roman" w:hAnsi="Times New Roman" w:cs="Times New Roman"/>
          <w:b/>
          <w:bCs/>
          <w:lang w:val="pt-PT"/>
        </w:rPr>
        <w:t>v</w:t>
      </w:r>
      <w:r>
        <w:rPr>
          <w:rFonts w:ascii="Times New Roman" w:hAnsi="Times New Roman" w:cs="Times New Roman"/>
          <w:b/>
          <w:bCs/>
        </w:rPr>
        <w:t>ras c</w:t>
      </w:r>
      <w:r>
        <w:rPr>
          <w:rFonts w:ascii="Times New Roman" w:hAnsi="Times New Roman" w:cs="Times New Roman"/>
          <w:b/>
          <w:bCs/>
          <w:lang w:val="pt-PT"/>
        </w:rPr>
        <w:t>h</w:t>
      </w:r>
      <w:r>
        <w:rPr>
          <w:rFonts w:ascii="Times New Roman" w:hAnsi="Times New Roman" w:cs="Times New Roman"/>
          <w:b/>
          <w:bCs/>
        </w:rPr>
        <w:t xml:space="preserve">ave: </w:t>
      </w:r>
      <w:r>
        <w:rPr>
          <w:rFonts w:ascii="Times New Roman" w:hAnsi="Times New Roman" w:cs="Times New Roman"/>
          <w:lang w:val="pt-PT"/>
        </w:rPr>
        <w:t>Educação superior, Autonomia universitária, Estado do conhecimento, Produções acadêmicas.</w:t>
      </w:r>
      <w:r>
        <w:rPr>
          <w:rFonts w:ascii="Times New Roman" w:hAnsi="Times New Roman" w:cs="Times New Roman"/>
        </w:rPr>
        <w:t xml:space="preserve"> </w:t>
      </w:r>
    </w:p>
    <w:p>
      <w:pPr>
        <w:spacing w:line="240" w:lineRule="auto"/>
        <w:jc w:val="both"/>
        <w:rPr>
          <w:rFonts w:ascii="Times New Roman" w:hAnsi="Times New Roman" w:cs="Times New Roman"/>
          <w:b/>
          <w:bCs/>
          <w:lang w:val="pt-BR"/>
        </w:rPr>
      </w:pPr>
    </w:p>
    <w:p>
      <w:pPr>
        <w:spacing w:line="240" w:lineRule="auto"/>
        <w:rPr>
          <w:rFonts w:ascii="Times New Roman" w:hAnsi="Times New Roman" w:cs="Times New Roman"/>
          <w:b/>
          <w:bCs/>
          <w:lang w:val="pt-PT"/>
        </w:rPr>
      </w:pPr>
      <w:r>
        <w:rPr>
          <w:rFonts w:ascii="Times New Roman" w:hAnsi="Times New Roman" w:cs="Times New Roman"/>
          <w:b/>
          <w:bCs/>
        </w:rPr>
        <w:t>Introdu</w:t>
      </w:r>
      <w:r>
        <w:rPr>
          <w:rFonts w:ascii="Times New Roman" w:hAnsi="Times New Roman" w:cs="Times New Roman"/>
          <w:b/>
          <w:bCs/>
          <w:lang w:val="pt-PT"/>
        </w:rPr>
        <w:t>ção</w:t>
      </w:r>
    </w:p>
    <w:p>
      <w:pPr>
        <w:spacing w:line="240" w:lineRule="auto"/>
        <w:ind w:firstLine="700"/>
        <w:jc w:val="both"/>
        <w:rPr>
          <w:rFonts w:ascii="Times New Roman" w:hAnsi="Times New Roman" w:cs="Times New Roman"/>
        </w:rPr>
      </w:pPr>
      <w:r>
        <w:rPr>
          <w:rFonts w:ascii="Times New Roman" w:hAnsi="Times New Roman" w:cs="Times New Roman"/>
        </w:rPr>
        <w:t>A temática autonomia, assim como o conceito de democracia, é hoje uma constância em discussões em diversos contextos. Fala-se em autonomia e liberdade, em poder e democracia, autonomia democrática, entre outr</w:t>
      </w:r>
      <w:r>
        <w:rPr>
          <w:rFonts w:ascii="Times New Roman" w:hAnsi="Times New Roman" w:cs="Times New Roman"/>
          <w:lang w:val="pt-BR"/>
        </w:rPr>
        <w:t>a</w:t>
      </w:r>
      <w:r>
        <w:rPr>
          <w:rFonts w:ascii="Times New Roman" w:hAnsi="Times New Roman" w:cs="Times New Roman"/>
        </w:rPr>
        <w:t>s</w:t>
      </w:r>
      <w:r>
        <w:rPr>
          <w:rFonts w:ascii="Times New Roman" w:hAnsi="Times New Roman" w:cs="Times New Roman"/>
          <w:lang w:val="pt-BR"/>
        </w:rPr>
        <w:t xml:space="preserve"> vertentes de abordagem</w:t>
      </w:r>
      <w:r>
        <w:rPr>
          <w:rFonts w:ascii="Times New Roman" w:hAnsi="Times New Roman" w:cs="Times New Roman"/>
        </w:rPr>
        <w:t>. E as universidades não ficam de fora</w:t>
      </w:r>
      <w:r>
        <w:rPr>
          <w:rFonts w:ascii="Times New Roman" w:hAnsi="Times New Roman" w:cs="Times New Roman"/>
          <w:lang w:val="pt-BR"/>
        </w:rPr>
        <w:t>.</w:t>
      </w:r>
      <w:r>
        <w:rPr>
          <w:rFonts w:ascii="Times New Roman" w:hAnsi="Times New Roman" w:cs="Times New Roman"/>
        </w:rPr>
        <w:t xml:space="preserve"> </w:t>
      </w:r>
      <w:r>
        <w:rPr>
          <w:rFonts w:ascii="Times New Roman" w:hAnsi="Times New Roman" w:cs="Times New Roman"/>
          <w:lang w:val="pt-BR"/>
        </w:rPr>
        <w:t>M</w:t>
      </w:r>
      <w:r>
        <w:rPr>
          <w:rFonts w:ascii="Times New Roman" w:hAnsi="Times New Roman" w:cs="Times New Roman"/>
        </w:rPr>
        <w:t>as o que é autonomia e qual é a autonomia universitária?</w:t>
      </w:r>
    </w:p>
    <w:p>
      <w:pPr>
        <w:spacing w:line="240" w:lineRule="auto"/>
        <w:ind w:firstLine="697"/>
        <w:jc w:val="both"/>
        <w:rPr>
          <w:rFonts w:ascii="Times New Roman" w:hAnsi="Times New Roman" w:cs="Times New Roman"/>
        </w:rPr>
      </w:pPr>
      <w:r>
        <w:rPr>
          <w:rFonts w:ascii="Times New Roman" w:hAnsi="Times New Roman" w:cs="Times New Roman"/>
          <w:lang w:val="pt-PT"/>
        </w:rPr>
        <w:t>S</w:t>
      </w:r>
      <w:r>
        <w:rPr>
          <w:rFonts w:ascii="Times New Roman" w:hAnsi="Times New Roman" w:cs="Times New Roman"/>
        </w:rPr>
        <w:t>egundo o Dicionário Aurélio</w:t>
      </w:r>
      <w:r>
        <w:rPr>
          <w:rFonts w:ascii="Times New Roman" w:hAnsi="Times New Roman" w:cs="Times New Roman"/>
          <w:lang w:val="pt-PT"/>
        </w:rPr>
        <w:t>, a</w:t>
      </w:r>
      <w:r>
        <w:rPr>
          <w:rFonts w:ascii="Times New Roman" w:hAnsi="Times New Roman" w:cs="Times New Roman"/>
        </w:rPr>
        <w:t xml:space="preserve"> definição da expressão “autonomia” é diversa:</w:t>
      </w:r>
    </w:p>
    <w:p>
      <w:pPr>
        <w:spacing w:line="240" w:lineRule="auto"/>
        <w:ind w:left="708" w:hanging="8"/>
        <w:jc w:val="both"/>
        <w:rPr>
          <w:rFonts w:ascii="Times New Roman" w:hAnsi="Times New Roman" w:cs="Times New Roman"/>
        </w:rPr>
      </w:pPr>
      <w:r>
        <w:rPr>
          <w:rFonts w:ascii="Times New Roman" w:hAnsi="Times New Roman" w:cs="Times New Roman"/>
        </w:rPr>
        <w:t>Competência para gerir sua própria vida, fazendo uso de seus próprios meios, vontades ou princípios.</w:t>
      </w:r>
    </w:p>
    <w:p>
      <w:pPr>
        <w:spacing w:line="240" w:lineRule="auto"/>
        <w:ind w:left="697" w:firstLine="723"/>
        <w:jc w:val="both"/>
        <w:rPr>
          <w:rFonts w:ascii="Times New Roman" w:hAnsi="Times New Roman" w:cs="Times New Roman"/>
        </w:rPr>
      </w:pPr>
      <w:r>
        <w:rPr>
          <w:rFonts w:ascii="Times New Roman" w:hAnsi="Times New Roman" w:cs="Times New Roman"/>
        </w:rPr>
        <w:t xml:space="preserve">Direito ao livre-arbítrio, à tomada de decisões por vontade própria, que faz com que alguém esteja apto para tomar suas próprias decisões de maneira consciente; independência, liberdade. </w:t>
      </w:r>
    </w:p>
    <w:p>
      <w:pPr>
        <w:spacing w:line="240" w:lineRule="auto"/>
        <w:ind w:left="697" w:firstLine="723"/>
        <w:jc w:val="both"/>
        <w:rPr>
          <w:rFonts w:ascii="Times New Roman" w:hAnsi="Times New Roman" w:cs="Times New Roman"/>
        </w:rPr>
      </w:pPr>
      <w:r>
        <w:rPr>
          <w:rFonts w:ascii="Times New Roman" w:hAnsi="Times New Roman" w:cs="Times New Roman"/>
        </w:rPr>
        <w:t>[Política] Direito dado a uma nação de se governar de acordo com seus próprios regimentos ou leis; autarquia.</w:t>
      </w:r>
    </w:p>
    <w:p>
      <w:pPr>
        <w:spacing w:line="240" w:lineRule="auto"/>
        <w:ind w:left="697" w:firstLine="723"/>
        <w:jc w:val="both"/>
        <w:rPr>
          <w:rFonts w:ascii="Times New Roman" w:hAnsi="Times New Roman" w:cs="Times New Roman"/>
        </w:rPr>
      </w:pPr>
      <w:r>
        <w:rPr>
          <w:rFonts w:ascii="Times New Roman" w:hAnsi="Times New Roman" w:cs="Times New Roman"/>
        </w:rPr>
        <w:t>[Mecânica] Para um veículo movido a motor (navio, avião, automóvel etc.), distância percorrida com o consumo total do combustível a bordo.</w:t>
      </w:r>
    </w:p>
    <w:p>
      <w:pPr>
        <w:spacing w:line="240" w:lineRule="auto"/>
        <w:ind w:left="697" w:firstLine="723"/>
        <w:jc w:val="both"/>
        <w:rPr>
          <w:rFonts w:ascii="Times New Roman" w:hAnsi="Times New Roman" w:cs="Times New Roman"/>
        </w:rPr>
      </w:pPr>
      <w:r>
        <w:rPr>
          <w:rFonts w:ascii="Times New Roman" w:hAnsi="Times New Roman" w:cs="Times New Roman"/>
        </w:rPr>
        <w:t>[Filosofia] Para Kant, faculdade do ser humano de se autogovernar de acordo com seus padrões de conduta moral sem que haja influência de outros aspectos exteriores (sentimentos, repressões etc.).</w:t>
      </w:r>
      <w:r>
        <w:rPr>
          <w:rFonts w:ascii="Times New Roman" w:hAnsi="Times New Roman" w:cs="Times New Roman"/>
          <w:lang w:val="pt-PT"/>
        </w:rPr>
        <w:t xml:space="preserve"> </w:t>
      </w:r>
      <w:r>
        <w:rPr>
          <w:rFonts w:ascii="Times New Roman" w:hAnsi="Times New Roman" w:cs="Times New Roman"/>
        </w:rPr>
        <w:t>(</w:t>
      </w:r>
      <w:r>
        <w:rPr>
          <w:rFonts w:ascii="Times New Roman" w:hAnsi="Times New Roman" w:cs="Times New Roman"/>
          <w:lang w:val="pt-PT"/>
        </w:rPr>
        <w:t>Dicio, n.d.</w:t>
      </w:r>
      <w:r>
        <w:rPr>
          <w:rFonts w:ascii="Times New Roman" w:hAnsi="Times New Roman" w:cs="Times New Roman"/>
        </w:rPr>
        <w:t>)</w:t>
      </w:r>
    </w:p>
    <w:p>
      <w:pPr>
        <w:spacing w:line="240" w:lineRule="auto"/>
        <w:ind w:firstLine="700"/>
        <w:jc w:val="both"/>
        <w:rPr>
          <w:rFonts w:ascii="Times New Roman" w:hAnsi="Times New Roman" w:cs="Times New Roman"/>
        </w:rPr>
      </w:pPr>
      <w:r>
        <w:rPr>
          <w:rFonts w:ascii="Times New Roman" w:hAnsi="Times New Roman" w:cs="Times New Roman"/>
        </w:rPr>
        <w:t>Mas o que talvez seja mais relevante para nosso estudo é a etimologia da palavra “A palavra autonomia deriva do grego "autonomía", pelo francês "autonomie", com o sentido de ter o direito de se guiar seguindo as suas próprias leis” (</w:t>
      </w:r>
      <w:r>
        <w:rPr>
          <w:rFonts w:ascii="Times New Roman" w:hAnsi="Times New Roman" w:cs="Times New Roman"/>
          <w:lang w:val="pt-PT"/>
        </w:rPr>
        <w:t>Dicio, n.d.</w:t>
      </w:r>
      <w:r>
        <w:rPr>
          <w:rFonts w:ascii="Times New Roman" w:hAnsi="Times New Roman" w:cs="Times New Roman"/>
        </w:rPr>
        <w:t>). Neste sentido, as definições descritas podem ser reorganizadas para explicar a autonomia universitária, tendo em vista que a mesma não é um ser humano, mas composta por eles, não é uma nação, mas é uma organização tão complexa quanto e</w:t>
      </w:r>
      <w:r>
        <w:rPr>
          <w:rFonts w:ascii="Times New Roman" w:hAnsi="Times New Roman" w:cs="Times New Roman"/>
          <w:lang w:val="pt-BR"/>
        </w:rPr>
        <w:t>,</w:t>
      </w:r>
      <w:r>
        <w:rPr>
          <w:rFonts w:ascii="Times New Roman" w:hAnsi="Times New Roman" w:cs="Times New Roman"/>
        </w:rPr>
        <w:t xml:space="preserve"> por fim</w:t>
      </w:r>
      <w:r>
        <w:rPr>
          <w:rFonts w:ascii="Times New Roman" w:hAnsi="Times New Roman" w:cs="Times New Roman"/>
          <w:lang w:val="pt-BR"/>
        </w:rPr>
        <w:t>,</w:t>
      </w:r>
      <w:r>
        <w:rPr>
          <w:rFonts w:ascii="Times New Roman" w:hAnsi="Times New Roman" w:cs="Times New Roman"/>
        </w:rPr>
        <w:t xml:space="preserve"> te</w:t>
      </w:r>
      <w:r>
        <w:rPr>
          <w:rFonts w:ascii="Times New Roman" w:hAnsi="Times New Roman" w:cs="Times New Roman"/>
          <w:lang w:val="pt-PT"/>
        </w:rPr>
        <w:t>m</w:t>
      </w:r>
      <w:r>
        <w:rPr>
          <w:rFonts w:ascii="Times New Roman" w:hAnsi="Times New Roman" w:cs="Times New Roman"/>
        </w:rPr>
        <w:t xml:space="preserve"> o direito à tomada de decisões com competência para gerir sua trajetória.</w:t>
      </w:r>
    </w:p>
    <w:p>
      <w:pPr>
        <w:spacing w:line="240" w:lineRule="auto"/>
        <w:ind w:firstLine="700"/>
        <w:jc w:val="both"/>
        <w:rPr>
          <w:rFonts w:ascii="Times New Roman" w:hAnsi="Times New Roman" w:cs="Times New Roman"/>
        </w:rPr>
      </w:pPr>
      <w:r>
        <w:rPr>
          <w:rFonts w:ascii="Times New Roman" w:hAnsi="Times New Roman" w:cs="Times New Roman"/>
        </w:rPr>
        <w:t>Nes</w:t>
      </w:r>
      <w:r>
        <w:rPr>
          <w:rFonts w:ascii="Times New Roman" w:hAnsi="Times New Roman" w:cs="Times New Roman"/>
          <w:lang w:val="pt-BR"/>
        </w:rPr>
        <w:t>s</w:t>
      </w:r>
      <w:r>
        <w:rPr>
          <w:rFonts w:ascii="Times New Roman" w:hAnsi="Times New Roman" w:cs="Times New Roman"/>
        </w:rPr>
        <w:t>e mesmo contexto a autonomia universitária, assim como qualquer outra autonomia</w:t>
      </w:r>
      <w:r>
        <w:rPr>
          <w:rFonts w:ascii="Times New Roman" w:hAnsi="Times New Roman" w:cs="Times New Roman"/>
          <w:lang w:val="pt-BR"/>
        </w:rPr>
        <w:t>,</w:t>
      </w:r>
      <w:r>
        <w:rPr>
          <w:rFonts w:ascii="Times New Roman" w:hAnsi="Times New Roman" w:cs="Times New Roman"/>
        </w:rPr>
        <w:t xml:space="preserve"> “[...] não signi</w:t>
      </w:r>
      <w:r>
        <w:rPr>
          <w:rFonts w:hint="default" w:ascii="Times New Roman" w:hAnsi="Times New Roman" w:cs="Times New Roman"/>
          <w:lang w:val="pt-PT"/>
        </w:rPr>
        <w:t>f</w:t>
      </w:r>
      <w:r>
        <w:rPr>
          <w:rFonts w:ascii="Times New Roman" w:hAnsi="Times New Roman" w:cs="Times New Roman"/>
        </w:rPr>
        <w:t xml:space="preserve">ica soberania e portanto não exclui formas de controle por parte do poder público” </w:t>
      </w:r>
      <w:r>
        <w:rPr>
          <w:rFonts w:ascii="Times New Roman" w:hAnsi="Times New Roman" w:cs="Times New Roman"/>
          <w:lang w:val="pt-PT"/>
        </w:rPr>
        <w:t>(</w:t>
      </w:r>
      <w:r>
        <w:rPr>
          <w:rFonts w:ascii="Times New Roman" w:hAnsi="Times New Roman" w:cs="Times New Roman"/>
        </w:rPr>
        <w:t>Durham</w:t>
      </w:r>
      <w:r>
        <w:rPr>
          <w:rFonts w:ascii="Times New Roman" w:hAnsi="Times New Roman" w:cs="Times New Roman"/>
          <w:lang w:val="pt-PT"/>
        </w:rPr>
        <w:t xml:space="preserve">, </w:t>
      </w:r>
      <w:r>
        <w:rPr>
          <w:rFonts w:ascii="Times New Roman" w:hAnsi="Times New Roman" w:cs="Times New Roman"/>
        </w:rPr>
        <w:t>200</w:t>
      </w:r>
      <w:r>
        <w:rPr>
          <w:rFonts w:ascii="Times New Roman" w:hAnsi="Times New Roman" w:cs="Times New Roman"/>
          <w:lang w:val="pt-PT"/>
        </w:rPr>
        <w:t>6</w:t>
      </w:r>
      <w:r>
        <w:rPr>
          <w:rFonts w:ascii="Times New Roman" w:hAnsi="Times New Roman" w:cs="Times New Roman"/>
        </w:rPr>
        <w:t>, p. 2)</w:t>
      </w:r>
      <w:r>
        <w:rPr>
          <w:rFonts w:ascii="Times New Roman" w:hAnsi="Times New Roman" w:cs="Times New Roman"/>
          <w:lang w:val="pt-PT"/>
        </w:rPr>
        <w:t>. Esta limitação/controle da autonomia</w:t>
      </w:r>
      <w:r>
        <w:rPr>
          <w:rFonts w:ascii="Times New Roman" w:hAnsi="Times New Roman" w:cs="Times New Roman"/>
        </w:rPr>
        <w:t xml:space="preserve"> foi desenvolvid</w:t>
      </w:r>
      <w:r>
        <w:rPr>
          <w:rFonts w:ascii="Times New Roman" w:hAnsi="Times New Roman" w:cs="Times New Roman"/>
          <w:lang w:val="pt-BR"/>
        </w:rPr>
        <w:t>a</w:t>
      </w:r>
      <w:r>
        <w:rPr>
          <w:rFonts w:ascii="Times New Roman" w:hAnsi="Times New Roman" w:cs="Times New Roman"/>
        </w:rPr>
        <w:t xml:space="preserve"> em pesquisa que apresenta a presença da autonomia universitária em marcos legais do Brasil. </w:t>
      </w:r>
    </w:p>
    <w:p>
      <w:pPr>
        <w:spacing w:line="240" w:lineRule="auto"/>
        <w:ind w:firstLine="700"/>
        <w:jc w:val="both"/>
        <w:rPr>
          <w:rFonts w:ascii="Times New Roman" w:hAnsi="Times New Roman" w:cs="Times New Roman"/>
        </w:rPr>
      </w:pPr>
      <w:r>
        <w:rPr>
          <w:rFonts w:hint="default" w:ascii="Times New Roman" w:hAnsi="Times New Roman" w:cs="Times New Roman"/>
          <w:lang w:val="pt-PT"/>
        </w:rPr>
        <w:t>A partir dessa</w:t>
      </w:r>
      <w:r>
        <w:rPr>
          <w:rFonts w:ascii="Times New Roman" w:hAnsi="Times New Roman" w:cs="Times New Roman"/>
          <w:lang w:val="pt-PT"/>
        </w:rPr>
        <w:t xml:space="preserve"> pesquisa,</w:t>
      </w:r>
      <w:r>
        <w:rPr>
          <w:rFonts w:ascii="Times New Roman" w:hAnsi="Times New Roman" w:cs="Times New Roman"/>
          <w:lang w:val="pt-BR"/>
        </w:rPr>
        <w:t xml:space="preserve"> </w:t>
      </w:r>
      <w:r>
        <w:rPr>
          <w:rFonts w:hint="default" w:ascii="Times New Roman" w:hAnsi="Times New Roman" w:cs="Times New Roman"/>
          <w:lang w:val="pt-PT"/>
        </w:rPr>
        <w:t>podemos concluir</w:t>
      </w:r>
      <w:r>
        <w:rPr>
          <w:rFonts w:ascii="Times New Roman" w:hAnsi="Times New Roman" w:cs="Times New Roman"/>
        </w:rPr>
        <w:t xml:space="preserve"> que a presença da autonomia universitária</w:t>
      </w:r>
      <w:r>
        <w:rPr>
          <w:rFonts w:ascii="Times New Roman" w:hAnsi="Times New Roman" w:cs="Times New Roman"/>
          <w:lang w:val="pt-PT"/>
        </w:rPr>
        <w:t>, nos textos normativos,</w:t>
      </w:r>
      <w:r>
        <w:rPr>
          <w:rFonts w:ascii="Times New Roman" w:hAnsi="Times New Roman" w:cs="Times New Roman"/>
        </w:rPr>
        <w:t xml:space="preserve"> vem evoluindo </w:t>
      </w:r>
      <w:r>
        <w:rPr>
          <w:rFonts w:hint="default" w:ascii="Times New Roman" w:hAnsi="Times New Roman" w:cs="Times New Roman"/>
          <w:lang w:val="pt-PT"/>
        </w:rPr>
        <w:t>ao longo</w:t>
      </w:r>
      <w:r>
        <w:rPr>
          <w:rFonts w:ascii="Times New Roman" w:hAnsi="Times New Roman" w:cs="Times New Roman"/>
        </w:rPr>
        <w:t xml:space="preserve"> do tempo</w:t>
      </w:r>
      <w:r>
        <w:rPr>
          <w:rFonts w:ascii="Times New Roman" w:hAnsi="Times New Roman" w:cs="Times New Roman"/>
          <w:lang w:val="pt-PT"/>
        </w:rPr>
        <w:t xml:space="preserve">. </w:t>
      </w:r>
      <w:r>
        <w:rPr>
          <w:rFonts w:hint="default" w:ascii="Times New Roman" w:hAnsi="Times New Roman" w:cs="Times New Roman"/>
          <w:lang w:val="pt-PT"/>
        </w:rPr>
        <w:t>P</w:t>
      </w:r>
      <w:r>
        <w:rPr>
          <w:rFonts w:ascii="Times New Roman" w:hAnsi="Times New Roman" w:cs="Times New Roman"/>
          <w:lang w:val="pt-PT"/>
        </w:rPr>
        <w:t>ara apresentar esta evolução, defini</w:t>
      </w:r>
      <w:r>
        <w:rPr>
          <w:rFonts w:hint="default" w:ascii="Times New Roman" w:hAnsi="Times New Roman" w:cs="Times New Roman"/>
          <w:lang w:val="pt-PT"/>
        </w:rPr>
        <w:t>mos</w:t>
      </w:r>
      <w:r>
        <w:rPr>
          <w:rFonts w:ascii="Times New Roman" w:hAnsi="Times New Roman" w:cs="Times New Roman"/>
          <w:lang w:val="pt-PT"/>
        </w:rPr>
        <w:t xml:space="preserve"> </w:t>
      </w:r>
      <w:r>
        <w:rPr>
          <w:rFonts w:ascii="Times New Roman" w:hAnsi="Times New Roman" w:cs="Times New Roman"/>
        </w:rPr>
        <w:t xml:space="preserve">dois momentos temporais: antes da </w:t>
      </w:r>
      <w:r>
        <w:rPr>
          <w:rFonts w:ascii="Times New Roman" w:hAnsi="Times New Roman" w:cs="Times New Roman"/>
          <w:lang w:val="pt-BR"/>
        </w:rPr>
        <w:t>C</w:t>
      </w:r>
      <w:r>
        <w:rPr>
          <w:rFonts w:ascii="Times New Roman" w:hAnsi="Times New Roman" w:cs="Times New Roman"/>
        </w:rPr>
        <w:t xml:space="preserve">onstituição </w:t>
      </w:r>
      <w:r>
        <w:rPr>
          <w:rFonts w:ascii="Times New Roman" w:hAnsi="Times New Roman" w:cs="Times New Roman"/>
          <w:lang w:val="pt-BR"/>
        </w:rPr>
        <w:t>F</w:t>
      </w:r>
      <w:r>
        <w:rPr>
          <w:rFonts w:ascii="Times New Roman" w:hAnsi="Times New Roman" w:cs="Times New Roman"/>
        </w:rPr>
        <w:t>ederal de 1988 e depois da promulgação da</w:t>
      </w:r>
      <w:r>
        <w:rPr>
          <w:rFonts w:ascii="Times New Roman" w:hAnsi="Times New Roman" w:cs="Times New Roman"/>
          <w:lang w:val="pt-BR"/>
        </w:rPr>
        <w:t xml:space="preserve"> referida</w:t>
      </w:r>
      <w:r>
        <w:rPr>
          <w:rFonts w:ascii="Times New Roman" w:hAnsi="Times New Roman" w:cs="Times New Roman"/>
        </w:rPr>
        <w:t xml:space="preserve"> </w:t>
      </w:r>
      <w:r>
        <w:rPr>
          <w:rFonts w:ascii="Times New Roman" w:hAnsi="Times New Roman" w:cs="Times New Roman"/>
          <w:lang w:val="pt-BR"/>
        </w:rPr>
        <w:t>C</w:t>
      </w:r>
      <w:r>
        <w:rPr>
          <w:rFonts w:ascii="Times New Roman" w:hAnsi="Times New Roman" w:cs="Times New Roman"/>
        </w:rPr>
        <w:t xml:space="preserve">onstituição. </w:t>
      </w:r>
    </w:p>
    <w:p>
      <w:pPr>
        <w:spacing w:line="240" w:lineRule="auto"/>
        <w:ind w:firstLine="700"/>
        <w:jc w:val="both"/>
        <w:rPr>
          <w:rFonts w:hint="default" w:ascii="Times New Roman" w:hAnsi="Times New Roman" w:cs="Times New Roman"/>
          <w:lang w:val="pt-PT"/>
        </w:rPr>
      </w:pPr>
      <w:r>
        <w:rPr>
          <w:rFonts w:ascii="Times New Roman" w:hAnsi="Times New Roman" w:cs="Times New Roman"/>
          <w:lang w:val="pt-BR"/>
        </w:rPr>
        <w:t xml:space="preserve"> A </w:t>
      </w:r>
      <w:r>
        <w:rPr>
          <w:rFonts w:ascii="Times New Roman" w:hAnsi="Times New Roman" w:cs="Times New Roman"/>
        </w:rPr>
        <w:t>presença da autonomia nos textos legais “[...] demonstram uma evolução lenta, com alterações textuais pontuais, apresentando a preocupação de normatizar alguns pontos [...]” (Pôrto, J.</w:t>
      </w:r>
      <w:r>
        <w:rPr>
          <w:rFonts w:ascii="Times New Roman" w:hAnsi="Times New Roman" w:cs="Times New Roman"/>
          <w:lang w:val="pt-PT"/>
        </w:rPr>
        <w:t xml:space="preserve"> </w:t>
      </w:r>
      <w:r>
        <w:rPr>
          <w:rFonts w:ascii="Times New Roman" w:hAnsi="Times New Roman" w:cs="Times New Roman"/>
        </w:rPr>
        <w:t>F.</w:t>
      </w:r>
      <w:r>
        <w:rPr>
          <w:rFonts w:ascii="Times New Roman" w:hAnsi="Times New Roman" w:cs="Times New Roman"/>
          <w:lang w:val="pt-PT"/>
        </w:rPr>
        <w:t xml:space="preserve"> &amp;</w:t>
      </w:r>
      <w:r>
        <w:rPr>
          <w:rFonts w:ascii="Times New Roman" w:hAnsi="Times New Roman" w:cs="Times New Roman"/>
        </w:rPr>
        <w:t xml:space="preserve"> Dalla Corte, M.</w:t>
      </w:r>
      <w:r>
        <w:rPr>
          <w:rFonts w:ascii="Times New Roman" w:hAnsi="Times New Roman" w:cs="Times New Roman"/>
          <w:lang w:val="pt-PT"/>
        </w:rPr>
        <w:t xml:space="preserve"> </w:t>
      </w:r>
      <w:r>
        <w:rPr>
          <w:rFonts w:ascii="Times New Roman" w:hAnsi="Times New Roman" w:cs="Times New Roman"/>
        </w:rPr>
        <w:t>G. 2025, p.</w:t>
      </w:r>
      <w:r>
        <w:rPr>
          <w:rFonts w:ascii="Times New Roman" w:hAnsi="Times New Roman" w:cs="Times New Roman"/>
          <w:lang w:val="pt-BR"/>
        </w:rPr>
        <w:t xml:space="preserve"> </w:t>
      </w:r>
      <w:r>
        <w:rPr>
          <w:rFonts w:ascii="Times New Roman" w:hAnsi="Times New Roman" w:cs="Times New Roman"/>
        </w:rPr>
        <w:t>5). Pôrto</w:t>
      </w:r>
      <w:r>
        <w:rPr>
          <w:rFonts w:ascii="Times New Roman" w:hAnsi="Times New Roman" w:cs="Times New Roman"/>
          <w:lang w:val="pt-PT"/>
        </w:rPr>
        <w:t xml:space="preserve"> </w:t>
      </w:r>
      <w:r>
        <w:rPr>
          <w:rFonts w:hint="default" w:ascii="Times New Roman" w:hAnsi="Times New Roman" w:cs="Times New Roman"/>
          <w:lang w:val="pt-PT"/>
        </w:rPr>
        <w:t>e</w:t>
      </w:r>
      <w:r>
        <w:rPr>
          <w:rFonts w:ascii="Times New Roman" w:hAnsi="Times New Roman" w:cs="Times New Roman"/>
        </w:rPr>
        <w:t xml:space="preserve"> </w:t>
      </w:r>
      <w:r>
        <w:rPr>
          <w:rFonts w:ascii="Times New Roman" w:hAnsi="Times New Roman" w:cs="Times New Roman"/>
          <w:lang w:val="pt-BR"/>
        </w:rPr>
        <w:t xml:space="preserve"> </w:t>
      </w:r>
      <w:r>
        <w:rPr>
          <w:rFonts w:ascii="Times New Roman" w:hAnsi="Times New Roman" w:cs="Times New Roman"/>
        </w:rPr>
        <w:t xml:space="preserve">Dalla Corte </w:t>
      </w:r>
      <w:r>
        <w:rPr>
          <w:rFonts w:hint="default" w:ascii="Times New Roman" w:hAnsi="Times New Roman" w:cs="Times New Roman"/>
          <w:lang w:val="pt-PT"/>
        </w:rPr>
        <w:t>(</w:t>
      </w:r>
      <w:r>
        <w:rPr>
          <w:rFonts w:ascii="Times New Roman" w:hAnsi="Times New Roman" w:cs="Times New Roman"/>
        </w:rPr>
        <w:t>2025)</w:t>
      </w:r>
      <w:r>
        <w:rPr>
          <w:rFonts w:ascii="Times New Roman" w:hAnsi="Times New Roman" w:cs="Times New Roman"/>
          <w:lang w:val="pt-BR"/>
        </w:rPr>
        <w:t xml:space="preserve"> também demonstram um</w:t>
      </w:r>
      <w:r>
        <w:rPr>
          <w:rFonts w:ascii="Times New Roman" w:hAnsi="Times New Roman" w:cs="Times New Roman"/>
        </w:rPr>
        <w:t xml:space="preserve">a evolução através de um </w:t>
      </w:r>
      <w:r>
        <w:rPr>
          <w:rFonts w:ascii="Times New Roman" w:hAnsi="Times New Roman" w:cs="Times New Roman"/>
          <w:lang w:val="pt-PT"/>
        </w:rPr>
        <w:t>“</w:t>
      </w:r>
      <w:r>
        <w:rPr>
          <w:rFonts w:ascii="Times New Roman" w:hAnsi="Times New Roman" w:cs="Times New Roman"/>
        </w:rPr>
        <w:t>detalhamento</w:t>
      </w:r>
      <w:r>
        <w:rPr>
          <w:rFonts w:ascii="Times New Roman" w:hAnsi="Times New Roman" w:cs="Times New Roman"/>
          <w:lang w:val="pt-PT"/>
        </w:rPr>
        <w:t>”</w:t>
      </w:r>
      <w:r>
        <w:rPr>
          <w:rFonts w:ascii="Times New Roman" w:hAnsi="Times New Roman" w:cs="Times New Roman"/>
        </w:rPr>
        <w:t xml:space="preserve"> que o texto apresenta em relação </w:t>
      </w:r>
      <w:r>
        <w:rPr>
          <w:rFonts w:ascii="Times New Roman" w:hAnsi="Times New Roman" w:cs="Times New Roman"/>
          <w:lang w:val="pt-PT"/>
        </w:rPr>
        <w:t xml:space="preserve">a </w:t>
      </w:r>
      <w:r>
        <w:rPr>
          <w:rFonts w:ascii="Times New Roman" w:hAnsi="Times New Roman" w:cs="Times New Roman"/>
        </w:rPr>
        <w:t>autonomia, demonstrando a preocupação com demandas sociais</w:t>
      </w:r>
      <w:r>
        <w:rPr>
          <w:rFonts w:hint="default" w:ascii="Times New Roman" w:hAnsi="Times New Roman" w:cs="Times New Roman"/>
          <w:lang w:val="pt-PT"/>
        </w:rPr>
        <w:t>.</w:t>
      </w:r>
    </w:p>
    <w:p>
      <w:pPr>
        <w:spacing w:line="240" w:lineRule="auto"/>
        <w:ind w:firstLine="700"/>
        <w:jc w:val="both"/>
        <w:rPr>
          <w:rFonts w:ascii="Times New Roman" w:hAnsi="Times New Roman" w:cs="Times New Roman"/>
          <w:lang w:val="pt-PT"/>
        </w:rPr>
      </w:pPr>
      <w:r>
        <w:rPr>
          <w:rFonts w:ascii="Times New Roman" w:hAnsi="Times New Roman" w:cs="Times New Roman"/>
        </w:rPr>
        <w:t xml:space="preserve"> Diante a estas demandas este trabalho apresenta os achados da pesquisa sobre autonomia universitária </w:t>
      </w:r>
      <w:r>
        <w:rPr>
          <w:rFonts w:ascii="Times New Roman" w:hAnsi="Times New Roman" w:cs="Times New Roman"/>
          <w:lang w:val="pt-BR"/>
        </w:rPr>
        <w:t>em</w:t>
      </w:r>
      <w:r>
        <w:rPr>
          <w:rFonts w:ascii="Times New Roman" w:hAnsi="Times New Roman" w:cs="Times New Roman"/>
        </w:rPr>
        <w:t xml:space="preserve"> produções acadêmicas</w:t>
      </w:r>
      <w:r>
        <w:rPr>
          <w:rFonts w:ascii="Times New Roman" w:hAnsi="Times New Roman" w:cs="Times New Roman"/>
          <w:lang w:val="pt-PT"/>
        </w:rPr>
        <w:t>, procurando abordar o desenvolvimento da temática e seus desdobramentos.</w:t>
      </w:r>
    </w:p>
    <w:p>
      <w:pPr>
        <w:spacing w:line="240" w:lineRule="auto"/>
        <w:rPr>
          <w:rFonts w:ascii="Times New Roman" w:hAnsi="Times New Roman" w:cs="Times New Roman"/>
          <w:b/>
          <w:bCs/>
          <w:lang w:val="pt-BR"/>
        </w:rPr>
      </w:pPr>
    </w:p>
    <w:p>
      <w:pPr>
        <w:spacing w:line="240" w:lineRule="auto"/>
        <w:rPr>
          <w:rFonts w:ascii="Times New Roman" w:hAnsi="Times New Roman" w:cs="Times New Roman"/>
          <w:b/>
          <w:bCs/>
          <w:lang w:val="pt-PT"/>
        </w:rPr>
      </w:pPr>
      <w:r>
        <w:rPr>
          <w:rFonts w:ascii="Times New Roman" w:hAnsi="Times New Roman" w:cs="Times New Roman"/>
          <w:b/>
          <w:bCs/>
        </w:rPr>
        <w:t>Des</w:t>
      </w:r>
      <w:r>
        <w:rPr>
          <w:rFonts w:ascii="Times New Roman" w:hAnsi="Times New Roman" w:cs="Times New Roman"/>
          <w:b/>
          <w:bCs/>
          <w:lang w:val="pt-PT"/>
        </w:rPr>
        <w:t>envolvimento</w:t>
      </w:r>
    </w:p>
    <w:p>
      <w:pPr>
        <w:spacing w:line="240" w:lineRule="auto"/>
        <w:ind w:firstLine="700"/>
        <w:jc w:val="both"/>
        <w:rPr>
          <w:rFonts w:ascii="Times New Roman" w:hAnsi="Times New Roman" w:cs="Times New Roman"/>
        </w:rPr>
      </w:pPr>
      <w:r>
        <w:rPr>
          <w:rFonts w:ascii="Times New Roman" w:hAnsi="Times New Roman" w:cs="Times New Roman"/>
        </w:rPr>
        <w:t xml:space="preserve">Esta pesquisa </w:t>
      </w:r>
      <w:r>
        <w:rPr>
          <w:rFonts w:ascii="Times New Roman" w:hAnsi="Times New Roman" w:cs="Times New Roman"/>
          <w:lang w:val="pt-BR"/>
        </w:rPr>
        <w:t xml:space="preserve">do estado do conhecimento </w:t>
      </w:r>
      <w:r>
        <w:rPr>
          <w:rFonts w:ascii="Times New Roman" w:hAnsi="Times New Roman" w:cs="Times New Roman"/>
        </w:rPr>
        <w:t>de natureza qualitativa</w:t>
      </w:r>
      <w:r>
        <w:rPr>
          <w:rFonts w:ascii="Times New Roman" w:hAnsi="Times New Roman" w:cs="Times New Roman"/>
          <w:lang w:val="pt-BR"/>
        </w:rPr>
        <w:t>,</w:t>
      </w:r>
      <w:r>
        <w:rPr>
          <w:rFonts w:ascii="Times New Roman" w:hAnsi="Times New Roman" w:cs="Times New Roman"/>
        </w:rPr>
        <w:t xml:space="preserve"> foi realizada na Biblioteca Digital de Teses e Dissertações (BDTD) no período de 01/03/2026 a 13/03/2026 por meio da pesquisa </w:t>
      </w:r>
      <w:r>
        <w:rPr>
          <w:rFonts w:ascii="Times New Roman" w:hAnsi="Times New Roman" w:cs="Times New Roman"/>
          <w:lang w:val="pt-BR"/>
        </w:rPr>
        <w:t xml:space="preserve">exploratória </w:t>
      </w:r>
      <w:r>
        <w:rPr>
          <w:rFonts w:ascii="Times New Roman" w:hAnsi="Times New Roman" w:cs="Times New Roman"/>
        </w:rPr>
        <w:t>nas produções acadêmicas sobre a temática</w:t>
      </w:r>
      <w:r>
        <w:rPr>
          <w:rFonts w:ascii="Times New Roman" w:hAnsi="Times New Roman" w:cs="Times New Roman"/>
          <w:lang w:val="pt-BR"/>
        </w:rPr>
        <w:t xml:space="preserve"> (</w:t>
      </w:r>
      <w:r>
        <w:rPr>
          <w:rFonts w:ascii="Times New Roman" w:hAnsi="Times New Roman" w:cs="Times New Roman"/>
          <w:lang w:val="en-US"/>
        </w:rPr>
        <w:t>Morosini,</w:t>
      </w:r>
      <w:r>
        <w:rPr>
          <w:rFonts w:hint="default" w:ascii="Times New Roman" w:hAnsi="Times New Roman" w:cs="Times New Roman"/>
          <w:lang w:val="pt-PT"/>
        </w:rPr>
        <w:t xml:space="preserve"> et al.,</w:t>
      </w:r>
      <w:r>
        <w:rPr>
          <w:rFonts w:ascii="Times New Roman" w:hAnsi="Times New Roman" w:cs="Times New Roman"/>
          <w:lang w:val="en-US"/>
        </w:rPr>
        <w:t xml:space="preserve"> 2021)</w:t>
      </w:r>
      <w:r>
        <w:rPr>
          <w:rFonts w:ascii="Times New Roman" w:hAnsi="Times New Roman" w:cs="Times New Roman"/>
          <w:lang w:val="pt-BR"/>
        </w:rPr>
        <w:t xml:space="preserve"> </w:t>
      </w:r>
      <w:r>
        <w:rPr>
          <w:rFonts w:ascii="Times New Roman" w:hAnsi="Times New Roman" w:cs="Times New Roman"/>
        </w:rPr>
        <w:t>.</w:t>
      </w:r>
    </w:p>
    <w:p>
      <w:pPr>
        <w:spacing w:line="240" w:lineRule="auto"/>
        <w:ind w:firstLine="700"/>
        <w:jc w:val="both"/>
        <w:rPr>
          <w:rFonts w:ascii="Times New Roman" w:hAnsi="Times New Roman" w:cs="Times New Roman"/>
        </w:rPr>
      </w:pPr>
      <w:r>
        <w:rPr>
          <w:rFonts w:ascii="Times New Roman" w:hAnsi="Times New Roman" w:cs="Times New Roman"/>
        </w:rPr>
        <w:t>Na busca pelas produções acadêmicas foi utilizado o descritor autonomia universitária, primeiramente sem aspas e sem qualquer outro filtro, direcionando a busca</w:t>
      </w:r>
      <w:r>
        <w:rPr>
          <w:rFonts w:ascii="Times New Roman" w:hAnsi="Times New Roman" w:cs="Times New Roman"/>
          <w:lang w:val="pt-PT"/>
        </w:rPr>
        <w:t xml:space="preserve"> em</w:t>
      </w:r>
      <w:r>
        <w:rPr>
          <w:rFonts w:ascii="Times New Roman" w:hAnsi="Times New Roman" w:cs="Times New Roman"/>
        </w:rPr>
        <w:t xml:space="preserve"> “todos os campos”</w:t>
      </w:r>
      <w:r>
        <w:rPr>
          <w:rFonts w:ascii="Times New Roman" w:hAnsi="Times New Roman" w:cs="Times New Roman"/>
          <w:lang w:val="pt-PT"/>
        </w:rPr>
        <w:t xml:space="preserve"> </w:t>
      </w:r>
      <w:r>
        <w:rPr>
          <w:rFonts w:ascii="Times New Roman" w:hAnsi="Times New Roman" w:cs="Times New Roman"/>
        </w:rPr>
        <w:t>[A BDTD dispõe de seis possibilidades para direciona</w:t>
      </w:r>
      <w:r>
        <w:rPr>
          <w:rFonts w:ascii="Times New Roman" w:hAnsi="Times New Roman" w:cs="Times New Roman"/>
          <w:lang w:val="pt-BR"/>
        </w:rPr>
        <w:t>mento</w:t>
      </w:r>
      <w:r>
        <w:rPr>
          <w:rFonts w:ascii="Times New Roman" w:hAnsi="Times New Roman" w:cs="Times New Roman"/>
        </w:rPr>
        <w:t xml:space="preserve"> </w:t>
      </w:r>
      <w:r>
        <w:rPr>
          <w:rFonts w:ascii="Times New Roman" w:hAnsi="Times New Roman" w:cs="Times New Roman"/>
          <w:lang w:val="pt-BR"/>
        </w:rPr>
        <w:t>d</w:t>
      </w:r>
      <w:r>
        <w:rPr>
          <w:rFonts w:ascii="Times New Roman" w:hAnsi="Times New Roman" w:cs="Times New Roman"/>
        </w:rPr>
        <w:t>a pesquisa, sendo elas: Todos os campos, Título, Ano de publicação, Autor, Assunto e Resumo]</w:t>
      </w:r>
      <w:r>
        <w:rPr>
          <w:rFonts w:ascii="Times New Roman" w:hAnsi="Times New Roman" w:cs="Times New Roman"/>
          <w:lang w:val="pt-BR"/>
        </w:rPr>
        <w:t>,</w:t>
      </w:r>
      <w:r>
        <w:rPr>
          <w:rFonts w:ascii="Times New Roman" w:hAnsi="Times New Roman" w:cs="Times New Roman"/>
        </w:rPr>
        <w:t xml:space="preserve"> o que resultou em 17</w:t>
      </w:r>
      <w:r>
        <w:rPr>
          <w:rFonts w:ascii="Times New Roman" w:hAnsi="Times New Roman" w:cs="Times New Roman"/>
          <w:lang w:val="pt-PT"/>
        </w:rPr>
        <w:t>3</w:t>
      </w:r>
      <w:r>
        <w:rPr>
          <w:rFonts w:ascii="Times New Roman" w:hAnsi="Times New Roman" w:cs="Times New Roman"/>
        </w:rPr>
        <w:t xml:space="preserve"> produções sendo a primeira com data de 1978. </w:t>
      </w:r>
    </w:p>
    <w:p>
      <w:pPr>
        <w:spacing w:line="240" w:lineRule="auto"/>
        <w:ind w:firstLine="700"/>
        <w:jc w:val="both"/>
        <w:rPr>
          <w:rFonts w:ascii="Times New Roman" w:hAnsi="Times New Roman" w:cs="Times New Roman"/>
        </w:rPr>
      </w:pPr>
      <w:r>
        <w:rPr>
          <w:rFonts w:ascii="Times New Roman" w:hAnsi="Times New Roman" w:cs="Times New Roman"/>
        </w:rPr>
        <w:t>Este estudo de 1978, marco inicial da investigação, aborda sobre a autonomia da universidade no Brasil e nele já estão apontad</w:t>
      </w:r>
      <w:r>
        <w:rPr>
          <w:rFonts w:ascii="Times New Roman" w:hAnsi="Times New Roman" w:cs="Times New Roman"/>
          <w:lang w:val="pt-BR"/>
        </w:rPr>
        <w:t>a</w:t>
      </w:r>
      <w:r>
        <w:rPr>
          <w:rFonts w:ascii="Times New Roman" w:hAnsi="Times New Roman" w:cs="Times New Roman"/>
        </w:rPr>
        <w:t xml:space="preserve">s diversas discussões </w:t>
      </w:r>
      <w:r>
        <w:rPr>
          <w:rFonts w:ascii="Times New Roman" w:hAnsi="Times New Roman" w:cs="Times New Roman"/>
          <w:lang w:val="pt-BR"/>
        </w:rPr>
        <w:t>com relação</w:t>
      </w:r>
      <w:r>
        <w:rPr>
          <w:rFonts w:ascii="Times New Roman" w:hAnsi="Times New Roman" w:cs="Times New Roman"/>
        </w:rPr>
        <w:t xml:space="preserve"> </w:t>
      </w:r>
      <w:r>
        <w:rPr>
          <w:rFonts w:ascii="Times New Roman" w:hAnsi="Times New Roman" w:cs="Times New Roman"/>
          <w:lang w:val="pt-BR"/>
        </w:rPr>
        <w:t>à</w:t>
      </w:r>
      <w:r>
        <w:rPr>
          <w:rFonts w:ascii="Times New Roman" w:hAnsi="Times New Roman" w:cs="Times New Roman"/>
        </w:rPr>
        <w:t xml:space="preserve"> autonomia. O autor, cita Durmeval Mendes Trigueiro</w:t>
      </w:r>
      <w:r>
        <w:rPr>
          <w:rFonts w:ascii="Times New Roman" w:hAnsi="Times New Roman" w:cs="Times New Roman"/>
          <w:lang w:val="pt-PT"/>
        </w:rPr>
        <w:t xml:space="preserve"> [(1927–1987) um dos maiores educadores, e pensadores da educação superior brasileira. Teve papel fundamental na formulação de políticas públicas educacionais]</w:t>
      </w:r>
      <w:r>
        <w:rPr>
          <w:rFonts w:ascii="Times New Roman" w:hAnsi="Times New Roman" w:cs="Times New Roman"/>
        </w:rPr>
        <w:t xml:space="preserve"> em suas discussões sobre o regime ambíguo das Universidades, </w:t>
      </w:r>
      <w:r>
        <w:rPr>
          <w:rFonts w:ascii="Times New Roman" w:hAnsi="Times New Roman" w:cs="Times New Roman"/>
          <w:lang w:val="pt-BR"/>
        </w:rPr>
        <w:t xml:space="preserve">e </w:t>
      </w:r>
      <w:r>
        <w:rPr>
          <w:rFonts w:ascii="Times New Roman" w:hAnsi="Times New Roman" w:cs="Times New Roman"/>
        </w:rPr>
        <w:t>expõe que a autonomia universitária parece ser subestimada pelo governo, que não crê na capacidade de autogestão das universidades e</w:t>
      </w:r>
      <w:r>
        <w:rPr>
          <w:rFonts w:ascii="Times New Roman" w:hAnsi="Times New Roman" w:cs="Times New Roman"/>
          <w:lang w:val="pt-BR"/>
        </w:rPr>
        <w:t>,</w:t>
      </w:r>
      <w:r>
        <w:rPr>
          <w:rFonts w:ascii="Times New Roman" w:hAnsi="Times New Roman" w:cs="Times New Roman"/>
        </w:rPr>
        <w:t xml:space="preserve"> ainda</w:t>
      </w:r>
      <w:r>
        <w:rPr>
          <w:rFonts w:ascii="Times New Roman" w:hAnsi="Times New Roman" w:cs="Times New Roman"/>
          <w:lang w:val="pt-BR"/>
        </w:rPr>
        <w:t>,</w:t>
      </w:r>
      <w:r>
        <w:rPr>
          <w:rFonts w:ascii="Times New Roman" w:hAnsi="Times New Roman" w:cs="Times New Roman"/>
        </w:rPr>
        <w:t xml:space="preserve"> aponta que é o respeito a elas mantem a menção em lei (Silva, 1978).</w:t>
      </w:r>
      <w:r>
        <w:rPr>
          <w:rFonts w:ascii="Times New Roman" w:hAnsi="Times New Roman" w:cs="Times New Roman"/>
          <w:lang w:val="pt-BR"/>
        </w:rPr>
        <w:t xml:space="preserve"> </w:t>
      </w:r>
      <w:r>
        <w:rPr>
          <w:rFonts w:ascii="Times New Roman" w:hAnsi="Times New Roman" w:cs="Times New Roman"/>
        </w:rPr>
        <w:t xml:space="preserve">Importante salientar que este texto encontra-se no primeiro momento temporal demarcado por Porto </w:t>
      </w:r>
      <w:r>
        <w:rPr>
          <w:rFonts w:hint="default" w:ascii="Times New Roman" w:hAnsi="Times New Roman" w:cs="Times New Roman"/>
          <w:lang w:val="pt-PT"/>
        </w:rPr>
        <w:t>e</w:t>
      </w:r>
      <w:r>
        <w:rPr>
          <w:rFonts w:ascii="Times New Roman" w:hAnsi="Times New Roman" w:cs="Times New Roman"/>
        </w:rPr>
        <w:t xml:space="preserve"> Dalla Corte</w:t>
      </w:r>
      <w:r>
        <w:rPr>
          <w:rFonts w:ascii="Times New Roman" w:hAnsi="Times New Roman" w:cs="Times New Roman"/>
          <w:lang w:val="pt-PT"/>
        </w:rPr>
        <w:t xml:space="preserve"> (2025)</w:t>
      </w:r>
      <w:r>
        <w:rPr>
          <w:rFonts w:ascii="Times New Roman" w:hAnsi="Times New Roman" w:cs="Times New Roman"/>
        </w:rPr>
        <w:t>, o que confirma as conclusões de que pouco se alterava nos textos normativos.</w:t>
      </w:r>
    </w:p>
    <w:p>
      <w:pPr>
        <w:spacing w:line="240" w:lineRule="auto"/>
        <w:ind w:firstLine="700"/>
        <w:jc w:val="both"/>
        <w:rPr>
          <w:rFonts w:ascii="Times New Roman" w:hAnsi="Times New Roman" w:cs="Times New Roman"/>
        </w:rPr>
      </w:pPr>
      <w:r>
        <w:rPr>
          <w:rFonts w:ascii="Times New Roman" w:hAnsi="Times New Roman" w:cs="Times New Roman"/>
        </w:rPr>
        <w:t>Para apresentar uma visão geral</w:t>
      </w:r>
      <w:r>
        <w:rPr>
          <w:rFonts w:ascii="Times New Roman" w:hAnsi="Times New Roman" w:cs="Times New Roman"/>
          <w:lang w:val="pt-PT"/>
        </w:rPr>
        <w:t xml:space="preserve"> das 173 produções</w:t>
      </w:r>
      <w:r>
        <w:rPr>
          <w:rFonts w:ascii="Times New Roman" w:hAnsi="Times New Roman" w:cs="Times New Roman"/>
        </w:rPr>
        <w:t xml:space="preserve">, organizamos </w:t>
      </w:r>
      <w:r>
        <w:rPr>
          <w:rFonts w:ascii="Times New Roman" w:hAnsi="Times New Roman" w:cs="Times New Roman"/>
          <w:lang w:val="pt-PT"/>
        </w:rPr>
        <w:t xml:space="preserve"> o </w:t>
      </w:r>
      <w:r>
        <w:rPr>
          <w:rFonts w:hint="default" w:ascii="Times New Roman" w:hAnsi="Times New Roman" w:cs="Times New Roman"/>
          <w:lang w:val="pt-PT"/>
        </w:rPr>
        <w:t>q</w:t>
      </w:r>
      <w:r>
        <w:rPr>
          <w:rFonts w:ascii="Times New Roman" w:hAnsi="Times New Roman" w:cs="Times New Roman"/>
          <w:lang w:val="pt-PT"/>
        </w:rPr>
        <w:t>uadro</w:t>
      </w:r>
      <w:r>
        <w:rPr>
          <w:rFonts w:ascii="Times New Roman" w:hAnsi="Times New Roman" w:cs="Times New Roman"/>
        </w:rPr>
        <w:t xml:space="preserve"> </w:t>
      </w:r>
      <w:r>
        <w:rPr>
          <w:rFonts w:hint="default" w:ascii="Times New Roman" w:hAnsi="Times New Roman" w:cs="Times New Roman"/>
          <w:lang w:val="pt-PT"/>
        </w:rPr>
        <w:t>abaixo</w:t>
      </w:r>
      <w:r>
        <w:rPr>
          <w:rFonts w:ascii="Times New Roman" w:hAnsi="Times New Roman" w:cs="Times New Roman"/>
          <w:lang w:val="pt-BR"/>
        </w:rPr>
        <w:t xml:space="preserve">, retratando </w:t>
      </w:r>
      <w:r>
        <w:rPr>
          <w:rFonts w:ascii="Times New Roman" w:hAnsi="Times New Roman" w:cs="Times New Roman"/>
        </w:rPr>
        <w:t>em períodos de 10 anos</w:t>
      </w:r>
      <w:r>
        <w:rPr>
          <w:rFonts w:ascii="Times New Roman" w:hAnsi="Times New Roman" w:cs="Times New Roman"/>
          <w:lang w:val="pt-PT"/>
        </w:rPr>
        <w:t xml:space="preserve"> e o </w:t>
      </w:r>
      <w:r>
        <w:rPr>
          <w:rFonts w:hint="default" w:ascii="Times New Roman" w:hAnsi="Times New Roman" w:cs="Times New Roman"/>
          <w:lang w:val="pt-PT"/>
        </w:rPr>
        <w:t>um g</w:t>
      </w:r>
      <w:r>
        <w:rPr>
          <w:rFonts w:ascii="Times New Roman" w:hAnsi="Times New Roman" w:cs="Times New Roman"/>
          <w:lang w:val="pt-PT"/>
        </w:rPr>
        <w:t xml:space="preserve">ráfico </w:t>
      </w:r>
      <w:r>
        <w:rPr>
          <w:rFonts w:hint="default" w:ascii="Times New Roman" w:hAnsi="Times New Roman" w:cs="Times New Roman"/>
          <w:lang w:val="pt-PT"/>
        </w:rPr>
        <w:t>evolutivo</w:t>
      </w:r>
      <w:r>
        <w:rPr>
          <w:rFonts w:ascii="Times New Roman" w:hAnsi="Times New Roman" w:cs="Times New Roman"/>
          <w:lang w:val="pt-PT"/>
        </w:rPr>
        <w:t xml:space="preserve"> </w:t>
      </w:r>
      <w:r>
        <w:rPr>
          <w:rFonts w:ascii="Times New Roman" w:hAnsi="Times New Roman" w:cs="Times New Roman"/>
        </w:rPr>
        <w:t xml:space="preserve">no intuito de </w:t>
      </w:r>
      <w:r>
        <w:rPr>
          <w:rFonts w:ascii="Times New Roman" w:hAnsi="Times New Roman" w:cs="Times New Roman"/>
          <w:lang w:val="pt-PT"/>
        </w:rPr>
        <w:t>visualizar</w:t>
      </w:r>
      <w:r>
        <w:rPr>
          <w:rFonts w:ascii="Times New Roman" w:hAnsi="Times New Roman" w:cs="Times New Roman"/>
        </w:rPr>
        <w:t xml:space="preserve"> a evolução</w:t>
      </w:r>
      <w:r>
        <w:rPr>
          <w:rFonts w:ascii="Times New Roman" w:hAnsi="Times New Roman" w:cs="Times New Roman"/>
          <w:lang w:val="pt-PT"/>
        </w:rPr>
        <w:t xml:space="preserve"> do quantitativo de produções sobre a temática.</w:t>
      </w:r>
    </w:p>
    <w:p>
      <w:pPr>
        <w:spacing w:line="240" w:lineRule="auto"/>
        <w:rPr>
          <w:rFonts w:ascii="Times New Roman" w:hAnsi="Times New Roman" w:cs="Times New Roman"/>
          <w:b/>
          <w:bCs/>
          <w:lang w:val="pt-PT"/>
        </w:rPr>
      </w:pPr>
      <w:r>
        <w:rPr>
          <w:rFonts w:hint="default" w:ascii="Times New Roman" w:hAnsi="Times New Roman" w:cs="Times New Roman"/>
          <w:b/>
          <w:bCs/>
          <w:lang w:val="pt-PT"/>
        </w:rPr>
        <w:t>Figura</w:t>
      </w:r>
      <w:r>
        <w:rPr>
          <w:rFonts w:ascii="Times New Roman" w:hAnsi="Times New Roman" w:cs="Times New Roman"/>
          <w:b/>
          <w:bCs/>
          <w:lang w:val="pt-PT"/>
        </w:rPr>
        <w:t xml:space="preserve"> 1</w:t>
      </w:r>
    </w:p>
    <w:p>
      <w:pPr>
        <w:spacing w:line="240" w:lineRule="auto"/>
        <w:rPr>
          <w:rFonts w:ascii="Times New Roman" w:hAnsi="Times New Roman" w:cs="Times New Roman"/>
          <w:i/>
          <w:iCs/>
          <w:lang w:val="pt-PT"/>
        </w:rPr>
      </w:pPr>
      <w:r>
        <w:rPr>
          <w:rFonts w:ascii="Times New Roman" w:hAnsi="Times New Roman" w:cs="Times New Roman"/>
          <w:i/>
          <w:iCs/>
          <w:lang w:val="pt-PT"/>
        </w:rPr>
        <w:t>P</w:t>
      </w:r>
      <w:r>
        <w:rPr>
          <w:rFonts w:ascii="Times New Roman" w:hAnsi="Times New Roman" w:cs="Times New Roman"/>
          <w:i/>
          <w:iCs/>
        </w:rPr>
        <w:t>roduções sobre autonomia universitári</w:t>
      </w:r>
      <w:r>
        <w:rPr>
          <w:rFonts w:ascii="Times New Roman" w:hAnsi="Times New Roman" w:cs="Times New Roman"/>
          <w:i/>
          <w:iCs/>
          <w:lang w:val="pt-PT"/>
        </w:rPr>
        <w:t>a</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1433"/>
        <w:gridCol w:w="1433"/>
        <w:gridCol w:w="1433"/>
        <w:gridCol w:w="1433"/>
        <w:gridCol w:w="308"/>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vMerge w:val="restart"/>
            <w:vAlign w:val="bottom"/>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Quantidade</w:t>
            </w:r>
          </w:p>
        </w:tc>
        <w:tc>
          <w:tcPr>
            <w:tcW w:w="7168" w:type="dxa"/>
            <w:gridSpan w:val="6"/>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Períodos agrupados em 10 anos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vMerge w:val="continue"/>
          </w:tcPr>
          <w:p>
            <w:pPr>
              <w:suppressAutoHyphens/>
              <w:spacing w:after="0" w:line="240" w:lineRule="auto"/>
              <w:jc w:val="both"/>
              <w:rPr>
                <w:rFonts w:ascii="Times New Roman" w:hAnsi="Times New Roman" w:eastAsia="Calibri" w:cs="Times New Roman"/>
                <w:bCs/>
                <w:kern w:val="0"/>
                <w:lang w:val="pt-PT"/>
                <w14:ligatures w14:val="none"/>
              </w:rPr>
            </w:pP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1978 a 1987</w:t>
            </w: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1988 a 1997</w:t>
            </w: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1998 a 2007</w:t>
            </w: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2008 a 2017</w:t>
            </w:r>
          </w:p>
        </w:tc>
        <w:tc>
          <w:tcPr>
            <w:tcW w:w="1436" w:type="dxa"/>
            <w:gridSpan w:val="2"/>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2018 a 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vMerge w:val="continue"/>
          </w:tcPr>
          <w:p>
            <w:pPr>
              <w:suppressAutoHyphens/>
              <w:spacing w:after="0" w:line="240" w:lineRule="auto"/>
              <w:jc w:val="both"/>
              <w:rPr>
                <w:rFonts w:ascii="Times New Roman" w:hAnsi="Times New Roman" w:eastAsia="Calibri" w:cs="Times New Roman"/>
                <w:bCs/>
                <w:kern w:val="0"/>
                <w:lang w:val="pt-PT"/>
                <w14:ligatures w14:val="none"/>
              </w:rPr>
            </w:pP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3</w:t>
            </w: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7</w:t>
            </w: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18</w:t>
            </w:r>
          </w:p>
        </w:tc>
        <w:tc>
          <w:tcPr>
            <w:tcW w:w="1433"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60</w:t>
            </w:r>
          </w:p>
        </w:tc>
        <w:tc>
          <w:tcPr>
            <w:tcW w:w="1436" w:type="dxa"/>
            <w:gridSpan w:val="2"/>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6" w:type="dxa"/>
            <w:gridSpan w:val="6"/>
          </w:tcPr>
          <w:p>
            <w:pPr>
              <w:suppressAutoHyphens/>
              <w:spacing w:after="0" w:line="240" w:lineRule="auto"/>
              <w:jc w:val="right"/>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Total</w:t>
            </w:r>
          </w:p>
        </w:tc>
        <w:tc>
          <w:tcPr>
            <w:tcW w:w="1128" w:type="dxa"/>
          </w:tcPr>
          <w:p>
            <w:pPr>
              <w:suppressAutoHyphens/>
              <w:spacing w:after="0" w:line="240" w:lineRule="auto"/>
              <w:jc w:val="center"/>
              <w:rPr>
                <w:rFonts w:ascii="Times New Roman" w:hAnsi="Times New Roman" w:eastAsia="Calibri" w:cs="Times New Roman"/>
                <w:bCs/>
                <w:kern w:val="0"/>
                <w:lang w:val="pt-PT"/>
                <w14:ligatures w14:val="none"/>
              </w:rPr>
            </w:pPr>
            <w:r>
              <w:rPr>
                <w:rFonts w:ascii="Times New Roman" w:hAnsi="Times New Roman" w:eastAsia="Calibri" w:cs="Times New Roman"/>
                <w:bCs/>
                <w:kern w:val="0"/>
                <w:lang w:val="pt-PT"/>
                <w14:ligatures w14:val="none"/>
              </w:rPr>
              <w:t>173</w:t>
            </w:r>
          </w:p>
        </w:tc>
      </w:tr>
    </w:tbl>
    <w:p>
      <w:pPr>
        <w:spacing w:line="240" w:lineRule="auto"/>
        <w:rPr>
          <w:rFonts w:ascii="Times New Roman" w:hAnsi="Times New Roman" w:cs="Times New Roman"/>
          <w:b/>
          <w:bCs/>
          <w:lang w:val="pt-PT"/>
        </w:rPr>
      </w:pPr>
    </w:p>
    <w:p>
      <w:pPr>
        <w:spacing w:line="240" w:lineRule="auto"/>
        <w:rPr>
          <w:rFonts w:hint="default" w:ascii="Times New Roman" w:hAnsi="Times New Roman" w:cs="Times New Roman"/>
          <w:b/>
          <w:bCs/>
          <w:lang w:val="pt-PT"/>
        </w:rPr>
      </w:pPr>
      <w:r>
        <w:rPr>
          <w:rFonts w:ascii="Times New Roman" w:hAnsi="Times New Roman" w:cs="Times New Roman"/>
          <w:b/>
          <w:bCs/>
          <w:lang w:val="pt-PT"/>
        </w:rPr>
        <w:t xml:space="preserve"> </w:t>
      </w:r>
      <w:r>
        <w:rPr>
          <w:rFonts w:hint="default" w:ascii="Times New Roman" w:hAnsi="Times New Roman" w:cs="Times New Roman"/>
          <w:b/>
          <w:bCs/>
          <w:lang w:val="pt-PT"/>
        </w:rPr>
        <w:t>Figura</w:t>
      </w:r>
      <w:r>
        <w:rPr>
          <w:rFonts w:ascii="Times New Roman" w:hAnsi="Times New Roman" w:cs="Times New Roman"/>
          <w:b/>
          <w:bCs/>
          <w:lang w:val="pt-PT"/>
        </w:rPr>
        <w:t xml:space="preserve"> </w:t>
      </w:r>
      <w:r>
        <w:rPr>
          <w:rFonts w:hint="default" w:ascii="Times New Roman" w:hAnsi="Times New Roman" w:cs="Times New Roman"/>
          <w:b/>
          <w:bCs/>
          <w:lang w:val="pt-PT"/>
        </w:rPr>
        <w:t>2</w:t>
      </w:r>
    </w:p>
    <w:p>
      <w:pPr>
        <w:spacing w:line="240" w:lineRule="auto"/>
        <w:rPr>
          <w:rFonts w:ascii="Times New Roman" w:hAnsi="Times New Roman" w:cs="Times New Roman"/>
          <w:i/>
          <w:iCs/>
          <w:lang w:val="pt-PT"/>
        </w:rPr>
      </w:pPr>
      <w:r>
        <w:rPr>
          <w:rFonts w:ascii="Times New Roman" w:hAnsi="Times New Roman" w:cs="Times New Roman"/>
          <w:i/>
          <w:iCs/>
          <w:lang w:val="pt-PT"/>
        </w:rPr>
        <w:t>Linha evolutiva das produções</w:t>
      </w:r>
    </w:p>
    <w:p>
      <w:pPr>
        <w:spacing w:line="240" w:lineRule="auto"/>
        <w:jc w:val="center"/>
        <w:rPr>
          <w:rFonts w:ascii="Times New Roman" w:hAnsi="Times New Roman" w:cs="Times New Roman"/>
          <w:lang w:val="pt-PT"/>
        </w:rPr>
      </w:pPr>
      <w:r>
        <w:rPr>
          <w:rFonts w:ascii="Times New Roman" w:hAnsi="Times New Roman" w:cs="Times New Roman"/>
          <w:lang w:val="pt-PT"/>
        </w:rPr>
        <w:drawing>
          <wp:inline distT="0" distB="0" distL="114300" distR="114300">
            <wp:extent cx="3565525" cy="2200275"/>
            <wp:effectExtent l="0" t="0" r="1587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240" w:lineRule="auto"/>
        <w:ind w:firstLine="0"/>
        <w:jc w:val="both"/>
        <w:rPr>
          <w:rFonts w:ascii="Times New Roman" w:hAnsi="Times New Roman" w:cs="Times New Roman"/>
          <w:lang w:val="pt-BR"/>
        </w:rPr>
      </w:pPr>
    </w:p>
    <w:p>
      <w:pPr>
        <w:spacing w:line="240" w:lineRule="auto"/>
        <w:ind w:firstLine="700"/>
        <w:jc w:val="both"/>
        <w:rPr>
          <w:rFonts w:ascii="Times New Roman" w:hAnsi="Times New Roman" w:cs="Times New Roman"/>
          <w:lang w:val="pt-PT"/>
        </w:rPr>
      </w:pPr>
      <w:r>
        <w:rPr>
          <w:rFonts w:hint="default" w:ascii="Times New Roman" w:hAnsi="Times New Roman" w:cs="Times New Roman"/>
          <w:lang w:val="pt-PT"/>
        </w:rPr>
        <w:t>O quadro</w:t>
      </w:r>
      <w:r>
        <w:rPr>
          <w:rFonts w:ascii="Times New Roman" w:hAnsi="Times New Roman" w:cs="Times New Roman"/>
        </w:rPr>
        <w:t xml:space="preserve"> demonstra </w:t>
      </w:r>
      <w:r>
        <w:rPr>
          <w:rFonts w:ascii="Times New Roman" w:hAnsi="Times New Roman" w:cs="Times New Roman"/>
          <w:lang w:val="pt-PT"/>
        </w:rPr>
        <w:t xml:space="preserve">o quantitativo de produções em cada período de 10 anos, já o </w:t>
      </w:r>
      <w:r>
        <w:rPr>
          <w:rFonts w:hint="default" w:ascii="Times New Roman" w:hAnsi="Times New Roman" w:cs="Times New Roman"/>
          <w:lang w:val="pt-PT"/>
        </w:rPr>
        <w:t>g</w:t>
      </w:r>
      <w:r>
        <w:rPr>
          <w:rFonts w:ascii="Times New Roman" w:hAnsi="Times New Roman" w:cs="Times New Roman"/>
          <w:lang w:val="pt-PT"/>
        </w:rPr>
        <w:t xml:space="preserve">ráfico apresenta a linha evolutiva destas produções. Pela linha é possível perceber que </w:t>
      </w:r>
      <w:r>
        <w:rPr>
          <w:rFonts w:ascii="Times New Roman" w:hAnsi="Times New Roman" w:cs="Times New Roman"/>
        </w:rPr>
        <w:t>a temática vem crescendo com o decorrer dos anos, inclusive nos dias atuais, pois muito embora o último período não contenha dados de 10 anos</w:t>
      </w:r>
      <w:r>
        <w:rPr>
          <w:rFonts w:ascii="Times New Roman" w:hAnsi="Times New Roman" w:cs="Times New Roman"/>
          <w:lang w:val="pt-PT"/>
        </w:rPr>
        <w:t xml:space="preserve"> </w:t>
      </w:r>
      <w:r>
        <w:rPr>
          <w:rFonts w:ascii="Times New Roman" w:hAnsi="Times New Roman" w:cs="Times New Roman"/>
        </w:rPr>
        <w:t>[Os dados foram acessados em março de 2026 e os resultados obtidos, apresentaram produções datadas até 2025], o quantitativo já supera em mais de 40% o total do último período</w:t>
      </w:r>
      <w:r>
        <w:rPr>
          <w:rFonts w:ascii="Times New Roman" w:hAnsi="Times New Roman" w:cs="Times New Roman"/>
          <w:lang w:val="pt-PT"/>
        </w:rPr>
        <w:t>, produzindo uma linha ascendente de crescimento.</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Esses dados possibilitam afirmar que a temática tem papel cada vez mais relevante nas produções, o que demonstra a preocupação com a autonomia universitária. E é diante desta preocupação que priorizamos detalhar as produções. Mas como </w:t>
      </w:r>
      <w:r>
        <w:rPr>
          <w:rFonts w:ascii="Times New Roman" w:hAnsi="Times New Roman" w:cs="Times New Roman"/>
        </w:rPr>
        <w:t>a pesquisa foi realizada sem filtros, estas produções apontaram várias temáticas e</w:t>
      </w:r>
      <w:r>
        <w:rPr>
          <w:rFonts w:ascii="Times New Roman" w:hAnsi="Times New Roman" w:cs="Times New Roman"/>
          <w:lang w:val="pt-PT"/>
        </w:rPr>
        <w:t>m</w:t>
      </w:r>
      <w:r>
        <w:rPr>
          <w:rFonts w:ascii="Times New Roman" w:hAnsi="Times New Roman" w:cs="Times New Roman"/>
        </w:rPr>
        <w:t xml:space="preserve"> </w:t>
      </w:r>
      <w:r>
        <w:rPr>
          <w:rFonts w:ascii="Times New Roman" w:hAnsi="Times New Roman" w:cs="Times New Roman"/>
          <w:lang w:val="pt-PT"/>
        </w:rPr>
        <w:t>diferentes</w:t>
      </w:r>
      <w:r>
        <w:rPr>
          <w:rFonts w:ascii="Times New Roman" w:hAnsi="Times New Roman" w:cs="Times New Roman"/>
        </w:rPr>
        <w:t xml:space="preserve"> contextos, por este motivo muitos trabalhos fogem ao nosso foco</w:t>
      </w:r>
      <w:r>
        <w:rPr>
          <w:rFonts w:ascii="Times New Roman" w:hAnsi="Times New Roman" w:cs="Times New Roman"/>
          <w:lang w:val="pt-BR"/>
        </w:rPr>
        <w:t xml:space="preserve"> e se justifica a seleção de apenas um contingente das obras encontradas para análise</w:t>
      </w:r>
      <w:r>
        <w:rPr>
          <w:rFonts w:ascii="Times New Roman" w:hAnsi="Times New Roman" w:cs="Times New Roman"/>
        </w:rPr>
        <w:t>.</w:t>
      </w:r>
      <w:r>
        <w:rPr>
          <w:rFonts w:ascii="Times New Roman" w:hAnsi="Times New Roman" w:cs="Times New Roman"/>
          <w:lang w:val="pt-PT"/>
        </w:rPr>
        <w:t xml:space="preserve"> </w:t>
      </w:r>
    </w:p>
    <w:p>
      <w:pPr>
        <w:spacing w:line="240" w:lineRule="auto"/>
        <w:ind w:firstLine="700"/>
        <w:jc w:val="both"/>
        <w:rPr>
          <w:rFonts w:ascii="Times New Roman" w:hAnsi="Times New Roman" w:cs="Times New Roman"/>
        </w:rPr>
      </w:pPr>
      <w:r>
        <w:rPr>
          <w:rFonts w:ascii="Times New Roman" w:hAnsi="Times New Roman" w:cs="Times New Roman"/>
          <w:lang w:val="pt-PT"/>
        </w:rPr>
        <w:t xml:space="preserve">Entre a diversidade de contextos, </w:t>
      </w:r>
      <w:r>
        <w:rPr>
          <w:rFonts w:ascii="Times New Roman" w:hAnsi="Times New Roman" w:cs="Times New Roman"/>
        </w:rPr>
        <w:t>seguem alguns assuntos abordados nas produções que citam a autonomia universitária: processos de reestruturação, avaliação universitária, questões sindicais, aprendizagem no ensino superior, fundações de apoio universitário, políticas de interiorização, precarização do trabalho docente, parcerias público-privada, direito de educação de qualidade, serviços hospitalares ligados à universidades, inovação, reforma agrária, processo eleitoral de reitores, entre outros, assim como estudos de temáticas específicas de instituições, seus contextos ou movimentos locais.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Algumas das temáticas abordavam a autonomia universitária, mas de forma contextual, não com o foco da pesquisa, seria um pano de fundo, e não o espetáculo, por este motivo aplicamos um filtro nas produções. Este filtro proporcionou olharmos apenas as produções relevantes ao nosso propósito.</w:t>
      </w:r>
    </w:p>
    <w:p>
      <w:pPr>
        <w:spacing w:line="240" w:lineRule="auto"/>
        <w:ind w:firstLine="700"/>
        <w:jc w:val="both"/>
        <w:rPr>
          <w:rFonts w:ascii="Times New Roman" w:hAnsi="Times New Roman" w:cs="Times New Roman"/>
        </w:rPr>
      </w:pPr>
      <w:r>
        <w:rPr>
          <w:rFonts w:ascii="Times New Roman" w:hAnsi="Times New Roman" w:cs="Times New Roman"/>
          <w:lang w:val="pt-PT"/>
        </w:rPr>
        <w:t xml:space="preserve">O filtro aplicado foi buscar as produções que </w:t>
      </w:r>
      <w:r>
        <w:rPr>
          <w:rFonts w:ascii="Times New Roman" w:hAnsi="Times New Roman" w:cs="Times New Roman"/>
        </w:rPr>
        <w:t>apresent</w:t>
      </w:r>
      <w:r>
        <w:rPr>
          <w:rFonts w:ascii="Times New Roman" w:hAnsi="Times New Roman" w:cs="Times New Roman"/>
          <w:lang w:val="pt-PT"/>
        </w:rPr>
        <w:t>assem</w:t>
      </w:r>
      <w:r>
        <w:rPr>
          <w:rFonts w:ascii="Times New Roman" w:hAnsi="Times New Roman" w:cs="Times New Roman"/>
        </w:rPr>
        <w:t xml:space="preserve"> o descritor “autonomia universitária” no título ou no resumo. Com este filtro o número de trabalhos encontrados ficou em 28 produções. Essas produções passaram por uma análise mais detalhada, em que foram identificadas oito categorias de abordagens quanto a autonomia univer</w:t>
      </w:r>
      <w:r>
        <w:rPr>
          <w:rFonts w:ascii="Times New Roman" w:hAnsi="Times New Roman" w:cs="Times New Roman"/>
          <w:lang w:val="pt-PT"/>
        </w:rPr>
        <w:t>s</w:t>
      </w:r>
      <w:r>
        <w:rPr>
          <w:rFonts w:ascii="Times New Roman" w:hAnsi="Times New Roman" w:cs="Times New Roman"/>
        </w:rPr>
        <w:t>itária, que são: exterior, privadas, administrativa, financeira, didática, atores, conceitos</w:t>
      </w:r>
      <w:r>
        <w:rPr>
          <w:rFonts w:ascii="Times New Roman" w:hAnsi="Times New Roman" w:cs="Times New Roman"/>
          <w:lang w:val="pt-PT"/>
        </w:rPr>
        <w:t xml:space="preserve"> e</w:t>
      </w:r>
      <w:r>
        <w:rPr>
          <w:rFonts w:ascii="Times New Roman" w:hAnsi="Times New Roman" w:cs="Times New Roman"/>
        </w:rPr>
        <w:t xml:space="preserve"> outros.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As produções categorizadas como exterior, abordavam sobre a autonomia universitária de instituições ou políticas de fora do Brasil ou, ainda, as que faziam qualquer tipo de comparação entre estas e as do Brasil. Nestes casos as produções foram descartadas por terem seu foco em questões que influenciam o contexto.</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As produções categorizadas como privadas da mesma forma foram descartadas devido a estarem em um contexto diferente do foco proposto. Retirando estas seis produções categorizadas como exterior e privadas, restaram 22 produções.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Entre as categorias restantes, três foram as que mais apareceram nas produções - atores, administrativa e financeira, demonstrando que a “autonomia” é formetemente influenciada por estes e perpassam a autonomia fixando limites e possibilidades junto a ela.</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Cabe salientar que embora estas categorias sejam as mais expressivas, existe uma força condutora que molda quase todas as produções que é a complexidade da temática. Este fato é facilmente detectado, quando as produções se dedicam a conceituar e explicar a autonomia universitária, majoritariamente pela sua evolução histórica e suas oscilações (ataques e defesas) através de medidas provisórias, propostas de emendas constitucionais, reformas e golpes.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De forma geral, entre os atores que mais aparecem consta o poder público executivo, as categorias envolvidas (docentes, técnicos e estudantes), mas, também, aparecem a representação jurídica (Superior Tribunal Federal) e entidades privadas. As produções que recaem sobre a adminitração, apresentam as limitações impostas pelos textos normativos e a categoria financeira é ponto de embate e fator essencial para a efetividade da autonomia.</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Como tela de fundo de todas as produções a complexidade da temática, é fator determinante no que diz respeito a real efetividade da autonomia. Um dos aspectos evidenciados é a pluralidade do conceito de autonomia e interpretação no contexto acadêmico, considerando que há “[...] falta de consenso acerca do entendimento da autonomia [...] expressaria as contradições existentes no interior das instituições de ensino superior, de objetivos e interesses de diferentes grupos” (Alves, 2010, p. 57).</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Este talvez, seja um dos motivos pelos quais vários autores reservem boa parte de suas produções para explicarem o contexto de autonomia universitária, inclusive em sua origem e evolução, como em Reis (2002) que abordou desde a origem da autonomia, as disputas de poder e os modelos que influenciaram as vertentes nas primeiras universidades brasileiras. E em Ribas (2016) que abordou os modelos de administração pública.</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Desses modelos de universidade, três são destacados por buscarem romper com as características medievais, atuando por influências políticas, econômicas, sociais e culturais: o modelo francês, o alemão e o norte-americano (Reis, 2002).</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No primeiro – modelo francês – a “[...] universidade submissa ao interesse estatal acarretou como conseqüência uma autonomia bastante restrita [...]” (Reis, 2002, p. 66); o segundo – modelo alemão – detinha a universidade com características de pesquisa em que “[...] o desenvolvimento da ciência exigiria a absoluta liberdade de ensinar e aprender. Assim, a autonomia e a liberdade acadêmica constituiram-se em princípios de organização da universidade” (Reis, 2002, p. 67); e o último – modelo norte-americano –</w:t>
      </w:r>
      <w:r>
        <w:rPr>
          <w:rFonts w:hint="default" w:ascii="Times New Roman" w:hAnsi="Times New Roman" w:cs="Times New Roman"/>
          <w:lang w:val="pt-PT"/>
        </w:rPr>
        <w:t xml:space="preserve"> </w:t>
      </w:r>
      <w:r>
        <w:rPr>
          <w:rFonts w:ascii="Times New Roman" w:hAnsi="Times New Roman" w:cs="Times New Roman"/>
          <w:lang w:val="pt-PT"/>
        </w:rPr>
        <w:t>de formação técnica, profissional e geral ou científica “[...] as universidades, geralmente, são fortemente vinculadas às empresas privadas, o que acaba por restringir as possibilidades do exercício da autonomia universitária” (Reis, 2002, p. 67).</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Nos modelos de administração, existe uma preocupação com o entendimento de universidade e suas prerrogativas. Ribas (2016) tenta elucidar o conceito de autarquia, e explica que trata-se de entidade da Administração Indireta, ou seja, uma  descentralização da Administração apta a exercer serviços.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Assim, percebemos que os autores buscam apresentar a universidade em seu contexto e, diante deste, apresentar a forma que a autonomia está alicerçada. Estes contextos diversos também são abordados em outras produções, ressaltando as condições atuais.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 complexidade, coexistente no entendimento e constituição da própria universidade, interfere diretamente em sua autonomia, tendo em vista que por ser uma instituição composta de segmentos distintos, estes carregam bagagens sociais, culturais e políticas distintas. E esta divergência entre atores são motivações de “[...] entraves internos, pautados, em sua maioria, pela disputa de poder entre os segmentos que compõem essas instituições (docentes, discentes, técnicos-administrativos e comunidade), que por vezes tendem a se fechar sobre os interesses corporativos comprometendo os interesses institucionais” (Silveira 2020, p. 31).</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Diante desse contexto, algumas produções decorrentes da pesquisa do estado do conhecimento apontam para a atuação de atores, sejam elas apresentadas como “boas ou retrocessos”.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As fundações de apoio são abordadas nas produções com perspectivas diferentes, enquanto Almeida (2013) apresenta que “[...] fundações de apoio são vistas como instrumentalizadoras da autonomia administrativa das universidades [...]” (Almeida, 2013, p. 46), pois a adminstração pública necessita “[...] buscar nas entidades de direito privado a flexibilidade de gestão administrativa para execução das tarefas a que está incumbida” (Almeida, 2013, p. 6). Alves (2010) aponta para a perspectiva da União Nacional dos Estudantes (UNE) que acabaria com as fundações de apoio, para tanto seria necessário a “[...] garantia de uma política de Estado para financiamento, que fosse estável e independente das políticas de governo. A UNE defende também que esse orçamento seja global, garantindo a flexibilidade na execução orçamentária e autonomia da universidade” (Alves, 2010, p. 88).</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Esses fatos representam uma real situação em que dois atores (gestão administrativa e UNE) traçam movimentos distintos em relação a autonomia. Sendo um na tentativa de viabilizar as atividades e outro reivindicando a necessidade de atender a legislação e dar condições da realização das atividades. Sem entrar em juízo de valor, essas duas perspectivas apresentam modelos em que um busca alternativas em um pensamento mais liberal, e o outro exige a tutela estatal.</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Assim como esses atores diretamente ligados às universidades, outro fato apontado nas produções se refere ao período da pandemia do Covid-19, em que atores diversos atuaram em resistência “[...] distorcendo ou corrompendo fatos na contramão de recomendações acadêmicas, para favorecer a alfaiataria de ala (gabinete “pró-crise”) palaciana incubadora do lobby das armas, farmacêuticas, ruralistas, garimpeiros, tabaco, agrotóxicos, madeireiras [...]” (Araujo, 2023, p. 32), promovendo o negacionismo em contraponto as especificidades inerentes a universidade, inclusive ferindo a imagem e a autonomia estatal, bem como das instituições públicas.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Esses ataques e tentativas de macular a autonomia, também foram promovidas em outros momentos. Como nas medidas provisórias MP n° 914/2019 e MP n° 979/2020 que apresentavam “[...] nitidamente, nova tentativa do governo federal de controlar a nomeação da autoridade máxima das universidades federais, ainda que de forma temporária” (Charqueiro, 2020, p. 70). Neste caso, embora a temática seja de caráter administrativo, é evidente a ação de atores na interferência da autonomia universitária. Assim como no exemplo anterior, o movimento dos atores perpassa por questões financeiras.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Outro ponto apresentado quanto a ação de atores, referente a administração pública (Poder Executivo) são as propostas de emenda constitucional (PEC) ocorridas em 1995 e 1996. PEC n° 233 de 1995 e PEC n° 370 de 1996. Entre as propostas a que mais sofreu críticas foi a inclusão no Artigo constitucional 207 da “[...] expressão "na forma da lei". Com isto, ficava estabelecido que o princípio de autonomia constitucional não seria auto-aplicável, implicando em existir uma Lei Ordinária que provesse sua regulamentação” (Lana, 2015, p. 174).</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Em resposta a essas tentativas, outros atores foram pontuais, tais como o Núcleo de Pesquisas sobre Ensino Superior da Universidade de São Paulo que entende que para a autonomia universitária “[...] existir é preciso uma profunda alteração na relação das universidades com o poder público. Através da substituição de controles burocráticos e detalhistas, por um sistema que associe a autonomia de execução ao estabelecimento de objetivos e avaliação de desempenho” (Alves, 2010, p. 57). E, neste caso, não seria outra lei pré-estabelecida que facilitaria o processo.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Também, é contra a essas intervenções os movimento docentes que entendem que “[...] dirigentes universitários devem buscar condições que possibilitem o pleno cumprimento deste preceito constitucional [...]” (Alves, 2010, p. 69), sem a necessidade de criação de legislação complementar.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Nesta disputa por controle a Federação de Sindicatos de Trabalhadores das Universidades Brasileiras (FABUBRA), também, é evidenciada na defesa da autonomia, entretanto, por suas especificidades, afirma que “A autonomia administrativa, [...] deve ser entendida como o auto-governo democrático, cujo pressuposto é o controle da comunidade universitária e dos usuários, através de seus movimentos organizados” (Alves, 2010, p. 78).</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Para a Associação Nacional dos Docentes do Ensino Superior (ANDES), muitos dos ataques que a autonomia universitária sofre provem da “[...] lógica do mercado, na qualidade e eficiência do sistema e na avaliação quantitativa como condição para a concessão de Dotação Orçamentária Global reforçando a política dos “Centros de Excelência” e do empresariamento do ensino público superior” (Alves, 2010, p. 68).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Esses movimentos, que assombram a universidade pública, fazem parte da “[...] lógica produtivista que concebe a escola, o ensino e o saber como mercadorias” (Alves, 2010, p. 69). Es</w:t>
      </w:r>
      <w:r>
        <w:rPr>
          <w:rFonts w:hint="default" w:ascii="Times New Roman" w:hAnsi="Times New Roman" w:cs="Times New Roman"/>
          <w:lang w:val="pt-PT"/>
        </w:rPr>
        <w:t>s</w:t>
      </w:r>
      <w:r>
        <w:rPr>
          <w:rFonts w:ascii="Times New Roman" w:hAnsi="Times New Roman" w:cs="Times New Roman"/>
          <w:lang w:val="pt-PT"/>
        </w:rPr>
        <w:t>as últimas colocações refletem bem as categorias administrativa e financeira. Na sequência apresentaremos outros fatos que delimitam ainda mais essas searas.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Cabe destacar que o fato a ser considerado é que a autonomia universitária que hoje é garantida no Artigo 207 da Constituição Federal, “[...] é um direito que precede às constituições nacionais competindo a estas o seu reconhecimento ou não, portanto não é concessão, é condição ímpar prevista desde seu surgimento ainda no período medieval.” (Lima 2008, p. 26). Neste sentido, não haveria de ser questionado. Sobretudo, no texto atual “a Constituição Federal traçou o conteúdo da autonomia universitária, quando mencionou que ela abrange a autonomia didático-científica, ou seja, as atividades-fim desenvolvidas pelas universidades, bem como a autonomia administrativa e financeira, que englobaria as atividades-meio de tais instituições” (Charqueiro, 2020, p. 24).</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Portanto, o fato abordado por Lima (2008), já aparece no texto constitucional de forma limitada conforme Charqueiro (2020) explana. Desta forma temos delimitações, já que algumas produções explicam de forma conceitual, tendo em vista que “[...] as universidades federais integram o quadro da administração pública, e, portanto, se submetem ao regramento constitucional e infraconstitucional a ela imposto” (Charqueiro, 2020, p. 61). Portanto, é necessário o olhar para a “[...] autonomia universitária sob o ponto de vista de que ela é “relativa” tendo em vista os aspectos em que pode realizar-se [...]” (Melo, 1998, p. 12).</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Esses limites da autonomia são perceptíveis na “[...] leitura dos artigos, a LDB regulamenta, de forma mais detalhada, a autonomia didático-científica, administrativa e de gestão financeira e patrimonial, já proclamada, de forma genérica, na Constituição Federal de 1988, em seu artigo 207” (Charqueiro 2020, p. 19). Portanto, “[...] a autonomia universitária define-se, naturalmente, não como poder soberano, mas derivado; e, quando atribuído a uma instituição pública, não implica liberdade absoluta, uma vez que é restrita ao peculiar interesse da sociedade” (Melo, 1998, p. 11).</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Em outra produção, evidanciamos que “[...] a autonomia universitária não nos foi dada, ela é fruto de um processo de conquistas [...]” (Silveira, 2020, p. 30), o que podemos complementar na afirmação</w:t>
      </w:r>
    </w:p>
    <w:p>
      <w:pPr>
        <w:spacing w:line="240" w:lineRule="auto"/>
        <w:ind w:left="700" w:leftChars="0" w:firstLine="0" w:firstLineChars="0"/>
        <w:jc w:val="both"/>
        <w:rPr>
          <w:rFonts w:ascii="Times New Roman" w:hAnsi="Times New Roman" w:cs="Times New Roman"/>
          <w:lang w:val="pt-PT"/>
        </w:rPr>
      </w:pPr>
      <w:r>
        <w:rPr>
          <w:rFonts w:ascii="Times New Roman" w:hAnsi="Times New Roman" w:cs="Times New Roman"/>
          <w:lang w:val="pt-PT"/>
        </w:rPr>
        <w:t>[...]</w:t>
      </w:r>
      <w:r>
        <w:rPr>
          <w:rFonts w:hint="default" w:ascii="Times New Roman" w:hAnsi="Times New Roman" w:cs="Times New Roman"/>
          <w:lang w:val="pt-PT"/>
        </w:rPr>
        <w:t xml:space="preserve"> </w:t>
      </w:r>
      <w:r>
        <w:rPr>
          <w:rFonts w:ascii="Times New Roman" w:hAnsi="Times New Roman" w:cs="Times New Roman"/>
          <w:lang w:val="pt-PT"/>
        </w:rPr>
        <w:t>como condição especial para que a universidade possa realizar, eficientemente, suas tarefas e ser útil à sociedade. Sobretudo, não devendo ser admitida como um privilégio gratuito, mas como uma responsabilidade que a universidade tem de assumir para atingir seus objetivos</w:t>
      </w:r>
      <w:r>
        <w:rPr>
          <w:rFonts w:hint="default" w:ascii="Times New Roman" w:hAnsi="Times New Roman" w:cs="Times New Roman"/>
          <w:lang w:val="pt-PT"/>
        </w:rPr>
        <w:t>.</w:t>
      </w:r>
      <w:r>
        <w:rPr>
          <w:rFonts w:ascii="Times New Roman" w:hAnsi="Times New Roman" w:cs="Times New Roman"/>
          <w:lang w:val="pt-PT"/>
        </w:rPr>
        <w:t xml:space="preserve"> (Melo, 1998, p. 13).</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Porém, citando Raniere, </w:t>
      </w:r>
      <w:r>
        <w:rPr>
          <w:rFonts w:hint="default" w:ascii="Times New Roman" w:hAnsi="Times New Roman" w:cs="Times New Roman"/>
          <w:lang w:val="pt-PT"/>
        </w:rPr>
        <w:t>(</w:t>
      </w:r>
      <w:r>
        <w:rPr>
          <w:rFonts w:ascii="Times New Roman" w:hAnsi="Times New Roman" w:cs="Times New Roman"/>
          <w:lang w:val="pt-PT"/>
        </w:rPr>
        <w:t>Silveira</w:t>
      </w:r>
      <w:r>
        <w:rPr>
          <w:rFonts w:hint="default" w:ascii="Times New Roman" w:hAnsi="Times New Roman" w:cs="Times New Roman"/>
          <w:lang w:val="pt-PT"/>
        </w:rPr>
        <w:t>,</w:t>
      </w:r>
      <w:r>
        <w:rPr>
          <w:rFonts w:ascii="Times New Roman" w:hAnsi="Times New Roman" w:cs="Times New Roman"/>
          <w:lang w:val="pt-PT"/>
        </w:rPr>
        <w:t xml:space="preserve"> 2020, p.</w:t>
      </w:r>
      <w:r>
        <w:rPr>
          <w:rFonts w:hint="default" w:ascii="Times New Roman" w:hAnsi="Times New Roman" w:cs="Times New Roman"/>
          <w:lang w:val="pt-PT"/>
        </w:rPr>
        <w:t xml:space="preserve"> </w:t>
      </w:r>
      <w:r>
        <w:rPr>
          <w:rFonts w:ascii="Times New Roman" w:hAnsi="Times New Roman" w:cs="Times New Roman"/>
          <w:lang w:val="pt-PT"/>
        </w:rPr>
        <w:t>30) ratifica “O exercício da prerrogativa da autonomia universitária ainda se submete ao peso e às dimensões da intervenção e do controle estatal na educação superior, concentradas sobretudo no governo federal, por força da distribuição constitucional de competências na área educacional”. Neste sentido “A autonomia seria, portanto uma via de mão dupla, com responsabilidade por parte do Estado, de garantir autonomia e financiamento e responsabilidade por parte da universidade de se auto-gerir de forma consciente e prestando conta de seus atos” (Alves, 2010, p. 60).</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Nas questões administrativas ficam evidenciadas as limitações no contexto universitário, como por exemplo a questão de escolha dos representantes, em que são questionadas as formas de eleição, muito embora as instituições tenham autonomia para decidir junto a comunidade, ou seja, “[...] é facultado a ela que realize uma consulta prévia à comunidade universitária, nos termos estabelecidos pelo colegiado máximo da instituição” (Charqueiro, 2020, p. 66). A consulta prévia fica vinculada a uma votação do colegiado máximo e </w:t>
      </w:r>
    </w:p>
    <w:p>
      <w:pPr>
        <w:spacing w:line="240" w:lineRule="auto"/>
        <w:ind w:left="700"/>
        <w:jc w:val="both"/>
        <w:rPr>
          <w:rFonts w:ascii="Times New Roman" w:hAnsi="Times New Roman" w:cs="Times New Roman"/>
          <w:lang w:val="pt-PT"/>
        </w:rPr>
      </w:pPr>
      <w:r>
        <w:rPr>
          <w:rFonts w:ascii="Times New Roman" w:hAnsi="Times New Roman" w:cs="Times New Roman"/>
          <w:lang w:val="pt-PT"/>
        </w:rPr>
        <w:t>Os colegiados deverão ser constituídos de representantes dos diversos segmentos da comunidade universitária e da sociedade, com observância do mínimo de setenta por cento de membros do corpo docente no total de sua composição. O órgão colegiado não fica vinculado ao resultado da consulta à comunidade acadêmica. (Charqueiro, 2020, p. 66).</w:t>
      </w:r>
    </w:p>
    <w:p>
      <w:pPr>
        <w:spacing w:line="240" w:lineRule="auto"/>
        <w:ind w:firstLine="700"/>
        <w:jc w:val="both"/>
        <w:rPr>
          <w:rFonts w:ascii="Times New Roman" w:hAnsi="Times New Roman" w:cs="Times New Roman"/>
          <w:lang w:val="pt-PT"/>
        </w:rPr>
      </w:pPr>
      <w:r>
        <w:rPr>
          <w:rFonts w:hint="default" w:ascii="Times New Roman" w:hAnsi="Times New Roman" w:cs="Times New Roman"/>
          <w:lang w:val="pt-PT"/>
        </w:rPr>
        <w:t>Nesse contexto, destacam-se duas questões relevantes</w:t>
      </w:r>
      <w:r>
        <w:rPr>
          <w:rFonts w:ascii="Times New Roman" w:hAnsi="Times New Roman" w:cs="Times New Roman"/>
          <w:lang w:val="pt-PT"/>
        </w:rPr>
        <w:t>, s</w:t>
      </w:r>
      <w:r>
        <w:rPr>
          <w:rFonts w:hint="default" w:ascii="Times New Roman" w:hAnsi="Times New Roman" w:cs="Times New Roman"/>
          <w:lang w:val="pt-PT"/>
        </w:rPr>
        <w:t>em adentrar no mérito,</w:t>
      </w:r>
      <w:r>
        <w:rPr>
          <w:rFonts w:ascii="Times New Roman" w:hAnsi="Times New Roman" w:cs="Times New Roman"/>
          <w:lang w:val="pt-PT"/>
        </w:rPr>
        <w:t xml:space="preserve"> </w:t>
      </w:r>
      <w:r>
        <w:rPr>
          <w:rFonts w:hint="default" w:ascii="Times New Roman" w:hAnsi="Times New Roman" w:cs="Times New Roman"/>
          <w:lang w:val="pt-PT"/>
        </w:rPr>
        <w:t xml:space="preserve">observa-se que, </w:t>
      </w:r>
      <w:r>
        <w:rPr>
          <w:rFonts w:ascii="Times New Roman" w:hAnsi="Times New Roman" w:cs="Times New Roman"/>
          <w:lang w:val="pt-PT"/>
        </w:rPr>
        <w:t>embora a consulta po</w:t>
      </w:r>
      <w:r>
        <w:rPr>
          <w:rFonts w:hint="default" w:ascii="Times New Roman" w:hAnsi="Times New Roman" w:cs="Times New Roman"/>
          <w:lang w:val="pt-PT"/>
        </w:rPr>
        <w:t>ssa</w:t>
      </w:r>
      <w:r>
        <w:rPr>
          <w:rFonts w:ascii="Times New Roman" w:hAnsi="Times New Roman" w:cs="Times New Roman"/>
          <w:lang w:val="pt-PT"/>
        </w:rPr>
        <w:t xml:space="preserve"> ser realizada, ela não é absoluta, ou seja, o órgão colegiado não é obrigado a atender ao resultado. No mesmo sentido que Sena (2021, p. 40) aborda a questão democrática instituída e alerta que “[...] a autonomia universitária está diretamente associada à ideia de democracia”, portanto é preservado o direito de consulta democrática, em que Charqueiro (2020) apresenta o uso da autonomia para ser realizada.</w:t>
      </w:r>
    </w:p>
    <w:p>
      <w:pPr>
        <w:spacing w:line="240" w:lineRule="auto"/>
        <w:ind w:firstLine="700"/>
        <w:jc w:val="both"/>
        <w:rPr>
          <w:rFonts w:ascii="Times New Roman" w:hAnsi="Times New Roman" w:cs="Times New Roman"/>
          <w:lang w:val="pt-PT"/>
        </w:rPr>
      </w:pPr>
      <w:r>
        <w:rPr>
          <w:rFonts w:hint="default" w:ascii="Times New Roman" w:hAnsi="Times New Roman" w:cs="Times New Roman"/>
          <w:lang w:val="pt-PT"/>
        </w:rPr>
        <w:t>Charqueiro (2020)</w:t>
      </w:r>
      <w:r>
        <w:rPr>
          <w:rFonts w:ascii="Times New Roman" w:hAnsi="Times New Roman" w:cs="Times New Roman"/>
          <w:lang w:val="pt-PT"/>
        </w:rPr>
        <w:t xml:space="preserve"> relata que instituições realizaram suas consultas de forma autônoma atendendo ou não o indicativo de quantitativo de percentual docente na composição [Parágrafo único do Artigo 56 da LDB/1996 (Brasil, 1996): Em qualquer caso, os docentes ocuparão setenta por cento dos assentos em cada órgão colegiado e comissão, inclusive nos que tratarem da elaboração e modificações estatutárias e regimentais, bem como da escolha de dirigentes]. Porém, na deliberação do resultado foi realizada nova votação no colegiado máximo, que atende a esta regulamentação.</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Até este momento</w:t>
      </w:r>
      <w:r>
        <w:rPr>
          <w:rFonts w:hint="default" w:ascii="Times New Roman" w:hAnsi="Times New Roman" w:cs="Times New Roman"/>
          <w:lang w:val="pt-PT"/>
        </w:rPr>
        <w:t>,</w:t>
      </w:r>
      <w:r>
        <w:rPr>
          <w:rFonts w:ascii="Times New Roman" w:hAnsi="Times New Roman" w:cs="Times New Roman"/>
          <w:lang w:val="pt-PT"/>
        </w:rPr>
        <w:t xml:space="preserve"> já é possível perceber que foram apresentadas duas formas de contornar o texto da redação oficial em prol da autonomia, ou seja, embora sendo bastante confrontada, a autonomia universitária vem se mantendo como mecanismo dinâmico e flexível, pelo menos no</w:t>
      </w:r>
      <w:r>
        <w:rPr>
          <w:rFonts w:hint="default" w:ascii="Times New Roman" w:hAnsi="Times New Roman" w:cs="Times New Roman"/>
          <w:lang w:val="pt-PT"/>
        </w:rPr>
        <w:t>s</w:t>
      </w:r>
      <w:r>
        <w:rPr>
          <w:rFonts w:ascii="Times New Roman" w:hAnsi="Times New Roman" w:cs="Times New Roman"/>
          <w:lang w:val="pt-PT"/>
        </w:rPr>
        <w:t xml:space="preserve"> processo</w:t>
      </w:r>
      <w:r>
        <w:rPr>
          <w:rFonts w:hint="default" w:ascii="Times New Roman" w:hAnsi="Times New Roman" w:cs="Times New Roman"/>
          <w:lang w:val="pt-PT"/>
        </w:rPr>
        <w:t>s</w:t>
      </w:r>
      <w:r>
        <w:rPr>
          <w:rFonts w:ascii="Times New Roman" w:hAnsi="Times New Roman" w:cs="Times New Roman"/>
          <w:lang w:val="pt-PT"/>
        </w:rPr>
        <w:t xml:space="preserve"> interno relatado por Charqueiro (2020).</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Porém, quanto a questões financeiras “No que se refere à autonomia administrativa na educação (salários, investimento em infraestrutura, aumento de vagas) e a financeira (orçamento, destinação de rubricas), as universidades federais não teriam nenhuma liberdade</w:t>
      </w:r>
      <w:r>
        <w:rPr>
          <w:rFonts w:hint="default" w:ascii="Times New Roman" w:hAnsi="Times New Roman" w:cs="Times New Roman"/>
          <w:lang w:val="pt-PT"/>
        </w:rPr>
        <w:t>.</w:t>
      </w:r>
      <w:r>
        <w:rPr>
          <w:rFonts w:ascii="Times New Roman" w:hAnsi="Times New Roman" w:cs="Times New Roman"/>
          <w:lang w:val="pt-PT"/>
        </w:rPr>
        <w:t>” (Cirne, 2012, p. 31).  Um dos grandes entraves que as instituições convivem, reforça a necessidade de “[...] conferir autonomia [...] com a vinculação de parte da receita, a ser gasta como cada instituição decidisse, cabendo ao Estado o papel de fiscalização de uma entidade sui-generis”.</w:t>
      </w:r>
      <w:r>
        <w:rPr>
          <w:rFonts w:hint="default" w:ascii="Times New Roman" w:hAnsi="Times New Roman" w:cs="Times New Roman"/>
          <w:lang w:val="pt-PT"/>
        </w:rPr>
        <w:t xml:space="preserve"> (</w:t>
      </w:r>
      <w:r>
        <w:rPr>
          <w:rFonts w:ascii="Times New Roman" w:hAnsi="Times New Roman" w:cs="Times New Roman"/>
          <w:lang w:val="pt-PT"/>
        </w:rPr>
        <w:t>Cirne</w:t>
      </w:r>
      <w:r>
        <w:rPr>
          <w:rFonts w:hint="default" w:ascii="Times New Roman" w:hAnsi="Times New Roman" w:cs="Times New Roman"/>
          <w:lang w:val="pt-PT"/>
        </w:rPr>
        <w:t>,</w:t>
      </w:r>
      <w:r>
        <w:rPr>
          <w:rFonts w:ascii="Times New Roman" w:hAnsi="Times New Roman" w:cs="Times New Roman"/>
          <w:lang w:val="pt-PT"/>
        </w:rPr>
        <w:t xml:space="preserve"> 2012, p. 31)</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Esta autonomia, seria importante para que seja atendida as especificidades de cada instituição tendo em vista </w:t>
      </w:r>
    </w:p>
    <w:p>
      <w:pPr>
        <w:spacing w:line="240" w:lineRule="auto"/>
        <w:ind w:left="700"/>
        <w:jc w:val="both"/>
        <w:rPr>
          <w:rFonts w:ascii="Times New Roman" w:hAnsi="Times New Roman" w:cs="Times New Roman"/>
          <w:lang w:val="pt-PT"/>
        </w:rPr>
      </w:pPr>
      <w:r>
        <w:rPr>
          <w:rFonts w:ascii="Times New Roman" w:hAnsi="Times New Roman" w:cs="Times New Roman"/>
          <w:lang w:val="pt-PT"/>
        </w:rPr>
        <w:t xml:space="preserve">A pluralidade situada no interior das universidades é fator determinante para que a autonomia universitária seja colocada em prática, considerando que as universidades representam os anseios da sociedade como um todo, mesmo quando não chega para a sociedade o que é realizado dentro das Instituições de Ensino Superior (IES). (Sena, 2021, p. 41).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Fica difícil atender aos anseios de uma sociedade específica, com recursos pensados para uma maioria ou para um todo imaginário.</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Desta forma “[...] as respostas da organização à complexidade institucional são afetadas por sua dependência de atores institucionais influentes no nível de campo, o que influencia a definição de respostas estratégicas e estruturais” (Silva 2022, p. 44). Es</w:t>
      </w:r>
      <w:r>
        <w:rPr>
          <w:rFonts w:hint="default" w:ascii="Times New Roman" w:hAnsi="Times New Roman" w:cs="Times New Roman"/>
          <w:lang w:val="pt-PT"/>
        </w:rPr>
        <w:t>s</w:t>
      </w:r>
      <w:r>
        <w:rPr>
          <w:rFonts w:ascii="Times New Roman" w:hAnsi="Times New Roman" w:cs="Times New Roman"/>
          <w:lang w:val="pt-PT"/>
        </w:rPr>
        <w:t>a passagem não se refere apenas ao financeiro, tendo em vista que toda a instituição depende dos atores influentes que acabam por manter “[...] relações de dependência de poder, também conceituadas como “ordens de dominação”, se estabeleçam entre uma organização e os atores do campo” (Silva, 2022, p. 44).</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Outra questão administrativa que interfere na autonomia universitária, é a própria carreira docente. “Hoje, oficialmente, as universidades públicas atribuem aos professores quatro funções: o ensino, a pesquisa, a administração e a extensão” (Souza, 2021, p. 34). Esta multiplicidade de tarefas, até certo ponto, imposta pelo artigo 207 da CF/88 (Brasil, 1988</w:t>
      </w:r>
      <w:r>
        <w:rPr>
          <w:rFonts w:ascii="Times New Roman" w:hAnsi="Times New Roman" w:cs="Times New Roman"/>
          <w:lang w:val="pt-BR"/>
        </w:rPr>
        <w:t xml:space="preserve">) </w:t>
      </w:r>
      <w:r>
        <w:rPr>
          <w:rFonts w:ascii="Times New Roman" w:hAnsi="Times New Roman" w:cs="Times New Roman"/>
          <w:lang w:val="pt-PT"/>
        </w:rPr>
        <w:t xml:space="preserve">e pelo parágrafo único do Artigo 56 da LDB/1996 (Brasil, 1996), </w:t>
      </w:r>
      <w:r>
        <w:rPr>
          <w:rFonts w:hint="default" w:ascii="Times New Roman" w:hAnsi="Times New Roman" w:cs="Times New Roman"/>
          <w:lang w:val="pt-PT"/>
        </w:rPr>
        <w:t>direciona</w:t>
      </w:r>
      <w:r>
        <w:rPr>
          <w:rFonts w:ascii="Times New Roman" w:hAnsi="Times New Roman" w:cs="Times New Roman"/>
          <w:lang w:val="pt-PT"/>
        </w:rPr>
        <w:t xml:space="preserve"> a autonomia da universidade, majoritariamente, a esta categoria.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Salientamos este fato, pois existem movimentos, assim como os apontados em Charqueiro (2020) que, pelo menos nos processos de consulta à comunidade, não atribuem pesos diferenciados para docentes, discentes e servidores. Sem fazer juízo de valor, o que demonstramos é que em </w:t>
      </w:r>
      <w:r>
        <w:rPr>
          <w:rFonts w:hint="default" w:ascii="Times New Roman" w:hAnsi="Times New Roman" w:cs="Times New Roman"/>
          <w:lang w:val="pt-PT"/>
        </w:rPr>
        <w:t>cenários</w:t>
      </w:r>
      <w:r>
        <w:rPr>
          <w:rFonts w:ascii="Times New Roman" w:hAnsi="Times New Roman" w:cs="Times New Roman"/>
          <w:lang w:val="pt-PT"/>
        </w:rPr>
        <w:t xml:space="preserve"> de disputas, em um contexto democrático, sim, estas questões devem ser pauta de debates e deliberações.</w:t>
      </w:r>
    </w:p>
    <w:p>
      <w:pPr>
        <w:spacing w:line="240" w:lineRule="auto"/>
        <w:ind w:firstLine="700"/>
        <w:jc w:val="both"/>
        <w:rPr>
          <w:rFonts w:ascii="Times New Roman" w:hAnsi="Times New Roman" w:cs="Times New Roman"/>
          <w:lang w:val="pt-PT"/>
        </w:rPr>
      </w:pPr>
      <w:r>
        <w:rPr>
          <w:rFonts w:hint="default" w:ascii="Times New Roman" w:hAnsi="Times New Roman" w:cs="Times New Roman"/>
          <w:lang w:val="pt-PT"/>
        </w:rPr>
        <w:t>Esses debates</w:t>
      </w:r>
      <w:r>
        <w:rPr>
          <w:rFonts w:ascii="Times New Roman" w:hAnsi="Times New Roman" w:cs="Times New Roman"/>
          <w:lang w:val="pt-PT"/>
        </w:rPr>
        <w:t xml:space="preserve"> que também são influenciados pela democracia, assim como sua interpretação e deliberação. Silveira (2020) apresenta três facetas da democracia sobre a ótica da universidade: a democratização do acesso, a democratização interna e a democratização externa. A primeira para a garantia do direito a educação, a segunda, que se refere aos processos administrativos, nas palavras do autor “[...] que engloba as instâncias deliberativas existentes dentro das universidades, a participação dos seus segmentos, além da transparência nos processos de comunicação e informação, e nas responsabilidades individuais e coletivas” (Silveira, 2020, p. 35), e a última que se refere ao retorno à comunidade.</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A democratização interna (segunda faceta) vem ao encontro da afirmação de Santos (2024) sobre autonomia admintrativa que </w:t>
      </w:r>
    </w:p>
    <w:p>
      <w:pPr>
        <w:spacing w:line="240" w:lineRule="auto"/>
        <w:ind w:left="700" w:leftChars="0" w:firstLine="0" w:firstLineChars="0"/>
        <w:jc w:val="both"/>
        <w:rPr>
          <w:rFonts w:ascii="Times New Roman" w:hAnsi="Times New Roman" w:cs="Times New Roman"/>
          <w:lang w:val="pt-PT"/>
        </w:rPr>
      </w:pPr>
      <w:r>
        <w:rPr>
          <w:rFonts w:ascii="Times New Roman" w:hAnsi="Times New Roman" w:cs="Times New Roman"/>
          <w:lang w:val="pt-PT"/>
        </w:rPr>
        <w:t>[...] consiste na capacidade de autogestão da universidade, de instituir as próprias normas internas, sejam administrativas ou educacionais; de gerir seus recursos humanos e materiais;  regular as condutas acadêmicas e o funcionamento do campus, sendo um meio de viabilizar a autonomia didático-científica</w:t>
      </w:r>
      <w:r>
        <w:rPr>
          <w:rFonts w:hint="default" w:ascii="Times New Roman" w:hAnsi="Times New Roman" w:cs="Times New Roman"/>
          <w:lang w:val="pt-PT"/>
        </w:rPr>
        <w:t>.</w:t>
      </w:r>
      <w:r>
        <w:rPr>
          <w:rFonts w:ascii="Times New Roman" w:hAnsi="Times New Roman" w:cs="Times New Roman"/>
          <w:lang w:val="pt-PT"/>
        </w:rPr>
        <w:t xml:space="preserve"> (Santos, 2024, pp. 27-28).</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Até o presente momento já foi possível afirmar que embora seja parte do texto constitucional a autonomia universitária </w:t>
      </w:r>
    </w:p>
    <w:p>
      <w:pPr>
        <w:spacing w:line="240" w:lineRule="auto"/>
        <w:ind w:left="700"/>
        <w:jc w:val="both"/>
        <w:rPr>
          <w:rFonts w:ascii="Times New Roman" w:hAnsi="Times New Roman" w:cs="Times New Roman"/>
          <w:lang w:val="pt-PT"/>
        </w:rPr>
      </w:pPr>
      <w:r>
        <w:rPr>
          <w:rFonts w:ascii="Times New Roman" w:hAnsi="Times New Roman" w:cs="Times New Roman"/>
          <w:lang w:val="pt-PT"/>
        </w:rPr>
        <w:t>[...] é um território de disputa, que encontra entraves reais tanto por parte das políticas de Estado, que por um lado reconhecem a autonomia didático-científica destas instituições, mas ainda as submetem a orçamentos engessados, que não permitem aos gestores estabelecerem as suas prioridades nos mais diversos contextos em que estas instituições se encontram. (Silveira, 2020, p. 31)</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Esta passagem de Silveira (2020) foi propositalmente inserida neste momento como fecho de todas as colocações, tendo em vista que resume tudo o que temos abordado nas publicações estudadas como: as disputas entre atores e os entraves financeiros e administrativos. Como os entraves financeiros e administrativos correspondem a circunstâncias mais complexas, como a própria configuração de autarquia da instituição, cabe destacar mais uma passagem que pode servir de inspiração no campo das disputas. Lima (2008) apresenta depoimento em relação ao Grupo de Trabalho da Reforma Universitária em tempos de ditadura: “[...]a reforma universitária instituída naquele momento não representou, de fato, a mudança almejada pela comunidade acadêmica, mas sim aquela possível e consentida pela ditadura militar e pela burguesia que lhe dava sustentação” (Lima, 2008, p. 43).</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A complexidade da autonomia deve-se a muitos fatores entre eles o fator tempo, neste exemplo podemos identificar este contexto. O estudo de Silveira (2020), também, aponta outra questão diretamente ligada a esses contextos históricos temporais – a participação feminina que tem origem na </w:t>
      </w:r>
    </w:p>
    <w:p>
      <w:pPr>
        <w:spacing w:line="240" w:lineRule="auto"/>
        <w:ind w:left="700"/>
        <w:jc w:val="both"/>
        <w:rPr>
          <w:rFonts w:ascii="Times New Roman" w:hAnsi="Times New Roman" w:cs="Times New Roman"/>
          <w:lang w:val="pt-PT"/>
        </w:rPr>
      </w:pPr>
      <w:r>
        <w:rPr>
          <w:rFonts w:ascii="Times New Roman" w:hAnsi="Times New Roman" w:cs="Times New Roman"/>
          <w:lang w:val="pt-PT"/>
        </w:rPr>
        <w:t>[...] “polis” grega, sinônimo de liberdade e democracia na antiguidade, estabelecia a igualdade de participação entre os seus cidadãos, mas excluía dessa categoria todos aqueles que não eram homens, maiores de 21 anos, atenienses e livres. As mulheres permaneciam excluídas da cidadania, sujeitas a uma série de restrições legais que limitavam os seus direitos dentro e fora da família. (Silveira, 2020, p.  40).</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O estudo apresenta outras questões como a própria gestão democrática e a participação nos órgãos colegiados por representações femininas, e apontam que quanto maior é a atribuição em nível hieárquico, mais é a escacês da presença feminina (Silveira, 2020). E conclui apoiado em suas pesquisas que “As organizações, [...] tendem a preservar o seu status quo por meio da preservação do poder masculino, que se perpetua ao longo do tempo [...]” (Silveira, 2020, p. 43).</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Entre tantos relatos dos estudos sobre a autonomia universitária é que iremos, na sequência, pontuar alguns aspectos importantes traduzidos nas produções científicas e nas nossas constatações, bem como encaminhar a conclusão da pesquisa.</w:t>
      </w:r>
    </w:p>
    <w:p>
      <w:pPr>
        <w:spacing w:line="240" w:lineRule="auto"/>
        <w:jc w:val="both"/>
        <w:rPr>
          <w:rFonts w:ascii="Times New Roman" w:hAnsi="Times New Roman" w:cs="Times New Roman"/>
          <w:lang w:val="pt-PT"/>
        </w:rPr>
      </w:pPr>
    </w:p>
    <w:p>
      <w:pPr>
        <w:spacing w:line="240" w:lineRule="auto"/>
        <w:rPr>
          <w:rFonts w:ascii="Times New Roman" w:hAnsi="Times New Roman" w:cs="Times New Roman"/>
          <w:b/>
          <w:bCs/>
          <w:lang w:val="pt-PT"/>
        </w:rPr>
      </w:pPr>
      <w:r>
        <w:rPr>
          <w:rFonts w:ascii="Times New Roman" w:hAnsi="Times New Roman" w:cs="Times New Roman"/>
          <w:b/>
          <w:bCs/>
        </w:rPr>
        <w:t>Conclus</w:t>
      </w:r>
      <w:r>
        <w:rPr>
          <w:rFonts w:ascii="Times New Roman" w:hAnsi="Times New Roman" w:cs="Times New Roman"/>
          <w:b/>
          <w:bCs/>
          <w:lang w:val="pt-PT"/>
        </w:rPr>
        <w:t>ões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Inicialmente o que merece destaque é o fato evolutivo da temática, pode-se concluir que embora com quantidade relativamente pequena (173 produções ao longo de 48 anos), há uma curva de crescimento considerável, e o que chama mais a atenção é que o processo evolutivo tem início em um período desfavorável (Regime Militar), mesmo diante das descrenças e desfavorecimentos evidenciados posteriomente em estudos que apresentam as reformas nas universidades.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Outro ponto também evidenciado é a flexibilidade da temática, até por ser a universidade uma organização dinâmica, que acompanha o tempo e seu contexto. A Autonomia universitária vem se adaptando ao contexto histórico e tem sido centralidade na motivação e disputas, pois sua composição heterogênica é pressuposto para tal.</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Desta reflexão evolutiva, o que podemos concluir é que embora atacada ou, por vezes, deixada de lado, a autonomia se mantém e, cada vez mais, abarca assuntos diversos, em que algumas temáticas envolvidas tem maior repercussão, outras nem tanto, mas ainda assim geram discussões, atenções e tensões; todas estas bem-vindas em um processo democrático.</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 xml:space="preserve">Inicialmente queríamos organizar a exposição das categorias e os fatos relevantes em cada uma delas de forma pontual, mas isto tornou-se impossível, tendo em vista a complexidade do assunto, em que a autonomia não desprendida da própria democracia é constantemente influenciada e guiada por questões naturais das organizações públicas e sociais. As ações institucionais não ocorrem sem influências de atores, sejam eles internos ou externos, assim como as questões financeiras e administrativas, embora controladas de forma geral pelo poder público, não ficam imunes a ação humana e seus interesses. </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 universidade embora engessada aos orçamentos governamentais, e seus constantes cortes, traça caminhos para contornar estas limitações. Mas essas escolhas passam por deliberações internas e seus órgãos colegiados, que de toda forma têm suas diferenças. Diferenças que podem decidir autonomamente pelo caminho a ser seguido.</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Embora limitados em questões administrativas com relação aos recursos humanos, pois o quadro de servidores, sejam docentes ou técnicos-administrativos são controlados pelo governo, as instituições tem autonomia para realizar as estruturas de ingresso e gestão de cargos, sejam eles concursos para servidores efetivos, ou designação para cargos de chefia. Neste ponto, não podemos deixar de salientar o fato do cargo máximo de gestão (Reitoria) em que a palavra final é atribuição do Presidente da República. Ou seja, a instituição escolhe, mas além da votação final ter de passar pelo “bom senso” do órgão superior, ainda será necessária a aprovação de Presidente.</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Para concluir, salientamos três pontos importantes, o primeiro é que a noção de autonomia não é concenso e, portanto, se constitui motivo de disputas, sejam elas internas ou externas. O segundo é que entre todas as produções foi possível perceber que existe consenso na acertiva “autonomia não é soberania” e, de fato, conforme o próprio texto a lei delimita a autonomia a questões específicas, sendo</w:t>
      </w:r>
      <w:r>
        <w:rPr>
          <w:rFonts w:hint="default" w:ascii="Times New Roman" w:hAnsi="Times New Roman" w:cs="Times New Roman"/>
          <w:lang w:val="pt-PT"/>
        </w:rPr>
        <w:t xml:space="preserve"> </w:t>
      </w:r>
      <w:r>
        <w:rPr>
          <w:rFonts w:ascii="Times New Roman" w:hAnsi="Times New Roman" w:cs="Times New Roman"/>
          <w:lang w:val="pt-PT"/>
        </w:rPr>
        <w:t>desafiador afirmar qualquer situação em contrário, justamente porque a autonomia se refere a apenas três funções “didático-científica, administrativa e gestão financeira e patrimonial” e, mesmo nestas funções, já apontamos alguns limites, principalmente  no fincanceiro. E, por último, a questão da limitação financeira, que embora alguns textos não abordem de forma declarada, está implicita nos processos decisórios.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Diante desses pontos, não podemos deixar de abordar a nossa responsabilidade diante desta temática, como já foi exposto, a autonomia não foi dada como dádiva e não está intocada desde então, ela vem se transformando e se adaptando através do tempo. Não existem mudanças que sejam promovidas do nada, sempre haverá uma intensão junto a mesma, seja ela como forma de limitações ou ampliações, e cabe a todos estar atentos a estas propostas.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 universidade por ser um organismo vivo e complexo estará sempre envolvida em pautas referentes a relevância social e educacional; sua função é esta e, ainda, sendo uma instituição democrática, necessita da participação e envolvimento dos representantes e seus representados nas decisões e deliberações. Sabemos da limitação dos órgãos colegiados, mas como algumas produções apresentaram, existem formas de ampliarmos as discussões sem que estas normativas sejam infringidas.</w:t>
      </w:r>
    </w:p>
    <w:p>
      <w:pPr>
        <w:spacing w:line="240" w:lineRule="auto"/>
        <w:ind w:firstLine="700"/>
        <w:jc w:val="both"/>
        <w:rPr>
          <w:rFonts w:ascii="Times New Roman" w:hAnsi="Times New Roman" w:cs="Times New Roman"/>
          <w:lang w:val="pt-PT"/>
        </w:rPr>
      </w:pPr>
      <w:r>
        <w:rPr>
          <w:rFonts w:ascii="Times New Roman" w:hAnsi="Times New Roman" w:cs="Times New Roman"/>
          <w:lang w:val="pt-PT"/>
        </w:rPr>
        <w:t>A autonomia constitui uma garantia que não pode ser esquecida ou menosprezada e, nesse sentido, é necessário trazermos para a pauta sempre outras ideias, outras perspectivas e novos formatos de pensar a universidade de maneira democrática, para não cair no círculo vicioso de percorrer os mesmos caminhos que nos levaram a momentos desafortunados. Nós atores, participantes ou não de órgãos colegiados, não podemos ficar alheios aos movimentos e às deliberações universitárias. É preciso exercer a autonomia apresentada em sua etimologia – direito de se guiar seguindo as suas próprias leis.</w:t>
      </w:r>
    </w:p>
    <w:p>
      <w:pPr>
        <w:spacing w:line="240" w:lineRule="auto"/>
        <w:jc w:val="both"/>
        <w:rPr>
          <w:rFonts w:ascii="Times New Roman" w:hAnsi="Times New Roman" w:cs="Times New Roman"/>
        </w:rPr>
      </w:pPr>
    </w:p>
    <w:p>
      <w:pPr>
        <w:spacing w:line="240" w:lineRule="auto"/>
        <w:rPr>
          <w:rFonts w:ascii="Times New Roman" w:hAnsi="Times New Roman" w:cs="Times New Roman"/>
          <w:b/>
          <w:bCs/>
        </w:rPr>
      </w:pPr>
      <w:r>
        <w:rPr>
          <w:rFonts w:ascii="Times New Roman" w:hAnsi="Times New Roman" w:cs="Times New Roman"/>
          <w:b/>
          <w:bCs/>
        </w:rPr>
        <w:t>Referencias Bibliográficas (APA 7)</w:t>
      </w:r>
    </w:p>
    <w:p>
      <w:pPr>
        <w:spacing w:line="240" w:lineRule="auto"/>
        <w:rPr>
          <w:rFonts w:ascii="Times New Roman" w:hAnsi="Times New Roman" w:cs="Times New Roman"/>
          <w:lang w:val="pt-PT"/>
        </w:rPr>
      </w:pPr>
      <w:r>
        <w:rPr>
          <w:rFonts w:ascii="Times New Roman" w:hAnsi="Times New Roman" w:cs="Times New Roman"/>
          <w:lang w:val="pt-PT"/>
        </w:rPr>
        <w:t xml:space="preserve">Almeida, T. A. F. de. (2013). </w:t>
      </w:r>
      <w:r>
        <w:rPr>
          <w:rFonts w:ascii="Times New Roman" w:hAnsi="Times New Roman" w:cs="Times New Roman"/>
          <w:i/>
          <w:iCs/>
          <w:lang w:val="pt-PT"/>
        </w:rPr>
        <w:t>Fundações de apoio - regime jurídico - autonomia universitária.</w:t>
      </w:r>
      <w:r>
        <w:rPr>
          <w:rFonts w:ascii="Times New Roman" w:hAnsi="Times New Roman" w:cs="Times New Roman"/>
          <w:lang w:val="pt-PT"/>
        </w:rPr>
        <w:t xml:space="preserve"> [Dissertação de Mestrado, Pontifícia Universidade Católica de São Paulo]. Recuperado em 03 de março de 2026, de https://tede2.pucsp.br/handle/handle/6183.</w:t>
      </w:r>
    </w:p>
    <w:p>
      <w:pPr>
        <w:spacing w:line="240" w:lineRule="auto"/>
        <w:rPr>
          <w:rFonts w:ascii="Times New Roman" w:hAnsi="Times New Roman" w:cs="Times New Roman"/>
        </w:rPr>
      </w:pPr>
      <w:r>
        <w:rPr>
          <w:rFonts w:ascii="Times New Roman" w:hAnsi="Times New Roman" w:cs="Times New Roman"/>
          <w:lang w:val="pt-PT"/>
        </w:rPr>
        <w:t>Alves</w:t>
      </w:r>
      <w:r>
        <w:rPr>
          <w:rFonts w:ascii="Times New Roman" w:hAnsi="Times New Roman" w:cs="Times New Roman"/>
        </w:rPr>
        <w:t xml:space="preserve">, </w:t>
      </w:r>
      <w:r>
        <w:rPr>
          <w:rFonts w:ascii="Times New Roman" w:hAnsi="Times New Roman" w:cs="Times New Roman"/>
          <w:lang w:val="pt-PT"/>
        </w:rPr>
        <w:t>T</w:t>
      </w:r>
      <w:r>
        <w:rPr>
          <w:rFonts w:ascii="Times New Roman" w:hAnsi="Times New Roman" w:cs="Times New Roman"/>
        </w:rPr>
        <w:t xml:space="preserve">. </w:t>
      </w:r>
      <w:r>
        <w:rPr>
          <w:rFonts w:ascii="Times New Roman" w:hAnsi="Times New Roman" w:cs="Times New Roman"/>
          <w:lang w:val="pt-PT"/>
        </w:rPr>
        <w:t>A</w:t>
      </w:r>
      <w:r>
        <w:rPr>
          <w:rFonts w:ascii="Times New Roman" w:hAnsi="Times New Roman" w:cs="Times New Roman"/>
        </w:rPr>
        <w:t>.</w:t>
      </w:r>
      <w:r>
        <w:rPr>
          <w:rFonts w:ascii="Times New Roman" w:hAnsi="Times New Roman" w:cs="Times New Roman"/>
          <w:lang w:val="pt-PT"/>
        </w:rPr>
        <w:t xml:space="preserve"> F.</w:t>
      </w:r>
      <w:r>
        <w:rPr>
          <w:rFonts w:ascii="Times New Roman" w:hAnsi="Times New Roman" w:cs="Times New Roman"/>
        </w:rPr>
        <w:t xml:space="preserve"> de. (</w:t>
      </w:r>
      <w:r>
        <w:rPr>
          <w:rFonts w:ascii="Times New Roman" w:hAnsi="Times New Roman" w:cs="Times New Roman"/>
          <w:lang w:val="pt-PT"/>
        </w:rPr>
        <w:t>2010</w:t>
      </w:r>
      <w:r>
        <w:rPr>
          <w:rFonts w:ascii="Times New Roman" w:hAnsi="Times New Roman" w:cs="Times New Roman"/>
        </w:rPr>
        <w:t xml:space="preserve">). </w:t>
      </w:r>
      <w:r>
        <w:rPr>
          <w:rFonts w:ascii="Times New Roman" w:hAnsi="Times New Roman" w:cs="Times New Roman"/>
          <w:i/>
          <w:iCs/>
        </w:rPr>
        <w:t>A autonomia universitária nos anos 90 e o contexto de debates acerca do ensino superior brasileiro</w:t>
      </w:r>
      <w:r>
        <w:rPr>
          <w:rFonts w:ascii="Times New Roman" w:hAnsi="Times New Roman" w:cs="Times New Roman"/>
          <w:i/>
          <w:iCs/>
          <w:lang w:val="pt-PT"/>
        </w:rPr>
        <w:t>.</w:t>
      </w:r>
      <w:r>
        <w:rPr>
          <w:rFonts w:ascii="Times New Roman" w:hAnsi="Times New Roman" w:cs="Times New Roman"/>
          <w:lang w:val="pt-PT"/>
        </w:rPr>
        <w:t xml:space="preserve"> </w:t>
      </w:r>
      <w:r>
        <w:rPr>
          <w:rFonts w:ascii="Times New Roman" w:hAnsi="Times New Roman" w:cs="Times New Roman"/>
        </w:rPr>
        <w:t xml:space="preserve">[Dissertação de Mestrado, Universidade Federal de Juiz de Fora]. Recuperado em 03 de março de 2026, de </w:t>
      </w:r>
      <w:r>
        <w:fldChar w:fldCharType="begin"/>
      </w:r>
      <w:r>
        <w:instrText xml:space="preserve"> HYPERLINK "https://repositorio.ufjf.br/jspui/handle/ufjf/2694." </w:instrText>
      </w:r>
      <w:r>
        <w:fldChar w:fldCharType="separate"/>
      </w:r>
      <w:r>
        <w:rPr>
          <w:rStyle w:val="14"/>
          <w:rFonts w:ascii="Times New Roman" w:hAnsi="Times New Roman" w:cs="Times New Roman"/>
        </w:rPr>
        <w:t>https://repositorio.ufjf.br/jspui/handle/ufjf/2694.</w:t>
      </w:r>
      <w:r>
        <w:rPr>
          <w:rStyle w:val="14"/>
          <w:rFonts w:ascii="Times New Roman" w:hAnsi="Times New Roman" w:cs="Times New Roman"/>
        </w:rPr>
        <w:fldChar w:fldCharType="end"/>
      </w:r>
    </w:p>
    <w:p>
      <w:pPr>
        <w:spacing w:line="240" w:lineRule="auto"/>
        <w:rPr>
          <w:rFonts w:ascii="Times New Roman" w:hAnsi="Times New Roman" w:cs="Times New Roman"/>
        </w:rPr>
      </w:pPr>
      <w:r>
        <w:rPr>
          <w:rFonts w:ascii="Times New Roman" w:hAnsi="Times New Roman" w:cs="Times New Roman"/>
        </w:rPr>
        <w:t>A</w:t>
      </w:r>
      <w:r>
        <w:rPr>
          <w:rFonts w:ascii="Times New Roman" w:hAnsi="Times New Roman" w:cs="Times New Roman"/>
          <w:lang w:val="pt-PT"/>
        </w:rPr>
        <w:t>raujo</w:t>
      </w:r>
      <w:r>
        <w:rPr>
          <w:rFonts w:ascii="Times New Roman" w:hAnsi="Times New Roman" w:cs="Times New Roman"/>
        </w:rPr>
        <w:t>, A. F.</w:t>
      </w:r>
      <w:r>
        <w:rPr>
          <w:rFonts w:ascii="Times New Roman" w:hAnsi="Times New Roman" w:cs="Times New Roman"/>
          <w:lang w:val="pt-PT"/>
        </w:rPr>
        <w:t xml:space="preserve"> M.</w:t>
      </w:r>
      <w:r>
        <w:rPr>
          <w:rFonts w:ascii="Times New Roman" w:hAnsi="Times New Roman" w:cs="Times New Roman"/>
        </w:rPr>
        <w:t xml:space="preserve"> de. (20</w:t>
      </w:r>
      <w:r>
        <w:rPr>
          <w:rFonts w:ascii="Times New Roman" w:hAnsi="Times New Roman" w:cs="Times New Roman"/>
          <w:lang w:val="pt-PT"/>
        </w:rPr>
        <w:t>23</w:t>
      </w:r>
      <w:r>
        <w:rPr>
          <w:rFonts w:ascii="Times New Roman" w:hAnsi="Times New Roman" w:cs="Times New Roman"/>
        </w:rPr>
        <w:t xml:space="preserve">). </w:t>
      </w:r>
      <w:r>
        <w:rPr>
          <w:rFonts w:ascii="Times New Roman" w:hAnsi="Times New Roman" w:cs="Times New Roman"/>
          <w:i/>
          <w:iCs/>
        </w:rPr>
        <w:t>Etnobioética, autonomia universitária e pesquisa em humanos no Brasil do covid-19</w:t>
      </w:r>
      <w:r>
        <w:rPr>
          <w:rFonts w:ascii="Times New Roman" w:hAnsi="Times New Roman" w:cs="Times New Roman"/>
        </w:rPr>
        <w:t>. [</w:t>
      </w:r>
      <w:r>
        <w:rPr>
          <w:rFonts w:ascii="Times New Roman" w:hAnsi="Times New Roman" w:cs="Times New Roman"/>
          <w:lang w:val="pt-PT"/>
        </w:rPr>
        <w:t>Tese</w:t>
      </w:r>
      <w:r>
        <w:rPr>
          <w:rFonts w:ascii="Times New Roman" w:hAnsi="Times New Roman" w:cs="Times New Roman"/>
        </w:rPr>
        <w:t xml:space="preserve"> de </w:t>
      </w:r>
      <w:r>
        <w:rPr>
          <w:rFonts w:ascii="Times New Roman" w:hAnsi="Times New Roman" w:cs="Times New Roman"/>
          <w:lang w:val="pt-PT"/>
        </w:rPr>
        <w:t>doutora</w:t>
      </w:r>
      <w:r>
        <w:rPr>
          <w:rFonts w:ascii="Times New Roman" w:hAnsi="Times New Roman" w:cs="Times New Roman"/>
        </w:rPr>
        <w:t>do, Universidade Federal da Bahia]. Recuperado em 03 de março de 2026, de https://repositorio.ufba.br/handle/ri/37089.</w:t>
      </w:r>
    </w:p>
    <w:p>
      <w:pPr>
        <w:spacing w:line="240" w:lineRule="auto"/>
        <w:rPr>
          <w:rFonts w:ascii="Times New Roman" w:hAnsi="Times New Roman" w:cs="Times New Roman"/>
          <w:lang w:val="pt-PT"/>
        </w:rPr>
      </w:pPr>
      <w:r>
        <w:rPr>
          <w:rFonts w:ascii="Times New Roman" w:hAnsi="Times New Roman" w:cs="Times New Roman"/>
          <w:lang w:val="pt-PT"/>
        </w:rPr>
        <w:t xml:space="preserve">Bardin, L. (2011). </w:t>
      </w:r>
      <w:r>
        <w:rPr>
          <w:rFonts w:ascii="Times New Roman" w:hAnsi="Times New Roman" w:cs="Times New Roman"/>
          <w:i/>
          <w:iCs/>
          <w:lang w:val="pt-PT"/>
        </w:rPr>
        <w:t>Análise de Conteúdo</w:t>
      </w:r>
      <w:r>
        <w:rPr>
          <w:rFonts w:ascii="Times New Roman" w:hAnsi="Times New Roman" w:cs="Times New Roman"/>
          <w:lang w:val="pt-PT"/>
        </w:rPr>
        <w:t>. Edições 70.</w:t>
      </w:r>
    </w:p>
    <w:p>
      <w:pPr>
        <w:spacing w:line="240" w:lineRule="auto"/>
        <w:rPr>
          <w:rFonts w:ascii="Times New Roman" w:hAnsi="Times New Roman" w:cs="Times New Roman"/>
          <w:lang w:val="pt-PT"/>
        </w:rPr>
      </w:pPr>
      <w:r>
        <w:rPr>
          <w:rFonts w:ascii="Times New Roman" w:hAnsi="Times New Roman" w:cs="Times New Roman"/>
          <w:lang w:val="pt-PT"/>
        </w:rPr>
        <w:t xml:space="preserve">Charqueiro, C. G. (2020). </w:t>
      </w:r>
      <w:r>
        <w:rPr>
          <w:rFonts w:ascii="Times New Roman" w:hAnsi="Times New Roman" w:cs="Times New Roman"/>
          <w:i/>
          <w:iCs/>
          <w:lang w:val="pt-PT"/>
        </w:rPr>
        <w:t>A (i)legalidade no processo eleitoral para reitor(a) das universidades federais brasileiras: autonomia universitária à margem da lei?.</w:t>
      </w:r>
      <w:r>
        <w:rPr>
          <w:rFonts w:ascii="Times New Roman" w:hAnsi="Times New Roman" w:cs="Times New Roman"/>
          <w:lang w:val="pt-PT"/>
        </w:rPr>
        <w:t xml:space="preserve"> [Dissertação de Mestrado, Universidade Federal do Rio Grande]. Recuperado em 03 de março de 2026, de </w:t>
      </w:r>
      <w:r>
        <w:fldChar w:fldCharType="begin"/>
      </w:r>
      <w:r>
        <w:instrText xml:space="preserve"> HYPERLINK "https://repositorio.furg.br/handle/123456789/12932." </w:instrText>
      </w:r>
      <w:r>
        <w:fldChar w:fldCharType="separate"/>
      </w:r>
      <w:r>
        <w:rPr>
          <w:rStyle w:val="14"/>
          <w:rFonts w:ascii="Times New Roman" w:hAnsi="Times New Roman" w:cs="Times New Roman"/>
          <w:lang w:val="pt-PT"/>
        </w:rPr>
        <w:t>https://repositorio.furg.br/handle/123456789/12932.</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 xml:space="preserve">Cirne, M. B. (2012). </w:t>
      </w:r>
      <w:r>
        <w:rPr>
          <w:rFonts w:ascii="Times New Roman" w:hAnsi="Times New Roman" w:cs="Times New Roman"/>
          <w:i/>
          <w:iCs/>
          <w:lang w:val="pt-PT"/>
        </w:rPr>
        <w:t>Universidade e constituição : uma análise dos discursos do plenário do Supremo Tribunal Federal sobre o princípio da autonomia universitária.</w:t>
      </w:r>
      <w:r>
        <w:rPr>
          <w:rFonts w:ascii="Times New Roman" w:hAnsi="Times New Roman" w:cs="Times New Roman"/>
          <w:lang w:val="pt-PT"/>
        </w:rPr>
        <w:t xml:space="preserve"> [Dissertação de Mestrado, Universidade de Brasília]. Recuperado em 03 de março de 2026, de https://repositorio.unb.br/handle/10482/10640.</w:t>
      </w:r>
    </w:p>
    <w:p>
      <w:pPr>
        <w:spacing w:line="240" w:lineRule="auto"/>
        <w:rPr>
          <w:rFonts w:ascii="Times New Roman" w:hAnsi="Times New Roman" w:cs="Times New Roman"/>
          <w:lang w:val="pt-PT"/>
        </w:rPr>
      </w:pPr>
      <w:r>
        <w:rPr>
          <w:rFonts w:ascii="Times New Roman" w:hAnsi="Times New Roman" w:cs="Times New Roman"/>
          <w:lang w:val="pt-PT"/>
        </w:rPr>
        <w:t xml:space="preserve">Dicio. (n.d.). Autonomia. In </w:t>
      </w:r>
      <w:r>
        <w:rPr>
          <w:rFonts w:ascii="Times New Roman" w:hAnsi="Times New Roman" w:cs="Times New Roman"/>
          <w:i/>
          <w:iCs/>
          <w:lang w:val="pt-PT"/>
        </w:rPr>
        <w:t>Dicionário online de português</w:t>
      </w:r>
      <w:r>
        <w:rPr>
          <w:rFonts w:ascii="Times New Roman" w:hAnsi="Times New Roman" w:cs="Times New Roman"/>
          <w:lang w:val="pt-PT"/>
        </w:rPr>
        <w:t xml:space="preserve">. Recuperado em 15 de março de 2026, de </w:t>
      </w:r>
      <w:r>
        <w:fldChar w:fldCharType="begin"/>
      </w:r>
      <w:r>
        <w:instrText xml:space="preserve"> HYPERLINK "https://www.dicio.com.br/autonomia/" </w:instrText>
      </w:r>
      <w:r>
        <w:fldChar w:fldCharType="separate"/>
      </w:r>
      <w:r>
        <w:rPr>
          <w:rStyle w:val="14"/>
          <w:rFonts w:ascii="Times New Roman" w:hAnsi="Times New Roman" w:cs="Times New Roman"/>
          <w:lang w:val="pt-PT"/>
        </w:rPr>
        <w:t>https://www.dicio.com.br/autonomia/</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 xml:space="preserve">Durham, E. R. (2005). </w:t>
      </w:r>
      <w:r>
        <w:rPr>
          <w:rFonts w:ascii="Times New Roman" w:hAnsi="Times New Roman" w:cs="Times New Roman"/>
          <w:i/>
          <w:iCs/>
          <w:lang w:val="pt-PT"/>
        </w:rPr>
        <w:t>A autonomia universitária – extensão e limites</w:t>
      </w:r>
      <w:r>
        <w:rPr>
          <w:rFonts w:ascii="Times New Roman" w:hAnsi="Times New Roman" w:cs="Times New Roman"/>
          <w:lang w:val="pt-PT"/>
        </w:rPr>
        <w:t>. NUPES.</w:t>
      </w:r>
    </w:p>
    <w:p>
      <w:pPr>
        <w:spacing w:line="240" w:lineRule="auto"/>
        <w:rPr>
          <w:rFonts w:ascii="Times New Roman" w:hAnsi="Times New Roman" w:cs="Times New Roman"/>
          <w:lang w:val="pt-PT"/>
        </w:rPr>
      </w:pPr>
      <w:r>
        <w:rPr>
          <w:rFonts w:ascii="Times New Roman" w:hAnsi="Times New Roman" w:cs="Times New Roman"/>
          <w:lang w:val="pt-PT"/>
        </w:rPr>
        <w:t xml:space="preserve">Lana, R. de. C. (2015). </w:t>
      </w:r>
      <w:r>
        <w:rPr>
          <w:rFonts w:ascii="Times New Roman" w:hAnsi="Times New Roman" w:cs="Times New Roman"/>
          <w:i/>
          <w:iCs/>
          <w:lang w:val="pt-PT"/>
        </w:rPr>
        <w:t>UFSCar: estado, reforma e autonomia universitária (1988-2002)</w:t>
      </w:r>
      <w:r>
        <w:rPr>
          <w:rFonts w:ascii="Times New Roman" w:hAnsi="Times New Roman" w:cs="Times New Roman"/>
          <w:lang w:val="pt-PT"/>
        </w:rPr>
        <w:t xml:space="preserve">. [Tese de Doutorado, Universidade de São Paulo]. Recuperado em 03 de março de 2026, de </w:t>
      </w:r>
      <w:r>
        <w:fldChar w:fldCharType="begin"/>
      </w:r>
      <w:r>
        <w:instrText xml:space="preserve"> HYPERLINK "http://www.teses.usp.br/teses/disponiveis/8/8138/tde-17032016-130248/." </w:instrText>
      </w:r>
      <w:r>
        <w:fldChar w:fldCharType="separate"/>
      </w:r>
      <w:r>
        <w:rPr>
          <w:rStyle w:val="14"/>
          <w:rFonts w:ascii="Times New Roman" w:hAnsi="Times New Roman" w:cs="Times New Roman"/>
          <w:lang w:val="pt-PT"/>
        </w:rPr>
        <w:t>http://www.teses.usp.br/teses/disponiveis/8/8138/tde-17032016-130248/.</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Lei no 9.394, de 20 de dezembro de 1996. (1996, 23 de dezembro). Estabelece as diretrizes e bases da educação nacional. Presidência da República. https://www.planalto.gov.br/ccivil_03/leis/l9394.htm</w:t>
      </w:r>
    </w:p>
    <w:p>
      <w:pPr>
        <w:spacing w:line="240" w:lineRule="auto"/>
        <w:rPr>
          <w:rFonts w:ascii="Times New Roman" w:hAnsi="Times New Roman" w:cs="Times New Roman"/>
          <w:lang w:val="pt-PT"/>
        </w:rPr>
      </w:pPr>
      <w:r>
        <w:rPr>
          <w:rFonts w:ascii="Times New Roman" w:hAnsi="Times New Roman" w:cs="Times New Roman"/>
          <w:lang w:val="pt-PT"/>
        </w:rPr>
        <w:t xml:space="preserve">Lima, I. O. (2008). </w:t>
      </w:r>
      <w:r>
        <w:rPr>
          <w:rFonts w:ascii="Times New Roman" w:hAnsi="Times New Roman" w:cs="Times New Roman"/>
          <w:i/>
          <w:iCs/>
          <w:lang w:val="pt-PT"/>
        </w:rPr>
        <w:t>Autonomia universitária controlada: o político e o jurídico-institucional na Universidade Estadual do Sudoeste da Bahia</w:t>
      </w:r>
      <w:r>
        <w:rPr>
          <w:rFonts w:ascii="Times New Roman" w:hAnsi="Times New Roman" w:cs="Times New Roman"/>
          <w:lang w:val="pt-PT"/>
        </w:rPr>
        <w:t xml:space="preserve">. [Tese de Doutorado, Universidade Federal de São Carlos]. Recuperado em 03 de março de 2026, de </w:t>
      </w:r>
      <w:r>
        <w:fldChar w:fldCharType="begin"/>
      </w:r>
      <w:r>
        <w:instrText xml:space="preserve"> HYPERLINK "https://repositorio.ufscar.br/handle/20.500.14289/2267." </w:instrText>
      </w:r>
      <w:r>
        <w:fldChar w:fldCharType="separate"/>
      </w:r>
      <w:r>
        <w:rPr>
          <w:rStyle w:val="14"/>
          <w:rFonts w:ascii="Times New Roman" w:hAnsi="Times New Roman" w:cs="Times New Roman"/>
          <w:lang w:val="pt-PT"/>
        </w:rPr>
        <w:t>https://repositorio.ufscar.br/handle/20.500.14289/2267.</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 xml:space="preserve">Melo, P. A. de. (1998). Autonomia universitária : reflexos nas universidades estaduais paulistas. [Dissertação de Mestrado, Universidade Federal de Santa Catarina]. Recuperado em 03 de março de 2026, de </w:t>
      </w:r>
      <w:r>
        <w:rPr>
          <w:rFonts w:ascii="Times New Roman" w:hAnsi="Times New Roman" w:cs="Times New Roman"/>
          <w:lang w:val="pt-PT"/>
        </w:rPr>
        <w:fldChar w:fldCharType="begin"/>
      </w:r>
      <w:r>
        <w:rPr>
          <w:rFonts w:ascii="Times New Roman" w:hAnsi="Times New Roman" w:cs="Times New Roman"/>
          <w:lang w:val="pt-PT"/>
        </w:rPr>
        <w:instrText xml:space="preserve"> HYPERLINK "http://repositorio.ufsc.br/xmlui/handle/123456789/77945." </w:instrText>
      </w:r>
      <w:r>
        <w:rPr>
          <w:rFonts w:ascii="Times New Roman" w:hAnsi="Times New Roman" w:cs="Times New Roman"/>
          <w:lang w:val="pt-PT"/>
        </w:rPr>
        <w:fldChar w:fldCharType="separate"/>
      </w:r>
      <w:r>
        <w:rPr>
          <w:rStyle w:val="14"/>
          <w:rFonts w:ascii="Times New Roman" w:hAnsi="Times New Roman" w:cs="Times New Roman"/>
          <w:lang w:val="pt-PT"/>
        </w:rPr>
        <w:t>http://repositorio.ufsc.br/xmlui/handle/123456789/77945.</w:t>
      </w:r>
      <w:r>
        <w:rPr>
          <w:rFonts w:ascii="Times New Roman" w:hAnsi="Times New Roman" w:cs="Times New Roman"/>
          <w:lang w:val="pt-PT"/>
        </w:rPr>
        <w:fldChar w:fldCharType="end"/>
      </w:r>
    </w:p>
    <w:p>
      <w:pPr>
        <w:spacing w:line="240" w:lineRule="auto"/>
        <w:rPr>
          <w:rFonts w:hint="default" w:ascii="Times New Roman" w:hAnsi="Times New Roman" w:cs="Times New Roman"/>
          <w:lang w:val="pt-PT"/>
        </w:rPr>
      </w:pPr>
      <w:r>
        <w:rPr>
          <w:rFonts w:hint="default" w:ascii="Times New Roman" w:hAnsi="Times New Roman" w:cs="Times New Roman"/>
          <w:lang w:val="pt-PT"/>
        </w:rPr>
        <w:t xml:space="preserve">Morosini, M., Kohls-Santos, P., &amp; Bittencourt, Z. </w:t>
      </w:r>
      <w:r>
        <w:rPr>
          <w:rFonts w:hint="default" w:ascii="Times New Roman" w:hAnsi="Times New Roman" w:cs="Times New Roman"/>
          <w:i/>
          <w:iCs/>
          <w:lang w:val="pt-PT"/>
        </w:rPr>
        <w:t>Estado do conhecimento: teoria e prática</w:t>
      </w:r>
      <w:r>
        <w:rPr>
          <w:rFonts w:hint="default" w:ascii="Times New Roman" w:hAnsi="Times New Roman" w:cs="Times New Roman"/>
          <w:lang w:val="pt-PT"/>
        </w:rPr>
        <w:t>. CRV, 2021.</w:t>
      </w:r>
    </w:p>
    <w:p>
      <w:pPr>
        <w:spacing w:line="240" w:lineRule="auto"/>
        <w:rPr>
          <w:rFonts w:ascii="Times New Roman" w:hAnsi="Times New Roman" w:cs="Times New Roman"/>
          <w:lang w:val="pt-PT"/>
        </w:rPr>
      </w:pPr>
      <w:r>
        <w:rPr>
          <w:rFonts w:ascii="Times New Roman" w:hAnsi="Times New Roman" w:cs="Times New Roman"/>
          <w:lang w:val="pt-PT"/>
        </w:rPr>
        <w:t xml:space="preserve">Porto, J. F. &amp; Dalla Corte, M. G. (2025). </w:t>
      </w:r>
      <w:r>
        <w:rPr>
          <w:rFonts w:ascii="Times New Roman" w:hAnsi="Times New Roman" w:cs="Times New Roman"/>
          <w:i/>
          <w:iCs/>
          <w:lang w:val="pt-PT"/>
        </w:rPr>
        <w:t>A autonomia da educação superior: um olhar sobre a escrita dos marcos regulatórios</w:t>
      </w:r>
      <w:r>
        <w:rPr>
          <w:rFonts w:ascii="Times New Roman" w:hAnsi="Times New Roman" w:cs="Times New Roman"/>
          <w:lang w:val="pt-PT"/>
        </w:rPr>
        <w:t xml:space="preserve">. 42ª Reunião Nacional. Recuperado em 15 de março de 2026, de </w:t>
      </w:r>
      <w:r>
        <w:fldChar w:fldCharType="begin"/>
      </w:r>
      <w:r>
        <w:instrText xml:space="preserve"> HYPERLINK "https://www.anped.org.br/webservice/docs/20177-TEXTO_PROPOSTA_COMPLETO.pdf" </w:instrText>
      </w:r>
      <w:r>
        <w:fldChar w:fldCharType="separate"/>
      </w:r>
      <w:r>
        <w:rPr>
          <w:rStyle w:val="14"/>
          <w:rFonts w:ascii="Times New Roman" w:hAnsi="Times New Roman" w:cs="Times New Roman"/>
          <w:lang w:val="pt-PT"/>
        </w:rPr>
        <w:t>https://www.anped.org.br/webservice/docs/20177-TEXTO_PROPOSTA_COMPLETO.pdf</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 xml:space="preserve">Reis, L. F. (2002). </w:t>
      </w:r>
      <w:r>
        <w:rPr>
          <w:rFonts w:ascii="Times New Roman" w:hAnsi="Times New Roman" w:cs="Times New Roman"/>
          <w:i/>
          <w:iCs/>
          <w:lang w:val="pt-PT"/>
        </w:rPr>
        <w:t>A autonomia universitária : de princípio fundante ás orientações do Banco Mundial e sua relação com as reformas atuais do ensino superior no Brasil e no Estado do Paraná.</w:t>
      </w:r>
      <w:r>
        <w:rPr>
          <w:rFonts w:ascii="Times New Roman" w:hAnsi="Times New Roman" w:cs="Times New Roman"/>
          <w:lang w:val="pt-PT"/>
        </w:rPr>
        <w:t xml:space="preserve"> [Dissertação de Mestrado, Universidade Estadual de Maringá]. Recuperado em 03 de março de 2026, de </w:t>
      </w:r>
      <w:r>
        <w:fldChar w:fldCharType="begin"/>
      </w:r>
      <w:r>
        <w:instrText xml:space="preserve"> HYPERLINK "http://repositorio.uem.br:8080/jspui/handle/1/6516." </w:instrText>
      </w:r>
      <w:r>
        <w:fldChar w:fldCharType="separate"/>
      </w:r>
      <w:r>
        <w:rPr>
          <w:rStyle w:val="14"/>
          <w:rFonts w:ascii="Times New Roman" w:hAnsi="Times New Roman" w:cs="Times New Roman"/>
          <w:lang w:val="pt-PT"/>
        </w:rPr>
        <w:t>http://repositorio.uem.br:8080/jspui/handle/1/6516.</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 xml:space="preserve">Ribas, R. T. M. (2016). </w:t>
      </w:r>
      <w:r>
        <w:rPr>
          <w:rFonts w:ascii="Times New Roman" w:hAnsi="Times New Roman" w:cs="Times New Roman"/>
          <w:i/>
          <w:iCs/>
          <w:lang w:val="pt-PT"/>
        </w:rPr>
        <w:t xml:space="preserve">A autonomia universitária diante da competência dos órgãos de segurança pública. </w:t>
      </w:r>
      <w:r>
        <w:rPr>
          <w:rFonts w:ascii="Times New Roman" w:hAnsi="Times New Roman" w:cs="Times New Roman"/>
          <w:lang w:val="pt-PT"/>
        </w:rPr>
        <w:t>[Dissertação de Mestrado, Universidade Federal de Santa Catarina]. Recuperado em 03 de março de 2026, de https://repositorio.ufsc.br/xmlui/handle/123456789/168090.</w:t>
      </w:r>
    </w:p>
    <w:p>
      <w:pPr>
        <w:spacing w:line="240" w:lineRule="auto"/>
        <w:rPr>
          <w:rFonts w:ascii="Times New Roman" w:hAnsi="Times New Roman" w:cs="Times New Roman"/>
          <w:lang w:val="pt-PT"/>
        </w:rPr>
      </w:pPr>
      <w:r>
        <w:rPr>
          <w:rFonts w:ascii="Times New Roman" w:hAnsi="Times New Roman" w:cs="Times New Roman"/>
          <w:lang w:val="pt-PT"/>
        </w:rPr>
        <w:t xml:space="preserve">Sena, M. D. L. de. (2021). </w:t>
      </w:r>
      <w:r>
        <w:rPr>
          <w:rFonts w:ascii="Times New Roman" w:hAnsi="Times New Roman" w:cs="Times New Roman"/>
          <w:i/>
          <w:iCs/>
          <w:lang w:val="pt-PT"/>
        </w:rPr>
        <w:t xml:space="preserve">A deliberação CEE/SP nº 111/2012 e a perspectiva da autonomia universitária: uma leitura a partir do Departamento de Educação da UNESP/Rio Preto. </w:t>
      </w:r>
      <w:r>
        <w:rPr>
          <w:rFonts w:ascii="Times New Roman" w:hAnsi="Times New Roman" w:cs="Times New Roman"/>
          <w:lang w:val="pt-PT"/>
        </w:rPr>
        <w:t xml:space="preserve">[Dissertação de Mestrado, Universidade Federal de São Carlos]. Recuperado em 03 de março de 2026, de </w:t>
      </w:r>
      <w:r>
        <w:fldChar w:fldCharType="begin"/>
      </w:r>
      <w:r>
        <w:instrText xml:space="preserve"> HYPERLINK "https://repositorio.ufscar.br/handle/20.500.14289/14954." </w:instrText>
      </w:r>
      <w:r>
        <w:fldChar w:fldCharType="separate"/>
      </w:r>
      <w:r>
        <w:rPr>
          <w:rStyle w:val="14"/>
          <w:rFonts w:ascii="Times New Roman" w:hAnsi="Times New Roman" w:cs="Times New Roman"/>
          <w:lang w:val="pt-PT"/>
        </w:rPr>
        <w:t>https://repositorio.ufscar.br/handle/20.500.14289/14954.</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Santos, L. F. dos. (2024). Os limites da autonomia universitária em face ao princípio da legalidade: uma análise do caso da flexibilização da jornada de trabalho nas IFES sob a ótica do TCU e da CGU. [Dissertação de Mestrado, Escola Nacional de Administração Pública]. Recuperado em 03 de março de 2026, de http://repositorio.enap.gov.br/handle/1/8474.</w:t>
      </w:r>
    </w:p>
    <w:p>
      <w:pPr>
        <w:spacing w:line="240" w:lineRule="auto"/>
        <w:rPr>
          <w:rFonts w:ascii="Times New Roman" w:hAnsi="Times New Roman" w:cs="Times New Roman"/>
          <w:lang w:val="pt-PT"/>
        </w:rPr>
      </w:pPr>
      <w:r>
        <w:rPr>
          <w:rFonts w:ascii="Times New Roman" w:hAnsi="Times New Roman" w:cs="Times New Roman"/>
          <w:lang w:val="pt-PT"/>
        </w:rPr>
        <w:t xml:space="preserve">Silva, J. P. de. (1978). </w:t>
      </w:r>
      <w:r>
        <w:rPr>
          <w:rFonts w:ascii="Times New Roman" w:hAnsi="Times New Roman" w:cs="Times New Roman"/>
          <w:i/>
          <w:iCs/>
          <w:lang w:val="pt-PT"/>
        </w:rPr>
        <w:t>Um estudo sobre a autonomia da universidade brasileira</w:t>
      </w:r>
      <w:r>
        <w:rPr>
          <w:rFonts w:ascii="Times New Roman" w:hAnsi="Times New Roman" w:cs="Times New Roman"/>
          <w:lang w:val="pt-PT"/>
        </w:rPr>
        <w:t xml:space="preserve">. [Dissertação de Mestrado, Fundação Getúlio Vargas]. Recuperado em 03 de março de 2026, de </w:t>
      </w:r>
      <w:r>
        <w:fldChar w:fldCharType="begin"/>
      </w:r>
      <w:r>
        <w:instrText xml:space="preserve"> HYPERLINK "http://hdl.handle.net/10438/9546." </w:instrText>
      </w:r>
      <w:r>
        <w:fldChar w:fldCharType="separate"/>
      </w:r>
      <w:r>
        <w:rPr>
          <w:rStyle w:val="14"/>
          <w:rFonts w:ascii="Times New Roman" w:hAnsi="Times New Roman" w:cs="Times New Roman"/>
          <w:lang w:val="pt-PT"/>
        </w:rPr>
        <w:t>http://hdl.handle.net/10438/9546.</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 xml:space="preserve">Silva, T. A. da. (2022). </w:t>
      </w:r>
      <w:r>
        <w:rPr>
          <w:rFonts w:ascii="Times New Roman" w:hAnsi="Times New Roman" w:cs="Times New Roman"/>
          <w:i/>
          <w:iCs/>
          <w:lang w:val="pt-PT"/>
        </w:rPr>
        <w:t>Efeitos do modelo de autonomia universitária na dimensão acadêmica do ensino superior : uma abordagem de complexidade institucional e respostas organizacionais.</w:t>
      </w:r>
      <w:r>
        <w:rPr>
          <w:rFonts w:ascii="Times New Roman" w:hAnsi="Times New Roman" w:cs="Times New Roman"/>
          <w:lang w:val="pt-PT"/>
        </w:rPr>
        <w:t xml:space="preserve"> [Tese de Doutorado, Universidade Estadual de Maringá]. Recuperado em 03 de março de 2026, de http://repositorio.uem.br:8080/jspui/handle/1/7792.</w:t>
      </w:r>
    </w:p>
    <w:p>
      <w:pPr>
        <w:spacing w:line="240" w:lineRule="auto"/>
        <w:rPr>
          <w:rFonts w:ascii="Times New Roman" w:hAnsi="Times New Roman" w:cs="Times New Roman"/>
          <w:lang w:val="pt-PT"/>
        </w:rPr>
      </w:pPr>
      <w:r>
        <w:rPr>
          <w:rFonts w:ascii="Times New Roman" w:hAnsi="Times New Roman" w:cs="Times New Roman"/>
          <w:lang w:val="pt-PT"/>
        </w:rPr>
        <w:t xml:space="preserve">Silveira, R. M. D. da. (2020). </w:t>
      </w:r>
      <w:r>
        <w:rPr>
          <w:rFonts w:ascii="Times New Roman" w:hAnsi="Times New Roman" w:cs="Times New Roman"/>
          <w:i/>
          <w:iCs/>
          <w:lang w:val="pt-PT"/>
        </w:rPr>
        <w:t>Gestão democrática e autonomia universitária: uma análise sob a perspectiva da participação feminina na administração da ESAM/UFERSA (1991 2019).</w:t>
      </w:r>
      <w:r>
        <w:rPr>
          <w:rFonts w:ascii="Times New Roman" w:hAnsi="Times New Roman" w:cs="Times New Roman"/>
          <w:lang w:val="pt-PT"/>
        </w:rPr>
        <w:t xml:space="preserve"> [Dissertação de Mestrado, Universidade Federal Rural do Semi-Árido]. Recuperado em 03 de março de 2026, de </w:t>
      </w:r>
      <w:r>
        <w:fldChar w:fldCharType="begin"/>
      </w:r>
      <w:r>
        <w:instrText xml:space="preserve"> HYPERLINK "https://repositorio.ufersa.edu.br/handle/prefix/6865." </w:instrText>
      </w:r>
      <w:r>
        <w:fldChar w:fldCharType="separate"/>
      </w:r>
      <w:r>
        <w:rPr>
          <w:rStyle w:val="14"/>
          <w:rFonts w:ascii="Times New Roman" w:hAnsi="Times New Roman" w:cs="Times New Roman"/>
          <w:lang w:val="pt-PT"/>
        </w:rPr>
        <w:t>https://repositorio.ufersa.edu.br/handle/prefix/6865.</w:t>
      </w:r>
      <w:r>
        <w:rPr>
          <w:rStyle w:val="14"/>
          <w:rFonts w:ascii="Times New Roman" w:hAnsi="Times New Roman" w:cs="Times New Roman"/>
          <w:lang w:val="pt-PT"/>
        </w:rPr>
        <w:fldChar w:fldCharType="end"/>
      </w:r>
    </w:p>
    <w:p>
      <w:pPr>
        <w:spacing w:line="240" w:lineRule="auto"/>
        <w:rPr>
          <w:rFonts w:ascii="Times New Roman" w:hAnsi="Times New Roman" w:cs="Times New Roman"/>
          <w:lang w:val="pt-PT"/>
        </w:rPr>
      </w:pPr>
      <w:r>
        <w:rPr>
          <w:rFonts w:ascii="Times New Roman" w:hAnsi="Times New Roman" w:cs="Times New Roman"/>
          <w:lang w:val="pt-PT"/>
        </w:rPr>
        <w:t>Souza, I. A. de. (2021). Gestão da carreira docente e autonomia universitária: estudo acerca da colaboração esporádica do professor do magistério superior na Universidade Federal da Paraíba. [Dissertação de Mestrado, Universidade Federal da Paraíba]. Recuperado em 03 de março de 2026, de https://repositorio.ufpb.br/jspui/handle/123456789/21556.</w:t>
      </w:r>
    </w:p>
    <w:p>
      <w:pPr>
        <w:spacing w:line="240" w:lineRule="auto"/>
        <w:rPr>
          <w:rFonts w:ascii="Times New Roman" w:hAnsi="Times New Roman" w:cs="Times New Roman"/>
          <w:lang w:val="pt-BR"/>
        </w:rPr>
      </w:pPr>
      <w:bookmarkStart w:id="0" w:name="_GoBack"/>
      <w:bookmarkEnd w:id="0"/>
    </w:p>
    <w:sectPr>
      <w:headerReference r:id="rId5" w:type="default"/>
      <w:footerReference r:id="rId6" w:type="default"/>
      <w:pgSz w:w="11906" w:h="16838"/>
      <w:pgMar w:top="2410" w:right="1701" w:bottom="1843" w:left="1701" w:header="284" w:footer="0" w:gutter="0"/>
      <w:pgBorders w:offsetFrom="page">
        <w:left w:val="single" w:color="00B0F0" w:sz="48" w:space="12"/>
        <w:right w:val="single" w:color="00B0F0" w:sz="48" w:space="12"/>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SimSun">
    <w:altName w:val="Droid Sans Fallback"/>
    <w:panose1 w:val="02010600030101010101"/>
    <w:charset w:val="86"/>
    <w:family w:val="auto"/>
    <w:pitch w:val="default"/>
    <w:sig w:usb0="00000003" w:usb1="288F0000" w:usb2="00000006" w:usb3="00000000" w:csb0="00040001" w:csb1="00000000"/>
  </w:font>
  <w:font w:name="Droid Sans Fallback">
    <w:panose1 w:val="020B0502000000000001"/>
    <w:charset w:val="86"/>
    <w:family w:val="auto"/>
    <w:pitch w:val="default"/>
    <w:sig w:usb0="910002FF" w:usb1="2BDFFCFB" w:usb2="00000036" w:usb3="00000000" w:csb0="203F01FF" w:csb1="D7FF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Symbol">
    <w:altName w:val="Andale Mono"/>
    <w:panose1 w:val="05050102010706020507"/>
    <w:charset w:val="00"/>
    <w:family w:val="roman"/>
    <w:pitch w:val="default"/>
    <w:sig w:usb0="00000000" w:usb1="00000000" w:usb2="00000000" w:usb3="00000000" w:csb0="80000000" w:csb1="00000000"/>
  </w:font>
  <w:font w:name="Andale Mono">
    <w:panose1 w:val="020B0509000000000004"/>
    <w:charset w:val="00"/>
    <w:family w:val="auto"/>
    <w:pitch w:val="default"/>
    <w:sig w:usb0="00000287" w:usb1="00000000" w:usb2="00000000" w:usb3="00000000" w:csb0="6000009F" w:csb1="DFD70000"/>
  </w:font>
  <w:font w:name="SimHei">
    <w:altName w:val="Droid Sans Fallback"/>
    <w:panose1 w:val="02010609060101010101"/>
    <w:charset w:val="00"/>
    <w:family w:val="modern"/>
    <w:pitch w:val="default"/>
    <w:sig w:usb0="800002BF" w:usb1="38CF7CFA" w:usb2="00000016" w:usb3="00000000" w:csb0="00040001" w:csb1="00000000"/>
  </w:font>
  <w:font w:name="Calibri">
    <w:altName w:val="Trebuchet MS"/>
    <w:panose1 w:val="020F0502020204030204"/>
    <w:charset w:val="86"/>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SimSun">
    <w:altName w:val="Droid Sans Fallback"/>
    <w:panose1 w:val="02010600030101010101"/>
    <w:charset w:val="86"/>
    <w:family w:val="auto"/>
    <w:pitch w:val="default"/>
    <w:sig w:usb0="00000000" w:usb1="00000000" w:usb2="00000010" w:usb3="00000000" w:csb0="00040001" w:csb1="00000000"/>
  </w:font>
  <w:font w:name="times">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Calibri">
    <w:altName w:val="Trebuchet MS"/>
    <w:panose1 w:val="020F0502020204030204"/>
    <w:charset w:val="86"/>
    <w:family w:val="swiss"/>
    <w:pitch w:val="default"/>
    <w:sig w:usb0="00000000" w:usb1="00000000" w:usb2="00000001" w:usb3="00000000" w:csb0="0000019F" w:csb1="00000000"/>
  </w:font>
  <w:font w:name="Calibri">
    <w:altName w:val="Trebuchet MS"/>
    <w:panose1 w:val="00000000000000000000"/>
    <w:charset w:val="00"/>
    <w:family w:val="auto"/>
    <w:pitch w:val="default"/>
    <w:sig w:usb0="00000000" w:usb1="00000000" w:usb2="00000000" w:usb3="00000000" w:csb0="00000000" w:csb1="00000000"/>
  </w:font>
  <w:font w:name="Calibri Light">
    <w:altName w:val="Arial"/>
    <w:panose1 w:val="020F0302020204030204"/>
    <w:charset w:val="00"/>
    <w:family w:val="swiss"/>
    <w:pitch w:val="default"/>
    <w:sig w:usb0="00000000" w:usb1="00000000" w:usb2="00000009" w:usb3="00000000" w:csb0="000001FF" w:csb1="00000000"/>
  </w:font>
  <w:font w:name="等线 Light">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Imagen 1"/>
                  <pic:cNvPicPr>
                    <a:picLocks noChangeAspect="1"/>
                  </pic:cNvPicPr>
                </pic:nvPicPr>
                <pic:blipFill>
                  <a:blip r:embed="rId1"/>
                  <a:stretch>
                    <a:fillRect/>
                  </a:stretch>
                </pic:blipFill>
                <pic:spPr>
                  <a:xfrm>
                    <a:off x="0" y="0"/>
                    <a:ext cx="5400040" cy="428625"/>
                  </a:xfrm>
                  <a:prstGeom prst="rect">
                    <a:avLst/>
                  </a:prstGeom>
                </pic:spPr>
              </pic:pic>
            </a:graphicData>
          </a:graphic>
        </wp:inline>
      </w:drawing>
    </w:r>
  </w:p>
  <w:p>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drawing>
        <wp:inline distT="0" distB="0" distL="0" distR="0">
          <wp:extent cx="2595245"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90592" name="Imagen 1"/>
                  <pic:cNvPicPr>
                    <a:picLocks noChangeAspect="1"/>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108B8"/>
    <w:rsid w:val="001816D6"/>
    <w:rsid w:val="00185F5E"/>
    <w:rsid w:val="001923DC"/>
    <w:rsid w:val="00194B42"/>
    <w:rsid w:val="001E2A53"/>
    <w:rsid w:val="002327C3"/>
    <w:rsid w:val="00267D3F"/>
    <w:rsid w:val="00312392"/>
    <w:rsid w:val="003204F1"/>
    <w:rsid w:val="004040C0"/>
    <w:rsid w:val="00437E9C"/>
    <w:rsid w:val="00550766"/>
    <w:rsid w:val="005E5085"/>
    <w:rsid w:val="005F3B2E"/>
    <w:rsid w:val="00701A52"/>
    <w:rsid w:val="00701F64"/>
    <w:rsid w:val="007B5B5F"/>
    <w:rsid w:val="007D233B"/>
    <w:rsid w:val="0085070B"/>
    <w:rsid w:val="00A17247"/>
    <w:rsid w:val="00A26C90"/>
    <w:rsid w:val="00AB4A07"/>
    <w:rsid w:val="00B16BB1"/>
    <w:rsid w:val="00BA642E"/>
    <w:rsid w:val="00BC236F"/>
    <w:rsid w:val="00C802F5"/>
    <w:rsid w:val="00C96B2C"/>
    <w:rsid w:val="00CC04C1"/>
    <w:rsid w:val="00D10F3A"/>
    <w:rsid w:val="00D838D9"/>
    <w:rsid w:val="00D843EC"/>
    <w:rsid w:val="00DB55D1"/>
    <w:rsid w:val="00DD2BAE"/>
    <w:rsid w:val="00E20C6A"/>
    <w:rsid w:val="00F61952"/>
    <w:rsid w:val="37BD7E6A"/>
    <w:rsid w:val="3C7665E4"/>
    <w:rsid w:val="4EAD24DB"/>
    <w:rsid w:val="569EAF6C"/>
    <w:rsid w:val="56FF6CD2"/>
    <w:rsid w:val="57270FDE"/>
    <w:rsid w:val="5DF50524"/>
    <w:rsid w:val="5F7DB218"/>
    <w:rsid w:val="5FF7D145"/>
    <w:rsid w:val="5FFFDD2F"/>
    <w:rsid w:val="73136C9F"/>
    <w:rsid w:val="75FE1284"/>
    <w:rsid w:val="75FF548C"/>
    <w:rsid w:val="76FB187E"/>
    <w:rsid w:val="777F72F4"/>
    <w:rsid w:val="7C7F3510"/>
    <w:rsid w:val="7F9AA27A"/>
    <w:rsid w:val="85F442AC"/>
    <w:rsid w:val="8FED7C26"/>
    <w:rsid w:val="BB53B3B7"/>
    <w:rsid w:val="BFF98307"/>
    <w:rsid w:val="D19598D4"/>
    <w:rsid w:val="D77F6D4C"/>
    <w:rsid w:val="DECF1C89"/>
    <w:rsid w:val="E38FAAF8"/>
    <w:rsid w:val="E3AB40BE"/>
    <w:rsid w:val="EB3284DD"/>
    <w:rsid w:val="F5DDD615"/>
    <w:rsid w:val="F67E6F80"/>
    <w:rsid w:val="F7E7153A"/>
    <w:rsid w:val="F97FD56F"/>
    <w:rsid w:val="F9E7EB63"/>
    <w:rsid w:val="FC9D416B"/>
    <w:rsid w:val="FF7D117F"/>
    <w:rsid w:val="FFF1790A"/>
    <w:rsid w:val="FFFD9FC9"/>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zh-CN" w:eastAsia="en-US"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qFormat/>
    <w:uiPriority w:val="99"/>
    <w:rPr>
      <w:sz w:val="16"/>
      <w:szCs w:val="16"/>
    </w:rPr>
  </w:style>
  <w:style w:type="character" w:styleId="14">
    <w:name w:val="Hyperlink"/>
    <w:basedOn w:val="11"/>
    <w:unhideWhenUsed/>
    <w:qFormat/>
    <w:uiPriority w:val="99"/>
    <w:rPr>
      <w:color w:val="0563C1" w:themeColor="hyperlink"/>
      <w:u w:val="single"/>
      <w14:textFill>
        <w14:solidFill>
          <w14:schemeClr w14:val="hlink"/>
        </w14:solidFill>
      </w14:textFill>
    </w:rPr>
  </w:style>
  <w:style w:type="paragraph" w:styleId="15">
    <w:name w:val="annotation text"/>
    <w:basedOn w:val="1"/>
    <w:link w:val="45"/>
    <w:semiHidden/>
    <w:unhideWhenUsed/>
    <w:qFormat/>
    <w:uiPriority w:val="99"/>
    <w:pPr>
      <w:spacing w:line="240" w:lineRule="auto"/>
    </w:pPr>
    <w:rPr>
      <w:sz w:val="20"/>
      <w:szCs w:val="20"/>
    </w:rPr>
  </w:style>
  <w:style w:type="paragraph" w:styleId="16">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7">
    <w:name w:val="header"/>
    <w:basedOn w:val="1"/>
    <w:link w:val="40"/>
    <w:unhideWhenUsed/>
    <w:qFormat/>
    <w:uiPriority w:val="99"/>
    <w:pPr>
      <w:tabs>
        <w:tab w:val="center" w:pos="4252"/>
        <w:tab w:val="right" w:pos="8504"/>
      </w:tabs>
      <w:spacing w:after="0" w:line="240" w:lineRule="auto"/>
    </w:pPr>
  </w:style>
  <w:style w:type="paragraph" w:styleId="18">
    <w:name w:val="annotation subject"/>
    <w:basedOn w:val="15"/>
    <w:next w:val="15"/>
    <w:link w:val="46"/>
    <w:semiHidden/>
    <w:unhideWhenUsed/>
    <w:qFormat/>
    <w:uiPriority w:val="99"/>
    <w:rPr>
      <w:b/>
      <w:bCs/>
    </w:rPr>
  </w:style>
  <w:style w:type="paragraph" w:styleId="19">
    <w:name w:val="footer"/>
    <w:basedOn w:val="1"/>
    <w:link w:val="41"/>
    <w:unhideWhenUsed/>
    <w:qFormat/>
    <w:uiPriority w:val="99"/>
    <w:pPr>
      <w:tabs>
        <w:tab w:val="center" w:pos="4252"/>
        <w:tab w:val="right" w:pos="8504"/>
      </w:tabs>
      <w:spacing w:after="0" w:line="240" w:lineRule="auto"/>
    </w:pPr>
  </w:style>
  <w:style w:type="paragraph" w:styleId="20">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1">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22">
    <w:name w:val="Título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3">
    <w:name w:val="Título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Título 3 Char"/>
    <w:basedOn w:val="11"/>
    <w:link w:val="4"/>
    <w:semiHidden/>
    <w:qFormat/>
    <w:uiPriority w:val="9"/>
    <w:rPr>
      <w:rFonts w:eastAsiaTheme="majorEastAsia" w:cstheme="majorBidi"/>
      <w:color w:val="2F5597" w:themeColor="accent1" w:themeShade="BF"/>
      <w:sz w:val="28"/>
      <w:szCs w:val="28"/>
    </w:rPr>
  </w:style>
  <w:style w:type="character" w:customStyle="1" w:styleId="25">
    <w:name w:val="Título 4 Char"/>
    <w:basedOn w:val="11"/>
    <w:link w:val="5"/>
    <w:semiHidden/>
    <w:qFormat/>
    <w:uiPriority w:val="9"/>
    <w:rPr>
      <w:rFonts w:eastAsiaTheme="majorEastAsia" w:cstheme="majorBidi"/>
      <w:i/>
      <w:iCs/>
      <w:color w:val="2F5597" w:themeColor="accent1" w:themeShade="BF"/>
    </w:rPr>
  </w:style>
  <w:style w:type="character" w:customStyle="1" w:styleId="26">
    <w:name w:val="Título 5 Char"/>
    <w:basedOn w:val="11"/>
    <w:link w:val="6"/>
    <w:semiHidden/>
    <w:qFormat/>
    <w:uiPriority w:val="9"/>
    <w:rPr>
      <w:rFonts w:eastAsiaTheme="majorEastAsia" w:cstheme="majorBidi"/>
      <w:color w:val="2F5597" w:themeColor="accent1" w:themeShade="BF"/>
    </w:rPr>
  </w:style>
  <w:style w:type="character" w:customStyle="1" w:styleId="27">
    <w:name w:val="Título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Título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Título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Título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Título Char"/>
    <w:basedOn w:val="11"/>
    <w:link w:val="16"/>
    <w:qFormat/>
    <w:uiPriority w:val="10"/>
    <w:rPr>
      <w:rFonts w:asciiTheme="majorHAnsi" w:hAnsiTheme="majorHAnsi" w:eastAsiaTheme="majorEastAsia" w:cstheme="majorBidi"/>
      <w:spacing w:val="-10"/>
      <w:kern w:val="28"/>
      <w:sz w:val="56"/>
      <w:szCs w:val="56"/>
    </w:rPr>
  </w:style>
  <w:style w:type="character" w:customStyle="1" w:styleId="32">
    <w:name w:val="Subtítulo Char"/>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Citação Char"/>
    <w:basedOn w:val="11"/>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Ênfase Intensa1"/>
    <w:basedOn w:val="11"/>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Citação Intensa Char"/>
    <w:basedOn w:val="11"/>
    <w:link w:val="37"/>
    <w:qFormat/>
    <w:uiPriority w:val="30"/>
    <w:rPr>
      <w:i/>
      <w:iCs/>
      <w:color w:val="2F5597" w:themeColor="accent1" w:themeShade="BF"/>
    </w:rPr>
  </w:style>
  <w:style w:type="character" w:customStyle="1" w:styleId="39">
    <w:name w:val="Referência Intensa1"/>
    <w:basedOn w:val="11"/>
    <w:qFormat/>
    <w:uiPriority w:val="32"/>
    <w:rPr>
      <w:b/>
      <w:bCs/>
      <w:smallCaps/>
      <w:color w:val="2F5597" w:themeColor="accent1" w:themeShade="BF"/>
      <w:spacing w:val="5"/>
    </w:rPr>
  </w:style>
  <w:style w:type="character" w:customStyle="1" w:styleId="40">
    <w:name w:val="Cabeçalho Char"/>
    <w:basedOn w:val="11"/>
    <w:link w:val="17"/>
    <w:qFormat/>
    <w:uiPriority w:val="99"/>
  </w:style>
  <w:style w:type="character" w:customStyle="1" w:styleId="41">
    <w:name w:val="Rodapé Char"/>
    <w:basedOn w:val="11"/>
    <w:link w:val="19"/>
    <w:qFormat/>
    <w:uiPriority w:val="99"/>
  </w:style>
  <w:style w:type="character" w:customStyle="1" w:styleId="42">
    <w:name w:val="Menção Pendente1"/>
    <w:basedOn w:val="11"/>
    <w:semiHidden/>
    <w:unhideWhenUsed/>
    <w:qFormat/>
    <w:uiPriority w:val="99"/>
    <w:rPr>
      <w:color w:val="605E5C"/>
      <w:shd w:val="clear" w:color="auto" w:fill="E1DFDD"/>
    </w:rPr>
  </w:style>
  <w:style w:type="paragraph" w:customStyle="1" w:styleId="43">
    <w:name w:val="Revision"/>
    <w:hidden/>
    <w:unhideWhenUsed/>
    <w:qFormat/>
    <w:uiPriority w:val="99"/>
    <w:rPr>
      <w:rFonts w:asciiTheme="minorHAnsi" w:hAnsiTheme="minorHAnsi" w:eastAsiaTheme="minorHAnsi" w:cstheme="minorBidi"/>
      <w:kern w:val="2"/>
      <w:sz w:val="24"/>
      <w:szCs w:val="24"/>
      <w:lang w:val="zh-CN" w:eastAsia="en-US" w:bidi="ar-SA"/>
      <w14:ligatures w14:val="standardContextual"/>
    </w:rPr>
  </w:style>
  <w:style w:type="character" w:customStyle="1" w:styleId="44">
    <w:name w:val="Unresolved Mention"/>
    <w:basedOn w:val="11"/>
    <w:semiHidden/>
    <w:unhideWhenUsed/>
    <w:qFormat/>
    <w:uiPriority w:val="99"/>
    <w:rPr>
      <w:color w:val="605E5C"/>
      <w:shd w:val="clear" w:color="auto" w:fill="E1DFDD"/>
    </w:rPr>
  </w:style>
  <w:style w:type="character" w:customStyle="1" w:styleId="45">
    <w:name w:val="Texto de comentário Char"/>
    <w:basedOn w:val="11"/>
    <w:link w:val="15"/>
    <w:semiHidden/>
    <w:qFormat/>
    <w:uiPriority w:val="99"/>
    <w:rPr>
      <w:kern w:val="2"/>
      <w:lang w:val="zh-CN" w:eastAsia="en-US"/>
      <w14:ligatures w14:val="standardContextual"/>
    </w:rPr>
  </w:style>
  <w:style w:type="character" w:customStyle="1" w:styleId="46">
    <w:name w:val="Assunto do comentário Char"/>
    <w:basedOn w:val="45"/>
    <w:link w:val="18"/>
    <w:semiHidden/>
    <w:qFormat/>
    <w:uiPriority w:val="99"/>
    <w:rPr>
      <w:b/>
      <w:bCs/>
      <w:kern w:val="2"/>
      <w:lang w:val="zh-CN" w:eastAsia="en-US"/>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N° de produções</c:v>
                </c:pt>
              </c:strCache>
            </c:strRef>
          </c:tx>
          <c:spPr>
            <a:ln w="28575" cap="rnd">
              <a:solidFill>
                <a:schemeClr val="accent1"/>
              </a:solidFill>
              <a:round/>
            </a:ln>
            <a:effectLst/>
          </c:spPr>
          <c:marker>
            <c:symbol val="none"/>
          </c:marker>
          <c:dLbls>
            <c:delete val="1"/>
          </c:dLbls>
          <c:cat>
            <c:strRef>
              <c:f>Sheet1!$A$2:$A$6</c:f>
              <c:strCache>
                <c:ptCount val="5"/>
                <c:pt idx="0">
                  <c:v>1978-1987</c:v>
                </c:pt>
                <c:pt idx="1">
                  <c:v>1988-1997</c:v>
                </c:pt>
                <c:pt idx="2">
                  <c:v>1998-2007</c:v>
                </c:pt>
                <c:pt idx="3">
                  <c:v>2008-2017</c:v>
                </c:pt>
                <c:pt idx="4">
                  <c:v>2018-2025</c:v>
                </c:pt>
              </c:strCache>
            </c:strRef>
          </c:cat>
          <c:val>
            <c:numRef>
              <c:f>Sheet1!$B$2:$B$6</c:f>
              <c:numCache>
                <c:formatCode>General</c:formatCode>
                <c:ptCount val="5"/>
                <c:pt idx="0">
                  <c:v>3</c:v>
                </c:pt>
                <c:pt idx="1">
                  <c:v>10</c:v>
                </c:pt>
                <c:pt idx="2">
                  <c:v>28</c:v>
                </c:pt>
                <c:pt idx="3">
                  <c:v>88</c:v>
                </c:pt>
                <c:pt idx="4">
                  <c:v>173</c:v>
                </c:pt>
              </c:numCache>
            </c:numRef>
          </c:val>
          <c:smooth val="0"/>
        </c:ser>
        <c:dLbls>
          <c:showLegendKey val="0"/>
          <c:showVal val="0"/>
          <c:showCatName val="0"/>
          <c:showSerName val="0"/>
          <c:showPercent val="0"/>
          <c:showBubbleSize val="0"/>
        </c:dLbls>
        <c:marker val="0"/>
        <c:smooth val="0"/>
        <c:axId val="555812190"/>
        <c:axId val="577143448"/>
      </c:lineChart>
      <c:catAx>
        <c:axId val="55581219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crossAx val="577143448"/>
        <c:crosses val="autoZero"/>
        <c:auto val="1"/>
        <c:lblAlgn val="ctr"/>
        <c:lblOffset val="100"/>
        <c:noMultiLvlLbl val="0"/>
      </c:catAx>
      <c:valAx>
        <c:axId val="577143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pt-BR"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crossAx val="55581219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pt-BR"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pt-BR">
          <a:latin typeface="Times New Roman" panose="02020603050405020304" charset="0"/>
          <a:cs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6677</Words>
  <Characters>39262</Characters>
  <Lines>654</Lines>
  <Paragraphs>171</Paragraphs>
  <TotalTime>41</TotalTime>
  <ScaleCrop>false</ScaleCrop>
  <LinksUpToDate>false</LinksUpToDate>
  <CharactersWithSpaces>45768</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2026-06-09T08:10:00Z</dcterms:created>
  <dc:creator>Pablo Daniel Garcia</dc:creator>
  <cp:lastModifiedBy>juvelina</cp:lastModifiedBy>
  <dcterms:modified xsi:type="dcterms:W3CDTF">2026-06-12T10:57:51Z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1046-11.1.0.11723</vt:lpwstr>
  </property>
</Properties>
</file>