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B3483" w14:textId="77777777" w:rsidR="00C802F5" w:rsidRPr="00BA642E" w:rsidRDefault="00C802F5" w:rsidP="001923DC">
      <w:pPr>
        <w:jc w:val="center"/>
        <w:rPr>
          <w:rFonts w:ascii="Times New Roman" w:hAnsi="Times New Roman" w:cs="Times New Roman"/>
        </w:rPr>
      </w:pPr>
    </w:p>
    <w:p w14:paraId="68A9E2FD" w14:textId="77777777" w:rsidR="001F17A3" w:rsidRPr="001F17A3" w:rsidRDefault="001F17A3" w:rsidP="001F17A3">
      <w:pPr>
        <w:jc w:val="center"/>
        <w:rPr>
          <w:rFonts w:ascii="Times New Roman" w:hAnsi="Times New Roman" w:cs="Times New Roman"/>
          <w:b/>
          <w:bCs/>
          <w:lang w:val="es-AR"/>
        </w:rPr>
      </w:pPr>
      <w:r w:rsidRPr="001F17A3">
        <w:rPr>
          <w:rFonts w:ascii="Times New Roman" w:hAnsi="Times New Roman" w:cs="Times New Roman"/>
          <w:b/>
          <w:bCs/>
          <w:lang w:val="es-AR"/>
        </w:rPr>
        <w:t xml:space="preserve">Procesos políticos y producción de políticas universitarias en movimiento: una mirada antropológica desde la infraestructura </w:t>
      </w:r>
    </w:p>
    <w:p w14:paraId="43C49479" w14:textId="77777777" w:rsidR="005F3B2E" w:rsidRPr="001F17A3" w:rsidRDefault="005F3B2E" w:rsidP="001923DC">
      <w:pPr>
        <w:jc w:val="center"/>
        <w:rPr>
          <w:rFonts w:ascii="Times New Roman" w:hAnsi="Times New Roman" w:cs="Times New Roman"/>
          <w:lang w:val="es-AR"/>
        </w:rPr>
      </w:pPr>
    </w:p>
    <w:p w14:paraId="4E738780" w14:textId="7CAED4BF" w:rsidR="005F3B2E" w:rsidRPr="00BA642E" w:rsidRDefault="001F17A3" w:rsidP="005F3B2E">
      <w:pPr>
        <w:spacing w:after="0" w:line="240" w:lineRule="auto"/>
        <w:jc w:val="right"/>
        <w:rPr>
          <w:rFonts w:ascii="Times New Roman" w:hAnsi="Times New Roman" w:cs="Times New Roman"/>
        </w:rPr>
      </w:pPr>
      <w:r>
        <w:rPr>
          <w:rFonts w:ascii="Times New Roman" w:hAnsi="Times New Roman" w:cs="Times New Roman"/>
        </w:rPr>
        <w:t>Isacovich, Paula</w:t>
      </w:r>
    </w:p>
    <w:p w14:paraId="6C2AECCA" w14:textId="4768CED9" w:rsidR="005F3B2E" w:rsidRPr="00BA642E" w:rsidRDefault="001F17A3" w:rsidP="005F3B2E">
      <w:pPr>
        <w:spacing w:after="0" w:line="240" w:lineRule="auto"/>
        <w:jc w:val="right"/>
        <w:rPr>
          <w:rFonts w:ascii="Times New Roman" w:hAnsi="Times New Roman" w:cs="Times New Roman"/>
        </w:rPr>
      </w:pPr>
      <w:r>
        <w:rPr>
          <w:rFonts w:ascii="Times New Roman" w:hAnsi="Times New Roman" w:cs="Times New Roman"/>
        </w:rPr>
        <w:t>IESCODE-CONICET-UNPAZ e ICA-UBA</w:t>
      </w:r>
    </w:p>
    <w:p w14:paraId="7D0026CD" w14:textId="6AC9A3E8" w:rsidR="005F3B2E" w:rsidRDefault="001F17A3" w:rsidP="005F3B2E">
      <w:pPr>
        <w:spacing w:after="0" w:line="240" w:lineRule="auto"/>
        <w:jc w:val="right"/>
        <w:rPr>
          <w:rFonts w:ascii="Times New Roman" w:hAnsi="Times New Roman" w:cs="Times New Roman"/>
        </w:rPr>
      </w:pPr>
      <w:r>
        <w:rPr>
          <w:rFonts w:ascii="Times New Roman" w:hAnsi="Times New Roman" w:cs="Times New Roman"/>
        </w:rPr>
        <w:t>paulaisacovich@gmail.com</w:t>
      </w:r>
    </w:p>
    <w:p w14:paraId="7B9027E2" w14:textId="77777777" w:rsidR="00BA642E" w:rsidRPr="00BA642E" w:rsidRDefault="00BA642E" w:rsidP="005F3B2E">
      <w:pPr>
        <w:rPr>
          <w:rFonts w:ascii="Times New Roman" w:hAnsi="Times New Roman" w:cs="Times New Roman"/>
          <w:b/>
          <w:bCs/>
        </w:rPr>
      </w:pPr>
    </w:p>
    <w:p w14:paraId="35A6682C" w14:textId="5070EF6A" w:rsidR="00BA642E" w:rsidRPr="001F17A3" w:rsidRDefault="00BA642E" w:rsidP="007B5B5F">
      <w:pPr>
        <w:spacing w:line="240" w:lineRule="auto"/>
        <w:jc w:val="both"/>
        <w:rPr>
          <w:rFonts w:ascii="Times New Roman" w:hAnsi="Times New Roman" w:cs="Times New Roman"/>
          <w:b/>
          <w:bCs/>
          <w:lang w:val="es-AR"/>
        </w:rPr>
      </w:pPr>
      <w:r w:rsidRPr="001F17A3">
        <w:rPr>
          <w:rFonts w:ascii="Times New Roman" w:hAnsi="Times New Roman" w:cs="Times New Roman"/>
          <w:b/>
          <w:bCs/>
          <w:lang w:val="es-AR"/>
        </w:rPr>
        <w:t>Resumen:</w:t>
      </w:r>
      <w:r w:rsidR="007B5B5F" w:rsidRPr="001F17A3">
        <w:rPr>
          <w:rFonts w:ascii="Times New Roman" w:hAnsi="Times New Roman" w:cs="Times New Roman"/>
          <w:b/>
          <w:bCs/>
          <w:lang w:val="es-AR"/>
        </w:rPr>
        <w:t xml:space="preserve"> </w:t>
      </w:r>
      <w:r w:rsidR="001F17A3" w:rsidRPr="001F17A3">
        <w:rPr>
          <w:rFonts w:ascii="Times New Roman" w:hAnsi="Times New Roman" w:cs="Times New Roman"/>
          <w:lang w:val="es-AR"/>
        </w:rPr>
        <w:t xml:space="preserve">Esta ponencia presenta resultados parciales de una investigación en curso que estudia la manera en que las universidades nacionales se inscriben en procesos de gobierno y regulación de los sectores populares, con especial atención a la población joven. La investigación que sustenta este escrito, desarrollada desde un enfoque teórico metodológico etnográfico y de antropología política, documenta y analiza el proceso de creación y expansión de una universidad nacional que fue creada hace 15 años en un distrito del segundo cordón del Conurbano Bonaerense. En ese marco, uno de los objetivos de indagación estuvo centrado en la infraestructura universitaria, atendiendo tanto a los procesos de ocupación de tierras, construcción de edificios, adaptación y uso de espacios, así como a los procesos políticos, jurídicos y administrativos asociados, considerando las alianzas, articulaciones, normativas y conflictos, entre otros asuntos relacionados. La reconstrucción histórica y el seguimiento a lo largo del tiempo de tales procesos, han permitido reunir un nutrido corpus de datos primarios que resulta fértil para analizar distintos aspectos tales como la creación de carreras, las políticas de relación con la comunidad local, el trabajo no docente, las articulaciones entre áreas y niveles estatales, y en términos más globales, la manera en que la universidad fue ocupando un espacio social y político de notable relevancia en el distrito. Nuestros datos dan cuenta de continuidades, rupturas y cambios de diversa profundidad en las políticas universitarias, al tiempo que resultan sugerentes para revisar el modo en que pensamos cuestiones tales como la autonomía universitaria y las </w:t>
      </w:r>
      <w:r w:rsidR="001F17A3">
        <w:rPr>
          <w:rFonts w:ascii="Times New Roman" w:hAnsi="Times New Roman" w:cs="Times New Roman"/>
          <w:lang w:val="es-AR"/>
        </w:rPr>
        <w:t>relaciones universidad/sociedad</w:t>
      </w:r>
      <w:r w:rsidRPr="001F17A3">
        <w:rPr>
          <w:rFonts w:ascii="Times New Roman" w:hAnsi="Times New Roman" w:cs="Times New Roman"/>
          <w:lang w:val="es-AR"/>
        </w:rPr>
        <w:t>.</w:t>
      </w:r>
    </w:p>
    <w:p w14:paraId="399FD8C5" w14:textId="77777777" w:rsidR="001F17A3" w:rsidRDefault="00BA642E" w:rsidP="007B5B5F">
      <w:pPr>
        <w:spacing w:line="240" w:lineRule="auto"/>
        <w:jc w:val="both"/>
        <w:rPr>
          <w:rFonts w:ascii="Times New Roman" w:hAnsi="Times New Roman" w:cs="Times New Roman"/>
          <w:lang w:val="es-AR"/>
        </w:rPr>
      </w:pPr>
      <w:r w:rsidRPr="001F17A3">
        <w:rPr>
          <w:rFonts w:ascii="Times New Roman" w:hAnsi="Times New Roman" w:cs="Times New Roman"/>
          <w:b/>
          <w:bCs/>
          <w:lang w:val="es-AR"/>
        </w:rPr>
        <w:t xml:space="preserve">Palabras clave: </w:t>
      </w:r>
      <w:r w:rsidR="001F17A3" w:rsidRPr="001F17A3">
        <w:rPr>
          <w:rFonts w:ascii="Times New Roman" w:hAnsi="Times New Roman" w:cs="Times New Roman"/>
          <w:lang w:val="es-AR"/>
        </w:rPr>
        <w:t>POLÍTICA UNIVERSITARIA, INFRAESTRUCTURA, ETNOGRAFÍA</w:t>
      </w:r>
      <w:r w:rsidRPr="001F17A3">
        <w:rPr>
          <w:rFonts w:ascii="Times New Roman" w:hAnsi="Times New Roman" w:cs="Times New Roman"/>
          <w:lang w:val="es-AR"/>
        </w:rPr>
        <w:t>.</w:t>
      </w:r>
    </w:p>
    <w:p w14:paraId="2994BAB3" w14:textId="444BE2A5" w:rsidR="00BA642E" w:rsidRPr="001F17A3" w:rsidRDefault="00BA642E" w:rsidP="007B5B5F">
      <w:pPr>
        <w:spacing w:line="240" w:lineRule="auto"/>
        <w:jc w:val="both"/>
        <w:rPr>
          <w:rFonts w:ascii="Times New Roman" w:hAnsi="Times New Roman" w:cs="Times New Roman"/>
          <w:b/>
          <w:bCs/>
          <w:lang w:val="es-AR"/>
        </w:rPr>
      </w:pPr>
      <w:r w:rsidRPr="001F17A3">
        <w:rPr>
          <w:rFonts w:ascii="Times New Roman" w:hAnsi="Times New Roman" w:cs="Times New Roman"/>
          <w:lang w:val="es-AR"/>
        </w:rPr>
        <w:t xml:space="preserve"> </w:t>
      </w:r>
    </w:p>
    <w:p w14:paraId="6A5547A1" w14:textId="36B7FAC2" w:rsidR="00BA642E" w:rsidRPr="000A3ECE" w:rsidRDefault="00BA642E" w:rsidP="007B5B5F">
      <w:pPr>
        <w:spacing w:line="240" w:lineRule="auto"/>
        <w:rPr>
          <w:rFonts w:ascii="Times New Roman" w:hAnsi="Times New Roman" w:cs="Times New Roman"/>
          <w:b/>
          <w:bCs/>
          <w:lang w:val="en-US"/>
        </w:rPr>
      </w:pPr>
      <w:r w:rsidRPr="000A3ECE">
        <w:rPr>
          <w:rFonts w:ascii="Times New Roman" w:hAnsi="Times New Roman" w:cs="Times New Roman"/>
          <w:b/>
          <w:bCs/>
          <w:lang w:val="en-US"/>
        </w:rPr>
        <w:t>Introducción</w:t>
      </w:r>
    </w:p>
    <w:p w14:paraId="55246E77" w14:textId="77777777" w:rsidR="001F17A3" w:rsidRPr="001F17A3" w:rsidRDefault="001F17A3" w:rsidP="001F17A3">
      <w:pPr>
        <w:spacing w:line="240" w:lineRule="auto"/>
        <w:jc w:val="both"/>
        <w:rPr>
          <w:rFonts w:ascii="Times New Roman" w:hAnsi="Times New Roman" w:cs="Times New Roman"/>
          <w:lang w:val="es-AR"/>
        </w:rPr>
      </w:pPr>
      <w:r w:rsidRPr="001F17A3">
        <w:rPr>
          <w:rFonts w:ascii="Times New Roman" w:hAnsi="Times New Roman" w:cs="Times New Roman"/>
          <w:lang w:val="es-AR"/>
        </w:rPr>
        <w:t xml:space="preserve">Durante las últimas décadas, en la Argentina, tuvo lugar una notable expansión del sistema universitario, que abarcó un crecimiento significativo de la cantidad de instituciones, la oferta académica, la matrícula estudiantil, el personal docente y no docente así como también de otras actividades propias de la vida universitaria.  Entre las distintas dimensiones en que puede analizarse dicha expansión, nos interesa destacar, con fines argumentales, la dispersión territorial que se concretó a partir de la creación de numerosas casas de estudios en distritos que no contaban con instituciones </w:t>
      </w:r>
      <w:r w:rsidRPr="001F17A3">
        <w:rPr>
          <w:rFonts w:ascii="Times New Roman" w:hAnsi="Times New Roman" w:cs="Times New Roman"/>
          <w:lang w:val="es-AR"/>
        </w:rPr>
        <w:lastRenderedPageBreak/>
        <w:t xml:space="preserve">universitarias (Marquina y Chiroleu, 2015; Mendonca, 2020; Otero, Corica y Merbilhaa, 2018), así como también la incorporación de sectores sociales que en décadas precedentes no accedían a la universidad, como es el caso de aquellos provenientes de hogares con los menores quintiles de ingresos (García de Fanelli y Adrogué, 2021). Este crecimiento puede comprenderse con relación a múltiples procesos y causalidades, entre las cuales nos interesa señalar cómo distintos actores tales como las universidades, los gobiernos locales y algunos dispositivos del campo de las políticas sociales, articularon acciones a fin de convocar específicamente a jóvenes de sectores populares (Isacovich, 2024).  </w:t>
      </w:r>
    </w:p>
    <w:p w14:paraId="71AE9F86" w14:textId="77777777" w:rsidR="001F17A3" w:rsidRPr="001F17A3" w:rsidRDefault="001F17A3" w:rsidP="001F17A3">
      <w:pPr>
        <w:spacing w:line="240" w:lineRule="auto"/>
        <w:jc w:val="both"/>
        <w:rPr>
          <w:rFonts w:ascii="Times New Roman" w:hAnsi="Times New Roman" w:cs="Times New Roman"/>
          <w:lang w:val="es-AR"/>
        </w:rPr>
      </w:pPr>
      <w:r w:rsidRPr="001F17A3">
        <w:rPr>
          <w:rFonts w:ascii="Times New Roman" w:hAnsi="Times New Roman" w:cs="Times New Roman"/>
          <w:lang w:val="es-AR"/>
        </w:rPr>
        <w:t>Esta ponencia presenta avances de una investigación que viene estudiando, desde un enfoque etnográfico y de antropología política, la producción relacional de las juventudes, las políticas universitarias y la estatalidad en el nivel local. Dicho estudio involucra un trabajo de seguimiento diacrónico del proceso de creación y expansión de una universidad nacional que fue creada hace aproximadamente 15 años en un distrito del segundo cordón del Conurbano Bonaerense. En ese marco, uno de los objetivos de indagación está centrado en las infraestructuras universitarias, atendiendo tanto a los procesos de ocupación de tierras, construcción de edificios, adaptación y uso de espacios, así como a los procesos políticos, jurídicos y administrativos asociados, considerando las alianzas, articulaciones, normativas y conflictos, entre otros asuntos relacionados. Sobre la base de una tarea sostenida de observación, registro y documentación de estos procesos de creación y crecimiento, el texto apunta a comprender qué es lo que un estudio diacrónico que adopte un punto de vista centrado en las infraestructuras puede decirnos sobre las políticas universitarias, su producción, su expansión y los cambios que las atraviesan a lo largo del tiempo estudiado. Este recorrido, a su vez, puede dejar algunas pistas para repensar aspectos relevantes del debate académico sobre las universidades, tales como la cuestión de la autonomía universitaria.</w:t>
      </w:r>
    </w:p>
    <w:p w14:paraId="532ABEC8" w14:textId="77777777" w:rsidR="001F17A3" w:rsidRPr="001F17A3" w:rsidRDefault="001F17A3" w:rsidP="001F17A3">
      <w:pPr>
        <w:spacing w:line="240" w:lineRule="auto"/>
        <w:rPr>
          <w:rFonts w:ascii="Times New Roman" w:hAnsi="Times New Roman" w:cs="Times New Roman"/>
          <w:lang w:val="es-AR"/>
        </w:rPr>
      </w:pPr>
    </w:p>
    <w:p w14:paraId="29E5D619" w14:textId="77777777" w:rsidR="001F17A3" w:rsidRPr="001F17A3" w:rsidRDefault="001F17A3" w:rsidP="001F17A3">
      <w:pPr>
        <w:spacing w:line="240" w:lineRule="auto"/>
        <w:rPr>
          <w:rFonts w:ascii="Times New Roman" w:hAnsi="Times New Roman" w:cs="Times New Roman"/>
          <w:b/>
          <w:lang w:val="es-AR"/>
        </w:rPr>
      </w:pPr>
      <w:r w:rsidRPr="001F17A3">
        <w:rPr>
          <w:rFonts w:ascii="Times New Roman" w:hAnsi="Times New Roman" w:cs="Times New Roman"/>
          <w:b/>
          <w:lang w:val="es-AR"/>
        </w:rPr>
        <w:t>El proyecto y el enfoque de las infraestructuras</w:t>
      </w:r>
    </w:p>
    <w:p w14:paraId="715355F2" w14:textId="77777777" w:rsidR="001F17A3" w:rsidRPr="001F17A3" w:rsidRDefault="001F17A3" w:rsidP="001F17A3">
      <w:pPr>
        <w:spacing w:line="240" w:lineRule="auto"/>
        <w:jc w:val="both"/>
        <w:rPr>
          <w:rFonts w:ascii="Times New Roman" w:hAnsi="Times New Roman" w:cs="Times New Roman"/>
          <w:lang w:val="es-AR"/>
        </w:rPr>
      </w:pPr>
      <w:r w:rsidRPr="001F17A3">
        <w:rPr>
          <w:rFonts w:ascii="Times New Roman" w:hAnsi="Times New Roman" w:cs="Times New Roman"/>
          <w:lang w:val="es-AR"/>
        </w:rPr>
        <w:t xml:space="preserve">La investigación que sustenta este escrito, desarrollada desde un enfoque teórico metodológico etnográfico y de antropología política, estudia la manera en que las universidades nacionales se inscriben en procesos de gobierno y regulación de los sectores populares, con especial atención a la población joven. El enfoque elaborado se organiza en torno al concepto de producción social de las políticas, la estatalidad y las juventudes (Isacovich, 2016), y abreva en teorías que cuestionan la representación del Estado como una institución delimitada y unitaria que se distingue y ubica por encima de la sociedad (Sharma y Gupta, 2006), mostrando que dicha imagen topográfica es una construcción apoyada en rituales, prácticas y relaciones diarias de agentes estatales y ciudadanos/as (Ferguson y Gupta, 2002). La antropología política advirtió que el Estado avanza controlando y “civilizando” lo que está por fuera, en situaciones de precariedad y violencia (Das y Poole, 2004), pero simultáneamente señaló que en ocasiones el avance de la regulación estatal puede ser buscado por sectores de la población para mejorar sus condiciones de vida (Chaterjee, 2011). El enfoque elaborado se inscribe en </w:t>
      </w:r>
      <w:r w:rsidRPr="001F17A3">
        <w:rPr>
          <w:rFonts w:ascii="Times New Roman" w:hAnsi="Times New Roman" w:cs="Times New Roman"/>
          <w:lang w:val="es-AR"/>
        </w:rPr>
        <w:lastRenderedPageBreak/>
        <w:t xml:space="preserve">la producción colectiva de un equipo de investigación más amplio, en el marco del cual se ha destacado la productividad política de los sectores populares y particularmente su capacidad para la creación de políticas públicas (Manzano, 2020). </w:t>
      </w:r>
    </w:p>
    <w:p w14:paraId="25150F17" w14:textId="77777777" w:rsidR="001F17A3" w:rsidRPr="001F17A3" w:rsidRDefault="001F17A3" w:rsidP="001F17A3">
      <w:pPr>
        <w:spacing w:line="240" w:lineRule="auto"/>
        <w:jc w:val="both"/>
        <w:rPr>
          <w:rFonts w:ascii="Times New Roman" w:hAnsi="Times New Roman" w:cs="Times New Roman"/>
          <w:lang w:val="es-AR"/>
        </w:rPr>
      </w:pPr>
      <w:r w:rsidRPr="001F17A3">
        <w:rPr>
          <w:rFonts w:ascii="Times New Roman" w:hAnsi="Times New Roman" w:cs="Times New Roman"/>
          <w:lang w:val="es-AR"/>
        </w:rPr>
        <w:t xml:space="preserve">En etapas anteriores de indagación, fui dando cuenta de la relevancia que adquieren las universidades y las políticas de educación superior en las relaciones entre los y las jóvenes y el Estado, en particular con referencia a poblaciones de sectores populares. La expansión universitaria da cuenta de las acciones deliberadas de distintas agencias estatales para convocar a los y las jóvenes a inscribirse en las universidades, y al mismo tiempo del interés que ellos y ellas exhiben por continuar sus estudios, promovido, a su vez, por numerosas políticas de acompañamiento a las trayectorias estudiantiles. Asimismo, nuestro trabajo documentó distintas acciones que rebasan las incumbencias específicas de las universidades (como la distribución de alimentos), que fueron fundamentadas como aportes al sostenimiento de la vida diaria de una población vulnerable, y con ello de las trayectorias estudiantiles, en contextos de emergencia alimentaria y sanitaria, modelando en formas particulares la expansión territorial de las instituciones de educación superior (Isacovich, 2024). En la etapa actual de la investigación, profundizando avances previos que advirtieron la centralidad que cobran los espacios edilicios para poder hacer políticas de juventud (Isacovich, 2016), uno de los focos está colocado en las </w:t>
      </w:r>
      <w:proofErr w:type="gramStart"/>
      <w:r w:rsidRPr="001F17A3">
        <w:rPr>
          <w:rFonts w:ascii="Times New Roman" w:hAnsi="Times New Roman" w:cs="Times New Roman"/>
          <w:lang w:val="es-AR"/>
        </w:rPr>
        <w:t>infraestructuras ,</w:t>
      </w:r>
      <w:proofErr w:type="gramEnd"/>
      <w:r w:rsidRPr="001F17A3">
        <w:rPr>
          <w:rFonts w:ascii="Times New Roman" w:hAnsi="Times New Roman" w:cs="Times New Roman"/>
          <w:lang w:val="es-AR"/>
        </w:rPr>
        <w:t xml:space="preserve"> concebidas como artefactos que condensan una multiplicidad de procesos productivos, relaciones sociales y, por ello, posibilidades analíticas. Esta literatura antropológica recupera las elaboraciones de Foucault (2006) al considerar las infraestructuras como campos de intervención y regulación social de las poblaciones, vale decir, como tecnologías de gobierno. Algunos autores propusieron pensarlas como formaciones sociales, materiales y políticas precarias, flexibles y provisionales que actúan sobre espacios y tiempos heterogéneos (Appel, Anand y Gupta, 2018). Las infraestructuras se proyectan y edifican pero luego demandan mantenimiento, y pueden también detenerse, suspenderse, abandonarse o ruinizarse, amenazando eventualmente las condiciones de reproducción de la vida. Es por todo ello que pueden proporcionar una aproximación epistemológica para reflexionar sobre la relación estado-sociedad, lo político, el estado, y las expectativas de futuro que producen en tanto prometen desarrollo, progreso y libertad (Gupta, 2018; y Appel, Anand y Gupta, 2018). El enfoque sobre infraestructuras, asimismo, ha resultado sugerente para analizar los cambios políticos y relacionales que observamos a lo largo del tiempo, en tanto condensan una historicidad y una serie de procesos políticos y burocráticos que las hacen (o no) posibles, así como los procesos de despojo que pueden expresar aquellas edificaciones reducidas a escombros (Gordillo, 2018).</w:t>
      </w:r>
    </w:p>
    <w:p w14:paraId="33F0A7AB" w14:textId="77777777" w:rsidR="001F17A3" w:rsidRPr="001F17A3" w:rsidRDefault="001F17A3" w:rsidP="001F17A3">
      <w:pPr>
        <w:spacing w:line="240" w:lineRule="auto"/>
        <w:jc w:val="both"/>
        <w:rPr>
          <w:rFonts w:ascii="Times New Roman" w:hAnsi="Times New Roman" w:cs="Times New Roman"/>
          <w:lang w:val="es-AR"/>
        </w:rPr>
      </w:pPr>
      <w:r w:rsidRPr="001F17A3">
        <w:rPr>
          <w:rFonts w:ascii="Times New Roman" w:hAnsi="Times New Roman" w:cs="Times New Roman"/>
          <w:lang w:val="es-AR"/>
        </w:rPr>
        <w:t xml:space="preserve">La universidad nacional donde se desarrolla la investigación, creada hace poco más de 15 años, contaba en 2024 con una población aproximada de 30.000 estudiantes. De esta población, de acuerdo al censo realizado por dicha universidad en ese mismo año, un 72,6% eran mujeres, el 29,1% tenían 22 años o menos, un 23,5% entre 23 y 27 años y un 47,4% era mayor de 28 años En tanto que un 30% residía en el distrito donde se sitúa la casa de estudios y un 69,7% en municipios aledaños. Es decir que se trataba de un estudiantado con preeminencia femenina, habitante de la misma región conurbana y plurietario. El distrito en el que está emplazada forma parte del segundo cordón del </w:t>
      </w:r>
      <w:r w:rsidRPr="001F17A3">
        <w:rPr>
          <w:rFonts w:ascii="Times New Roman" w:hAnsi="Times New Roman" w:cs="Times New Roman"/>
          <w:lang w:val="es-AR"/>
        </w:rPr>
        <w:lastRenderedPageBreak/>
        <w:t>Conurbano Bonaerense, región Noroeste, y tiene una población cercana a los 320.000 habitantes de acuerdo al último censo nacional realizado por el INDEC en 2022. En cuanto a sus principales rasgos socio-laborales, se lo caracteriza como uno de los municipios con mayores condiciones de vulnerabilidad medidas por NBI del Gran Buenos Aires, y relacionadamente, ha sido descripto como “ciudad dormitorio” por la prevalencia de trabajadores/as que deben desplazarse a otros distritos para realizar sus labores.</w:t>
      </w:r>
    </w:p>
    <w:p w14:paraId="38F2B377" w14:textId="77777777" w:rsidR="001F17A3" w:rsidRDefault="001F17A3" w:rsidP="001F17A3">
      <w:pPr>
        <w:spacing w:line="240" w:lineRule="auto"/>
        <w:jc w:val="both"/>
        <w:rPr>
          <w:rFonts w:ascii="Times New Roman" w:hAnsi="Times New Roman" w:cs="Times New Roman"/>
          <w:lang w:val="es-AR"/>
        </w:rPr>
      </w:pPr>
      <w:r w:rsidRPr="001F17A3">
        <w:rPr>
          <w:rFonts w:ascii="Times New Roman" w:hAnsi="Times New Roman" w:cs="Times New Roman"/>
          <w:lang w:val="es-AR"/>
        </w:rPr>
        <w:t>Con este andamiaje teórico como punto de partida, y en el contexto social e institucional brevemente referido, en el próximo apartado presento una síntesis de la expansión de la universidad que vengo estudiando desde el punto de vista del desarrollo de su infraestructura, como aproximación a los procesos de políticos y de producción de la propia universidad.</w:t>
      </w:r>
    </w:p>
    <w:p w14:paraId="72C55AA7" w14:textId="77777777" w:rsidR="001F17A3" w:rsidRDefault="001F17A3" w:rsidP="001F17A3">
      <w:pPr>
        <w:spacing w:line="240" w:lineRule="auto"/>
        <w:rPr>
          <w:rFonts w:ascii="Times New Roman" w:hAnsi="Times New Roman" w:cs="Times New Roman"/>
          <w:lang w:val="es-AR"/>
        </w:rPr>
      </w:pPr>
    </w:p>
    <w:p w14:paraId="1AA78F1F" w14:textId="77777777" w:rsidR="009C7639" w:rsidRPr="009C7639" w:rsidRDefault="009C7639" w:rsidP="009C7639">
      <w:pPr>
        <w:spacing w:line="240" w:lineRule="auto"/>
        <w:rPr>
          <w:rFonts w:ascii="Times New Roman" w:hAnsi="Times New Roman" w:cs="Times New Roman"/>
          <w:b/>
          <w:lang w:val="es-AR"/>
        </w:rPr>
      </w:pPr>
      <w:r w:rsidRPr="009C7639">
        <w:rPr>
          <w:rFonts w:ascii="Times New Roman" w:hAnsi="Times New Roman" w:cs="Times New Roman"/>
          <w:b/>
          <w:lang w:val="es-AR"/>
        </w:rPr>
        <w:t>Primer momento: de edificios, normas, procedimientos y relaciones para alcanzar la autonomía</w:t>
      </w:r>
    </w:p>
    <w:p w14:paraId="55FECAF6"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Visité la Universidad por primera vez a fines de 2013. Llegaba con la intención de inscribirme a un concurso para acceder a un cargo como profesora de la carrera de Trabajo Social. En aquel entonces, la casa de estudios funcionaba en un edificio de tres plantas, con un amplio hall central y dos alas laterales. En la planta baja, detrás del hall, estaba situada la Secretaría Académica, allí donde presenté los papeles que se requerían para la inscripción. Hacia los laterales se extendían amplios pasillos, y a ambos lados, sobre estos, se ubicaban las aulas, entre 8 y 12 por planta, de techos altos y amplitud generosa, con grandes ventanales hacia el interior del edificio y otros más pequeños, colocados en la máxima altura, orientados hacia el exterior. A mitad de camino, en estos amplios pasillos laterales, se situaban los baños. En un extremo lateral de la planta baja funcionaba un bar/comedor. La distribución se repetía en los pisos superiores de manera aproximada: aulas y baños sobre los laterales, otras dependencias en el espacio central que balconeaba hacia el hall. En el primer piso, en dicho espacio central se situaban las oficinas de Rectorado y Secretaría de Administración. En el segundo piso, el salón auditorio. Toda la edificación se veía austera, con escazas ornamentaciones, aberturas de aluminio de bajo costo y una pintura a la cal, clásica de inmuebles estatales como </w:t>
      </w:r>
      <w:proofErr w:type="gramStart"/>
      <w:r w:rsidRPr="009C7639">
        <w:rPr>
          <w:rFonts w:ascii="Times New Roman" w:hAnsi="Times New Roman" w:cs="Times New Roman"/>
          <w:lang w:val="es-AR"/>
        </w:rPr>
        <w:t>algunos</w:t>
      </w:r>
      <w:proofErr w:type="gramEnd"/>
      <w:r w:rsidRPr="009C7639">
        <w:rPr>
          <w:rFonts w:ascii="Times New Roman" w:hAnsi="Times New Roman" w:cs="Times New Roman"/>
          <w:lang w:val="es-AR"/>
        </w:rPr>
        <w:t xml:space="preserve"> hospitales, con paredes coloreadas –de color celeste, en este caso- hasta una altura aproximada de un metro con ochenta centímetros, y desde allí hacia el techo, en blanco. Aquel día la universidad parecía intensamente habitada. Corría el mes de diciembre, si mi memoria no </w:t>
      </w:r>
      <w:proofErr w:type="gramStart"/>
      <w:r w:rsidRPr="009C7639">
        <w:rPr>
          <w:rFonts w:ascii="Times New Roman" w:hAnsi="Times New Roman" w:cs="Times New Roman"/>
          <w:lang w:val="es-AR"/>
        </w:rPr>
        <w:t>falla ,</w:t>
      </w:r>
      <w:proofErr w:type="gramEnd"/>
      <w:r w:rsidRPr="009C7639">
        <w:rPr>
          <w:rFonts w:ascii="Times New Roman" w:hAnsi="Times New Roman" w:cs="Times New Roman"/>
          <w:lang w:val="es-AR"/>
        </w:rPr>
        <w:t xml:space="preserve"> no era época de clases, pero sí se veían largas filas de personas que esperaban su turno para ser atendidas en alguna ventanilla. </w:t>
      </w:r>
    </w:p>
    <w:p w14:paraId="2ABD25B9" w14:textId="77777777" w:rsidR="009C7639" w:rsidRPr="009C7639" w:rsidRDefault="009C7639" w:rsidP="009C7639">
      <w:pPr>
        <w:spacing w:line="240" w:lineRule="auto"/>
        <w:jc w:val="both"/>
        <w:rPr>
          <w:rFonts w:ascii="Times New Roman" w:hAnsi="Times New Roman" w:cs="Times New Roman"/>
          <w:lang w:val="es-AR"/>
        </w:rPr>
      </w:pPr>
    </w:p>
    <w:p w14:paraId="355CE254"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A los pocos meses, comencé a trabajar en la universidad como docente. La asistencia regular me permitió ir advirtiendo los usos y también los cambios de esos espacios que habito desde entonces. Para empezar, comprendí que aquellas filas las formábamos docentes que queríamos inscribirnos a concursos, estudiantes que aspiraban a inscribirse a una carrera, o a una materia, y también personas que tramitaban allí distintos asuntos </w:t>
      </w:r>
      <w:r w:rsidRPr="009C7639">
        <w:rPr>
          <w:rFonts w:ascii="Times New Roman" w:hAnsi="Times New Roman" w:cs="Times New Roman"/>
          <w:lang w:val="es-AR"/>
        </w:rPr>
        <w:lastRenderedPageBreak/>
        <w:t>relacionados con políticas sociales como el Plan FINES, de apoyo a la terminalidad de la escuela primaria y secundaria, o el Programa Argentina Trabaja, que apuntaba a generar cooperativas de trabajo, en ambos casos asociadas a transferencias condicionadas de ingresos, aunque estas filas se orientaban hacia una oficina de la ANSES que ocupaba un espacio de la planta baja. En aquel momento, la universidad tenía unos 2000 o 3000 estudiantes, que en 2014 iniciarían su tercer año de estudios - aunque los registros de aquellos años eran poco precisos-. Tras un comienzo de año atravesado por conflictos entre las autoridades universitarias y distintos actores locales, en abril de 2014, el Secretario de Políticas Universitarias del Ministerio de Educación de la nación, designó un nuevo Rector-organizador , iniciando así un nuevo período de gestión, con vistas a la “Normalización”, término que designa el proceso por el cual las universidades de reciente creación elaboran el estatuto fundacional y diversas reglamentaciones que dan forma al proyecto institucional. En el marco de la normativa por la cual las universidades nacionales, en Argentina, son cogobernadas por cuerpos colegiados, integrados por representantes de docentes, estudiantes, graduados y trabajadores no docentes (los “claustros”, conformados y representados de acuerdo a los estatutos que cada casa de estudios establezca), dicho proceso supone una serie de acciones, entre ellas la realización de concursos de cargos docentes y no docentes, que habilitan la realización de la primera elección de autoridades. Una vez consumada la elección y designadas las potestades, la universidad adquiere autonomía, de acuerdo a la Ley de Educación Superior N°24.521.</w:t>
      </w:r>
    </w:p>
    <w:p w14:paraId="47638C3A" w14:textId="77777777" w:rsidR="009C7639" w:rsidRPr="009C7639" w:rsidRDefault="009C7639" w:rsidP="009C7639">
      <w:pPr>
        <w:spacing w:line="240" w:lineRule="auto"/>
        <w:jc w:val="both"/>
        <w:rPr>
          <w:rFonts w:ascii="Times New Roman" w:hAnsi="Times New Roman" w:cs="Times New Roman"/>
          <w:lang w:val="es-AR"/>
        </w:rPr>
      </w:pPr>
    </w:p>
    <w:p w14:paraId="5107737F"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Por aquel entonces, las tierras sobre las que estaba emplazada la universidad, linderas a las vías del ferrocarril, pertenecían al estado nacional. El Municipio había edificado allí, sin tramitar los permisos oficiales, un inmueble al que denominó como “universidad” colocando un cartel en su frente, aún antes de que la institución hubiera sido “creada” por ley. Hacia fines de 2014, un funcionario de la universidad me convocó para que me incorporara a trabajar en la gestión de la institución, como coordinadora de la carrera de Trabajo Social. Entre mis tareas, se destacaba la que consistía en colaborar en la organización de los concursos docentes de dicha carrera. Esta tarea revestía un carácter urgente, por cuanto a fines del año siguiente habría elecciones presidenciales en el país. Considerando que las autoridades universitarias son designadas por el Ministerio de Educación de la Nación hasta el momento de la Normalización, ese era el tiempo de que disponían para llevar adelante cualquier plan de trabajo con certeza, antes de que un nuevo gobierno nacional dispusiera la continuidad de las autoridades universitarias o eventualmente las reemplazara. </w:t>
      </w:r>
    </w:p>
    <w:p w14:paraId="25E6B497"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Durante aquellos agitados meses de 2015, participé activamente de la elaboración de reglamentos y la organización de concursos, entre otras acciones. Mientras tanto, avanzaba la cursada del tercer año de estudios de aquellos primeros estudiantes, se inscribían otros y otras para ingresar al año siguiente, y quedaba claro que las aulas disponibles, no más de 30, no eran suficientes para albergar a todas esas personas, distribuidas en 5 carreras, en tres turnos, y creciendo de manera exponencial (tal como fuimos observando con el correr de los años). Mi tarea de coordinación me llevó a </w:t>
      </w:r>
      <w:r w:rsidRPr="009C7639">
        <w:rPr>
          <w:rFonts w:ascii="Times New Roman" w:hAnsi="Times New Roman" w:cs="Times New Roman"/>
          <w:lang w:val="es-AR"/>
        </w:rPr>
        <w:lastRenderedPageBreak/>
        <w:t xml:space="preserve">relacionarme cotidianamente con las empleadas administrativas que se ocupaban de la asignación de aulas. Dialogando con ellas fui advirtiendo los esfuerzos que hacían para organizar numerosas “Comisiones” en escasos espacios, y también cómo se iban realizando acuerdos con otras instituciones de la zona que contaban con espacios disponibles, incluyendo aulas y predios deportivos o piletas de natación, para las clases de educación física. Entre esas instituciones, estaba un edificio municipal dedicado a actividades del área de educación (en adelante, EM). Situado a unos 200 metros de la sede central de la universidad, allí se dictaban cursos de oficios como pastelería, peluquería o electricidad, un ensamble de música popular, una escuela de psicología social, entre otras actividades. En ese mismo lugar tenía sus oficinas la Secretaría de Educación del distrito. Finalmente, en el curso de ese mismo año se realizó la primera Asamblea Universitaria, organismo y se realizó la primera elección colegiada de Rector y Vicerrector. Realizada la Asamblea, la universidad quedó formalmente constituida como una institución “autónoma”. Al poco tiempo, se realizaron las elecciones presidenciales en Argentina y resultó </w:t>
      </w:r>
      <w:proofErr w:type="gramStart"/>
      <w:r w:rsidRPr="009C7639">
        <w:rPr>
          <w:rFonts w:ascii="Times New Roman" w:hAnsi="Times New Roman" w:cs="Times New Roman"/>
          <w:lang w:val="es-AR"/>
        </w:rPr>
        <w:t>electo</w:t>
      </w:r>
      <w:proofErr w:type="gramEnd"/>
      <w:r w:rsidRPr="009C7639">
        <w:rPr>
          <w:rFonts w:ascii="Times New Roman" w:hAnsi="Times New Roman" w:cs="Times New Roman"/>
          <w:lang w:val="es-AR"/>
        </w:rPr>
        <w:t xml:space="preserve"> como presidente Mauricio Macri, de un signo político opositor al de la entonces jefa de estado Cristina Fernández de Kirchner. </w:t>
      </w:r>
    </w:p>
    <w:p w14:paraId="1EAADC73"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Una vez realizada la asamblea, las autoridades competentes del gobierno nacional firmaron dos actos administrativos de suma relevancia para la historia de esta Universidad. Uno de ellos, de la Agencia de Administración de bienes del Estado, le cedía los terrenos sobre los cuales estaba (y está) edificada, un predio de unos 500 metros de largo por 60 de ancho. El otro, le asignaba una suma de dinero, con el objeto de que pudiera adquirir el edificio de la universidad y el EM, que habían sido construidos por el gobierno municipal. Estos actos establecieron condiciones para una negociación entre las autoridades distritales y las universitarias en torno al uso del espacio en ambos edificios, que se plasmó en la firma de un convenio entre ambas instituciones por el cual se establecían plazos para la reubicación progresiva de las dependencias municipales fuera de dichos inmuebles y, relacionadamente, para el pago de cuotas correspondientes a la compra de los mismos. A lo largo de los años subsiguientes, las mencionadas oficinas fueron progresivamente reubicadas en otro sitio, excepto la Secretaría de Educación, que continúa ocupando un espacio en el antiguo EM. También la oficina de la ANSES cedió el espacio que ocupaba en el edificio central. A su vez, la titularidad de los terrenos habilitó a la universidad a suscribir un contrato de préstamo con una entidad financiera internacional para la construcción de un nuevo edificio, dentro del amplio predio. </w:t>
      </w:r>
    </w:p>
    <w:p w14:paraId="1BD7E838"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El análisis de este primer período permite captar cómo la producción de la universidad es un proceso complejo en el cual la infraestructura es condición de posibilidad del proyecto institucional, en tanto la edificación fue un punto de partida para su puesta en marcha. Asimismo, la reconstrucción del proceso desde una perspectiva de la antropología de las infraestructuras como formaciones materiales pero también sociales y políticas (Anand et al, 2018), muestra cómo en torno a esos edificios se establecen alianzas y se negocian condiciones que potencian algunas actividades y desplazan otras, como los cursos de oficios del EM o la atención a usuarios de políticas sociales. Estos desplazamientos, asimismo, van produciendo un efecto de distinción entre universidad y municipio que resulta especialmente significativo en un proceso de conformación de la </w:t>
      </w:r>
      <w:r w:rsidRPr="009C7639">
        <w:rPr>
          <w:rFonts w:ascii="Times New Roman" w:hAnsi="Times New Roman" w:cs="Times New Roman"/>
          <w:lang w:val="es-AR"/>
        </w:rPr>
        <w:lastRenderedPageBreak/>
        <w:t xml:space="preserve">casa de estudios que fue inicialmente un proyecto municipal, el cual se hizo viable a través de una ley nacional, entre otras acciones imprescindibles del estado nacional, tal como reconstruí en trabajos anteriores (Isacovich, 2018). </w:t>
      </w:r>
    </w:p>
    <w:p w14:paraId="44F467E9"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Finalmente, desde esta perspectiva la autonomía no aparece como punto de partida de la actividad universitaria sino como resultado de una serie de operaciones administrativas, jurídicas, edilicias y políticas. En el próximo apartado, veremos que esa autonomía tampoco es un resultado consolidado sino que las relaciones que la condicionan continúan en movimiento.</w:t>
      </w:r>
    </w:p>
    <w:p w14:paraId="6F433EFE" w14:textId="77777777" w:rsidR="009C7639" w:rsidRPr="009C7639" w:rsidRDefault="009C7639" w:rsidP="009C7639">
      <w:pPr>
        <w:spacing w:line="240" w:lineRule="auto"/>
        <w:jc w:val="both"/>
        <w:rPr>
          <w:rFonts w:ascii="Times New Roman" w:hAnsi="Times New Roman" w:cs="Times New Roman"/>
          <w:lang w:val="es-AR"/>
        </w:rPr>
      </w:pPr>
    </w:p>
    <w:p w14:paraId="501700AD" w14:textId="77777777" w:rsidR="009C7639" w:rsidRPr="009C7639" w:rsidRDefault="009C7639" w:rsidP="009C7639">
      <w:pPr>
        <w:spacing w:line="240" w:lineRule="auto"/>
        <w:rPr>
          <w:rFonts w:ascii="Times New Roman" w:hAnsi="Times New Roman" w:cs="Times New Roman"/>
          <w:b/>
          <w:lang w:val="es-AR"/>
        </w:rPr>
      </w:pPr>
      <w:r w:rsidRPr="009C7639">
        <w:rPr>
          <w:rFonts w:ascii="Times New Roman" w:hAnsi="Times New Roman" w:cs="Times New Roman"/>
          <w:b/>
          <w:lang w:val="es-AR"/>
        </w:rPr>
        <w:t xml:space="preserve">Segundo momento: expansión, proyectos y rituales que demarcan límites </w:t>
      </w:r>
    </w:p>
    <w:p w14:paraId="161D9D36"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Desde la firma de aquella sesión de tierras y la asamblea que consagró formalmente la “autonomía” de la universidad transcurrieron 10 años. En ese lapso de tiempo, la matrícula estudiantil creció de manera exponencial, alcanzando un total de unos 30.000 estudiantes activos, así como cohortes de aproximadamente 10.000 ingresantes anuales durante los últimos años. En cuanto al espacio edilicio, se incorporaron cuatro nuevas sedes: un edificio de cuatro plantas, construido originalmente para viviendas y adquirido por la universidad, donde funcionan actualmente oficinas administrativas y la sede del rectorado; un playón deportivo edificado por la universidad dentro de los terrenos cedidos en 2015, un edificio de tres plantas donde se ubican la biblioteca y la Escuela de Posgrado, entre otras dependencias, construido inicialmente por el municipio pero luego finalizado por la universidad en el marco de un convenio con el Banco de la Provincia de Buenos Aires, y finalmente un edificio de dimensiones considerablemente más grandes, edificado en dos plantas sobre terrenos municipales, a dos kilómetros del predio central. Este edificio, de 20.000 metros cuadrados, fue construido por el municipio con el fin de desarrollar allí la carrera de ciencias Médicas. </w:t>
      </w:r>
    </w:p>
    <w:p w14:paraId="0924DCF0"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El proyecto de enseñar Medicina ocupa un lugar destacado en la historia de la universidad y en particular en lo que refiere a las relaciones entre la casa de estudios y el gobierno municipal. Con relación a este punto, uno de los agentes municipales que participó desde el momento de preparación y sanción de la ley por la cual se creó la institución académica nos comentó en una entrevista realizada en 2015 que el edificio central, aquel que el gobierno municipal había edificado con el fin de que allí se fundara la casa de estudios, tenía un aula de gran tamaño en PB proyectada como recinto para la morgue hospitalaria. Y aún cuando este espacio nunca se utilizó para este fin, su inclusión en el primer plano edilicio da cuenta de la centralidad que le fue otorgada en el proyecto institucional inicial. Por añadidura, la carrera de medicina fue objeto de campañas de promoción en la vía publica impulsadas por el gobierno del distrito, en las cuales se convocó a la población local a manifestar su adhesión al pedido de apertura de esta carrera por medio de la firma de un petitorio. </w:t>
      </w:r>
    </w:p>
    <w:p w14:paraId="663C9F21"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A su vez, dada la reglamentación especial para la apertura de carreras de medicina, fueron necesarios numerosos procedimientos burocráticos y políticas específicas como el diseño y aprobación de un plan de estudios, la construcción de laboratorios, convenios con hospitales para la realización de prácticas, financiamiento de proyectos </w:t>
      </w:r>
      <w:r w:rsidRPr="009C7639">
        <w:rPr>
          <w:rFonts w:ascii="Times New Roman" w:hAnsi="Times New Roman" w:cs="Times New Roman"/>
          <w:lang w:val="es-AR"/>
        </w:rPr>
        <w:lastRenderedPageBreak/>
        <w:t xml:space="preserve">de investigación en el campo de la salud, entre otras acciones requeridas para la aprobación de la propuesta de creación de la carrera por parte de la </w:t>
      </w:r>
      <w:proofErr w:type="gramStart"/>
      <w:r w:rsidRPr="009C7639">
        <w:rPr>
          <w:rFonts w:ascii="Times New Roman" w:hAnsi="Times New Roman" w:cs="Times New Roman"/>
          <w:lang w:val="es-AR"/>
        </w:rPr>
        <w:t>CONEAU .</w:t>
      </w:r>
      <w:proofErr w:type="gramEnd"/>
      <w:r w:rsidRPr="009C7639">
        <w:rPr>
          <w:rFonts w:ascii="Times New Roman" w:hAnsi="Times New Roman" w:cs="Times New Roman"/>
          <w:lang w:val="es-AR"/>
        </w:rPr>
        <w:t xml:space="preserve"> En el marco de vínculos de cooperación con el gobierno municipal nunca exentos de tensiones (Isacovich y Wagener, 2021), la Universidad se abocó intensamente a estas tareas y, de ese modo, el plan de estudios de Medicina fue aprobado en el año 2021. Y la resolución que autorizó la apertura de la carrera fue anunciada en un masivo acto público, convocado con el fin de inaugurar el edificio correspondiente. Dicho acto contó con la presencia del entonces presidente de la nación, la vice presidenta y el gobernador provincial, además de las autoridades municipales y universitarias, y fue realizado en el marco de una campaña proselitista previa a las elecciones legislativas. Aquel día, presencié la manifestación política más populosa de todos los años que llevo haciendo trabajo de campo etnográfico en este distrito. Miles, o tal vez decenas de miles de personas, se congregaron en un espacioso predio lindero al nuevo edificio para participar del evento de inauguración de la “Facultad de Medicina”, tal como reza el cartel ubicado al frente del edificio. Considerando que la universidad en cuestión no se organiza por facultades sino por departamentos, el texto del cartel sugiere una disputa por la regulación y la apropiación de esos espacios institucionales que resultan de la acción articulada de distintos niveles estatales (universidad, ministerio de educación del estado nacional, gobierno municipal, banco provincial). </w:t>
      </w:r>
    </w:p>
    <w:p w14:paraId="3EB19AD1"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En aquel acto hicieron uso de la palabra el presidente, el gobernador, el rector y el intendente local. Este último, en su discurso, anunció el próximo inicio de una nueva obra: un edificio de magnitud aún superior proyectado para la futura creación de una “Facultad de Robótica”. Algunas semanas después, en otro acto bastante más modesto pero también populoso, realizado sobre la calzada frente a la sede central de la universidad, y con la presencia de autoridades provinciales y distritales, quedó inaugurada la biblioteca, con la promesa de ofrecerse abierta a la población local, independientemente de su pertenencia a la universidad. Este edificio destacaba notablemente por sus luminarias ornamentales y su equipamiento informático, abierto al uso de estudiantes, docentes, trabajadores/as universitarios y a la población en general.</w:t>
      </w:r>
    </w:p>
    <w:p w14:paraId="3E8D17FF"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En los actos que presencié, la retórica de la inauguración asociaba las nuevas edificaciones con proyectos de desarrollo local que se promovían por medio de la ampliación del acceso a la educación y la cultura, a la posibilidad de que el distrito forme sus propios médicos, a la transformación de una ciudad “dormitorio” en un distrito “de la educación”, donde cualquiera pudiera cursar “desde el jardín de infantes hasta la universidad, sin necesidad de salir” del municipio. Y al mismo tiempo, la misma presencia en el escenario o el uso de la palabra ritualizaba los compromisos que ligan a distintos niveles y áreas estatales, reconocimiento públicamente su participación en la producción de esos edificios que hacen posible la actividad universitaria pero a la vez deslindando su control sobre los mismos, por cuanto en ellos las nuevas sedes quedaban consagradas como parte de la universidad.</w:t>
      </w:r>
    </w:p>
    <w:p w14:paraId="45DE63D5"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Esas fueron las últimas inauguraciones que presencié. Ya en aquel momento, había varias obras en ejecución: un edificio aulario y comedor universitario; un natatorio, con tres plantas superiores donde se proyectó ubicar nuevas aulas; un edificio de </w:t>
      </w:r>
      <w:r w:rsidRPr="009C7639">
        <w:rPr>
          <w:rFonts w:ascii="Times New Roman" w:hAnsi="Times New Roman" w:cs="Times New Roman"/>
          <w:lang w:val="es-AR"/>
        </w:rPr>
        <w:lastRenderedPageBreak/>
        <w:t>laboratorios de biotecnología, y también se proyectaba la edificación de un centro cultural. A su vez, aquel año, en el marco de una serie de reformas de las estaciones de la línea ferroviaria que pasa a escasos metros de la universidad, un conjunto de locales comerciales que se situaban a metros de la estación fueron desalojados y demolidos, con el objeto de renovar completamente los accesos a la estación, la zona techada y la conectividad entre la estación y los edificios universitarios.</w:t>
      </w:r>
    </w:p>
    <w:p w14:paraId="7FA8C62E"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Recapitulando: el seguimiento del proceso específico de creación de la carrera de medicina desde el punto de vista de las infraestructuras vuelve a colocar la manera en que estas construcciones condensan expectativas de futuro en tanto encarnan promesas de desarrollo y progreso (Gupta, 2018; y Appel, Anand y Gupta, 2018). Estas promesas, se realizan nuevamente regulando los usos del espacio y desplazando sujetos y actividades, como los comercios que funcionaban en la zona de la estación ferroviaria. En otro orden, el proceso de creación de esta carrera muestra una trama de actores y relaciones que complejiza la división estanca de estado y sociedad, nación y municipio, o universidad y municipio como entidades discretas que entran en relación, por cuanto para crear esta carrera fue necesario articular obras municipales, fondos nacionales, normativas y procedimientos de gestión universitaria, firmas y campañas de la población local, tal como hemos analizado con mayor profundidad en trabajos previos (Isacovich y Wagener, 2021). </w:t>
      </w:r>
    </w:p>
    <w:p w14:paraId="08C7D0D2"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Finalmente, respecto de la autonomía, este apartado muestra que, una vez consagrada, los términos y condiciones de su ejercicio continúan en disputa, como puede observarse en la edificación de sedes que el municipio proyecta para la universidad, y en la disputa por la denominación de esos edificios, tal como se expresa en el cartel ubicado al frente del edificio de Medicina.</w:t>
      </w:r>
    </w:p>
    <w:p w14:paraId="74A2B05F" w14:textId="77777777" w:rsidR="009C7639" w:rsidRPr="009C7639" w:rsidRDefault="009C7639" w:rsidP="009C7639">
      <w:pPr>
        <w:spacing w:line="240" w:lineRule="auto"/>
        <w:rPr>
          <w:rFonts w:ascii="Times New Roman" w:hAnsi="Times New Roman" w:cs="Times New Roman"/>
          <w:lang w:val="es-AR"/>
        </w:rPr>
      </w:pPr>
    </w:p>
    <w:p w14:paraId="7FA6CE61" w14:textId="77777777" w:rsidR="009C7639" w:rsidRPr="009C7639" w:rsidRDefault="009C7639" w:rsidP="009C7639">
      <w:pPr>
        <w:spacing w:line="240" w:lineRule="auto"/>
        <w:rPr>
          <w:rFonts w:ascii="Times New Roman" w:hAnsi="Times New Roman" w:cs="Times New Roman"/>
          <w:b/>
          <w:lang w:val="es-AR"/>
        </w:rPr>
      </w:pPr>
      <w:r w:rsidRPr="009C7639">
        <w:rPr>
          <w:rFonts w:ascii="Times New Roman" w:hAnsi="Times New Roman" w:cs="Times New Roman"/>
          <w:b/>
          <w:lang w:val="es-AR"/>
        </w:rPr>
        <w:t>Tercer momento: reconfigurar alianzas y formas de acción política para continuar produciendo la universidad</w:t>
      </w:r>
    </w:p>
    <w:p w14:paraId="1DBB95A1"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A fines de 2023, tras las elecciones presidenciales, un nuevo gobierno encabezado por Javier Milei asumió la titularidad del estado nacional con un discurso que pregonaba, bajo el lema “no hay plata”; un recorte del presupuesto, especialmente en algunas áreas como la obra pública. Casi inmediatamente, las obras a las que hicimos alusión más arriba, quedaron suspendidas. A su vez, en el marco del nuevo gobierno, el presupuesto para educación superior quedó fijado de acuerdo a los montos establecidos a fines del año 2022 para el año siguiente, resultando notablemente insuficiente para el funcionamiento de las universidades, considerando que solo durante el transcurso del año 2023 el aumento del costo de vida medido por el índice de inflación había alcanzado un 211%. </w:t>
      </w:r>
    </w:p>
    <w:p w14:paraId="4067FFAE"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A las pocas semanas comenzaron los reclamos, impulsados por asociaciones gremiales, estudiantiles, y también, de manera visible, por los rectores, rectoras y autoridades de otras dependencias universitarias como facultades e institutos de investigación, que demandaban incrementos presupuestarios anunciando que, en las condiciones vigentes, deberían cerrar durante el segundo semestre por falta de dinero para abonar servicios </w:t>
      </w:r>
      <w:r w:rsidRPr="009C7639">
        <w:rPr>
          <w:rFonts w:ascii="Times New Roman" w:hAnsi="Times New Roman" w:cs="Times New Roman"/>
          <w:lang w:val="es-AR"/>
        </w:rPr>
        <w:lastRenderedPageBreak/>
        <w:t xml:space="preserve">esenciales como la luz, entre otros. Esos reclamos se hicieron eco en la universidad de distintas maneras. Por un lado, en las aulas, estudiantes de distintas carreras y generaciones expresaban su temor ante los rumores de que podría no continuar el semestre, narrando las dificultades que ocasionaba para ellos y ellas sostener sus estudios. En ese marco, un grupo de representantes estudiantiles en los órganos de cogobierno llevaron a las autoridades de la casa de estudios el reclamo de que se asignara una mayor cantidad de materias por estudiante para acelerar los ritmos de cursada “por si la universidad se cierra”. Por otro lado, durante esos meses, los sindicatos docentes organizaron jornadas de huelga, en tanto que algunas agrupaciones estudiantiles impulsaron asambleas, cortes de calles y ocupaciones de sedes universitarias. Estas acciones, reiteradas en la historia del movimiento estudiantil argentino, se realizaron en la universidad donde se sitúa esta investigación, en algunos casos, por primera vez. Por su parte, el sindicato de trabajadores no docentes convocó sus propias medidas de fuerza, por momentos coordinadas con los sindicatos docentes y por momentos de manera independiente, y paralelamente comenzaron a expresarse reclamos acerca de la posibilidad de realizar parte de las tareas de manera remota, con el argumento de que el aumento del costo de vida y en especial del transporte hacía más oneroso trasladarse a la universidad. En ese contexto, se expresaron voces estudiantiles que cuestionaron las demandas, pero también otras que solicitaban a los y las docentes orientaciones acerca de cómo defender la universidad. Y también otras que consultaban acerca de cómo ir desde la Plaza de los dos Congresos -donde estaba convocada una movilización para reclamar mayor presupuesto para las universidades- hasta la estación del ferrocarril para regresar al hogar. Tras las movilizaciones, el gobierno nacional anunció un aumento del presupuesto para gastos de funcionamiento de las universidades, y otorgó algunos modestos incrementos salariales, en sucesivas etapas. Las clases continuaron, las protestas continuaron aunque con una intensidad más moderada. Y las instituciones, además de convocar protestas, comenzaron a realizar otras acciones en pos de afrontar el recorte de fondos presupuestarios, tales como generar, reforzar y activar otras articulaciones, pero también recortar sus propios gastos. En ese sentido, el año 2024 trajo novedades significativas: por un lado, luego de una década de distribución gratuita de materiales de estudio impresos a estudiantes ingresantes, se anunció que la disponibilidad de los mismos sería solo en formato virtual. Por otro lado, se redujo la duración y cantidad de materias del ciclo de inicio, lo que supuso el cierre de comisiones y la desvinculación de docentes a cargo de las mismas, decisión que originó reclamos sindicales por los “despidos”, ante lo que calificaron como “un ajuste”. </w:t>
      </w:r>
    </w:p>
    <w:p w14:paraId="70C886E8"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Otros cambios significativos tuvieron lugar en la carrera de Medicina. La primera cohorte de estudiantes de esta carrera había ingresado al curso de inicio en 2022, y comenzaba en 2024 su segundo año de cursada regular. A fin de implementar la creación de esta carrera, la universidad había firmado, en 2023, un convenio con el Ministerio de Educación por el cual se establecía un incremento presupuestario gradual a medida que el dictado de nuevas materias lo hiciera necesario. Pero ese plan también fue suspendido en su ejecución durante el año 2024, y la continuidad de la carrera de Medicina se vio comprometida. Esto repercutió en primer lugar en el cierre de comisiones (algo que sucedió también en otras carreras). Posteriormente, en marzo de </w:t>
      </w:r>
      <w:r w:rsidRPr="009C7639">
        <w:rPr>
          <w:rFonts w:ascii="Times New Roman" w:hAnsi="Times New Roman" w:cs="Times New Roman"/>
          <w:lang w:val="es-AR"/>
        </w:rPr>
        <w:lastRenderedPageBreak/>
        <w:t>2025, el Consejo Superior de la universidad resolvió suspender el ingreso irrestricto para la carrera de Medicina, estableciendo como obligatorios una serie de requisitos académicos, fijando cupos, y al mismo tiempo, supeditando la oferta académica a la asignación presupuestaria. En la mencionada resolución, se afirmaba que, a la fecha de su aprobación, la universidad contaba con 1534 inscriptos para la cohorte 2025 y que aún no había recibido el financiamiento correspondiente al año en curso para sostener dicha carrera, como así tampoco el del año precedente. De esta manera, la carrera que había sido pomposamente anunciada en el masivo acto realizado en 2022, mostraba un horizonte incierto.</w:t>
      </w:r>
    </w:p>
    <w:p w14:paraId="57EC642C"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Ahora bien, volviendo a las infraestructuras: al día de hoy, tras cuatro años de aquellas inauguraciones, casi todas las obras que más arriba referimos continúan suspendidas. El edificio de laboratorios, exhibe poco más que los cimientos en un predio en el que ya no hay obrador ni materiales acopiados. Algo similar se observa junto al edificio del natatorio, bastante más avanzado en su esqueleto pero muy lejos de finalizarse, y sin actividad visible. El Centro Cultural no superó la instancia de proyecto, no está siquiera iniciada la obra. Y de los 20.000 mts2 del edificio de Medicina, la mitad permanece sin terminar, concentrando las actividades casi exclusivamente en la planta baja. </w:t>
      </w:r>
    </w:p>
    <w:p w14:paraId="22CBC96C"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No obstante, sucedieron algunas otras cosas con los edificios. Por un lado, en la sede de Ciencias Médicas la universidad equipó un conjunto de aulas como laboratorios de prácticas para la formación en carreras del área de salud tales como la Licenciatura en Instrumentación Quirúrgica o la Licenciatura en Enfermería, simulando salas de atención hospitalaria con equipamientos, maniquíes adaptados a distintas prácticas, etc. El costoso y vistoso equipamiento resultó la exhibición central en la exposición anual de carreras que la universidad ofrece a estudiantes del último año de secundaria todos los años. Allí se congregan en cada edición cientos de jóvenes y numerosas instituciones universitarias y terciarias de zonas aledañas, para dar a conocer su oferta educativa. En la edición 2024, la visita guiada a las aulas laboratorio era la actividad más promocionada, y concitó interés, así como algunas filas de estudiantes interesados en realizarla. Por otro lado, la Dirección de Infraestructura de la Universidad diseñó una adecuación para habilitar la planta inferior de uno de los edificios cuya edificación estaba más avanzada. Se trata de un edificio que se proyectaba para el funcionamiento del área de ciencia y tecnología y los institutos de investigación, aulas y un comedor universitario. El mismo tenía un diseño que involucraba equipamiento tecnológico y paneles móviles para adecuar la configuración de los espacios a las cambiantes necesidades de los equipos de investigación y los cursos de posgrado. Al edificio le quedaban por delante “pocos meses de obra”, según nos comentó el rector en una visita guiada a fines de 2023. Dos años después, la estructura de hormigón sigue más o menos como en aquel momento, a excepción de la planta baja, donde se hicieron los cerramientos necesarios y las terminaciones como para que comenzara a funcionar el comedor universitario, largamente esperado en una zona en la que la oferta gastronómica es muy limitada. En términos metodológicos, tal como señaló Gordillo (2018), el foco colado en esas edificaciones fue un punto de mira adecuado para captar la densidad de procesos y relaciones que allí se condensan a lo largo del tiempo.</w:t>
      </w:r>
    </w:p>
    <w:p w14:paraId="7D80814A"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lastRenderedPageBreak/>
        <w:t xml:space="preserve">En este apartado, podemos ver cómo atender a la suspensión de las obras permite captar el carácter inestable y disputado de las políticas, que trasciende los momentos de creación de instituciones para perpetuarse en el tiempo. En el caso de medicina, luego del complejo trabajo realizado para desarrollar un estatus jurídico que consagrara la apertura de una carrera proyectada a lo largo de más de una década, y materializada en dos momentos edilicios de distinto alcance, una nueva legalidad, la que establece el presupuesto universitario, la desconoció. Y esta tensión tuvo y tiene efectos concretos, por ejemplo en el límite a la apertura de comisiones, y más profundamente, en la incertidumbre sobre las posibilidades de sostener en el tiempo una apuesta académica compleja. Estos efectos dan cuenta de las limitaciones de una autonomía construida sobre la base de relaciones políticas con gobiernos cambiantes de los cuales depende la distribución de los fondos para el sostenimiento de las actividades universitarias. No obstante, las adecuaciones de la casa de estudios a los términos de la implementación de la nueva carrera dan cuenta de los intentos por sostener esta política, aun en la precariedad de las condiciones disponibles. En ese sentido, el enfoque de las infraestructuras muestra cómo los procesos políticos no se interrumpen sino que cambian (las alianzas, las formas de acción, las prácticas), como sucede cuando las organizaciones gremiales y las autoridades institucionales impulsan reclamos y movilizaciones para disputar el financiamiento. </w:t>
      </w:r>
    </w:p>
    <w:p w14:paraId="2F53F69E" w14:textId="77777777" w:rsidR="009C7639" w:rsidRPr="009C7639" w:rsidRDefault="009C7639" w:rsidP="009C7639">
      <w:pPr>
        <w:spacing w:line="240" w:lineRule="auto"/>
        <w:rPr>
          <w:rFonts w:ascii="Times New Roman" w:hAnsi="Times New Roman" w:cs="Times New Roman"/>
          <w:lang w:val="es-AR"/>
        </w:rPr>
      </w:pPr>
    </w:p>
    <w:p w14:paraId="12CE0BCB" w14:textId="45ECFA87" w:rsidR="005F3B2E" w:rsidRPr="009C7639" w:rsidRDefault="005F3B2E" w:rsidP="009C7639">
      <w:pPr>
        <w:spacing w:line="240" w:lineRule="auto"/>
        <w:rPr>
          <w:rFonts w:ascii="Times New Roman" w:hAnsi="Times New Roman" w:cs="Times New Roman"/>
          <w:b/>
          <w:bCs/>
          <w:lang w:val="es-AR"/>
        </w:rPr>
      </w:pPr>
      <w:r w:rsidRPr="009C7639">
        <w:rPr>
          <w:rFonts w:ascii="Times New Roman" w:hAnsi="Times New Roman" w:cs="Times New Roman"/>
          <w:b/>
          <w:bCs/>
          <w:lang w:val="es-AR"/>
        </w:rPr>
        <w:t>Conclusiones</w:t>
      </w:r>
    </w:p>
    <w:p w14:paraId="39321716"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Esta ponencia presenta una reconstrucción del proceso de creación de una universidad nacional que tiene unos 15 años de historia, desde una mirada que partió de las infraestructuras para mostrar, por medio de datos provenientes del seguimiento diacrónico de tales procesos, distintos aspectos de la producción de la universidad y algunas de sus políticas más relevantes, como es el caso de la carrera de Medicina. Los distintos apartados fueron dando cuenta de cómo construir un edificio es, al mismo tiempo, construir una carrera, instituir una legalidad, crear puestos de trabajo, tramar relaciones con distintos actores involucrados, proyectar futuros posibles. Es decir que en torno a o a partir de las edificaciones, se condensan relaciones sociales, procedimientos administrativos, reglamentos, puestos de trabajo y también imaginarios de futuro.</w:t>
      </w:r>
    </w:p>
    <w:p w14:paraId="51AC8387"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El recorrido comienza con las primeras obras, y muestra la interrelación entre la adecuación a las normas (por ejemplo en la cesión de terrenos y adquisición de edificios terminados) y la normalización institucional, asentadas en una productividad normativa. La redundancia de palabras en la frase precedente es deliberada por cuanto enfatiza el carácter construido de la autonomía universitaria, que desborda su aspecto jurídico. En el segundo momento, el crecimiento institucional se asienta en una expansión edilicia que involucra múltiples actores estatales y sociales. Aquí, la cooperación es tan relevante que los rituales deben, al mismo tiempo que la reconocen, contribuir a regularla, por medio de la afirmación de las competencias universitarias sobre los edificios inaugurados. Este apartado muestra que la autonomía puede verse tensionada por intereses que al mismo tiempo potencian y condicionan la actividad universitaria, aportando edificios terminados o en proceso, y al mismo tiempo procurando definir los </w:t>
      </w:r>
      <w:r w:rsidRPr="009C7639">
        <w:rPr>
          <w:rFonts w:ascii="Times New Roman" w:hAnsi="Times New Roman" w:cs="Times New Roman"/>
          <w:lang w:val="es-AR"/>
        </w:rPr>
        <w:lastRenderedPageBreak/>
        <w:t xml:space="preserve">usos de esos espacios, las carreras a ofrecer allí. Finalmente, el tercer momento pone en evidencia la manera en que la autonomía, en términos de poder hacer las políticas universitarias, puede ser desafiada por cambios de orientación en el gobierno nacional y sus políticas. Pero también ilumina las múltiples acciones y relaciones que pueden ponerse en movimiento para sostener la universidad. </w:t>
      </w:r>
    </w:p>
    <w:p w14:paraId="623EB865"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La antropología del estado que aquí retomamos habilitó una sensibilidad analítica necesaria para comprender la permeabilidad y los límites difusos que se observan al examinar las relaciones y dinámicas que conectan a los distintos actores estatales y sociales (Sharma y Gupta, 2006). Al tiempo que permitió iluminar la manera en que los rituales de inauguración refuerzan esos mismos límites (Ferguson y Gupta). Esa perspectiva, contribuye a evidenciar la manera en que la creación de instituciones como la universidad es al mismo tiempo una producción de estatalidad que avanza sobre territorios pensados desde la irregularidad (como cuando la edificación se realizó en tierras nacionales ocupadas sin permiso oficial), “civilizando” aquello que es precario (Das y Poole, 2004), especialmente cuando los ciclos electorales amenazan con interrumpir procesos productivos en materia de políticas. Es por eso que la regulación estatal y la adecuación a las normas puede ser buscada intensamente, no solamente por sujetos que buscan inscribirse en marcos legales (Chaterjjee, 2011), sino también por instituciones como las universidades.</w:t>
      </w:r>
    </w:p>
    <w:p w14:paraId="544B704F" w14:textId="1B34D92E" w:rsidR="00BC236F"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Finalmente, mostramos cómo en diferentes momentos de estos procesos productivos, se afianzan algunas acciones y relaciones, como cuando se sanciona una normativa (la Ley que crea la universidad, la Resolución que cede las tierras, el reglamento de concursos docentes), o se coopera para construir un edificio, o para aprobar una carrera; o cuando se aúnan esfuerzos para reclamar la restitución del presupuesto tras un “ajuste”. Pero esa misma productividad puede resultar selectiva y dejar fuera políticas sociales, áreas gubernamentales, trabajadores docentes, comercios, proyectos edilicios. Y también suspender, revertir o limitar procesos como la edificación del centro cultural o la implementación del plan de estudios de medicina. Así, comprendemos también la precariedad que puede caracterizar a lo instituido, el carácter dinámico e inestable de la universidad. Si la antropología de las infraestructuras remarcó el carácter inestable y dinámico de estas materialidades urbanas que prometen progreso y desarrollo pero a veces quedan suspendidas, al pensar las universidades desde esta perspectiva notamos que es posible captar en las instituciones académicas estos rasgos provisionales, inestables, o más precisamente los procesos de estabilización e inestabilidad que se suceden en el tiempo. Del mismo modo, respecto de la autonomía, el análisis de los procesos políticos por los cuales se produce la universidad desde una perspectiva de las infraestructuras, sugiere la conveniencia de pensarla como un proceso siempre inacabado. Y desde allí, interrogar las formas que adopta, las adecuaciones, los modos en que una y otra vez se vuelve a trazar.</w:t>
      </w:r>
    </w:p>
    <w:p w14:paraId="557C6F0F" w14:textId="77777777" w:rsidR="009C7639" w:rsidRPr="009C7639" w:rsidRDefault="009C7639" w:rsidP="009C7639">
      <w:pPr>
        <w:spacing w:line="240" w:lineRule="auto"/>
        <w:jc w:val="both"/>
        <w:rPr>
          <w:rFonts w:ascii="Times New Roman" w:hAnsi="Times New Roman" w:cs="Times New Roman"/>
          <w:lang w:val="es-AR"/>
        </w:rPr>
      </w:pPr>
    </w:p>
    <w:p w14:paraId="39B57161" w14:textId="43002D50"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w:t>
      </w:r>
      <w:r w:rsidR="009C7639">
        <w:rPr>
          <w:rFonts w:ascii="Times New Roman" w:hAnsi="Times New Roman" w:cs="Times New Roman"/>
          <w:b/>
          <w:bCs/>
        </w:rPr>
        <w:t xml:space="preserve">ferencias Bibliográficas </w:t>
      </w:r>
    </w:p>
    <w:p w14:paraId="7C6721C6" w14:textId="77777777" w:rsidR="009C7639" w:rsidRPr="009C7639" w:rsidRDefault="009C7639" w:rsidP="009C7639">
      <w:pPr>
        <w:spacing w:line="240" w:lineRule="auto"/>
        <w:jc w:val="both"/>
        <w:rPr>
          <w:rFonts w:ascii="Times New Roman" w:hAnsi="Times New Roman" w:cs="Times New Roman"/>
          <w:lang w:val="en-US"/>
        </w:rPr>
      </w:pPr>
      <w:r w:rsidRPr="009C7639">
        <w:rPr>
          <w:rFonts w:ascii="Times New Roman" w:hAnsi="Times New Roman" w:cs="Times New Roman"/>
          <w:lang w:val="es-AR"/>
        </w:rPr>
        <w:lastRenderedPageBreak/>
        <w:t xml:space="preserve">Appel, H., Anand, N. y Gupta, A. (2018). </w:t>
      </w:r>
      <w:r w:rsidRPr="009C7639">
        <w:rPr>
          <w:rFonts w:ascii="Times New Roman" w:hAnsi="Times New Roman" w:cs="Times New Roman"/>
          <w:lang w:val="en-US"/>
        </w:rPr>
        <w:t xml:space="preserve">“Introduction: Temporality, Politics, and the Promise of Infrastructure” En: Anand </w:t>
      </w:r>
      <w:proofErr w:type="gramStart"/>
      <w:r w:rsidRPr="009C7639">
        <w:rPr>
          <w:rFonts w:ascii="Times New Roman" w:hAnsi="Times New Roman" w:cs="Times New Roman"/>
          <w:lang w:val="en-US"/>
        </w:rPr>
        <w:t>et</w:t>
      </w:r>
      <w:proofErr w:type="gramEnd"/>
      <w:r w:rsidRPr="009C7639">
        <w:rPr>
          <w:rFonts w:ascii="Times New Roman" w:hAnsi="Times New Roman" w:cs="Times New Roman"/>
          <w:lang w:val="en-US"/>
        </w:rPr>
        <w:t xml:space="preserve">. Al. </w:t>
      </w:r>
      <w:proofErr w:type="gramStart"/>
      <w:r w:rsidRPr="009C7639">
        <w:rPr>
          <w:rFonts w:ascii="Times New Roman" w:hAnsi="Times New Roman" w:cs="Times New Roman"/>
          <w:i/>
          <w:lang w:val="en-US"/>
        </w:rPr>
        <w:t>The promise of infrastructure</w:t>
      </w:r>
      <w:r w:rsidRPr="009C7639">
        <w:rPr>
          <w:rFonts w:ascii="Times New Roman" w:hAnsi="Times New Roman" w:cs="Times New Roman"/>
          <w:lang w:val="en-US"/>
        </w:rPr>
        <w:t>.</w:t>
      </w:r>
      <w:proofErr w:type="gramEnd"/>
      <w:r w:rsidRPr="009C7639">
        <w:rPr>
          <w:rFonts w:ascii="Times New Roman" w:hAnsi="Times New Roman" w:cs="Times New Roman"/>
          <w:lang w:val="en-US"/>
        </w:rPr>
        <w:t xml:space="preserve"> Duke University Press.</w:t>
      </w:r>
    </w:p>
    <w:p w14:paraId="1B87A829"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n-US"/>
        </w:rPr>
        <w:t xml:space="preserve">Bossio, C. (S/F). </w:t>
      </w:r>
      <w:proofErr w:type="gramStart"/>
      <w:r w:rsidRPr="009C7639">
        <w:rPr>
          <w:rFonts w:ascii="Times New Roman" w:hAnsi="Times New Roman" w:cs="Times New Roman"/>
          <w:i/>
          <w:lang w:val="en-US"/>
        </w:rPr>
        <w:t xml:space="preserve">2023-2024. </w:t>
      </w:r>
      <w:r w:rsidRPr="009C7639">
        <w:rPr>
          <w:rFonts w:ascii="Times New Roman" w:hAnsi="Times New Roman" w:cs="Times New Roman"/>
          <w:i/>
          <w:lang w:val="es-AR"/>
        </w:rPr>
        <w:t>Anuario de Información.</w:t>
      </w:r>
      <w:proofErr w:type="gramEnd"/>
      <w:r w:rsidRPr="009C7639">
        <w:rPr>
          <w:rFonts w:ascii="Times New Roman" w:hAnsi="Times New Roman" w:cs="Times New Roman"/>
          <w:i/>
          <w:lang w:val="es-AR"/>
        </w:rPr>
        <w:t xml:space="preserve"> Estadísticas Universitarias</w:t>
      </w:r>
      <w:r w:rsidRPr="009C7639">
        <w:rPr>
          <w:rFonts w:ascii="Times New Roman" w:hAnsi="Times New Roman" w:cs="Times New Roman"/>
          <w:lang w:val="es-AR"/>
        </w:rPr>
        <w:t>. Buenos Aires: Departamento de Información Universitaria, Ministerio de Capital Humano.</w:t>
      </w:r>
    </w:p>
    <w:p w14:paraId="3E4AF0B4"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Chaterjee, P. (2011) La política de los gobernados. </w:t>
      </w:r>
      <w:r w:rsidRPr="009C7639">
        <w:rPr>
          <w:rFonts w:ascii="Times New Roman" w:hAnsi="Times New Roman" w:cs="Times New Roman"/>
          <w:i/>
          <w:lang w:val="es-AR"/>
        </w:rPr>
        <w:t>Revista Colombiana de Antropología</w:t>
      </w:r>
      <w:r w:rsidRPr="009C7639">
        <w:rPr>
          <w:rFonts w:ascii="Times New Roman" w:hAnsi="Times New Roman" w:cs="Times New Roman"/>
          <w:lang w:val="es-AR"/>
        </w:rPr>
        <w:t>, 47 (2), 199-231.</w:t>
      </w:r>
    </w:p>
    <w:p w14:paraId="301C06A1"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Das</w:t>
      </w:r>
      <w:proofErr w:type="gramStart"/>
      <w:r w:rsidRPr="009C7639">
        <w:rPr>
          <w:rFonts w:ascii="Times New Roman" w:hAnsi="Times New Roman" w:cs="Times New Roman"/>
          <w:lang w:val="es-AR"/>
        </w:rPr>
        <w:t>,V</w:t>
      </w:r>
      <w:proofErr w:type="gramEnd"/>
      <w:r w:rsidRPr="009C7639">
        <w:rPr>
          <w:rFonts w:ascii="Times New Roman" w:hAnsi="Times New Roman" w:cs="Times New Roman"/>
          <w:lang w:val="es-AR"/>
        </w:rPr>
        <w:t xml:space="preserve">. y Poole, D. (2008): “El estado en sus márgenes. Etnografías comparadas”. </w:t>
      </w:r>
      <w:r w:rsidRPr="009C7639">
        <w:rPr>
          <w:rFonts w:ascii="Times New Roman" w:hAnsi="Times New Roman" w:cs="Times New Roman"/>
          <w:i/>
          <w:lang w:val="es-AR"/>
        </w:rPr>
        <w:t>Cuadernos de Antropología Social</w:t>
      </w:r>
      <w:r w:rsidRPr="009C7639">
        <w:rPr>
          <w:rFonts w:ascii="Times New Roman" w:hAnsi="Times New Roman" w:cs="Times New Roman"/>
          <w:lang w:val="es-AR"/>
        </w:rPr>
        <w:t>. N° 27 pp. 19-52.</w:t>
      </w:r>
    </w:p>
    <w:p w14:paraId="64131BB2"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Foucault, M. (2006). </w:t>
      </w:r>
      <w:r w:rsidRPr="009C7639">
        <w:rPr>
          <w:rFonts w:ascii="Times New Roman" w:hAnsi="Times New Roman" w:cs="Times New Roman"/>
          <w:i/>
          <w:lang w:val="es-AR"/>
        </w:rPr>
        <w:t>Seguridad, Territorio y Población</w:t>
      </w:r>
      <w:r w:rsidRPr="009C7639">
        <w:rPr>
          <w:rFonts w:ascii="Times New Roman" w:hAnsi="Times New Roman" w:cs="Times New Roman"/>
          <w:lang w:val="es-AR"/>
        </w:rPr>
        <w:t>. Buenos Aires: Fondo de Cultura Económica. [Curso en el College de France 1977-1978]</w:t>
      </w:r>
    </w:p>
    <w:p w14:paraId="4C1A6A8F"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García de Fanelli, A. y Adrogué, C. (2021) Equidad en la educación superior latinoamericana: dimensiones e indicadores. </w:t>
      </w:r>
      <w:r w:rsidRPr="009C7639">
        <w:rPr>
          <w:rFonts w:ascii="Times New Roman" w:hAnsi="Times New Roman" w:cs="Times New Roman"/>
          <w:i/>
          <w:lang w:val="es-AR"/>
        </w:rPr>
        <w:t>Revista Educación Superior y Sociedad</w:t>
      </w:r>
      <w:r w:rsidRPr="009C7639">
        <w:rPr>
          <w:rFonts w:ascii="Times New Roman" w:hAnsi="Times New Roman" w:cs="Times New Roman"/>
          <w:lang w:val="es-AR"/>
        </w:rPr>
        <w:t>, 33 (1), 85-114.</w:t>
      </w:r>
    </w:p>
    <w:p w14:paraId="632B276F"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Ferguson, James y Gupta, Akhil (2002). </w:t>
      </w:r>
      <w:r w:rsidRPr="009C7639">
        <w:rPr>
          <w:rFonts w:ascii="Times New Roman" w:hAnsi="Times New Roman" w:cs="Times New Roman"/>
          <w:lang w:val="en-US"/>
        </w:rPr>
        <w:t xml:space="preserve">Spatializing states: </w:t>
      </w:r>
      <w:proofErr w:type="gramStart"/>
      <w:r w:rsidRPr="009C7639">
        <w:rPr>
          <w:rFonts w:ascii="Times New Roman" w:hAnsi="Times New Roman" w:cs="Times New Roman"/>
          <w:lang w:val="en-US"/>
        </w:rPr>
        <w:t>toward an</w:t>
      </w:r>
      <w:proofErr w:type="gramEnd"/>
      <w:r w:rsidRPr="009C7639">
        <w:rPr>
          <w:rFonts w:ascii="Times New Roman" w:hAnsi="Times New Roman" w:cs="Times New Roman"/>
          <w:lang w:val="en-US"/>
        </w:rPr>
        <w:t xml:space="preserve"> ethnography of neoliberal governmentality. </w:t>
      </w:r>
      <w:r w:rsidRPr="009C7639">
        <w:rPr>
          <w:rFonts w:ascii="Times New Roman" w:hAnsi="Times New Roman" w:cs="Times New Roman"/>
          <w:i/>
          <w:lang w:val="es-AR"/>
        </w:rPr>
        <w:t>American Ethnologist</w:t>
      </w:r>
      <w:r w:rsidRPr="009C7639">
        <w:rPr>
          <w:rFonts w:ascii="Times New Roman" w:hAnsi="Times New Roman" w:cs="Times New Roman"/>
          <w:lang w:val="es-AR"/>
        </w:rPr>
        <w:t xml:space="preserve"> 29 (4): 981-1002.</w:t>
      </w:r>
    </w:p>
    <w:p w14:paraId="0994B81A" w14:textId="77777777" w:rsidR="009C7639" w:rsidRPr="009C7639" w:rsidRDefault="009C7639" w:rsidP="009C7639">
      <w:pPr>
        <w:spacing w:line="240" w:lineRule="auto"/>
        <w:jc w:val="both"/>
        <w:rPr>
          <w:rFonts w:ascii="Times New Roman" w:hAnsi="Times New Roman" w:cs="Times New Roman"/>
          <w:lang w:val="en-US"/>
        </w:rPr>
      </w:pPr>
      <w:r w:rsidRPr="009C7639">
        <w:rPr>
          <w:rFonts w:ascii="Times New Roman" w:hAnsi="Times New Roman" w:cs="Times New Roman"/>
          <w:lang w:val="es-AR"/>
        </w:rPr>
        <w:t xml:space="preserve">Gordillo, G. (2018) </w:t>
      </w:r>
      <w:r w:rsidRPr="009C7639">
        <w:rPr>
          <w:rFonts w:ascii="Times New Roman" w:hAnsi="Times New Roman" w:cs="Times New Roman"/>
          <w:i/>
          <w:lang w:val="es-AR"/>
        </w:rPr>
        <w:t>Los escombros del progreso. Ciudades perdidas, estaciones abandonadas y deforestación sojera en el norte argentino</w:t>
      </w:r>
      <w:r w:rsidRPr="009C7639">
        <w:rPr>
          <w:rFonts w:ascii="Times New Roman" w:hAnsi="Times New Roman" w:cs="Times New Roman"/>
          <w:lang w:val="es-AR"/>
        </w:rPr>
        <w:t xml:space="preserve">. </w:t>
      </w:r>
      <w:r w:rsidRPr="009C7639">
        <w:rPr>
          <w:rFonts w:ascii="Times New Roman" w:hAnsi="Times New Roman" w:cs="Times New Roman"/>
          <w:lang w:val="en-US"/>
        </w:rPr>
        <w:t>Buenos Aires: Siglo XXI.</w:t>
      </w:r>
    </w:p>
    <w:p w14:paraId="4263B571" w14:textId="77777777" w:rsidR="009C7639" w:rsidRPr="009C7639" w:rsidRDefault="009C7639" w:rsidP="009C7639">
      <w:pPr>
        <w:spacing w:line="240" w:lineRule="auto"/>
        <w:jc w:val="both"/>
        <w:rPr>
          <w:rFonts w:ascii="Times New Roman" w:hAnsi="Times New Roman" w:cs="Times New Roman"/>
          <w:lang w:val="en-US"/>
        </w:rPr>
      </w:pPr>
      <w:r w:rsidRPr="009C7639">
        <w:rPr>
          <w:rFonts w:ascii="Times New Roman" w:hAnsi="Times New Roman" w:cs="Times New Roman"/>
          <w:lang w:val="en-US"/>
        </w:rPr>
        <w:t xml:space="preserve">Gupta, A. (2018). The future in ruins: Thoughts on the temporality of infrastructure. En: Anand </w:t>
      </w:r>
      <w:proofErr w:type="gramStart"/>
      <w:r w:rsidRPr="009C7639">
        <w:rPr>
          <w:rFonts w:ascii="Times New Roman" w:hAnsi="Times New Roman" w:cs="Times New Roman"/>
          <w:lang w:val="en-US"/>
        </w:rPr>
        <w:t>et</w:t>
      </w:r>
      <w:proofErr w:type="gramEnd"/>
      <w:r w:rsidRPr="009C7639">
        <w:rPr>
          <w:rFonts w:ascii="Times New Roman" w:hAnsi="Times New Roman" w:cs="Times New Roman"/>
          <w:lang w:val="en-US"/>
        </w:rPr>
        <w:t xml:space="preserve">. Al. </w:t>
      </w:r>
      <w:proofErr w:type="gramStart"/>
      <w:r w:rsidRPr="009C7639">
        <w:rPr>
          <w:rFonts w:ascii="Times New Roman" w:hAnsi="Times New Roman" w:cs="Times New Roman"/>
          <w:i/>
          <w:lang w:val="en-US"/>
        </w:rPr>
        <w:t>The promise of infrastructure</w:t>
      </w:r>
      <w:r w:rsidRPr="009C7639">
        <w:rPr>
          <w:rFonts w:ascii="Times New Roman" w:hAnsi="Times New Roman" w:cs="Times New Roman"/>
          <w:lang w:val="en-US"/>
        </w:rPr>
        <w:t>.</w:t>
      </w:r>
      <w:proofErr w:type="gramEnd"/>
      <w:r w:rsidRPr="009C7639">
        <w:rPr>
          <w:rFonts w:ascii="Times New Roman" w:hAnsi="Times New Roman" w:cs="Times New Roman"/>
          <w:lang w:val="en-US"/>
        </w:rPr>
        <w:t xml:space="preserve"> Duke University Press.</w:t>
      </w:r>
    </w:p>
    <w:p w14:paraId="7F754A23" w14:textId="6253C2C4"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Isacovich, P. (2016) “Lo que hacen los “jóvenes ni-ni”. Una etnografía de procesos de producción de políticas, juventudes y estado en el Bajo Flores.” Tesis de doctorado en Antropología Social. FFyL - UBA.</w:t>
      </w:r>
    </w:p>
    <w:p w14:paraId="51AA1D3F"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Isacovich, P. (2018) Sobre las regulaciones estatales y las posibilidades de acceso al trabajo. Un análisis etnográfico en torno a los primeros años de una Universidad Nacional. En: Goren, N. y P. Isacovich (comps.) </w:t>
      </w:r>
      <w:r w:rsidRPr="009C7639">
        <w:rPr>
          <w:rFonts w:ascii="Times New Roman" w:hAnsi="Times New Roman" w:cs="Times New Roman"/>
          <w:i/>
          <w:lang w:val="es-AR"/>
        </w:rPr>
        <w:t>El trabajo en el Conurbano Bonaerense. Actores, Instituciones y Sentidos</w:t>
      </w:r>
      <w:r w:rsidRPr="009C7639">
        <w:rPr>
          <w:rFonts w:ascii="Times New Roman" w:hAnsi="Times New Roman" w:cs="Times New Roman"/>
          <w:lang w:val="es-AR"/>
        </w:rPr>
        <w:t>. José C. Paz: Edunpaz.</w:t>
      </w:r>
    </w:p>
    <w:p w14:paraId="0630CF62" w14:textId="77777777" w:rsidR="009C7639" w:rsidRPr="009C7639" w:rsidRDefault="009C7639" w:rsidP="009C7639">
      <w:pPr>
        <w:spacing w:line="240" w:lineRule="auto"/>
        <w:jc w:val="both"/>
        <w:rPr>
          <w:rFonts w:ascii="Times New Roman" w:hAnsi="Times New Roman" w:cs="Times New Roman"/>
          <w:lang w:val="en-US"/>
        </w:rPr>
      </w:pPr>
      <w:r w:rsidRPr="009C7639">
        <w:rPr>
          <w:rFonts w:ascii="Times New Roman" w:hAnsi="Times New Roman" w:cs="Times New Roman"/>
          <w:lang w:val="es-AR"/>
        </w:rPr>
        <w:t xml:space="preserve">Isacovich, P. (2024) “Las universidades y las políticas sociales de juventud.” </w:t>
      </w:r>
      <w:r w:rsidRPr="009C7639">
        <w:rPr>
          <w:rFonts w:ascii="Times New Roman" w:hAnsi="Times New Roman" w:cs="Times New Roman"/>
          <w:lang w:val="en-US"/>
        </w:rPr>
        <w:t xml:space="preserve">En: </w:t>
      </w:r>
      <w:r w:rsidRPr="009C7639">
        <w:rPr>
          <w:rFonts w:ascii="Times New Roman" w:hAnsi="Times New Roman" w:cs="Times New Roman"/>
          <w:i/>
          <w:lang w:val="en-US"/>
        </w:rPr>
        <w:t>Revista Última Década</w:t>
      </w:r>
      <w:r w:rsidRPr="009C7639">
        <w:rPr>
          <w:rFonts w:ascii="Times New Roman" w:hAnsi="Times New Roman" w:cs="Times New Roman"/>
          <w:lang w:val="en-US"/>
        </w:rPr>
        <w:t>, 32(62), 37–73. https://doi.org/10.5354/0718-2236.2024.74923.</w:t>
      </w:r>
    </w:p>
    <w:p w14:paraId="19909FBF"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Isacovich, P. y Wagener, M. (2021) “Cuando este municipio nació no teníamos ni cementerio”. Un análisis antropológico de la producción del Estado en el conurbano bonaerense. </w:t>
      </w:r>
      <w:r w:rsidRPr="009C7639">
        <w:rPr>
          <w:rFonts w:ascii="Times New Roman" w:hAnsi="Times New Roman" w:cs="Times New Roman"/>
          <w:i/>
          <w:lang w:val="es-AR"/>
        </w:rPr>
        <w:t>Revista Ensambles</w:t>
      </w:r>
      <w:r w:rsidRPr="009C7639">
        <w:rPr>
          <w:rFonts w:ascii="Times New Roman" w:hAnsi="Times New Roman" w:cs="Times New Roman"/>
          <w:lang w:val="es-AR"/>
        </w:rPr>
        <w:t>, 15, 47-68.</w:t>
      </w:r>
    </w:p>
    <w:p w14:paraId="5C4D1E41"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Manzano, V. (2020) “Derechos y subjetividades en la producción colectiva del Gran Buenos Aires: sobre la política de la vida (digna)”. En: </w:t>
      </w:r>
      <w:r w:rsidRPr="009C7639">
        <w:rPr>
          <w:rFonts w:ascii="Times New Roman" w:hAnsi="Times New Roman" w:cs="Times New Roman"/>
          <w:i/>
          <w:lang w:val="es-AR"/>
        </w:rPr>
        <w:t>Journal de Comunicación Social</w:t>
      </w:r>
      <w:r w:rsidRPr="009C7639">
        <w:rPr>
          <w:rFonts w:ascii="Times New Roman" w:hAnsi="Times New Roman" w:cs="Times New Roman"/>
          <w:lang w:val="es-AR"/>
        </w:rPr>
        <w:t>, 10(10), 13-47.</w:t>
      </w:r>
    </w:p>
    <w:p w14:paraId="158E827A"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lastRenderedPageBreak/>
        <w:t xml:space="preserve">Marquina, M. y A. Chiroleu (2015) “¿Hacia un nuevo mapa universitario? La ampliación de la oferta y la inclusión como temas de agenda de gobierno en Argentina”. En: </w:t>
      </w:r>
      <w:r w:rsidRPr="009C7639">
        <w:rPr>
          <w:rFonts w:ascii="Times New Roman" w:hAnsi="Times New Roman" w:cs="Times New Roman"/>
          <w:i/>
          <w:lang w:val="es-AR"/>
        </w:rPr>
        <w:t>Propuesta Educativa</w:t>
      </w:r>
      <w:r w:rsidRPr="009C7639">
        <w:rPr>
          <w:rFonts w:ascii="Times New Roman" w:hAnsi="Times New Roman" w:cs="Times New Roman"/>
          <w:lang w:val="es-AR"/>
        </w:rPr>
        <w:t xml:space="preserve"> N° 43, Año 24, Vol1, Pp. 7-16.</w:t>
      </w:r>
    </w:p>
    <w:p w14:paraId="2F4D67A1"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Mendonça, M. (2020) Apuntes sobre estadísticas de la universidad pública argentina: construcción de series de matrícula, ingresos y egresos, y observaciones sobre su evolución en las últimas 5 décadas. </w:t>
      </w:r>
      <w:r w:rsidRPr="009C7639">
        <w:rPr>
          <w:rFonts w:ascii="Times New Roman" w:hAnsi="Times New Roman" w:cs="Times New Roman"/>
          <w:i/>
          <w:lang w:val="es-AR"/>
        </w:rPr>
        <w:t>Revista de Estudios Teóricos y Epistemológicos en Política Educativa</w:t>
      </w:r>
      <w:r w:rsidRPr="009C7639">
        <w:rPr>
          <w:rFonts w:ascii="Times New Roman" w:hAnsi="Times New Roman" w:cs="Times New Roman"/>
          <w:lang w:val="es-AR"/>
        </w:rPr>
        <w:t xml:space="preserve">; 5, 1 – 36. </w:t>
      </w:r>
    </w:p>
    <w:p w14:paraId="12BAC420" w14:textId="77777777" w:rsidR="009C7639" w:rsidRPr="009C7639" w:rsidRDefault="009C7639" w:rsidP="009C7639">
      <w:pPr>
        <w:spacing w:line="240" w:lineRule="auto"/>
        <w:jc w:val="both"/>
        <w:rPr>
          <w:rFonts w:ascii="Times New Roman" w:hAnsi="Times New Roman" w:cs="Times New Roman"/>
          <w:lang w:val="es-AR"/>
        </w:rPr>
      </w:pPr>
      <w:r w:rsidRPr="009C7639">
        <w:rPr>
          <w:rFonts w:ascii="Times New Roman" w:hAnsi="Times New Roman" w:cs="Times New Roman"/>
          <w:lang w:val="es-AR"/>
        </w:rPr>
        <w:t xml:space="preserve">Otero, A.; Corica, A. y J. Merbilhaa (2018) “Las universidades del conurbano bonaerense: influencias y contexto”. En: </w:t>
      </w:r>
      <w:r w:rsidRPr="009C7639">
        <w:rPr>
          <w:rFonts w:ascii="Times New Roman" w:hAnsi="Times New Roman" w:cs="Times New Roman"/>
          <w:i/>
          <w:lang w:val="es-AR"/>
        </w:rPr>
        <w:t>Archivos de Ciencias de la Educación</w:t>
      </w:r>
      <w:r w:rsidRPr="009C7639">
        <w:rPr>
          <w:rFonts w:ascii="Times New Roman" w:hAnsi="Times New Roman" w:cs="Times New Roman"/>
          <w:lang w:val="es-AR"/>
        </w:rPr>
        <w:t>, Vol. 12, nº 14.</w:t>
      </w:r>
    </w:p>
    <w:p w14:paraId="23CA62C6" w14:textId="605DD2EC" w:rsidR="00C802F5" w:rsidRPr="00BA642E" w:rsidRDefault="009C7639" w:rsidP="009C7639">
      <w:pPr>
        <w:spacing w:line="240" w:lineRule="auto"/>
        <w:jc w:val="both"/>
        <w:rPr>
          <w:rFonts w:ascii="Times New Roman" w:hAnsi="Times New Roman" w:cs="Times New Roman"/>
        </w:rPr>
      </w:pPr>
      <w:r w:rsidRPr="009C7639">
        <w:rPr>
          <w:rFonts w:ascii="Times New Roman" w:hAnsi="Times New Roman" w:cs="Times New Roman"/>
          <w:lang w:val="en-US"/>
        </w:rPr>
        <w:t xml:space="preserve">Sharma, A. y Gupta, A. (2006): “Introduction: Rethinking theories of the State in a age </w:t>
      </w:r>
      <w:proofErr w:type="gramStart"/>
      <w:r w:rsidRPr="009C7639">
        <w:rPr>
          <w:rFonts w:ascii="Times New Roman" w:hAnsi="Times New Roman" w:cs="Times New Roman"/>
          <w:lang w:val="en-US"/>
        </w:rPr>
        <w:t>of  globalization</w:t>
      </w:r>
      <w:proofErr w:type="gramEnd"/>
      <w:r w:rsidRPr="009C7639">
        <w:rPr>
          <w:rFonts w:ascii="Times New Roman" w:hAnsi="Times New Roman" w:cs="Times New Roman"/>
          <w:lang w:val="en-US"/>
        </w:rPr>
        <w:t xml:space="preserve">”.  </w:t>
      </w:r>
      <w:proofErr w:type="gramStart"/>
      <w:r w:rsidRPr="009C7639">
        <w:rPr>
          <w:rFonts w:ascii="Times New Roman" w:hAnsi="Times New Roman" w:cs="Times New Roman"/>
          <w:lang w:val="en-US"/>
        </w:rPr>
        <w:t>En  Sharma</w:t>
      </w:r>
      <w:proofErr w:type="gramEnd"/>
      <w:r w:rsidRPr="009C7639">
        <w:rPr>
          <w:rFonts w:ascii="Times New Roman" w:hAnsi="Times New Roman" w:cs="Times New Roman"/>
          <w:lang w:val="en-US"/>
        </w:rPr>
        <w:t xml:space="preserve">,  A.  </w:t>
      </w:r>
      <w:proofErr w:type="gramStart"/>
      <w:r w:rsidRPr="009C7639">
        <w:rPr>
          <w:rFonts w:ascii="Times New Roman" w:hAnsi="Times New Roman" w:cs="Times New Roman"/>
          <w:lang w:val="en-US"/>
        </w:rPr>
        <w:t>y  Gupta</w:t>
      </w:r>
      <w:proofErr w:type="gramEnd"/>
      <w:r w:rsidRPr="009C7639">
        <w:rPr>
          <w:rFonts w:ascii="Times New Roman" w:hAnsi="Times New Roman" w:cs="Times New Roman"/>
          <w:lang w:val="en-US"/>
        </w:rPr>
        <w:t>,  A.  (</w:t>
      </w:r>
      <w:proofErr w:type="gramStart"/>
      <w:r w:rsidRPr="009C7639">
        <w:rPr>
          <w:rFonts w:ascii="Times New Roman" w:hAnsi="Times New Roman" w:cs="Times New Roman"/>
          <w:lang w:val="en-US"/>
        </w:rPr>
        <w:t>eds</w:t>
      </w:r>
      <w:proofErr w:type="gramEnd"/>
      <w:r w:rsidRPr="009C7639">
        <w:rPr>
          <w:rFonts w:ascii="Times New Roman" w:hAnsi="Times New Roman" w:cs="Times New Roman"/>
          <w:lang w:val="en-US"/>
        </w:rPr>
        <w:t xml:space="preserve">.) </w:t>
      </w:r>
      <w:r w:rsidRPr="009C7639">
        <w:rPr>
          <w:rFonts w:ascii="Times New Roman" w:hAnsi="Times New Roman" w:cs="Times New Roman"/>
          <w:i/>
          <w:lang w:val="en-US"/>
        </w:rPr>
        <w:t xml:space="preserve"> </w:t>
      </w:r>
      <w:proofErr w:type="gramStart"/>
      <w:r w:rsidRPr="009C7639">
        <w:rPr>
          <w:rFonts w:ascii="Times New Roman" w:hAnsi="Times New Roman" w:cs="Times New Roman"/>
          <w:i/>
          <w:lang w:val="en-US"/>
        </w:rPr>
        <w:t>The  anthropology</w:t>
      </w:r>
      <w:proofErr w:type="gramEnd"/>
      <w:r w:rsidRPr="009C7639">
        <w:rPr>
          <w:rFonts w:ascii="Times New Roman" w:hAnsi="Times New Roman" w:cs="Times New Roman"/>
          <w:i/>
          <w:lang w:val="en-US"/>
        </w:rPr>
        <w:t xml:space="preserve">  of  the state: A reader</w:t>
      </w:r>
      <w:r w:rsidRPr="009C7639">
        <w:rPr>
          <w:rFonts w:ascii="Times New Roman" w:hAnsi="Times New Roman" w:cs="Times New Roman"/>
          <w:lang w:val="en-US"/>
        </w:rPr>
        <w:t>. Oxford: Blackwell Publishing.</w:t>
      </w:r>
      <w:bookmarkStart w:id="0" w:name="_GoBack"/>
      <w:bookmarkEnd w:id="0"/>
    </w:p>
    <w:sectPr w:rsidR="00C802F5" w:rsidRPr="00BA642E"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E841AB" w14:textId="77777777" w:rsidR="001E0184" w:rsidRPr="00BA642E" w:rsidRDefault="001E0184" w:rsidP="00C802F5">
      <w:pPr>
        <w:spacing w:after="0" w:line="240" w:lineRule="auto"/>
      </w:pPr>
      <w:r w:rsidRPr="00BA642E">
        <w:separator/>
      </w:r>
    </w:p>
  </w:endnote>
  <w:endnote w:type="continuationSeparator" w:id="0">
    <w:p w14:paraId="0C99F9A9" w14:textId="77777777" w:rsidR="001E0184" w:rsidRPr="00BA642E" w:rsidRDefault="001E0184"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B7F145" w14:textId="77777777" w:rsidR="001E0184" w:rsidRPr="00BA642E" w:rsidRDefault="001E0184" w:rsidP="00C802F5">
      <w:pPr>
        <w:spacing w:after="0" w:line="240" w:lineRule="auto"/>
      </w:pPr>
      <w:r w:rsidRPr="00BA642E">
        <w:separator/>
      </w:r>
    </w:p>
  </w:footnote>
  <w:footnote w:type="continuationSeparator" w:id="0">
    <w:p w14:paraId="3BB69A32" w14:textId="77777777" w:rsidR="001E0184" w:rsidRPr="00BA642E" w:rsidRDefault="001E0184"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DC"/>
    <w:rsid w:val="000A3ECE"/>
    <w:rsid w:val="001816D6"/>
    <w:rsid w:val="00185F5E"/>
    <w:rsid w:val="001923DC"/>
    <w:rsid w:val="001E0184"/>
    <w:rsid w:val="001F17A3"/>
    <w:rsid w:val="002327C3"/>
    <w:rsid w:val="00312392"/>
    <w:rsid w:val="004040C0"/>
    <w:rsid w:val="00437E9C"/>
    <w:rsid w:val="00550766"/>
    <w:rsid w:val="005F3B2E"/>
    <w:rsid w:val="00701F64"/>
    <w:rsid w:val="007B5B5F"/>
    <w:rsid w:val="007D233B"/>
    <w:rsid w:val="0085070B"/>
    <w:rsid w:val="009C7639"/>
    <w:rsid w:val="00A17247"/>
    <w:rsid w:val="00A8449A"/>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0A3E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A3ECE"/>
    <w:rPr>
      <w:rFonts w:ascii="Tahoma" w:hAnsi="Tahoma" w:cs="Tahoma"/>
      <w:sz w:val="16"/>
      <w:szCs w:val="16"/>
      <w:lang w:val="es-4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0A3E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A3ECE"/>
    <w:rPr>
      <w:rFonts w:ascii="Tahoma" w:hAnsi="Tahoma" w:cs="Tahoma"/>
      <w:sz w:val="16"/>
      <w:szCs w:val="16"/>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7329</Words>
  <Characters>40312</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User</cp:lastModifiedBy>
  <cp:revision>2</cp:revision>
  <dcterms:created xsi:type="dcterms:W3CDTF">2026-07-01T17:01:00Z</dcterms:created>
  <dcterms:modified xsi:type="dcterms:W3CDTF">2026-07-01T17:01:00Z</dcterms:modified>
</cp:coreProperties>
</file>