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widowControl w:val="0"/>
        <w:spacing w:after="0"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Desafíos de un servicio de salud estudiantil de una universidad brasileña</w:t>
      </w:r>
    </w:p>
    <w:p w:rsidR="00000000" w:rsidDel="00000000" w:rsidP="00000000" w:rsidRDefault="00000000" w:rsidRPr="00000000" w14:paraId="00000003">
      <w:pPr>
        <w:widowControl w:val="0"/>
        <w:spacing w:after="0" w:line="48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Neemias Rosa de Melo</w:t>
      </w:r>
    </w:p>
    <w:p w:rsidR="00000000" w:rsidDel="00000000" w:rsidP="00000000" w:rsidRDefault="00000000" w:rsidRPr="00000000" w14:paraId="00000005">
      <w:pPr>
        <w:widowControl w:val="0"/>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da Bahia</w:t>
      </w:r>
    </w:p>
    <w:p w:rsidR="00000000" w:rsidDel="00000000" w:rsidP="00000000" w:rsidRDefault="00000000" w:rsidRPr="00000000" w14:paraId="00000006">
      <w:pPr>
        <w:widowControl w:val="0"/>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Global Health Research Group on Racism and Social Inequalities in Mental Health in Brazil (ORI) del National Institute for Health and Care Research (NIHR/UK)</w:t>
      </w:r>
    </w:p>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En las últimas décadas, las universidades públicas latinoamericanas han atravesado procesos que tensionan la ampliación del acceso a la educación superior, especialmente en contextos marcados por la implementación de políticas de inclusión educativa. Al mismo tiempo, vivimos un período histórico atravesado por dinámicas de desfinanciamiento del sector público. En Brasil, la adopción de políticas de acción afirmativa, entre ellas la reserva de plazas a través de cuotas raciales, amplió el ingreso de estudiantes históricamente excluidos del sistema universitario, reafirmando desafíos para las instituciones en lo que se refiere a la permanencia estudiantil y a la organización de dispositivos de apoyo académico, social y en salud. En este contexto, el presente trabajo analiza las visiones de profesionales de un servicio de atención a la salud estudiantil de una universidad brasileña, con el objetivo de comprender cómo se perciben las transformaciones institucionales y las condiciones de funcionamiento del servicio ante la ampliación del acceso a la educación superior. El estudio integra el proyecto “Racismo y Desigualdades Sociales en Salud Mental en Brasil - ORI”. En este trabajo utilizamos datos producidos a partir de tres grupos focales realizados con profesionales del servicio, cuyos relatos fueron analizados a partir de un enfoque cualitativo orientado por el campo de las ciencias sociales. Los resultados señalan la existencia de una tensión significativa entre, por un lado, la ampliación del acceso a la universidad promovida por las políticas de acción afirmativa y, por otro, un proceso de deterioro material e institucional del servicio responsable de atender las demandas de salud de la comunidad universitaria. Entre los aspectos destacados por las y los participantes se encuentran la fragilidad de la articulación institucional dentro de la universidad, la ausencia de espacio físico suficiente para la realización de las acciones de salud, las limitaciones estructurales relacionadas con la inexistencia de financiamiento propio, la escasez de insumos, equipamientos y personal, así como la existencia de expectativas de la comunidad académica consideradas desproporcionadas en relación con las capacidades reales del servicio. También emergen reflexiones sobre las dificultades para transformar la cultura institucional, considerando que históricamente la universidad fue pensada para las élites desde el punto de vista socioeconómico, aspecto que se vuelve más evidente ante el ingreso ampliado de estudiantes provenientes de políticas de reserva de plazas. Los relatos evidencian también esfuerzos del equipo del servicio para promover cambios institucionales, incluyendo intentos de traslado del servicio hacia un espacio físico más adecuado, aunque enfrentando obstáculos institucionales persistentes. Los testimonios indican además la existencia de una indefinición histórica acerca del papel del servicio de salud dentro de la universidad, lo que repercute en su financiamiento y en su reconocimiento institucional. El trabajo contribuye al debate sobre las tensiones entre la democratización del acceso, las políticas universitarias y las condiciones materiales de funcionamiento de los dispositivos institucionales destinados a sostener la permanencia estudiantil, problematizando los desafíos que enfrentan las universidades públicas en contextos de expansión educativa y restricción de recursos.</w:t>
      </w:r>
    </w:p>
    <w:p w:rsidR="00000000" w:rsidDel="00000000" w:rsidP="00000000" w:rsidRDefault="00000000" w:rsidRPr="00000000" w14:paraId="0000000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universidad, políticas de acción afirmativa, asistencia estudiantil, Brasil.</w:t>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0C">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democratización del acceso no elimina los desafíos relacionados con la permanencia estudiantil. La literatura ha destacado que los estudiantes provenientes de grupos históricamente excluidos frecuentemente enfrentan obstáculos de diversa índole que pueden comprometer su trayectoria universitaria (Barbosa &amp; Maia, 2024; Oliveira et al., 2025). En este contexto, las políticas de asistencia estudiantil y los servicios institucionales de apoyo a la permanencia en la universidad asumen un papel fundamental en la garantía del derecho a la educación superior.</w:t>
      </w:r>
    </w:p>
    <w:p w:rsidR="00000000" w:rsidDel="00000000" w:rsidP="00000000" w:rsidRDefault="00000000" w:rsidRPr="00000000" w14:paraId="0000000D">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Paralelamente a la expansión del acceso, las universidades públicas brasileñas comenzaron a convivir con procesos de restricción presupuestaria y desfinanciamiento de las políticas públicas, impactando su capacidad de responder a las demandas crecientes de la comunidad académica. Entre estas demandas, se destacan aquellas relacionadas con la promoción y el cuidado de la salud mental, cuya relevancia ha sido ampliamente documentada en estudios nacionales e internacionales (Barros &amp; Peixoto, 2023).</w:t>
      </w:r>
    </w:p>
    <w:p w:rsidR="00000000" w:rsidDel="00000000" w:rsidP="00000000" w:rsidRDefault="00000000" w:rsidRPr="00000000" w14:paraId="0000000E">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creemos que los servicios de salud orientados a la comunidad universitaria son dispositivos estratégicos para la acogida y el acompañamiento de las demandas de salud mental de los estudiantes, contribuyendo a la promoción de la salud y a la permanencia en la universidad. No obstante, tales servicios frecuentemente enfrentan limitaciones relacionadas con la infraestructura, los recursos humanos y el reconocimiento institucional, produciendo tensiones entre las necesidades de la comunidad universitaria y la capacidad de respuesta de las instituciones.</w:t>
      </w:r>
    </w:p>
    <w:p w:rsidR="00000000" w:rsidDel="00000000" w:rsidP="00000000" w:rsidRDefault="00000000" w:rsidRPr="00000000" w14:paraId="0000000F">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Partiendo de este contexto, analizamos en este artículo las perspectivas de profesionales de un servicio de salud estudiantil de una universidad pública brasileña acerca de las transformaciones institucionales asociadas a la ampliación del acceso a la educación superior. Buscamos comprender cómo estos trabajadores perciben los cambios en el perfil estudiantil, en las demandas presentadas al servicio y en las condiciones institucionales de funcionamiento de dicho servicio de salud ante la ampliación del acceso a la educación superior brasileña.</w:t>
      </w:r>
    </w:p>
    <w:p w:rsidR="00000000" w:rsidDel="00000000" w:rsidP="00000000" w:rsidRDefault="00000000" w:rsidRPr="00000000" w14:paraId="00000010">
      <w:pPr>
        <w:pStyle w:val="Heading2"/>
        <w:keepNext w:val="0"/>
        <w:keepLines w:val="0"/>
        <w:widowControl w:val="0"/>
        <w:spacing w:before="360" w:line="240" w:lineRule="auto"/>
        <w:ind w:left="0" w:firstLine="0"/>
        <w:jc w:val="both"/>
        <w:rPr>
          <w:rFonts w:ascii="Times New Roman" w:cs="Times New Roman" w:eastAsia="Times New Roman" w:hAnsi="Times New Roman"/>
          <w:b w:val="1"/>
          <w:bCs w:val="1"/>
          <w:color w:val="000000"/>
          <w:sz w:val="24"/>
          <w:szCs w:val="24"/>
        </w:rPr>
      </w:pPr>
      <w:bookmarkStart w:colFirst="0" w:colLast="0" w:name="_heading=h.8ec4tj1mf78k" w:id="0"/>
      <w:bookmarkEnd w:id="0"/>
      <w:r w:rsidDel="00000000" w:rsidR="00000000" w:rsidRPr="00000000">
        <w:rPr>
          <w:rFonts w:ascii="Times New Roman" w:cs="Times New Roman" w:eastAsia="Times New Roman" w:hAnsi="Times New Roman"/>
          <w:b w:val="1"/>
          <w:bCs w:val="1"/>
          <w:color w:val="000000"/>
          <w:sz w:val="24"/>
          <w:szCs w:val="24"/>
          <w:rtl w:val="0"/>
        </w:rPr>
        <w:t xml:space="preserve">Metodología</w:t>
      </w:r>
    </w:p>
    <w:p w:rsidR="00000000" w:rsidDel="00000000" w:rsidP="00000000" w:rsidRDefault="00000000" w:rsidRPr="00000000" w14:paraId="00000011">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trata de un estudio cualitativo inserto en el campo de las Ciencias Sociales en Salud (Salud Colectiva), interesado en comprender las percepciones de trabajadores de la salud acerca de las transformaciones institucionales experimentadas en un servicio universitario de salud. La investigación cualitativa permite comprender los sentidos y significados atribuidos por los sujetos a sus experiencias y contextos de actuación, favoreciendo la interpretación de las relaciones entre los actores y la realidad social (Gaskell, 2002). </w:t>
      </w:r>
    </w:p>
    <w:p w:rsidR="00000000" w:rsidDel="00000000" w:rsidP="00000000" w:rsidRDefault="00000000" w:rsidRPr="00000000" w14:paraId="00000012">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investigación, asumimos una perspectiva interpretativa, comprendiendo la producción del conocimiento como un proceso relacional e intersubjetivo entre el investigador y los participantes (Silva, 2008). En este sentido, la elección de los trabajadores de la salud como interlocutores de la investigación derivó de su posición privilegiada en la observación de las transformaciones ocurridas en el perfil estudiantil y de las respuestas institucionales construidas por el servicio de salud a lo largo de los procesos de expansión y democratización del acceso a la educación superior.</w:t>
      </w:r>
    </w:p>
    <w:p w:rsidR="00000000" w:rsidDel="00000000" w:rsidP="00000000" w:rsidRDefault="00000000" w:rsidRPr="00000000" w14:paraId="00000013">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se realizó en un servicio asistencial orientado a la promoción y atención de la salud estudiantil vinculado a una universidad brasileña. En la investigación participaron servidores técnicos de la institución. De este modo, se incluyeron trabajadores que se desempeñaban en el servicio de salud al momento de la producción de los datos de la investigación o que ya se habían desempeñado en otro momento y manifestaron interés en participar en la investigación. Se excluyeron aquellos que rechazaron la participación o no pudieron asistir a los encuentros debido a incompatibilidad de horarios.</w:t>
      </w:r>
    </w:p>
    <w:p w:rsidR="00000000" w:rsidDel="00000000" w:rsidP="00000000" w:rsidRDefault="00000000" w:rsidRPr="00000000" w14:paraId="00000014">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producción de los datos ocurrió en noviembre de 2025 mediante el uso de la técnica de grupos focales, realizados virtualmente a través de la plataforma Google Meet. Para la realización de los grupos focales, adoptamos una guía semiestructurada que abordaba temas relacionados con la trayectoria del servicio, las transformaciones observadas en el perfil estudiantil, las demandas de salud mental y los desafíos enfrentados en la cotidianidad institucional. En este manuscrito, utilizaremos los datos producidos a través de tres grupos focales, con una duración de entre 45 y 100 minutos cada uno. </w:t>
      </w:r>
    </w:p>
    <w:p w:rsidR="00000000" w:rsidDel="00000000" w:rsidP="00000000" w:rsidRDefault="00000000" w:rsidRPr="00000000" w14:paraId="00000015">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utilización de los grupos focales demostró ser adecuada al posibilitar la construcción colectiva de narrativas y la identificación de percepciones compartidas, divergencias y sentidos producidos en torno a las experiencias de trabajo (Trad, 2009). Cabe destacar que el investigador responsable de la conducción de los grupos integra el equipo profesional del servicio investigado. Esta inserción favoreció el conocimiento profundo del contexto institucional y exigió un permanente ejercicio de reflexividad durante la producción y el análisis de los datos.</w:t>
      </w:r>
    </w:p>
    <w:p w:rsidR="00000000" w:rsidDel="00000000" w:rsidP="00000000" w:rsidRDefault="00000000" w:rsidRPr="00000000" w14:paraId="00000016">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datos se analizaron mediante el análisis de contenido temático propuesto por Laurence Bardin (2009). Inicialmente se realizó la lectura flotante del material empírico, seguida por la codificación de las respuestas e identificación de núcleos de sentido recurrentes. Posteriormente, los códigos se agruparon en categorías temáticas que expresaban las dimensiones centrales de las percepciones de los participantes sobre las transformaciones institucionales y las condiciones de funcionamiento del servicio.</w:t>
      </w:r>
    </w:p>
    <w:p w:rsidR="00000000" w:rsidDel="00000000" w:rsidP="00000000" w:rsidRDefault="00000000" w:rsidRPr="00000000" w14:paraId="00000017">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se desarrolló de conformidad con las directrices de las Resoluciones número 466/2012 y 510/2016 del Consejo Nacional de Salud, que tratan sobre la participación de seres humanos en investigaciones científicas realizadas en Brasil (Brasil, 2012, 2016). El proyecto fue aprobado por el Comité de Ética en Investigación del Instituto de Salud Colectiva de la Universidad Federal de Bahía, bajo el dictamen nº 7.686.107. Todos los participantes fueron informados sobre los objetivos de la investigación, los procedimientos adoptados y las garantías de confidencialidad, aceptando voluntariamente participar mediante la firma del Término de Consentimiento Libre e Informado. Para preservar el anonimato de la participación, los integrantes de los grupos focales serán denominados en este manuscrito como "P1", "P2" y "P3". Considerando también la necesidad de reducir las posibilidades de identificación de estas personas participantes, optamos por no presentar sus características sociodemográficas, así como sus categorías profesionales y afiliaciones en el servicio de salud investigado.</w:t>
      </w:r>
    </w:p>
    <w:p w:rsidR="00000000" w:rsidDel="00000000" w:rsidP="00000000" w:rsidRDefault="00000000" w:rsidRPr="00000000" w14:paraId="00000018">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Informamos que este estudio está integrado al Global Health Research Group on Racism and Social Inequalities in Mental Health in Brazil (ORI) del National Institute for Health and Care Research (NIHR/UK - NIHR156517).</w:t>
      </w:r>
    </w:p>
    <w:p w:rsidR="00000000" w:rsidDel="00000000" w:rsidP="00000000" w:rsidRDefault="00000000" w:rsidRPr="00000000" w14:paraId="00000019">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B">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los testimonios de los trabajadores de la salud que participaron en los grupos focales, el servicio de salud investigado se caracteriza por ser una unidad multiprofesional orientada a la atención de la comunidad académica. Aunque su alcance inicial se restringía a la asistencia médica de los estudiantes, hubo una expansión de su público objetivo a lo largo del tiempo, pasando también a acoger a servidores (en actividad y jubilados) y a sus dependientes. Con el tiempo, este servicio de salud también asumió la demanda de realizar exámenes periciales, lo que demuestra la ampliación de sus acciones más allá del cuidado de la salud propiamente dicho. </w:t>
      </w:r>
    </w:p>
    <w:p w:rsidR="00000000" w:rsidDel="00000000" w:rsidP="00000000" w:rsidRDefault="00000000" w:rsidRPr="00000000" w14:paraId="0000001C">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Actualmente, su alcance de actuación va desde la gestión integrada (que involucra planificación, presupuesto, infraestructura, bioseguridad y tecnología de la información) hasta la atención directa a la comunidad universitaria, que incluye el registro y creación de historias clínicas, programación de citas con médicos y otros profesionales de la salud, desarrollo de personas, peritaje oficial y acciones de vigilancia y atención a la salud de alumnos y trabajadores de la universidad. Según una de nuestras interlocutoras, el servicio de salud posee un papel estratégico en la universidad:</w:t>
      </w:r>
    </w:p>
    <w:p w:rsidR="00000000" w:rsidDel="00000000" w:rsidP="00000000" w:rsidRDefault="00000000" w:rsidRPr="00000000" w14:paraId="0000001E">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esta es una unidad estratégica para la universidad porque atiende diversas acciones, inclusive en la cuestión de la salud, de la promoción, de la prevención, de la vigilancia, de la seguridad para el servidor, ya sea técnico o docente. Y también atiende a estudiantes, ¿no? En una proporción inmensa. (P1 en el Grupo focal 2)</w:t>
      </w:r>
    </w:p>
    <w:p w:rsidR="00000000" w:rsidDel="00000000" w:rsidP="00000000" w:rsidRDefault="00000000" w:rsidRPr="00000000" w14:paraId="0000001F">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a pesar de ser considerado importante para la promoción de la salud en la universidad, los relatos indican que, mientras la universidad se expandió y presentó una cierta democratización en su acceso, especialmente tras la implementación de la política de cuotas, el servicio sufrió una retracción en su estructura física y en el cuerpo de profesionales. Se considera que la expansión del acceso a la universidad también promovió un aumento de la demanda de cuidado de la salud en el ámbito del servicio de salud universitario, principalmente porque esta expansión se movilizó en el sentido de garantizar la entrada de estudiantes pertenecientes a grupos históricamente excluidos de la educación superior.</w:t>
      </w:r>
    </w:p>
    <w:p w:rsidR="00000000" w:rsidDel="00000000" w:rsidP="00000000" w:rsidRDefault="00000000" w:rsidRPr="00000000" w14:paraId="00000020">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 aumento de la demanda, ¿no?, de la necesidad de la comunidad universitaria y el tamaño del servicio, que el servicio se encoge, a medida que, inversamente proporcional, la comunidad aumenta, ¿no? Entonces hay una lógica ahí que percibimos que no, no, que no se, que no logramos de alguna forma organizar el servicio, ¿de acuerdo? [...] (P1 en el Grupo focal 2)</w:t>
      </w:r>
    </w:p>
    <w:p w:rsidR="00000000" w:rsidDel="00000000" w:rsidP="00000000" w:rsidRDefault="00000000" w:rsidRPr="00000000" w14:paraId="00000021">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para los participantes, existe un descompás entre lo que se espera del servicio de salud y lo que realmente este puede ofrecer a la comunidad universitaria, como se puede ejemplificar a través del siguiente relato en uno de los grupos focales: “[...] el [servicio de salud] ni siquiera tiene las condiciones físicas, estructurales, humanas para abarcar a toda la universidad. [...]” (P3 en el Grupo focal 3). Esto se describe mediante la existencia de expectativas de la comunidad académica consideradas desproporcionadas en relación con las capacidades reales del servicio de salud. </w:t>
      </w:r>
    </w:p>
    <w:p w:rsidR="00000000" w:rsidDel="00000000" w:rsidP="00000000" w:rsidRDefault="00000000" w:rsidRPr="00000000" w14:paraId="00000022">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otro momento de ese mismo grupo focal, otra participante expresa esta cuestión hablando sobre el aumento de lo que denomina como la “responsabilidad” del servicio de salud. En su relato, el crecimiento del interés por el servicio, que habría sido provocado por las transformaciones institucionales que generaron la ampliación del acceso a la universidad, contrasta con la reducción de la capacidad del servicio para garantizar la atención de esa “responsabilidad”: </w:t>
      </w:r>
    </w:p>
    <w:p w:rsidR="00000000" w:rsidDel="00000000" w:rsidP="00000000" w:rsidRDefault="00000000" w:rsidRPr="00000000" w14:paraId="00000024">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viene creciendo en responsabilidades, crece mucho en responsabilidades, pero disminuye mucho en tamaño e infraestructura de personal, en fin. Nos damos cuenta de que hoy el servicio no es que no haya aumentado, no, no aumentó, no se estancó, disminuyó [...] (P1 en el Grupo focal 3).</w:t>
      </w:r>
    </w:p>
    <w:p w:rsidR="00000000" w:rsidDel="00000000" w:rsidP="00000000" w:rsidRDefault="00000000" w:rsidRPr="00000000" w14:paraId="00000025">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otros aspectos destacados en los grupos focales se encuentran la fragilidad de la articulación institucional dentro de la universidad para garantizar un funcionamiento pleno del servicio de salud teniendo en cuenta la demanda de hacerse cargo de las necesidades de salud de la comunidad universitaria, la ausencia de espacio físico suficiente para la realización de las acciones de salud, las limitaciones estructurales relacionadas con la inexistencia de financiamiento propio, así como la escasez de insumos, equipos y personal. Además, históricamente este servicio de salud enfrenta un escenario de precarización y restricciones presupuestarias, frecuentemente atribuido a su naturaleza esencialmente asistencial y a su distanciamiento de las actividades principales de la universidad (enseñanza, investigación y extensión). Como ejemplo de esto, actualmente el servicio opera en un espacio cedido, esforzándose por reestructurar sus flujos y rutinas para preservar la calidad de las atenciones prestadas.</w:t>
      </w:r>
    </w:p>
    <w:p w:rsidR="00000000" w:rsidDel="00000000" w:rsidP="00000000" w:rsidRDefault="00000000" w:rsidRPr="00000000" w14:paraId="00000026">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el servicio de salud es descrito como una unidad orientada al cuidado de la salud de forma general y con un perfil de atención multiprofesional, es posible percibir en los grupos focales que la salud mental es la principal demanda que viene siendo abordada en la producción del cuidado. En el discurso de los participantes, esto se describe en relación con el aumento de los requerimientos de atención a la salud que son canalizados hacia el servicio de salud, al grado de complejidad de los casos en seguimiento y al bajo número de citas disponibles.</w:t>
      </w:r>
    </w:p>
    <w:p w:rsidR="00000000" w:rsidDel="00000000" w:rsidP="00000000" w:rsidRDefault="00000000" w:rsidRPr="00000000" w14:paraId="00000028">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 nos quedamos medio presionados, ¿no?, con la demanda que aumenta cada día más, no tenemos mucho hacia dónde ampliar, ya que la cosa aumentó tanto, especialmente en la cuestión de salud mental en los últimos tres años [...] (P1 en el Grupo focal 1).</w:t>
      </w:r>
    </w:p>
    <w:p w:rsidR="00000000" w:rsidDel="00000000" w:rsidP="00000000" w:rsidRDefault="00000000" w:rsidRPr="00000000" w14:paraId="00000029">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testimonios también indican una indefinición histórica en relación con el papel del servicio de salud dentro de la universidad, lo que impacta en su financiamiento y reconocimiento institucional. </w:t>
      </w:r>
    </w:p>
    <w:p w:rsidR="00000000" w:rsidDel="00000000" w:rsidP="00000000" w:rsidRDefault="00000000" w:rsidRPr="00000000" w14:paraId="0000002A">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 tenemos presupuesto propio así, bueno, un presupuesto adecuado para la atención a la salud general, así, no hay presupuesto para el servicio. Porque esto es algo diferente en la universidad, entonces esa cosita poca de dinero no alcanza para aguantar la situación, tenemos que pensar, la atención a la salud requiere ese presupuesto, gasto. [...] Y ahí está esa cuestión a la que vuelvo de nuevo a insistir, para decir que el problema del servicio es porque no hay definición de su papel. (P3 en el Grupo focal 3).</w:t>
      </w:r>
    </w:p>
    <w:p w:rsidR="00000000" w:rsidDel="00000000" w:rsidP="00000000" w:rsidRDefault="00000000" w:rsidRPr="00000000" w14:paraId="0000002B">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 estamos allá en ese lugar, en ese pedazo, en ese lugar minúsculo, con esa estructura mínima, sin presupuesto, como P3 bien plantea, no tenemos presupuesto propio, vivimos obviamente pidiendo aquí, allá y acullá y a cuentagotas para comprar insumos y equipos. Y sin esa estructura mínima… - (P1 en el Grupo focal 3).</w:t>
      </w:r>
      <w:r w:rsidDel="00000000" w:rsidR="00000000" w:rsidRPr="00000000">
        <w:rPr>
          <w:rtl w:val="0"/>
        </w:rPr>
      </w:r>
    </w:p>
    <w:p w:rsidR="00000000" w:rsidDel="00000000" w:rsidP="00000000" w:rsidRDefault="00000000" w:rsidRPr="00000000" w14:paraId="0000002C">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las discusiones de los grupos focales, el servicio de salud durante mucho tiempo abordó la salud mental como un tema enfocado exclusivamente en la psicología y la psiquiatría, y que muchas veces se manifestaba en la actividad pericial, pasando después a una intersección con otros sectores e instituciones, sobre todo en relación con los casos de peritaje. Hay incluso mención de un intento de articulación entre diferentes grupos para la construcción de una política de salud mental en la universidad, que movilizó a los equipos de diferentes unidades académicas de la institución, pero no logró concretarse ni promover cambios efectivos. </w:t>
      </w:r>
    </w:p>
    <w:p w:rsidR="00000000" w:rsidDel="00000000" w:rsidP="00000000" w:rsidRDefault="00000000" w:rsidRPr="00000000" w14:paraId="0000002D">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¿Qué había de salud mental? La psicología, ¿no?, el servicio de psicología y psiquiatría, pero trabajando de una forma que no tenía ningún tipo de articulación, ni siquiera con el peritaje. Y veíamos que había muchos casos, muchas situaciones, que se evidenciaban allá en el peritaje. [...] se integró un grupo, que era un grupo pensando en una política de salud mental para estudiantes y servidores. [...] Fue excelente porque eso movió la mentalidad del [servicio de salud] en la propuesta de salud mental, pero como un conjunto para la [universidad] en común. No se concretó esa política (P2 en el Grupo focal 2).</w:t>
      </w:r>
    </w:p>
    <w:p w:rsidR="00000000" w:rsidDel="00000000" w:rsidP="00000000" w:rsidRDefault="00000000" w:rsidRPr="00000000" w14:paraId="0000002E">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cuidado en salud mental se describe enfocado en el tratamiento medicamentoso y de difícil acceso, haciendo que las atenciones sean realizadas prioritariamente por una categoría profesional y sin la garantía de un acompañamiento regular. Sin embargo, se puede notar que también existe un esfuerzo para la creación de un modelo ampliado del cuidado en salud mental, con el objetivo de promover una mayor integración entre las prácticas de cuidado y las categorías profesionales. </w:t>
      </w:r>
    </w:p>
    <w:p w:rsidR="00000000" w:rsidDel="00000000" w:rsidP="00000000" w:rsidRDefault="00000000" w:rsidRPr="00000000" w14:paraId="0000002F">
      <w:pPr>
        <w:widowControl w:val="0"/>
        <w:spacing w:after="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modelo más actual del servicio de salud incluye atenciones clínicas de consultorio, pero también apuesta por acogidas multiprofesionales (como una estrategia biopsicosocial, que cuenta con el equipo de enfermería, psicología y servicio social), además de utilizar también las medicinas tradicionales, complementarias e integrativas. Las prácticas de salud mental también han sido un campo para actividades de enseñanza, investigación y extensión en el ámbito del servicio de salud, contando además con la presencia de pasantes de la carrera de psicología (como en el caso de las actividades de orientación y evaluación psicológica).</w:t>
      </w:r>
    </w:p>
    <w:p w:rsidR="00000000" w:rsidDel="00000000" w:rsidP="00000000" w:rsidRDefault="00000000" w:rsidRPr="00000000" w14:paraId="00000031">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aquí la atención a la Salud Mental era esa cosa medicamentosa, ¿entiendes? Entonces aquella, y yo me quedaba impresionada, porque los estudiantes, el servidor que luchaban para programar una cita, y después no tenían un retorno. No había un retorno, entonces no había seguimiento, y era esa cosa medio prevalente, esa cosa del psiquiatra. [...] lo que intentamos elaborar fue un modelo de atención a la salud mental que, incluso, saliera de ahí, de aquellas paredes [...]. Que fuera hasta donde, ¿no? Hacer proyectos fuera de ahí e intentando fortalecer las MTCI [Medicinas Tradicionales, Complementarias e Integrativas - MTCI], ¿no? (P2 en el Grupo focal 2).</w:t>
      </w:r>
    </w:p>
    <w:p w:rsidR="00000000" w:rsidDel="00000000" w:rsidP="00000000" w:rsidRDefault="00000000" w:rsidRPr="00000000" w14:paraId="00000032">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también ha habido dificultades para garantizar la continuidad de este modelo de atención que ejerce presión sobre el modelo hegemónico imperante. En el estudio de Carvalho, Coelho y Carmo (2024), que analizó el uso de medicinas tradicionales, complementarias e integrativas entre estudiantes universitarios brasileños, por ejemplo, el acceso a estas medicinas en el servicio de salud estudiantil universitario se clasificó como difícil. Esto se asoció con la escasa difusión del flujo institucional de acceso a estas medicinas, la burocracia para programar citas y la sobrecarga del servicio de salud.</w:t>
      </w:r>
    </w:p>
    <w:p w:rsidR="00000000" w:rsidDel="00000000" w:rsidP="00000000" w:rsidRDefault="00000000" w:rsidRPr="00000000" w14:paraId="00000033">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pesar de este paradoja, la relevancia del órgano lo mantiene resiliente, adaptándose a las transformaciones de sus demandas y del público atendido. Actualmente, el servicio sigue manteniendo mi funcionamiento enfocado en tres énfasis principales: asistencia estudiantil, salud ocupacional y actividades de peritaje. Y, aunque es posible identificar algunas brechas en su funcionamiento, el servicio continúa siendo un importante dispositivo de promoción de la salud en el territorio universitario.</w:t>
      </w:r>
    </w:p>
    <w:p w:rsidR="00000000" w:rsidDel="00000000" w:rsidP="00000000" w:rsidRDefault="00000000" w:rsidRPr="00000000" w14:paraId="00000035">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posible identificar también que los problemas enfrentados por el servicio se intensificaron durante el período de la pandemia de la Covid-19. El servicio de salud, del cual ya se esperaba más de lo que este podía ofrecer, se vio impactado por las políticas federales para contener el avance del virus. El gobierno federal brasileño adoptó en su momento una postura negacionista ante la pandemia global, lo que se reflejó en una escala masiva de enfermedad y muerte de la población, sobrecarga de los servicios de salud y un escalonamiento en el surgimiento e intensificación de modalidades de sufrimiento mental por parte de la comunidad asistida.  </w:t>
      </w:r>
    </w:p>
    <w:p w:rsidR="00000000" w:rsidDel="00000000" w:rsidP="00000000" w:rsidRDefault="00000000" w:rsidRPr="00000000" w14:paraId="00000037">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pero fue un momento terrible para Brasil, sobre todo porque teníamos un gobierno totalmente negacionista que estorbó mucho a Brasil. Y que yo creo que todo aquello que el mundo, que el planeta estaba viviendo, aquí en Brasil fue todavía peor, porque todo se dificultaba para que las cosas marcharan de mejor manera aquí, no fueron pocas muertes. [...] yo también identifiqué de inmediato, que el servicio, lo que se esperaba, se le exigía al servicio de manera general en la universidad, y aquella realidad no tenía condiciones de atender bien, ¿entiendes? [...] (P3 en el Grupo focal 2)</w:t>
      </w:r>
    </w:p>
    <w:p w:rsidR="00000000" w:rsidDel="00000000" w:rsidP="00000000" w:rsidRDefault="00000000" w:rsidRPr="00000000" w14:paraId="00000038">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intentar identificar características sobre los usuarios del servicio y las demandas que llegan a él, se nota que el servicio siempre tuvo que estar atento a personas con trastornos mentales y problemas de salud mental diversos, incluyendo depresiones y psicosis. Además, la demanda de los estudiantes se describe como fuertemente influenciada por cuestiones sociales, sumado a la dificultad de acceso al dispositivo de salud. El relato de las participantes también sugiere que una parte considerable del padecimiento del público allí atendido proviene de la interacción social de los usuarios del servicio con su realidad, sobre todo a causa de la falta de acceso a bienes y servicios:</w:t>
      </w:r>
    </w:p>
    <w:p w:rsidR="00000000" w:rsidDel="00000000" w:rsidP="00000000" w:rsidRDefault="00000000" w:rsidRPr="00000000" w14:paraId="00000039">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Porque había una relación muy directa de la cuestión del retorno de la preparación y de la acogida de esos entornos en relación con las personas con los trastornos y con problemas de salud mental. Las depresiones, las situaciones de psicóticos también, cuadros psicóticos. Y todo eso comenzamos realmente para la salud mental. (P2 en el Grupo focal 2) </w:t>
      </w:r>
    </w:p>
    <w:p w:rsidR="00000000" w:rsidDel="00000000" w:rsidP="00000000" w:rsidRDefault="00000000" w:rsidRPr="00000000" w14:paraId="0000003A">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Entonces me asusté mucho con la cuestión de los profesores, sobre todo, y de los estudiantes también, incluso los estudiantes por causa de la cuestión social del país, la desigualdad, y en ese momento tenemos muchos estudiantes que tienen dificultades de acceso al servicio. (P3 en el Grupo focal 2) </w:t>
      </w:r>
    </w:p>
    <w:p w:rsidR="00000000" w:rsidDel="00000000" w:rsidP="00000000" w:rsidRDefault="00000000" w:rsidRPr="00000000" w14:paraId="0000003B">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 mayoría de esos estudiantes tienen dificultades para tener acceso, ¿no?, acceso transversal, inclusive a bienes, me refiero a vivienda y transporte [...]. Aquel chico que viene del interior no tiene familia aquí, ¿no?, y está solo, está aquel chico que [...] se exige mucho a sí mismo. (P1 en el Grupo focal 2)</w:t>
      </w:r>
    </w:p>
    <w:p w:rsidR="00000000" w:rsidDel="00000000" w:rsidP="00000000" w:rsidRDefault="00000000" w:rsidRPr="00000000" w14:paraId="0000003C">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Sousa y Marques (2025) afirman que existe una influencia perniciosa de los determinantes sociales sobre los trastornos de salud mental en Brasil. Las autoras sostienen que factores como el desempleo, la baja escolaridad, la pobreza, la informalidad laboral, y el encontrarse en contextos urbanos precarios y violentos, aumentan la vulnerabilidad psicológica, reducen el acceso a derechos, a servicios de salud mental y limitan las oportunidades de ascenso social.</w:t>
      </w:r>
    </w:p>
    <w:p w:rsidR="00000000" w:rsidDel="00000000" w:rsidP="00000000" w:rsidRDefault="00000000" w:rsidRPr="00000000" w14:paraId="0000003D">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esta investigación evidencian una expresiva contradicción estructural en el ámbito de la gestión universitaria. Por un lado, se observa el éxito y la consolidación de las políticas de acciones afirmativas, las cuales promovieron una necesaria y democrática ampliación del acceso a la educación superior para grupos históricamente marginados. Sin embargo, en sentido opuesto, es posible constatar un proceso de precarización material e institucional de los servicios de asistencia a la salud dirigidos a la comunidad académica. Esta asimetría revela que, aunque la universidad haya expandido sus fronteras de inclusión estudiantil, falló en acompañar esa demanda con el fortalecimiento de los mecanismos de soporte y bienestar esenciales para la permanencia y la sostenibilidad de estos sujetos.</w:t>
      </w:r>
    </w:p>
    <w:p w:rsidR="00000000" w:rsidDel="00000000" w:rsidP="00000000" w:rsidRDefault="00000000" w:rsidRPr="00000000" w14:paraId="0000003F">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Brasil, el financiamiento de la política de educación en los últimos años ha pasado por una profunda transformación, sobre todo tras la implementación de la Enmienda Constitucional nº 95 (Brasil, 2016), que adoptó un sistema de techo de gastos sociales. Salvador (2024) argumenta que, ante este régimen fiscal, el dinero que debería ser empeñado para garantizar derechos sociales (como la educación), termina siendo drenado y contingenciado para priorizar metas económicas, como el superávit primario y el pago de la deuda pública.</w:t>
      </w:r>
    </w:p>
    <w:p w:rsidR="00000000" w:rsidDel="00000000" w:rsidP="00000000" w:rsidRDefault="00000000" w:rsidRPr="00000000" w14:paraId="00000041">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esta coyuntura evidencia una contradicción estructural que desafía la lógica de democratización de la educación superior pública en Brasil. Esta asimetría se materializa en el descompás entre un avance legal e institucional de las Políticas de Acciones Afirmativas y la imposición de severas políticas de austeridad fiscal. El actual contingenciamiento y el ahogamiento del presupuesto destinado a la asistencia estudiantil revelan una clara barrera: mientras el Estado amplía el derecho formal y legal de acceso a la Universidad, también retira condiciones materiales necesarias para la subsistencia y el bienestar.</w:t>
      </w:r>
    </w:p>
    <w:p w:rsidR="00000000" w:rsidDel="00000000" w:rsidP="00000000" w:rsidRDefault="00000000" w:rsidRPr="00000000" w14:paraId="00000043">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Federal de Bahía (UFBA), una de las universidades más grandes de la región noreste de Brasil, es un exemplo que ocupa un lugar de destaque y se presenta como una de las pioneras en el escenario nacional respecto a la implementación de las acciones afirmativas y del sistema de cupos en la educación superior brasileña. Silva (2025) señala que el proceso de implementación de las políticas afirmativas en la UFBA contó con una influencia directa de los movimientos sociales negros y de la lucha que estos movimientos emprendieron para garantizar el acceso de las poblaciones marginadas a la universidad. En 2004 la UFBA adoptó oficialmente el sistema de cupos y fue considerado como “uno de los más completos programas de acción afirmativa” del país (Silva, 2025, p. 12).</w:t>
      </w:r>
    </w:p>
    <w:p w:rsidR="00000000" w:rsidDel="00000000" w:rsidP="00000000" w:rsidRDefault="00000000" w:rsidRPr="00000000" w14:paraId="00000045">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subfinanciamiento de la asistencia estudiantil en las universidades federales no es un fenómeno aislado, sino el reflejo de una elección macroeconómica de austeridad fiscal que afecta transversalmente a la seguridad social brasileña. Como analizan Mandu y Azevedo (2024), el período entre 2016 y 2023 estuvo marcado por un severo desmantelamiento presupuestario de las políticas sociales derivado de enmiendas constitucionales restrictivas. Se observa, entonces, un doble movimiento: al mismo tiempo que, en los últimos años, el Estado brasileño precariza la subsistencia de las familias de bajos ingresos, se transfiere a las universidades una presión por ayuda que estas instituciones, también subfinanciadas, no consiguen absorber.</w:t>
      </w:r>
    </w:p>
    <w:p w:rsidR="00000000" w:rsidDel="00000000" w:rsidP="00000000" w:rsidRDefault="00000000" w:rsidRPr="00000000" w14:paraId="00000047">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n los grupos focales que realizamos en esta investigación, </w:t>
      </w:r>
      <w:r w:rsidDel="00000000" w:rsidR="00000000" w:rsidRPr="00000000">
        <w:rPr>
          <w:rFonts w:ascii="Times New Roman" w:cs="Times New Roman" w:eastAsia="Times New Roman" w:hAnsi="Times New Roman"/>
          <w:rtl w:val="0"/>
        </w:rPr>
        <w:t xml:space="preserve">también emergen reflexiones sobre las dificultades de transformación de la cultura institucional, teniendo en vista que históricamente la universidad fue pensada para las élites desde el punto de vista socioeconómico, aspecto que se vuelve más evidente ante el ingreso ampliado de estudiantes provenientes de políticas de cuotas </w:t>
      </w:r>
      <w:r w:rsidDel="00000000" w:rsidR="00000000" w:rsidRPr="00000000">
        <w:rPr>
          <w:rFonts w:ascii="Times New Roman" w:cs="Times New Roman" w:eastAsia="Times New Roman" w:hAnsi="Times New Roman"/>
          <w:rtl w:val="0"/>
        </w:rPr>
        <w:t xml:space="preserve">para la admisión de estudiantes a la educación superior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9">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porque el ambiente de la academia es un ambiente hostil, ¿no? Sabemos que hay una cuestión de un endiosamiento, ¿no?, la universidad se transformó, gracias a Dios, desde el punto de vista de la diversidad, con la llegada de estos estudiantes tras el advenimiento de los cupos, pero la universidad en sí, continúa envejecida, continúa racista, ¿no?, continúa comprendiendo y entendiendo que la universidad debe servir a las élites, de acuerdo, esto parte, de gran parte de los profesores, inclusive, ¿no?, de la academia, los más, los veteranos, por así decirlo, los que dan saludos centenarios, ¿no?, ellos entienden en realidad que este ambiente es, todavía es un ambiente que debe servir a las élites y no servir a esta gran población de la universidad, sobre todo en los gobiernos de Lula y Dilma. [...] - (P1 en el Grupo focal 2)</w:t>
      </w:r>
    </w:p>
    <w:p w:rsidR="00000000" w:rsidDel="00000000" w:rsidP="00000000" w:rsidRDefault="00000000" w:rsidRPr="00000000" w14:paraId="0000004A">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señala que existe hoy un descompás entre las políticas de acceso a la universidad y las políticas de permanencia. Sotero (2022) afirma que la actual crisis y el corte de fondos para el financiamiento de la educación superior se presenta como el principal factor para el encogimiento de las políticas y del número de estudiantes atendidos en las universidades e institutos federales brasileños. Esta reducción de inversiones, además de profundizar las desigualdades sociales, debilita la red de políticas orientadas a la ampliación del sistema de educación superior en el país.</w:t>
      </w:r>
    </w:p>
    <w:p w:rsidR="00000000" w:rsidDel="00000000" w:rsidP="00000000" w:rsidRDefault="00000000" w:rsidRPr="00000000" w14:paraId="0000004B">
      <w:pPr>
        <w:widowControl w:val="0"/>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widowControl w:val="0"/>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las dificultades anteriormente descritas, los relatos revelan también esfuerzos del equipo del servicio de salud para promover cambios institucionales, incluyendo intentos de reubicar el servicio en un espacio físico más adecuado, aunque han enfrentado persistentes obstáculos institucionales. </w:t>
      </w:r>
    </w:p>
    <w:p w:rsidR="00000000" w:rsidDel="00000000" w:rsidP="00000000" w:rsidRDefault="00000000" w:rsidRPr="00000000" w14:paraId="0000004D">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Ya tenemos la propuesta de un edificio, [...] entonces es un espacio que probablemente va a ser designado para la estructura del servicio. [...] - (P1 en el Grupo focal 1)</w:t>
      </w:r>
    </w:p>
    <w:p w:rsidR="00000000" w:rsidDel="00000000" w:rsidP="00000000" w:rsidRDefault="00000000" w:rsidRPr="00000000" w14:paraId="0000004E">
      <w:pPr>
        <w:widowControl w:val="0"/>
        <w:spacing w:after="240" w:before="240" w:line="240" w:lineRule="auto"/>
        <w:ind w:left="600" w:right="16.06299212598571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0">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buscó analizar las perspectivas de profesionales de un servicio de salud estudiantil de una universidad pública brasileña, comprendiendo las implicaciones institucionales derivadas de la ampliación del acceso a la educación superior y cómo se perciben las condiciones de funcionamiento de este servicio. Los resultados revelan una paradoja estructural establecida a partir de la ampliación de acceso a la universidad, sobre todo después del advenimiento de las acciones afirmativas, y las políticas de austeridad fiscal que impusieron una retracción en relación con la transferencia de recursos para la universidad.</w:t>
      </w:r>
    </w:p>
    <w:p w:rsidR="00000000" w:rsidDel="00000000" w:rsidP="00000000" w:rsidRDefault="00000000" w:rsidRPr="00000000" w14:paraId="00000051">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narrativas de los trabajadores evidencian que, aunque el servicio investigado sea entendido como estratégico para la universidad, termina lidiando con demandas de alta complejidad en un escenario de escasez de insumos, inadecuación del espacio físico, déficit de personal y ausencia de presupuesto propio. De esta forma, se denuncia que un servicio orientado a la asistencia estudiantil termina por no lograr ejercer su función plenamente.</w:t>
      </w:r>
    </w:p>
    <w:p w:rsidR="00000000" w:rsidDel="00000000" w:rsidP="00000000" w:rsidRDefault="00000000" w:rsidRPr="00000000" w14:paraId="00000052">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refuerza la urgencia de que las instancias de gestión macroeconómica y la universidad puedan repensar el papel que la asistencia estudiantil ocupa actualmente en el escenario nacional. Para los estudiantes provenientes de poblaciones vulnerables que lograron ingresar a la universidad a partir de las políticas de acciones afirmativas, las políticas de asistencia representan la posibilidad misma de permanecer en la universidad. De este modo, es indispensable atender a esta paradoja para comprender aspectos intrínsecos a la justicia social brasileña y para la consolidación de la democratización de la educación superior en Brasil.</w:t>
      </w:r>
    </w:p>
    <w:p w:rsidR="00000000" w:rsidDel="00000000" w:rsidP="00000000" w:rsidRDefault="00000000" w:rsidRPr="00000000" w14:paraId="00000053">
      <w:pPr>
        <w:widowControl w:val="0"/>
        <w:spacing w:after="120" w:before="1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55">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Barbosa, M. C. C., &amp; Maia, L. (2024). Desigualdade racial na educação superior. </w:t>
      </w:r>
      <w:r w:rsidDel="00000000" w:rsidR="00000000" w:rsidRPr="00000000">
        <w:rPr>
          <w:rFonts w:ascii="Times New Roman" w:cs="Times New Roman" w:eastAsia="Times New Roman" w:hAnsi="Times New Roman"/>
          <w:i w:val="1"/>
          <w:iCs w:val="1"/>
          <w:rtl w:val="0"/>
        </w:rPr>
        <w:t xml:space="preserve">Psicologia Revista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32</w:t>
      </w:r>
      <w:r w:rsidDel="00000000" w:rsidR="00000000" w:rsidRPr="00000000">
        <w:rPr>
          <w:rFonts w:ascii="Times New Roman" w:cs="Times New Roman" w:eastAsia="Times New Roman" w:hAnsi="Times New Roman"/>
          <w:rtl w:val="0"/>
        </w:rPr>
        <w:t xml:space="preserve">(2), 395–417. https://doi.org/10.23925/2594-3871.2023v32i2p395-417</w:t>
      </w:r>
    </w:p>
    <w:p w:rsidR="00000000" w:rsidDel="00000000" w:rsidP="00000000" w:rsidRDefault="00000000" w:rsidRPr="00000000" w14:paraId="00000056">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Bardin, L.</w:t>
      </w:r>
      <w:r w:rsidDel="00000000" w:rsidR="00000000" w:rsidRPr="00000000">
        <w:rPr>
          <w:rFonts w:ascii="Times New Roman" w:cs="Times New Roman" w:eastAsia="Times New Roman" w:hAnsi="Times New Roman"/>
          <w:i w:val="1"/>
          <w:iCs w:val="1"/>
          <w:rtl w:val="0"/>
        </w:rPr>
        <w:t xml:space="preserve"> Análise de Conteúdo: Edições 70, LDA,</w:t>
      </w:r>
      <w:r w:rsidDel="00000000" w:rsidR="00000000" w:rsidRPr="00000000">
        <w:rPr>
          <w:rFonts w:ascii="Times New Roman" w:cs="Times New Roman" w:eastAsia="Times New Roman" w:hAnsi="Times New Roman"/>
          <w:rtl w:val="0"/>
        </w:rPr>
        <w:t xml:space="preserve"> 2009.</w:t>
      </w:r>
    </w:p>
    <w:p w:rsidR="00000000" w:rsidDel="00000000" w:rsidP="00000000" w:rsidRDefault="00000000" w:rsidRPr="00000000" w14:paraId="00000057">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Barros, R. N., &amp; Peixoto, A. L. A. (2023). Saúde Mental e Cotas: um Estudo Comparativo entre Estudantes Universitários no Brasil. </w:t>
      </w:r>
      <w:r w:rsidDel="00000000" w:rsidR="00000000" w:rsidRPr="00000000">
        <w:rPr>
          <w:rFonts w:ascii="Times New Roman" w:cs="Times New Roman" w:eastAsia="Times New Roman" w:hAnsi="Times New Roman"/>
          <w:i w:val="1"/>
          <w:iCs w:val="1"/>
          <w:rtl w:val="0"/>
        </w:rPr>
        <w:t xml:space="preserve">Psicologia: Ciência e Profissão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43</w:t>
      </w:r>
      <w:r w:rsidDel="00000000" w:rsidR="00000000" w:rsidRPr="00000000">
        <w:rPr>
          <w:rFonts w:ascii="Times New Roman" w:cs="Times New Roman" w:eastAsia="Times New Roman" w:hAnsi="Times New Roman"/>
          <w:rtl w:val="0"/>
        </w:rPr>
        <w:t xml:space="preserve">, 255410. https://doi.org/10.1590/1982-3703003255410</w:t>
      </w:r>
    </w:p>
    <w:p w:rsidR="00000000" w:rsidDel="00000000" w:rsidP="00000000" w:rsidRDefault="00000000" w:rsidRPr="00000000" w14:paraId="00000058">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Conselho Nacional de Saúde. Resolução n. 466, de 12 de dezembro de 2012.</w:t>
      </w:r>
      <w:r w:rsidDel="00000000" w:rsidR="00000000" w:rsidRPr="00000000">
        <w:rPr>
          <w:rFonts w:ascii="Times New Roman" w:cs="Times New Roman" w:eastAsia="Times New Roman" w:hAnsi="Times New Roman"/>
          <w:i w:val="1"/>
          <w:iCs w:val="1"/>
          <w:rtl w:val="0"/>
        </w:rPr>
        <w:t xml:space="preserve"> Diário Oficial da União</w:t>
      </w:r>
      <w:r w:rsidDel="00000000" w:rsidR="00000000" w:rsidRPr="00000000">
        <w:rPr>
          <w:rFonts w:ascii="Times New Roman" w:cs="Times New Roman" w:eastAsia="Times New Roman" w:hAnsi="Times New Roman"/>
          <w:rtl w:val="0"/>
        </w:rPr>
        <w:t xml:space="preserve">, 2012.</w:t>
      </w:r>
    </w:p>
    <w:p w:rsidR="00000000" w:rsidDel="00000000" w:rsidP="00000000" w:rsidRDefault="00000000" w:rsidRPr="00000000" w14:paraId="00000059">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Conselho Nacional de Saúde. Resolução n. 510, de 7 de abril de 2016, </w:t>
      </w:r>
      <w:r w:rsidDel="00000000" w:rsidR="00000000" w:rsidRPr="00000000">
        <w:rPr>
          <w:rFonts w:ascii="Times New Roman" w:cs="Times New Roman" w:eastAsia="Times New Roman" w:hAnsi="Times New Roman"/>
          <w:i w:val="1"/>
          <w:iCs w:val="1"/>
          <w:rtl w:val="0"/>
        </w:rPr>
        <w:t xml:space="preserve">Diário Oficial da  União</w:t>
      </w:r>
      <w:r w:rsidDel="00000000" w:rsidR="00000000" w:rsidRPr="00000000">
        <w:rPr>
          <w:rFonts w:ascii="Times New Roman" w:cs="Times New Roman" w:eastAsia="Times New Roman" w:hAnsi="Times New Roman"/>
          <w:rtl w:val="0"/>
        </w:rPr>
        <w:t xml:space="preserve">, 2016.</w:t>
      </w:r>
    </w:p>
    <w:p w:rsidR="00000000" w:rsidDel="00000000" w:rsidP="00000000" w:rsidRDefault="00000000" w:rsidRPr="00000000" w14:paraId="0000005A">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Emenda Constitucional nº 95, de 15 dezembro de 2016. Altera o Ato das  Disposições Constitucionais Transitórias, para instituir o Novo Regime Fiscal, e dá outras providências. </w:t>
      </w:r>
      <w:r w:rsidDel="00000000" w:rsidR="00000000" w:rsidRPr="00000000">
        <w:rPr>
          <w:rFonts w:ascii="Times New Roman" w:cs="Times New Roman" w:eastAsia="Times New Roman" w:hAnsi="Times New Roman"/>
          <w:i w:val="1"/>
          <w:iCs w:val="1"/>
          <w:rtl w:val="0"/>
        </w:rPr>
        <w:t xml:space="preserve">Diário Oficial da União, Brasília, Seção 1,</w:t>
      </w:r>
      <w:r w:rsidDel="00000000" w:rsidR="00000000" w:rsidRPr="00000000">
        <w:rPr>
          <w:rFonts w:ascii="Times New Roman" w:cs="Times New Roman" w:eastAsia="Times New Roman" w:hAnsi="Times New Roman"/>
          <w:rtl w:val="0"/>
        </w:rPr>
        <w:t xml:space="preserve"> 15 dez. 2016.  https://www.planalto.gov.br/ccivil_03/constituicao/emendas/emc/emc95.htm?ref=correiosabia.com.br </w:t>
      </w:r>
    </w:p>
    <w:p w:rsidR="00000000" w:rsidDel="00000000" w:rsidP="00000000" w:rsidRDefault="00000000" w:rsidRPr="00000000" w14:paraId="0000005B">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Carvalho, V. P.; Coelho, M. T. Á. D.; Carmo, M. B. B. (2024). Integrative and complementary health practices among university students: reasons for use or non-use. </w:t>
      </w:r>
      <w:r w:rsidDel="00000000" w:rsidR="00000000" w:rsidRPr="00000000">
        <w:rPr>
          <w:rFonts w:ascii="Times New Roman" w:cs="Times New Roman" w:eastAsia="Times New Roman" w:hAnsi="Times New Roman"/>
          <w:i w:val="1"/>
          <w:iCs w:val="1"/>
          <w:rtl w:val="0"/>
        </w:rPr>
        <w:t xml:space="preserve">Saúde &amp; Sociedade, 33</w:t>
      </w:r>
      <w:r w:rsidDel="00000000" w:rsidR="00000000" w:rsidRPr="00000000">
        <w:rPr>
          <w:rFonts w:ascii="Times New Roman" w:cs="Times New Roman" w:eastAsia="Times New Roman" w:hAnsi="Times New Roman"/>
          <w:rtl w:val="0"/>
        </w:rPr>
        <w:t xml:space="preserve">(2), e220953pt. https://doi.org/10.1590/S0104-12902024220953en</w:t>
      </w:r>
      <w:r w:rsidDel="00000000" w:rsidR="00000000" w:rsidRPr="00000000">
        <w:rPr>
          <w:rtl w:val="0"/>
        </w:rPr>
      </w:r>
    </w:p>
    <w:p w:rsidR="00000000" w:rsidDel="00000000" w:rsidP="00000000" w:rsidRDefault="00000000" w:rsidRPr="00000000" w14:paraId="0000005C">
      <w:pPr>
        <w:widowControl w:val="0"/>
        <w:spacing w:line="240" w:lineRule="auto"/>
        <w:ind w:left="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Gaskell, G. Entrevistas individuais e grupais. In: M. W. Bauer. &amp;amp; G. Gaskell (Orgs.), Pesquisa qualitativa com texto, imagem e som: um manual prático, </w:t>
      </w:r>
      <w:r w:rsidDel="00000000" w:rsidR="00000000" w:rsidRPr="00000000">
        <w:rPr>
          <w:rFonts w:ascii="Times New Roman" w:cs="Times New Roman" w:eastAsia="Times New Roman" w:hAnsi="Times New Roman"/>
          <w:i w:val="1"/>
          <w:iCs w:val="1"/>
          <w:rtl w:val="0"/>
        </w:rPr>
        <w:t xml:space="preserve">Vozes, pp. 64-89, 2002.</w:t>
      </w:r>
    </w:p>
    <w:p w:rsidR="00000000" w:rsidDel="00000000" w:rsidP="00000000" w:rsidRDefault="00000000" w:rsidRPr="00000000" w14:paraId="0000005D">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Mandu, J. A. M. &amp; Azevedo, N. L. Financiamento da política de assistência social: breve análise do desmonte dessa política no período de 2016 a 2023. </w:t>
      </w:r>
      <w:r w:rsidDel="00000000" w:rsidR="00000000" w:rsidRPr="00000000">
        <w:rPr>
          <w:rFonts w:ascii="Times New Roman" w:cs="Times New Roman" w:eastAsia="Times New Roman" w:hAnsi="Times New Roman"/>
          <w:i w:val="1"/>
          <w:iCs w:val="1"/>
          <w:rtl w:val="0"/>
        </w:rPr>
        <w:t xml:space="preserve">Serv. Soc. Soc.</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v. 147(2), e-6628375</w:t>
      </w:r>
      <w:r w:rsidDel="00000000" w:rsidR="00000000" w:rsidRPr="00000000">
        <w:rPr>
          <w:rFonts w:ascii="Times New Roman" w:cs="Times New Roman" w:eastAsia="Times New Roman" w:hAnsi="Times New Roman"/>
          <w:rtl w:val="0"/>
        </w:rPr>
        <w:t xml:space="preserve">, 2024. https:/www.scielo.br/j/sssoc/a/HJkHDvcbxMJZ7FFSfX9cpcr/?format=pdf&amp;lang=pt </w:t>
      </w:r>
    </w:p>
    <w:p w:rsidR="00000000" w:rsidDel="00000000" w:rsidP="00000000" w:rsidRDefault="00000000" w:rsidRPr="00000000" w14:paraId="0000005E">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Oliveira, E. N. &amp; Cordeiro &amp; J. W. P., Pereira &amp; P. J. de A. &amp; Almeida, P. C. &amp; Viana, L. S. &amp; Campos, M. P. &amp; Aragão, H. L. &amp; Alves, P. L. (2025). O fardo da cor: experiências de discriminação racial vivenciadas por estudantes universitários. </w:t>
      </w:r>
      <w:r w:rsidDel="00000000" w:rsidR="00000000" w:rsidRPr="00000000">
        <w:rPr>
          <w:rFonts w:ascii="Times New Roman" w:cs="Times New Roman" w:eastAsia="Times New Roman" w:hAnsi="Times New Roman"/>
          <w:i w:val="1"/>
          <w:iCs w:val="1"/>
          <w:rtl w:val="0"/>
        </w:rPr>
        <w:t xml:space="preserve">Arquivos de Ciências da Saúde da UNIPAR, 29(3), 1348–1363. </w:t>
      </w:r>
      <w:r w:rsidDel="00000000" w:rsidR="00000000" w:rsidRPr="00000000">
        <w:rPr>
          <w:rFonts w:ascii="Times New Roman" w:cs="Times New Roman" w:eastAsia="Times New Roman" w:hAnsi="Times New Roman"/>
          <w:rtl w:val="0"/>
        </w:rPr>
        <w:t xml:space="preserve">https://doi.org/10.25110/arqsaude.v29i3.2025-12204</w:t>
      </w:r>
    </w:p>
    <w:p w:rsidR="00000000" w:rsidDel="00000000" w:rsidP="00000000" w:rsidRDefault="00000000" w:rsidRPr="00000000" w14:paraId="0000005F">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Salvador, E.. Financiamento da Educação no Contexto de Ajuste Fiscal no Brasil. </w:t>
      </w:r>
      <w:r w:rsidDel="00000000" w:rsidR="00000000" w:rsidRPr="00000000">
        <w:rPr>
          <w:rFonts w:ascii="Times New Roman" w:cs="Times New Roman" w:eastAsia="Times New Roman" w:hAnsi="Times New Roman"/>
          <w:i w:val="1"/>
          <w:iCs w:val="1"/>
          <w:rtl w:val="0"/>
        </w:rPr>
        <w:t xml:space="preserve">Educ. Soc., v.45, e286672,</w:t>
      </w:r>
      <w:r w:rsidDel="00000000" w:rsidR="00000000" w:rsidRPr="00000000">
        <w:rPr>
          <w:rFonts w:ascii="Times New Roman" w:cs="Times New Roman" w:eastAsia="Times New Roman" w:hAnsi="Times New Roman"/>
          <w:rtl w:val="0"/>
        </w:rPr>
        <w:t xml:space="preserve"> 2024. https://www.scielo.br/j/es/a/7HPK8T3TQT6XSPGxhyFy44B/?format=pdf&amp;lang=pt </w:t>
      </w:r>
    </w:p>
    <w:p w:rsidR="00000000" w:rsidDel="00000000" w:rsidP="00000000" w:rsidRDefault="00000000" w:rsidRPr="00000000" w14:paraId="00000060">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Silva, A. C. R.  Metodologia da pesquisa aplicada à contabilidade : orientações de estudos, projetos, artigos, relatórios, monografias, dissertações e teses. 2. ed. 2. Reimpr.</w:t>
      </w:r>
      <w:r w:rsidDel="00000000" w:rsidR="00000000" w:rsidRPr="00000000">
        <w:rPr>
          <w:rFonts w:ascii="Times New Roman" w:cs="Times New Roman" w:eastAsia="Times New Roman" w:hAnsi="Times New Roman"/>
          <w:i w:val="1"/>
          <w:iCs w:val="1"/>
          <w:rtl w:val="0"/>
        </w:rPr>
        <w:t xml:space="preserve"> Atlas,</w:t>
      </w:r>
      <w:r w:rsidDel="00000000" w:rsidR="00000000" w:rsidRPr="00000000">
        <w:rPr>
          <w:rFonts w:ascii="Times New Roman" w:cs="Times New Roman" w:eastAsia="Times New Roman" w:hAnsi="Times New Roman"/>
          <w:rtl w:val="0"/>
        </w:rPr>
        <w:t xml:space="preserve"> 2008.</w:t>
      </w:r>
    </w:p>
    <w:p w:rsidR="00000000" w:rsidDel="00000000" w:rsidP="00000000" w:rsidRDefault="00000000" w:rsidRPr="00000000" w14:paraId="00000061">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Silva, C. V. S. Ações afirmativas no ensino superior: das experiências pioneiras aos desafios contemporâneos no contexto brasileiro. </w:t>
      </w:r>
      <w:r w:rsidDel="00000000" w:rsidR="00000000" w:rsidRPr="00000000">
        <w:rPr>
          <w:rFonts w:ascii="Times New Roman" w:cs="Times New Roman" w:eastAsia="Times New Roman" w:hAnsi="Times New Roman"/>
          <w:i w:val="1"/>
          <w:iCs w:val="1"/>
          <w:rtl w:val="0"/>
        </w:rPr>
        <w:t xml:space="preserve">Mal-Estar e Sociedade, v. 15, n. 2, p. 05-20</w:t>
      </w:r>
      <w:r w:rsidDel="00000000" w:rsidR="00000000" w:rsidRPr="00000000">
        <w:rPr>
          <w:rFonts w:ascii="Times New Roman" w:cs="Times New Roman" w:eastAsia="Times New Roman" w:hAnsi="Times New Roman"/>
          <w:rtl w:val="0"/>
        </w:rPr>
        <w:t xml:space="preserve">, jul-dez. de 2025. https://revista.uemg.br/gtic-malestar/article/view/10231/6385 </w:t>
      </w:r>
    </w:p>
    <w:p w:rsidR="00000000" w:rsidDel="00000000" w:rsidP="00000000" w:rsidRDefault="00000000" w:rsidRPr="00000000" w14:paraId="00000062">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Sousa R. R. M. &amp; Marques, C. C. C. A relação perniciosa entre determinantes sociais e transtornos de saúde mental. </w:t>
      </w:r>
      <w:r w:rsidDel="00000000" w:rsidR="00000000" w:rsidRPr="00000000">
        <w:rPr>
          <w:rFonts w:ascii="Times New Roman" w:cs="Times New Roman" w:eastAsia="Times New Roman" w:hAnsi="Times New Roman"/>
          <w:i w:val="1"/>
          <w:iCs w:val="1"/>
          <w:rtl w:val="0"/>
        </w:rPr>
        <w:t xml:space="preserve">Journal Archives of Health, v. 6, n. 4, p. e3251, 2025.</w:t>
      </w:r>
      <w:r w:rsidDel="00000000" w:rsidR="00000000" w:rsidRPr="00000000">
        <w:rPr>
          <w:rFonts w:ascii="Times New Roman" w:cs="Times New Roman" w:eastAsia="Times New Roman" w:hAnsi="Times New Roman"/>
          <w:rtl w:val="0"/>
        </w:rPr>
        <w:t xml:space="preserve"> DOI: 10.46919/archv6n4espec-16305. https://ojs.latinamericanpublicacoes.com.br/ojs/index.php/ah/article/view/3251 </w:t>
      </w:r>
    </w:p>
    <w:p w:rsidR="00000000" w:rsidDel="00000000" w:rsidP="00000000" w:rsidRDefault="00000000" w:rsidRPr="00000000" w14:paraId="00000063">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Sotero, E. O desafio da permanência estudantil no contexto das ações afirmativas: o caso da Universidade Federal da Bahia. </w:t>
      </w:r>
      <w:r w:rsidDel="00000000" w:rsidR="00000000" w:rsidRPr="00000000">
        <w:rPr>
          <w:rFonts w:ascii="Times New Roman" w:cs="Times New Roman" w:eastAsia="Times New Roman" w:hAnsi="Times New Roman"/>
          <w:i w:val="1"/>
          <w:iCs w:val="1"/>
          <w:rtl w:val="0"/>
        </w:rPr>
        <w:t xml:space="preserve">Revista Vértices</w:t>
      </w:r>
      <w:r w:rsidDel="00000000" w:rsidR="00000000" w:rsidRPr="00000000">
        <w:rPr>
          <w:rFonts w:ascii="Times New Roman" w:cs="Times New Roman" w:eastAsia="Times New Roman" w:hAnsi="Times New Roman"/>
          <w:rtl w:val="0"/>
        </w:rPr>
        <w:t xml:space="preserve">, v. 24, n. 3, p. 725-743, 2022. https://www.redalyc.org/journal/6257/625773845003/625773845003.pdf </w:t>
      </w:r>
    </w:p>
    <w:p w:rsidR="00000000" w:rsidDel="00000000" w:rsidP="00000000" w:rsidRDefault="00000000" w:rsidRPr="00000000" w14:paraId="00000064">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Trad, L. A. Grupos focais: conceitos, procedimentos e reflexões baseadas em experiências com uso da técnica em pesquisa. </w:t>
      </w:r>
      <w:r w:rsidDel="00000000" w:rsidR="00000000" w:rsidRPr="00000000">
        <w:rPr>
          <w:rFonts w:ascii="Times New Roman" w:cs="Times New Roman" w:eastAsia="Times New Roman" w:hAnsi="Times New Roman"/>
          <w:i w:val="1"/>
          <w:iCs w:val="1"/>
          <w:rtl w:val="0"/>
        </w:rPr>
        <w:t xml:space="preserve">Physis Revista de Saúde Coletiva.</w:t>
      </w:r>
      <w:r w:rsidDel="00000000" w:rsidR="00000000" w:rsidRPr="00000000">
        <w:rPr>
          <w:rFonts w:ascii="Times New Roman" w:cs="Times New Roman" w:eastAsia="Times New Roman" w:hAnsi="Times New Roman"/>
          <w:rtl w:val="0"/>
        </w:rPr>
        <w:t xml:space="preserve"> 19 [3]: 777-796, 2009. Disponível em: https://www.scielo.br/j/physis/a/gGZ7wXtGXqDHNCHv7gm3srw/?format=</w:t>
      </w:r>
      <w:r w:rsidDel="00000000" w:rsidR="00000000" w:rsidRPr="00000000">
        <w:rPr>
          <w:rFonts w:ascii="Times New Roman" w:cs="Times New Roman" w:eastAsia="Times New Roman" w:hAnsi="Times New Roman"/>
          <w:rtl w:val="0"/>
        </w:rPr>
        <w:t xml:space="preserve">pdf&amp;amp</w:t>
      </w:r>
      <w:r w:rsidDel="00000000" w:rsidR="00000000" w:rsidRPr="00000000">
        <w:rPr>
          <w:rFonts w:ascii="Times New Roman" w:cs="Times New Roman" w:eastAsia="Times New Roman" w:hAnsi="Times New Roman"/>
          <w:rtl w:val="0"/>
        </w:rPr>
        <w:t xml:space="preserve">;lang=pt acesso em junho de 2026.</w:t>
      </w:r>
    </w:p>
    <w:p w:rsidR="00000000" w:rsidDel="00000000" w:rsidP="00000000" w:rsidRDefault="00000000" w:rsidRPr="00000000" w14:paraId="00000065">
      <w:pPr>
        <w:widowControl w:val="0"/>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Wittkowski, J. R. T; Meneguel, S.M. O desafio da gestão das políticas de ação afirmativa nas universidades públicas: sob quais diretrizes?. </w:t>
      </w:r>
      <w:r w:rsidDel="00000000" w:rsidR="00000000" w:rsidRPr="00000000">
        <w:rPr>
          <w:rFonts w:ascii="Times New Roman" w:cs="Times New Roman" w:eastAsia="Times New Roman" w:hAnsi="Times New Roman"/>
          <w:i w:val="1"/>
          <w:iCs w:val="1"/>
          <w:rtl w:val="0"/>
        </w:rPr>
        <w:t xml:space="preserve">Revista Contribuciones a las ciencias sociales.</w:t>
      </w:r>
      <w:r w:rsidDel="00000000" w:rsidR="00000000" w:rsidRPr="00000000">
        <w:rPr>
          <w:rFonts w:ascii="Times New Roman" w:cs="Times New Roman" w:eastAsia="Times New Roman" w:hAnsi="Times New Roman"/>
          <w:i w:val="1"/>
          <w:iCs w:val="1"/>
          <w:highlight w:val="white"/>
          <w:rtl w:val="0"/>
        </w:rPr>
        <w:t xml:space="preserve">, v.16, n.7, p.5943-5962, 2023</w:t>
      </w:r>
      <w:r w:rsidDel="00000000" w:rsidR="00000000" w:rsidRPr="00000000">
        <w:rPr>
          <w:rFonts w:ascii="Times New Roman" w:cs="Times New Roman" w:eastAsia="Times New Roman" w:hAnsi="Times New Roman"/>
          <w:highlight w:val="white"/>
          <w:rtl w:val="0"/>
        </w:rPr>
        <w:t xml:space="preserve">. Disponível em: https://ojs.revistacontribuciones.com/ojs/index</w:t>
      </w:r>
      <w:hyperlink r:id="rId7">
        <w:r w:rsidDel="00000000" w:rsidR="00000000" w:rsidRPr="00000000">
          <w:rPr>
            <w:rFonts w:ascii="Times New Roman" w:cs="Times New Roman" w:eastAsia="Times New Roman" w:hAnsi="Times New Roman"/>
            <w:color w:val="1155cc"/>
            <w:highlight w:val="white"/>
            <w:u w:val="single"/>
            <w:rtl w:val="0"/>
          </w:rPr>
          <w:t xml:space="preserve">.</w:t>
        </w:r>
      </w:hyperlink>
      <w:r w:rsidDel="00000000" w:rsidR="00000000" w:rsidRPr="00000000">
        <w:rPr>
          <w:rFonts w:ascii="Times New Roman" w:cs="Times New Roman" w:eastAsia="Times New Roman" w:hAnsi="Times New Roman"/>
          <w:highlight w:val="white"/>
          <w:rtl w:val="0"/>
        </w:rPr>
        <w:t xml:space="preserve">php/clcs/article/view/1122/677 </w:t>
        <w:tab/>
      </w:r>
      <w:r w:rsidDel="00000000" w:rsidR="00000000" w:rsidRPr="00000000">
        <w:rPr>
          <w:rtl w:val="0"/>
        </w:rPr>
      </w:r>
    </w:p>
    <w:sectPr>
      <w:headerReference r:id="rId8" w:type="default"/>
      <w:footerReference r:id="rId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js.revistacontribuciones.com/ojs/index.php/clcs/article/view/1122/677"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tQmX3CW95285FrCAcl1e27ZIZw==">CgMxLjAilAIKC0FBQUJfVlhib3ZrEt4BCgtBQUFCX1ZYYm92axILQUFBQl9WWGJvdmsaDQoJdGV4dC9odG1sEgAiDgoKdGV4dC9wbGFpbhIAKhsiFTEwMTEyNTM0OTY2Mjc5NjQ2OTI5MSgAOAAwr+eM0PMzOKrqjNDzM0o7CiRhcHBsaWNhdGlvbi92bmQuZ29vZ2xlLWFwcHMuZG9jcy5tZHMaE8LX2uQBDRoLCgcKAS4QARgAEAFaDGc0a2ZkYnphZm56MHICIAB4AIIBFHN1Z2dlc3QuZzY4ZTNneWgxNnAxmgEGCAAQABgAsAEAuAEAyAEAGK/njNDzMyCq6ozQ8zMwAEIUc3VnZ2VzdC5nNjhlM2d5aDE2cDEyDmguOGVjNHRqMW1mNzhrOABqKQoUc3VnZ2VzdC5uazJ5OHBsaGNlOTYSEVZpbmljaXVzIENhcnZhbGhvaikKFHN1Z2dlc3QuZzQzZnFubG9waGN0EhFWaW5pY2l1cyBDYXJ2YWxob2opChRzdWdnZXN0LndrcDJ2ZjdkeTdxNhIRVmluaWNpdXMgQ2FydmFsaG9qKQoUc3VnZ2VzdC5qMnd2ZDk5dXF0YnUSEVZpbmljaXVzIENhcnZhbGhvaikKFHN1Z2dlc3QuYXNtYnF2bGJramQzEhFWaW5pY2l1cyBDYXJ2YWxob2opChRzdWdnZXN0LmsyYnhjZHA0em94cBIRVmluaWNpdXMgQ2FydmFsaG9qKQoUc3VnZ2VzdC5ra3VmdGo3ZDJvOTkSEVZpbmljaXVzIENhcnZhbGhvaikKFHN1Z2dlc3QuMTI0cnQ2aGF6dWF5EhFWaW5pY2l1cyBDYXJ2YWxob2opChRzdWdnZXN0Lmo4YXVlZDg4MHU0MxIRVmluaWNpdXMgQ2FydmFsaG9qKQoUc3VnZ2VzdC5kd2dxMjU3eHFjem0SEVZpbmljaXVzIENhcnZhbGhvaikKFHN1Z2dlc3QuZTZiMm9vd2dsbmJ4EhFWaW5pY2l1cyBDYXJ2YWxob2opChRzdWdnZXN0LnR3ZGl3eHhscmJhbBIRVmluaWNpdXMgQ2FydmFsaG9qKQoUc3VnZ2VzdC4yaWFmemMxaTdiZDISEVZpbmljaXVzIENhcnZhbGhvaikKFHN1Z2dlc3QuZGwyM3Ewb29ram00EhFWaW5pY2l1cyBDYXJ2YWxob2opChRzdWdnZXN0Lmc2OGUzZ3loMTZwMRIRVmluaWNpdXMgQ2FydmFsaG9qKQoUc3VnZ2VzdC54ajA2YWU0dWszNXASEVZpbmljaXVzIENhcnZhbGhvciExS2pfOWZnWnpHaWxYc05LQWhqVUExY2dNN2hWZDhrM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