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4F086DF4" w:rsidR="001923DC" w:rsidRPr="00BA642E" w:rsidRDefault="00692BF1" w:rsidP="001923DC">
      <w:pPr>
        <w:jc w:val="center"/>
        <w:rPr>
          <w:rFonts w:ascii="Times New Roman" w:hAnsi="Times New Roman" w:cs="Times New Roman"/>
          <w:b/>
          <w:bCs/>
        </w:rPr>
      </w:pPr>
      <w:r w:rsidRPr="001E7F52">
        <w:rPr>
          <w:rFonts w:ascii="Times New Roman" w:hAnsi="Times New Roman" w:cs="Times New Roman"/>
          <w:b/>
          <w:bCs/>
        </w:rPr>
        <w:t>El Presupuesto Interno de las Universidades Nacionales en Tiempos Difíciles (2014-2024)</w:t>
      </w:r>
    </w:p>
    <w:p w14:paraId="43C49479" w14:textId="77777777" w:rsidR="005F3B2E" w:rsidRPr="00BA642E" w:rsidRDefault="005F3B2E" w:rsidP="001923DC">
      <w:pPr>
        <w:jc w:val="center"/>
        <w:rPr>
          <w:rFonts w:ascii="Times New Roman" w:hAnsi="Times New Roman" w:cs="Times New Roman"/>
        </w:rPr>
      </w:pPr>
    </w:p>
    <w:p w14:paraId="4E738780" w14:textId="1DB8415C" w:rsidR="005F3B2E" w:rsidRPr="00BA642E" w:rsidRDefault="00692BF1" w:rsidP="005F3B2E">
      <w:pPr>
        <w:spacing w:after="0" w:line="240" w:lineRule="auto"/>
        <w:jc w:val="right"/>
        <w:rPr>
          <w:rFonts w:ascii="Times New Roman" w:hAnsi="Times New Roman" w:cs="Times New Roman"/>
        </w:rPr>
      </w:pPr>
      <w:r>
        <w:rPr>
          <w:rFonts w:ascii="Times New Roman" w:hAnsi="Times New Roman" w:cs="Times New Roman"/>
        </w:rPr>
        <w:t>Doberti, Juan Ignacio</w:t>
      </w:r>
    </w:p>
    <w:p w14:paraId="6C2AECCA" w14:textId="0A129951" w:rsidR="005F3B2E" w:rsidRPr="00BA642E" w:rsidRDefault="00692BF1" w:rsidP="005F3B2E">
      <w:pPr>
        <w:spacing w:after="0" w:line="240" w:lineRule="auto"/>
        <w:jc w:val="right"/>
        <w:rPr>
          <w:rFonts w:ascii="Times New Roman" w:hAnsi="Times New Roman" w:cs="Times New Roman"/>
        </w:rPr>
      </w:pPr>
      <w:r>
        <w:rPr>
          <w:rFonts w:ascii="Times New Roman" w:hAnsi="Times New Roman" w:cs="Times New Roman"/>
        </w:rPr>
        <w:t>UBA y UNLAM</w:t>
      </w:r>
    </w:p>
    <w:p w14:paraId="7D0026CD" w14:textId="11405C51" w:rsidR="005F3B2E" w:rsidRPr="00BA642E" w:rsidRDefault="00692BF1" w:rsidP="005F3B2E">
      <w:pPr>
        <w:spacing w:after="0" w:line="240" w:lineRule="auto"/>
        <w:jc w:val="right"/>
        <w:rPr>
          <w:rFonts w:ascii="Times New Roman" w:hAnsi="Times New Roman" w:cs="Times New Roman"/>
        </w:rPr>
      </w:pPr>
      <w:r>
        <w:rPr>
          <w:rFonts w:ascii="Times New Roman" w:hAnsi="Times New Roman" w:cs="Times New Roman"/>
        </w:rPr>
        <w:t>jidoberti@gmail.com</w:t>
      </w:r>
    </w:p>
    <w:p w14:paraId="1FA0F857" w14:textId="77777777" w:rsidR="005F3B2E" w:rsidRPr="00BA642E" w:rsidRDefault="005F3B2E" w:rsidP="005F3B2E">
      <w:pPr>
        <w:rPr>
          <w:rFonts w:ascii="Times New Roman" w:hAnsi="Times New Roman" w:cs="Times New Roman"/>
        </w:rPr>
      </w:pPr>
    </w:p>
    <w:p w14:paraId="1275A9C7" w14:textId="47ED6956" w:rsidR="005F3B2E" w:rsidRPr="00BA642E" w:rsidRDefault="00692BF1" w:rsidP="005F3B2E">
      <w:pPr>
        <w:spacing w:after="0" w:line="240" w:lineRule="auto"/>
        <w:jc w:val="right"/>
        <w:rPr>
          <w:rFonts w:ascii="Times New Roman" w:hAnsi="Times New Roman" w:cs="Times New Roman"/>
        </w:rPr>
      </w:pPr>
      <w:r>
        <w:rPr>
          <w:rFonts w:ascii="Times New Roman" w:hAnsi="Times New Roman" w:cs="Times New Roman"/>
        </w:rPr>
        <w:t>Gabay, Gabriela</w:t>
      </w:r>
    </w:p>
    <w:p w14:paraId="46FEEBE4" w14:textId="5363F71B" w:rsidR="005F3B2E" w:rsidRDefault="00692BF1" w:rsidP="005F3B2E">
      <w:pPr>
        <w:spacing w:after="0" w:line="240" w:lineRule="auto"/>
        <w:jc w:val="right"/>
        <w:rPr>
          <w:rFonts w:ascii="Times New Roman" w:hAnsi="Times New Roman" w:cs="Times New Roman"/>
        </w:rPr>
      </w:pPr>
      <w:r>
        <w:rPr>
          <w:rFonts w:ascii="Times New Roman" w:hAnsi="Times New Roman" w:cs="Times New Roman"/>
        </w:rPr>
        <w:t>Unlam</w:t>
      </w:r>
    </w:p>
    <w:p w14:paraId="09C1F8BE" w14:textId="06558A15" w:rsidR="00692BF1" w:rsidRPr="00BA642E" w:rsidRDefault="00692BF1" w:rsidP="005F3B2E">
      <w:pPr>
        <w:spacing w:after="0" w:line="240" w:lineRule="auto"/>
        <w:jc w:val="right"/>
        <w:rPr>
          <w:rFonts w:ascii="Times New Roman" w:hAnsi="Times New Roman" w:cs="Times New Roman"/>
        </w:rPr>
      </w:pPr>
      <w:r>
        <w:rPr>
          <w:rFonts w:ascii="Times New Roman" w:hAnsi="Times New Roman" w:cs="Times New Roman"/>
        </w:rPr>
        <w:t>gabygabay@gmail.com</w:t>
      </w:r>
    </w:p>
    <w:p w14:paraId="3CAC774D" w14:textId="3D440DB9" w:rsidR="005F3B2E" w:rsidRPr="00BA642E" w:rsidRDefault="005F3B2E" w:rsidP="00692BF1">
      <w:pPr>
        <w:spacing w:after="0" w:line="240" w:lineRule="auto"/>
        <w:jc w:val="center"/>
        <w:rPr>
          <w:rFonts w:ascii="Times New Roman" w:hAnsi="Times New Roman" w:cs="Times New Roman"/>
        </w:rPr>
      </w:pP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79963D82"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692BF1">
        <w:rPr>
          <w:rFonts w:ascii="Times New Roman" w:hAnsi="Times New Roman" w:cs="Times New Roman"/>
        </w:rPr>
        <w:t>Gioseffi, Gustavo</w:t>
      </w:r>
    </w:p>
    <w:p w14:paraId="4E696C7D" w14:textId="48A721A0" w:rsidR="005F3B2E" w:rsidRPr="00BA642E" w:rsidRDefault="00692BF1" w:rsidP="005F3B2E">
      <w:pPr>
        <w:spacing w:after="0" w:line="240" w:lineRule="auto"/>
        <w:jc w:val="right"/>
        <w:rPr>
          <w:rFonts w:ascii="Times New Roman" w:hAnsi="Times New Roman" w:cs="Times New Roman"/>
        </w:rPr>
      </w:pPr>
      <w:r>
        <w:rPr>
          <w:rFonts w:ascii="Times New Roman" w:hAnsi="Times New Roman" w:cs="Times New Roman"/>
        </w:rPr>
        <w:t>UN de Pilar</w:t>
      </w:r>
    </w:p>
    <w:p w14:paraId="3D73DB11" w14:textId="4415E5BE" w:rsidR="005F3B2E" w:rsidRPr="00BA642E" w:rsidRDefault="00692BF1" w:rsidP="005F3B2E">
      <w:pPr>
        <w:spacing w:after="0" w:line="240" w:lineRule="auto"/>
        <w:jc w:val="right"/>
        <w:rPr>
          <w:rFonts w:ascii="Times New Roman" w:hAnsi="Times New Roman" w:cs="Times New Roman"/>
        </w:rPr>
      </w:pPr>
      <w:r>
        <w:rPr>
          <w:rFonts w:ascii="Times New Roman" w:hAnsi="Times New Roman" w:cs="Times New Roman"/>
        </w:rPr>
        <w:t>gustavogioseffi@gmail.com</w:t>
      </w:r>
    </w:p>
    <w:p w14:paraId="33846A4A" w14:textId="77777777" w:rsidR="003867D4" w:rsidRDefault="003867D4">
      <w:pPr>
        <w:rPr>
          <w:rFonts w:ascii="Times New Roman" w:hAnsi="Times New Roman" w:cs="Times New Roman"/>
        </w:rPr>
      </w:pPr>
    </w:p>
    <w:p w14:paraId="1B43FD84" w14:textId="056ABBB2" w:rsidR="00692BF1" w:rsidRDefault="00692BF1">
      <w:pPr>
        <w:rPr>
          <w:rFonts w:ascii="Times New Roman" w:hAnsi="Times New Roman" w:cs="Times New Roman"/>
        </w:rPr>
      </w:pPr>
    </w:p>
    <w:p w14:paraId="22DFF660" w14:textId="77777777" w:rsidR="00692BF1" w:rsidRDefault="00BA642E" w:rsidP="00692BF1">
      <w:pPr>
        <w:spacing w:line="240" w:lineRule="auto"/>
        <w:jc w:val="both"/>
        <w:rPr>
          <w:rFonts w:ascii="Times New Roman" w:hAnsi="Times New Roman" w:cs="Times New Roman"/>
          <w:b/>
          <w:bCs/>
          <w:lang w:val="es-AR"/>
        </w:rPr>
      </w:pPr>
      <w:r w:rsidRPr="00692BF1">
        <w:rPr>
          <w:rFonts w:ascii="Times New Roman" w:hAnsi="Times New Roman" w:cs="Times New Roman"/>
          <w:b/>
          <w:bCs/>
          <w:lang w:val="es-AR"/>
        </w:rPr>
        <w:t>Resumen</w:t>
      </w:r>
    </w:p>
    <w:p w14:paraId="4117C60A" w14:textId="5297C150" w:rsidR="00692BF1" w:rsidRPr="001E7F52" w:rsidRDefault="00692BF1" w:rsidP="00692BF1">
      <w:pPr>
        <w:spacing w:line="240" w:lineRule="auto"/>
        <w:jc w:val="both"/>
        <w:rPr>
          <w:rFonts w:ascii="Times New Roman" w:hAnsi="Times New Roman" w:cs="Times New Roman"/>
        </w:rPr>
      </w:pPr>
      <w:r w:rsidRPr="001E7F52">
        <w:rPr>
          <w:rFonts w:ascii="Times New Roman" w:hAnsi="Times New Roman" w:cs="Times New Roman"/>
        </w:rPr>
        <w:t xml:space="preserve">La investigación tiene como objetivo el análisis del financiamiento universitario durante el período 2014-2024 a través del estudio de las transferencias del estado nacional a las distintas instituciones, la capacidad de respuesta de las casas de altos estudios ante los cambios de los recursos percibidos y la exposición de los gastos a través de los presupuestos ejecutados. Mediante un análisis cuantitativo se asocian las partidas según las distintas aperturas del clasificador presupuestario del sector público, mostrando las semejanzas y diferencias entre instituciones. Las fuentes principales de información provienen de las leyes de presupuesto, las bases de datos de ejecución presupuestaria del Ministerio de Economía y los presupuestos aprobados por las propias universidades nacionales. Asimismo, el trabajo se enmarca dentro de los estudios de las finanzas públicas referidos al gasto educativo del estado nacional en la educación superior. Se advierte una tendencia declinante del financiamiento durante todo el período, con una caída aún más pronunciada en el último año y un gasto por alumno que se redujo a menos de la mitad entre los años extremos del ciclo, por el efecto combinado de una suba de la matrícula y una baja de los recursos. La comparación de las normas de aprobación y ejecución de gastos entre las distintas universidades permite advertir el sesgo excesivo de la participación del componente salarial en el total del presupuesto debido al desfinanciamiento de las partidas de funcionamiento, infraestructura y programas de desarrollo. En términos del clasificador funcional se observa que las leyes de presupuesto nacional subestiman la inversión que realizan las universidades en sus hospitales y en ciencia y técnica por la dificultad de asignar los gastos conjuntos con la función de </w:t>
      </w:r>
      <w:r w:rsidRPr="001E7F52">
        <w:rPr>
          <w:rFonts w:ascii="Times New Roman" w:hAnsi="Times New Roman" w:cs="Times New Roman"/>
        </w:rPr>
        <w:lastRenderedPageBreak/>
        <w:t>educación. Las aperturas programáticas presentan diferencias notorias entre las universidades y en la clasificación institucional se percibe la mayor centralización de los gastos en el rectorado en las casas de estudios más pequeñas, departamentalizadas, con menor oferta académica y ubicadas en un campus único. Asimismo, el clasificador geográfico tiene un uso muy limitado, sin discriminaciones por provincias y municipios, y el registro de la información es más detallado en la fuente de recursos del tesoro nacional, que es más previsible, que en los restantes orígenes. Por último, cabe señalar que el financiamiento universitario tiene un sendero esperable de declinación y, consecuentemente, de degradación de las prestaciones porque las asignaciones estatales decrecientes no podrán ser compensadas en un contexto de escasa propensión a las donaciones y de un costo elevado de generación de recursos adicionales mediante venta de servicios de consultoría o equivalentes. Más allá de las mejoras de eficiencia que puedan generarse en la gestión de los recursos, el horizonte se observa muy negativo, al menos mientras se mantenga un marco de reducción del gasto público con una prioridad muy baja en el gasto universitario, afectando especialmente a las instituciones nuevas en proceso de desarrollo.</w:t>
      </w:r>
    </w:p>
    <w:p w14:paraId="35A6682C" w14:textId="4815546F" w:rsidR="00BA642E" w:rsidRPr="00692BF1" w:rsidRDefault="00BA642E" w:rsidP="007B5B5F">
      <w:pPr>
        <w:spacing w:line="240" w:lineRule="auto"/>
        <w:jc w:val="both"/>
        <w:rPr>
          <w:rFonts w:ascii="Times New Roman" w:hAnsi="Times New Roman" w:cs="Times New Roman"/>
          <w:b/>
          <w:bCs/>
        </w:rPr>
      </w:pPr>
    </w:p>
    <w:p w14:paraId="2994BAB3" w14:textId="14B6E801" w:rsidR="00BA642E" w:rsidRPr="00692BF1" w:rsidRDefault="00BA642E" w:rsidP="007B5B5F">
      <w:pPr>
        <w:spacing w:line="240" w:lineRule="auto"/>
        <w:jc w:val="both"/>
        <w:rPr>
          <w:rFonts w:ascii="Times New Roman" w:hAnsi="Times New Roman" w:cs="Times New Roman"/>
          <w:b/>
          <w:bCs/>
          <w:lang w:val="es-AR"/>
        </w:rPr>
      </w:pPr>
      <w:r w:rsidRPr="00692BF1">
        <w:rPr>
          <w:rFonts w:ascii="Times New Roman" w:hAnsi="Times New Roman" w:cs="Times New Roman"/>
          <w:b/>
          <w:bCs/>
          <w:lang w:val="es-AR"/>
        </w:rPr>
        <w:t xml:space="preserve">Palabras clave: </w:t>
      </w:r>
      <w:r w:rsidR="00692BF1" w:rsidRPr="001E7F52">
        <w:rPr>
          <w:rFonts w:ascii="Times New Roman" w:hAnsi="Times New Roman" w:cs="Times New Roman"/>
        </w:rPr>
        <w:t xml:space="preserve">Presupuesto Universitario, Financiamiento Educativo, Economía </w:t>
      </w:r>
      <w:r w:rsidR="00692BF1">
        <w:rPr>
          <w:rFonts w:ascii="Times New Roman" w:hAnsi="Times New Roman" w:cs="Times New Roman"/>
        </w:rPr>
        <w:t>d</w:t>
      </w:r>
      <w:r w:rsidR="00692BF1" w:rsidRPr="001E7F52">
        <w:rPr>
          <w:rFonts w:ascii="Times New Roman" w:hAnsi="Times New Roman" w:cs="Times New Roman"/>
        </w:rPr>
        <w:t xml:space="preserve">e </w:t>
      </w:r>
      <w:r w:rsidR="00692BF1">
        <w:rPr>
          <w:rFonts w:ascii="Times New Roman" w:hAnsi="Times New Roman" w:cs="Times New Roman"/>
        </w:rPr>
        <w:t>l</w:t>
      </w:r>
      <w:r w:rsidR="00692BF1" w:rsidRPr="001E7F52">
        <w:rPr>
          <w:rFonts w:ascii="Times New Roman" w:hAnsi="Times New Roman" w:cs="Times New Roman"/>
        </w:rPr>
        <w:t>a Educación</w:t>
      </w:r>
      <w:r w:rsidRPr="00692BF1">
        <w:rPr>
          <w:rFonts w:ascii="Times New Roman" w:hAnsi="Times New Roman" w:cs="Times New Roman"/>
          <w:lang w:val="es-AR"/>
        </w:rPr>
        <w:t xml:space="preserve">. </w:t>
      </w:r>
    </w:p>
    <w:p w14:paraId="544B704F" w14:textId="77777777" w:rsidR="00BC236F" w:rsidRPr="003F7036" w:rsidRDefault="00BC236F" w:rsidP="007B5B5F">
      <w:pPr>
        <w:spacing w:line="240" w:lineRule="auto"/>
        <w:jc w:val="both"/>
        <w:rPr>
          <w:rFonts w:ascii="Times New Roman" w:hAnsi="Times New Roman" w:cs="Times New Roman"/>
          <w:lang w:val="es-ES"/>
        </w:rPr>
      </w:pPr>
    </w:p>
    <w:p w14:paraId="7969A16F" w14:textId="77777777" w:rsidR="003867D4" w:rsidRPr="001E7F52" w:rsidRDefault="003867D4" w:rsidP="003867D4">
      <w:pPr>
        <w:pStyle w:val="Prrafodelista"/>
        <w:numPr>
          <w:ilvl w:val="0"/>
          <w:numId w:val="1"/>
        </w:numPr>
        <w:spacing w:line="240" w:lineRule="auto"/>
        <w:ind w:left="284" w:hanging="284"/>
        <w:rPr>
          <w:rFonts w:ascii="Times New Roman" w:hAnsi="Times New Roman" w:cs="Times New Roman"/>
          <w:b/>
          <w:bCs/>
        </w:rPr>
      </w:pPr>
      <w:r w:rsidRPr="001E7F52">
        <w:rPr>
          <w:rFonts w:ascii="Times New Roman" w:hAnsi="Times New Roman" w:cs="Times New Roman"/>
          <w:b/>
          <w:bCs/>
        </w:rPr>
        <w:t>Introducción</w:t>
      </w:r>
    </w:p>
    <w:p w14:paraId="64631316"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El objetivo del presente trabajo es la descripción de las principales características de los presupuestos internos de las universidades nacionales y la explicación de la distribución resultante atendiendo a la situación contextual de las transferencias de recursos del estado nacional en el período 2014-2024. Cabe señalar que en el caso argentino las casas de altos estudios tienen una particularidad en relación con las restantes entidades del sector público por su autonomía y autarquía, que tienen rango constitucional a partir de la reforma de la carta magna del año 1994.</w:t>
      </w:r>
    </w:p>
    <w:p w14:paraId="47E02542"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Las 61 universidades nacionales en Argentina congregan a 2 millones de estudiantes, emplean a 220 mil trabajadores docentes y no docentes y han erogado entre los años 2014 y 2024 entre el 2,9% y el 3,6% del gasto público y entre el 0,51% y el 0,87% del PBI</w:t>
      </w:r>
      <w:r>
        <w:rPr>
          <w:rFonts w:ascii="Times New Roman" w:hAnsi="Times New Roman" w:cs="Times New Roman"/>
        </w:rPr>
        <w:t xml:space="preserve">, según la información de los Anuarios Estadísticos de la Subsecretaría de Políticas Universitarias y de </w:t>
      </w:r>
      <w:r>
        <w:t>la base de datos de Presupuesto Abierto del Ministerio de Economía</w:t>
      </w:r>
      <w:r w:rsidRPr="001E7F52">
        <w:rPr>
          <w:rFonts w:ascii="Times New Roman" w:hAnsi="Times New Roman" w:cs="Times New Roman"/>
        </w:rPr>
        <w:t>. Además, al concentrar al 80% de los alumnos universitarios totales (el resto concurre a universidades privadas), la formación del capital humano del país depende en gran medida de su funcionamiento.</w:t>
      </w:r>
    </w:p>
    <w:p w14:paraId="7D022EE3"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 xml:space="preserve">La estrategia metodológica diseñada para esta investigación se basa en un abordaje cuantitativo, empleando la estadística descriptiva para el análisis inter temporal de las variables presupuestarias. Las principales fuentes de información surgen de los presupuestos de las propias universidades, de los anuarios estadísticos de la Subsecretaría de Políticas Universitarias y de las ejecuciones presupuestarias que publica el Ministerio </w:t>
      </w:r>
      <w:r w:rsidRPr="001E7F52">
        <w:rPr>
          <w:rFonts w:ascii="Times New Roman" w:hAnsi="Times New Roman" w:cs="Times New Roman"/>
        </w:rPr>
        <w:lastRenderedPageBreak/>
        <w:t>de Economía en su sitio de Presupuesto Abierto. A los efectos de estudiar las distribuciones de fondos se utilizaron las aperturas vigentes del clasificador que publica la Oficina Nacional de Presupuesto y la metodología de asignación de costos sigue los criterios expuestos en Calle y Makón (2012) de distribución por reparticiones y categorías programáticas a partir de los preceptos de la contabilidad pública. Las universidades privadas no integran la investigación porque tienen un mecanismo distinto de financiamiento, centrado básicamente en los aranceles estudiantiles.</w:t>
      </w:r>
    </w:p>
    <w:p w14:paraId="57CDB978"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ab/>
        <w:t>Las universidades nacionales tienen algunos rasgos comunes y otros que las diferencian en forma notoria. En este sentido, la normativa que las rige, los interlocutores para las condiciones laborales y el origen de su fuente principal de recursos (el tesoro nacional) son los mismos, pero su ubicación geográfica, tamaño, historia, infraestructura y oferta académica, entre otros factores, las hacen muy heterogéneas. En este trabajo se analizan todas las instituciones universitarias exponiendo sus semejanzas y diferencias, aunque sus condiciones particulares justifiquen estudios de casos específicos. Más aún, dentro de ellas también hay importantes disimilitudes, como por ejemplo la capacidad de generar recursos propios entre las facultades profesionalistas y las ligadas a la investigación, las que requieren más o menos equipamiento, las ligadas a mercados laborales más o menos demandantes, etcétera. Incluso, dentro de las facultades coexisten carreras con situaciones muy distintas, como los informáticos y los físicos en las facultades de ciencias exactas. Sin embargo, en este texto la unidad de análisis es la universidad y se deja para futuros estudios la profundización en niveles más detallados, si bien se señalan algunos elementos que diferencian significativamente a las instituciones como la presencia de grandes hospitales o la oferta académica diferenciada. Los presupuestos analizados corresponden básicamente al período 2014-2024.</w:t>
      </w:r>
    </w:p>
    <w:p w14:paraId="0A5105F1"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El Sistema Universitario argentino ha sido objeto de múltiples indagaciones recientemente, pero existen pocos estudios dedicados al presupuesto universitario.  Cabe destacar como excepciones a los trabajos de García de Fanelli (2005), Accotto et al. (2018), Becerra et al. (2003), Cetrángolo y Curcio (2017) y Doberti (</w:t>
      </w:r>
      <w:r>
        <w:rPr>
          <w:rFonts w:ascii="Times New Roman" w:hAnsi="Times New Roman" w:cs="Times New Roman"/>
        </w:rPr>
        <w:t xml:space="preserve">2020, </w:t>
      </w:r>
      <w:r w:rsidRPr="001E7F52">
        <w:rPr>
          <w:rFonts w:ascii="Times New Roman" w:hAnsi="Times New Roman" w:cs="Times New Roman"/>
        </w:rPr>
        <w:t>2023 y 2024). Estos trabajos se dedican al uso de los recursos del conjunto de las instituciones de altos estudios, pero no a la distribución de fondos interna de las universidades. De esta forma, el presente trabajo pretende cubrir la aludida vacancia.</w:t>
      </w:r>
    </w:p>
    <w:p w14:paraId="615D9DC1"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 xml:space="preserve">El estudio se estructura en cuatro apartados. El primero introduce los criterios generales empleados para alcanzar el objetivo propuesto y el segundo presenta la evolución del presupuesto universitario entre 2014-2024 en Argentina. El tercer apartado expone el análisis de las principales características de los presupuestos internos de las universidades nacionales y, finalmente, en el cuarto apartado se sintetizan los principales resultados alcanzados en el marco de esta investigación. </w:t>
      </w:r>
    </w:p>
    <w:p w14:paraId="5F79DF96" w14:textId="77777777" w:rsidR="003867D4" w:rsidRPr="001E7F52" w:rsidRDefault="003867D4" w:rsidP="003867D4">
      <w:pPr>
        <w:spacing w:line="240" w:lineRule="auto"/>
        <w:jc w:val="both"/>
        <w:rPr>
          <w:rFonts w:ascii="Times New Roman" w:hAnsi="Times New Roman" w:cs="Times New Roman"/>
        </w:rPr>
      </w:pPr>
    </w:p>
    <w:p w14:paraId="61835B9A" w14:textId="77777777" w:rsidR="003867D4" w:rsidRPr="001E7F52" w:rsidRDefault="003867D4" w:rsidP="003867D4">
      <w:pPr>
        <w:pStyle w:val="Prrafodelista"/>
        <w:numPr>
          <w:ilvl w:val="0"/>
          <w:numId w:val="1"/>
        </w:numPr>
        <w:spacing w:line="240" w:lineRule="auto"/>
        <w:ind w:left="284" w:hanging="284"/>
        <w:rPr>
          <w:rFonts w:ascii="Times New Roman" w:hAnsi="Times New Roman" w:cs="Times New Roman"/>
          <w:b/>
          <w:bCs/>
        </w:rPr>
      </w:pPr>
      <w:r w:rsidRPr="001E7F52">
        <w:rPr>
          <w:rFonts w:ascii="Times New Roman" w:hAnsi="Times New Roman" w:cs="Times New Roman"/>
          <w:b/>
          <w:bCs/>
        </w:rPr>
        <w:t>El Presupuesto Universitario</w:t>
      </w:r>
    </w:p>
    <w:p w14:paraId="075E022F"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 xml:space="preserve">La evolución del presupuesto universitario en el período 2014-2024, medido a través de su participación en el PBI, muestra una tendencia general declinante, tal como se observa en el Cuadro Nº 1. Hasta el año 2023 los valores fluctúan entre el 0,68% y el </w:t>
      </w:r>
      <w:r w:rsidRPr="001E7F52">
        <w:rPr>
          <w:rFonts w:ascii="Times New Roman" w:hAnsi="Times New Roman" w:cs="Times New Roman"/>
        </w:rPr>
        <w:lastRenderedPageBreak/>
        <w:t>0,87% del producto, y si bien en el primer quinquenio el promedio es superior al segundo, es en el año 2024 cuando se produce el cambio más significativo, reduciéndose el porcentaje hasta el 0,51%. Esta variación se produjo como efecto del ajuste fiscal del recién asumido gobierno de Javier Milei, que no solo achicó las transferencias para la educación superior, sino que lo hizo aún en mayor medida en otros rubros como la obra pública, el subsidio a las tarifas de servicios públicos y, en el campo educativo, para el fondo nacional de incentivo docente (FONID), las becas Progresar, el plan de entrega de computadoras Conectar Igualdad y las políticas socio-educativas. En consecuencia, dado que la poda de fondos fue incluso mayor en otros sectores, la participación relativa del gasto universitario en el presupuesto nacional en el año 2024 no se redujo, sino que se mantuvo dentro del margen superior del rango de valores observados en la década previa, que fue del 2,9% al 3,6%.</w:t>
      </w:r>
    </w:p>
    <w:p w14:paraId="3C867361"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ab/>
        <w:t>En términos de gasto por alumno, que es el más relevante en términos del funcionamiento institucional, se advierte que desde el 2014 al 2024 la asignación se redujo a menos de la mitad, como consecuencia de dos efectos simultáneos: la suba de la matrícula y la baja de los recursos. Mientras los estudiantes de pregrado y grado aumentaron el 36%, los recursos no solo no aumentaron, sino que se redujeron un 38% en valores reales, con la consecuente pérdida unitaria. Cabe señalar que desde el pico del año 2015 la baja, más allá de algunas oscilaciones, es una tendencia general que tiene su máxima caída en el año 2024 (ver la evolución de datos en el Anexo de información).</w:t>
      </w:r>
    </w:p>
    <w:p w14:paraId="0D0533D2"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ab/>
        <w:t>El promedio del gasto público en educación superior de los países de la OCDE es del 1%, por lo cual la tendencia a la baja en el gasto público universitario aleja al país de la tendencia de las naciones más desarrolladas</w:t>
      </w:r>
      <w:r>
        <w:rPr>
          <w:rFonts w:ascii="Times New Roman" w:hAnsi="Times New Roman" w:cs="Times New Roman"/>
        </w:rPr>
        <w:t xml:space="preserve"> (OCDE, 2023)</w:t>
      </w:r>
      <w:r w:rsidRPr="001E7F52">
        <w:rPr>
          <w:rFonts w:ascii="Times New Roman" w:hAnsi="Times New Roman" w:cs="Times New Roman"/>
        </w:rPr>
        <w:t>. Esto es aún más grave si se considera que Argentina tiene una elevada tasa bruta de cobertura (76,2%) pero un PBI más pequeño, por lo cual requeriría un mayor porcentaje del producto.</w:t>
      </w:r>
    </w:p>
    <w:p w14:paraId="1BA1C221" w14:textId="77777777" w:rsidR="003867D4" w:rsidRPr="001E7F52" w:rsidRDefault="003867D4" w:rsidP="003867D4">
      <w:pPr>
        <w:spacing w:after="0" w:line="240" w:lineRule="auto"/>
        <w:jc w:val="both"/>
        <w:rPr>
          <w:rFonts w:ascii="Times New Roman" w:hAnsi="Times New Roman" w:cs="Times New Roman"/>
        </w:rPr>
      </w:pPr>
      <w:r w:rsidRPr="001E7F52">
        <w:rPr>
          <w:rFonts w:ascii="Times New Roman" w:hAnsi="Times New Roman" w:cs="Times New Roman"/>
        </w:rPr>
        <w:t xml:space="preserve">Cuadro N° 1. Gasto público universitario sobre el PBI, sobre el presupuesto nacional y por alumno. Período 2014-2024. </w:t>
      </w:r>
    </w:p>
    <w:tbl>
      <w:tblPr>
        <w:tblStyle w:val="Tablaconcuadrcula"/>
        <w:tblW w:w="0" w:type="auto"/>
        <w:tblLook w:val="04A0" w:firstRow="1" w:lastRow="0" w:firstColumn="1" w:lastColumn="0" w:noHBand="0" w:noVBand="1"/>
      </w:tblPr>
      <w:tblGrid>
        <w:gridCol w:w="1243"/>
        <w:gridCol w:w="2456"/>
        <w:gridCol w:w="2456"/>
        <w:gridCol w:w="2339"/>
      </w:tblGrid>
      <w:tr w:rsidR="003867D4" w:rsidRPr="001E7F52" w14:paraId="4D9506F1" w14:textId="77777777" w:rsidTr="001264D7">
        <w:tc>
          <w:tcPr>
            <w:tcW w:w="1413" w:type="dxa"/>
            <w:vAlign w:val="center"/>
          </w:tcPr>
          <w:p w14:paraId="27A1205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Año</w:t>
            </w:r>
          </w:p>
        </w:tc>
        <w:tc>
          <w:tcPr>
            <w:tcW w:w="2774" w:type="dxa"/>
            <w:vAlign w:val="center"/>
          </w:tcPr>
          <w:p w14:paraId="6B636859"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Gasto público universitario sobre el PBI</w:t>
            </w:r>
          </w:p>
        </w:tc>
        <w:tc>
          <w:tcPr>
            <w:tcW w:w="2774" w:type="dxa"/>
            <w:vAlign w:val="center"/>
          </w:tcPr>
          <w:p w14:paraId="5FA712FE"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Gasto público universitario sobre el presupuesto nacional</w:t>
            </w:r>
          </w:p>
        </w:tc>
        <w:tc>
          <w:tcPr>
            <w:tcW w:w="2775" w:type="dxa"/>
            <w:vAlign w:val="center"/>
          </w:tcPr>
          <w:p w14:paraId="2790936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Gasto público por alumno</w:t>
            </w:r>
          </w:p>
          <w:p w14:paraId="7074D825"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Índice 2014 = 100</w:t>
            </w:r>
          </w:p>
        </w:tc>
      </w:tr>
      <w:tr w:rsidR="003867D4" w:rsidRPr="001E7F52" w14:paraId="7657D802" w14:textId="77777777" w:rsidTr="001264D7">
        <w:tc>
          <w:tcPr>
            <w:tcW w:w="1413" w:type="dxa"/>
            <w:vAlign w:val="bottom"/>
          </w:tcPr>
          <w:p w14:paraId="69381CF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2014</w:t>
            </w:r>
          </w:p>
        </w:tc>
        <w:tc>
          <w:tcPr>
            <w:tcW w:w="2774" w:type="dxa"/>
            <w:vAlign w:val="center"/>
          </w:tcPr>
          <w:p w14:paraId="28BD4D7C"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0,82</w:t>
            </w:r>
          </w:p>
        </w:tc>
        <w:tc>
          <w:tcPr>
            <w:tcW w:w="2774" w:type="dxa"/>
            <w:vAlign w:val="bottom"/>
          </w:tcPr>
          <w:p w14:paraId="015268A4"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3,3</w:t>
            </w:r>
          </w:p>
        </w:tc>
        <w:tc>
          <w:tcPr>
            <w:tcW w:w="2775" w:type="dxa"/>
            <w:vAlign w:val="bottom"/>
          </w:tcPr>
          <w:p w14:paraId="5184FFD8"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184B88EB" w14:textId="77777777" w:rsidTr="001264D7">
        <w:tc>
          <w:tcPr>
            <w:tcW w:w="1413" w:type="dxa"/>
            <w:vAlign w:val="bottom"/>
          </w:tcPr>
          <w:p w14:paraId="2306C88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2015</w:t>
            </w:r>
          </w:p>
        </w:tc>
        <w:tc>
          <w:tcPr>
            <w:tcW w:w="2774" w:type="dxa"/>
            <w:vAlign w:val="bottom"/>
          </w:tcPr>
          <w:p w14:paraId="5647AA00"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0,87</w:t>
            </w:r>
          </w:p>
        </w:tc>
        <w:tc>
          <w:tcPr>
            <w:tcW w:w="2774" w:type="dxa"/>
            <w:vAlign w:val="bottom"/>
          </w:tcPr>
          <w:p w14:paraId="16519C5E"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3,5</w:t>
            </w:r>
          </w:p>
        </w:tc>
        <w:tc>
          <w:tcPr>
            <w:tcW w:w="2775" w:type="dxa"/>
            <w:vAlign w:val="bottom"/>
          </w:tcPr>
          <w:p w14:paraId="53E877D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105,7</w:t>
            </w:r>
          </w:p>
        </w:tc>
      </w:tr>
      <w:tr w:rsidR="003867D4" w:rsidRPr="001E7F52" w14:paraId="45A9E973" w14:textId="77777777" w:rsidTr="001264D7">
        <w:tc>
          <w:tcPr>
            <w:tcW w:w="1413" w:type="dxa"/>
            <w:vAlign w:val="bottom"/>
          </w:tcPr>
          <w:p w14:paraId="24D07039"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2016</w:t>
            </w:r>
          </w:p>
        </w:tc>
        <w:tc>
          <w:tcPr>
            <w:tcW w:w="2774" w:type="dxa"/>
            <w:vAlign w:val="bottom"/>
          </w:tcPr>
          <w:p w14:paraId="6B6DEDCE"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0,81</w:t>
            </w:r>
          </w:p>
        </w:tc>
        <w:tc>
          <w:tcPr>
            <w:tcW w:w="2774" w:type="dxa"/>
            <w:vAlign w:val="bottom"/>
          </w:tcPr>
          <w:p w14:paraId="7348F364"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3,0</w:t>
            </w:r>
          </w:p>
        </w:tc>
        <w:tc>
          <w:tcPr>
            <w:tcW w:w="2775" w:type="dxa"/>
            <w:vAlign w:val="bottom"/>
          </w:tcPr>
          <w:p w14:paraId="50AE3166"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94,3</w:t>
            </w:r>
          </w:p>
        </w:tc>
      </w:tr>
      <w:tr w:rsidR="003867D4" w:rsidRPr="001E7F52" w14:paraId="0826BE0F" w14:textId="77777777" w:rsidTr="001264D7">
        <w:tc>
          <w:tcPr>
            <w:tcW w:w="1413" w:type="dxa"/>
            <w:vAlign w:val="bottom"/>
          </w:tcPr>
          <w:p w14:paraId="226DC0F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2017</w:t>
            </w:r>
          </w:p>
        </w:tc>
        <w:tc>
          <w:tcPr>
            <w:tcW w:w="2774" w:type="dxa"/>
            <w:vAlign w:val="bottom"/>
          </w:tcPr>
          <w:p w14:paraId="67916613"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0,85</w:t>
            </w:r>
          </w:p>
        </w:tc>
        <w:tc>
          <w:tcPr>
            <w:tcW w:w="2774" w:type="dxa"/>
            <w:vAlign w:val="bottom"/>
          </w:tcPr>
          <w:p w14:paraId="5005E1A2"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3,5</w:t>
            </w:r>
          </w:p>
        </w:tc>
        <w:tc>
          <w:tcPr>
            <w:tcW w:w="2775" w:type="dxa"/>
            <w:vAlign w:val="bottom"/>
          </w:tcPr>
          <w:p w14:paraId="0CADF1E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97,7</w:t>
            </w:r>
          </w:p>
        </w:tc>
      </w:tr>
      <w:tr w:rsidR="003867D4" w:rsidRPr="001E7F52" w14:paraId="35C5283C" w14:textId="77777777" w:rsidTr="001264D7">
        <w:tc>
          <w:tcPr>
            <w:tcW w:w="1413" w:type="dxa"/>
            <w:vAlign w:val="bottom"/>
          </w:tcPr>
          <w:p w14:paraId="5155F853"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2018</w:t>
            </w:r>
          </w:p>
        </w:tc>
        <w:tc>
          <w:tcPr>
            <w:tcW w:w="2774" w:type="dxa"/>
            <w:vAlign w:val="bottom"/>
          </w:tcPr>
          <w:p w14:paraId="6A246EC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0,75</w:t>
            </w:r>
          </w:p>
        </w:tc>
        <w:tc>
          <w:tcPr>
            <w:tcW w:w="2774" w:type="dxa"/>
            <w:vAlign w:val="bottom"/>
          </w:tcPr>
          <w:p w14:paraId="12BBA8D5"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3,3</w:t>
            </w:r>
          </w:p>
        </w:tc>
        <w:tc>
          <w:tcPr>
            <w:tcW w:w="2775" w:type="dxa"/>
            <w:vAlign w:val="bottom"/>
          </w:tcPr>
          <w:p w14:paraId="4448BE9B"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81,4</w:t>
            </w:r>
          </w:p>
        </w:tc>
      </w:tr>
      <w:tr w:rsidR="003867D4" w:rsidRPr="001E7F52" w14:paraId="7AF63498" w14:textId="77777777" w:rsidTr="001264D7">
        <w:tc>
          <w:tcPr>
            <w:tcW w:w="1413" w:type="dxa"/>
            <w:vAlign w:val="bottom"/>
          </w:tcPr>
          <w:p w14:paraId="67A55D29"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2019</w:t>
            </w:r>
          </w:p>
        </w:tc>
        <w:tc>
          <w:tcPr>
            <w:tcW w:w="2774" w:type="dxa"/>
            <w:vAlign w:val="bottom"/>
          </w:tcPr>
          <w:p w14:paraId="4DF3E62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0,70</w:t>
            </w:r>
          </w:p>
        </w:tc>
        <w:tc>
          <w:tcPr>
            <w:tcW w:w="2774" w:type="dxa"/>
            <w:vAlign w:val="bottom"/>
          </w:tcPr>
          <w:p w14:paraId="20D1547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3,1</w:t>
            </w:r>
          </w:p>
        </w:tc>
        <w:tc>
          <w:tcPr>
            <w:tcW w:w="2775" w:type="dxa"/>
            <w:vAlign w:val="bottom"/>
          </w:tcPr>
          <w:p w14:paraId="19A21B18"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69,7</w:t>
            </w:r>
          </w:p>
        </w:tc>
      </w:tr>
      <w:tr w:rsidR="003867D4" w:rsidRPr="001E7F52" w14:paraId="7FDEC3C7" w14:textId="77777777" w:rsidTr="001264D7">
        <w:tc>
          <w:tcPr>
            <w:tcW w:w="1413" w:type="dxa"/>
            <w:vAlign w:val="bottom"/>
          </w:tcPr>
          <w:p w14:paraId="524C92FE"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2020</w:t>
            </w:r>
          </w:p>
        </w:tc>
        <w:tc>
          <w:tcPr>
            <w:tcW w:w="2774" w:type="dxa"/>
            <w:vAlign w:val="bottom"/>
          </w:tcPr>
          <w:p w14:paraId="5EB00A24"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0,76</w:t>
            </w:r>
          </w:p>
        </w:tc>
        <w:tc>
          <w:tcPr>
            <w:tcW w:w="2774" w:type="dxa"/>
            <w:vAlign w:val="bottom"/>
          </w:tcPr>
          <w:p w14:paraId="2281E830"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3,0</w:t>
            </w:r>
          </w:p>
        </w:tc>
        <w:tc>
          <w:tcPr>
            <w:tcW w:w="2775" w:type="dxa"/>
            <w:vAlign w:val="bottom"/>
          </w:tcPr>
          <w:p w14:paraId="6CB53C7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64,6</w:t>
            </w:r>
          </w:p>
        </w:tc>
      </w:tr>
      <w:tr w:rsidR="003867D4" w:rsidRPr="001E7F52" w14:paraId="5CFEAA2A" w14:textId="77777777" w:rsidTr="001264D7">
        <w:tc>
          <w:tcPr>
            <w:tcW w:w="1413" w:type="dxa"/>
            <w:vAlign w:val="bottom"/>
          </w:tcPr>
          <w:p w14:paraId="20099C03"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2021</w:t>
            </w:r>
          </w:p>
        </w:tc>
        <w:tc>
          <w:tcPr>
            <w:tcW w:w="2774" w:type="dxa"/>
            <w:vAlign w:val="bottom"/>
          </w:tcPr>
          <w:p w14:paraId="2BB2D62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0,68</w:t>
            </w:r>
          </w:p>
        </w:tc>
        <w:tc>
          <w:tcPr>
            <w:tcW w:w="2774" w:type="dxa"/>
            <w:vAlign w:val="bottom"/>
          </w:tcPr>
          <w:p w14:paraId="06CED025"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2,9</w:t>
            </w:r>
          </w:p>
        </w:tc>
        <w:tc>
          <w:tcPr>
            <w:tcW w:w="2775" w:type="dxa"/>
            <w:vAlign w:val="bottom"/>
          </w:tcPr>
          <w:p w14:paraId="4713C879"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58,2</w:t>
            </w:r>
          </w:p>
        </w:tc>
      </w:tr>
      <w:tr w:rsidR="003867D4" w:rsidRPr="001E7F52" w14:paraId="1FFF9FEA" w14:textId="77777777" w:rsidTr="001264D7">
        <w:tc>
          <w:tcPr>
            <w:tcW w:w="1413" w:type="dxa"/>
            <w:vAlign w:val="bottom"/>
          </w:tcPr>
          <w:p w14:paraId="30D2EFC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2022</w:t>
            </w:r>
          </w:p>
        </w:tc>
        <w:tc>
          <w:tcPr>
            <w:tcW w:w="2774" w:type="dxa"/>
            <w:vAlign w:val="bottom"/>
          </w:tcPr>
          <w:p w14:paraId="2745ECC1"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0,68</w:t>
            </w:r>
          </w:p>
        </w:tc>
        <w:tc>
          <w:tcPr>
            <w:tcW w:w="2774" w:type="dxa"/>
            <w:vAlign w:val="bottom"/>
          </w:tcPr>
          <w:p w14:paraId="40986FD2"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3,2</w:t>
            </w:r>
          </w:p>
        </w:tc>
        <w:tc>
          <w:tcPr>
            <w:tcW w:w="2775" w:type="dxa"/>
            <w:vAlign w:val="bottom"/>
          </w:tcPr>
          <w:p w14:paraId="33069E9C"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62,0</w:t>
            </w:r>
          </w:p>
        </w:tc>
      </w:tr>
      <w:tr w:rsidR="003867D4" w:rsidRPr="001E7F52" w14:paraId="4FBBAB08" w14:textId="77777777" w:rsidTr="001264D7">
        <w:tc>
          <w:tcPr>
            <w:tcW w:w="1413" w:type="dxa"/>
            <w:vAlign w:val="bottom"/>
          </w:tcPr>
          <w:p w14:paraId="2CA6944C"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2023</w:t>
            </w:r>
          </w:p>
        </w:tc>
        <w:tc>
          <w:tcPr>
            <w:tcW w:w="2774" w:type="dxa"/>
            <w:vAlign w:val="bottom"/>
          </w:tcPr>
          <w:p w14:paraId="0D93FB9B"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0,72</w:t>
            </w:r>
          </w:p>
        </w:tc>
        <w:tc>
          <w:tcPr>
            <w:tcW w:w="2774" w:type="dxa"/>
            <w:vAlign w:val="bottom"/>
          </w:tcPr>
          <w:p w14:paraId="0128348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3,6</w:t>
            </w:r>
          </w:p>
        </w:tc>
        <w:tc>
          <w:tcPr>
            <w:tcW w:w="2775" w:type="dxa"/>
            <w:vAlign w:val="bottom"/>
          </w:tcPr>
          <w:p w14:paraId="7E7453B1"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65,7</w:t>
            </w:r>
          </w:p>
        </w:tc>
      </w:tr>
      <w:tr w:rsidR="003867D4" w:rsidRPr="001E7F52" w14:paraId="34541447" w14:textId="77777777" w:rsidTr="001264D7">
        <w:tc>
          <w:tcPr>
            <w:tcW w:w="1413" w:type="dxa"/>
            <w:vAlign w:val="bottom"/>
          </w:tcPr>
          <w:p w14:paraId="6D9D2F5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2024</w:t>
            </w:r>
          </w:p>
        </w:tc>
        <w:tc>
          <w:tcPr>
            <w:tcW w:w="2774" w:type="dxa"/>
            <w:vAlign w:val="center"/>
          </w:tcPr>
          <w:p w14:paraId="422E09D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0,51</w:t>
            </w:r>
          </w:p>
        </w:tc>
        <w:tc>
          <w:tcPr>
            <w:tcW w:w="2774" w:type="dxa"/>
            <w:vAlign w:val="center"/>
          </w:tcPr>
          <w:p w14:paraId="7B3CC3B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3,6</w:t>
            </w:r>
          </w:p>
        </w:tc>
        <w:tc>
          <w:tcPr>
            <w:tcW w:w="2775" w:type="dxa"/>
            <w:vAlign w:val="bottom"/>
          </w:tcPr>
          <w:p w14:paraId="652E17CE"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46,9</w:t>
            </w:r>
          </w:p>
        </w:tc>
      </w:tr>
    </w:tbl>
    <w:p w14:paraId="189AA47D" w14:textId="77777777" w:rsidR="003867D4" w:rsidRPr="001E7F52" w:rsidRDefault="003867D4" w:rsidP="003867D4">
      <w:pPr>
        <w:spacing w:after="360" w:line="240" w:lineRule="auto"/>
        <w:jc w:val="both"/>
        <w:rPr>
          <w:rFonts w:ascii="Times New Roman" w:hAnsi="Times New Roman" w:cs="Times New Roman"/>
        </w:rPr>
      </w:pPr>
      <w:r w:rsidRPr="001E7F52">
        <w:rPr>
          <w:rFonts w:ascii="Times New Roman" w:hAnsi="Times New Roman" w:cs="Times New Roman"/>
        </w:rPr>
        <w:t>Fuente: elaboración propia en base a datos de Datos Abiertos-Ministerio de Economía, Banco Mundial y del Anuario de Estadísticas Universitarias-Ministerio de Educación.</w:t>
      </w:r>
    </w:p>
    <w:p w14:paraId="7FA507D4" w14:textId="46166C8A"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lastRenderedPageBreak/>
        <w:t>El principal componente del gasto universitario es el salarial, representando entre el 84,7% y el 91,7% entre los años 2014 y 2024. Los gastos de funcionamiento, por el contrario, representaron entre el 4,8% y el 8,6% del total, las transferencias específicas para hospitales entre el 0,6% y el 1,9% y la infraestructura y otros programas de desarrollo tuvieron importantes fluctuaciones y fueron los dos elementos sobre los cuales se centró en mayor medida el ajuste del gobierno de Milei. En este sentido, se detuvo casi comple</w:t>
      </w:r>
      <w:r w:rsidR="003F7036">
        <w:rPr>
          <w:rFonts w:ascii="Times New Roman" w:hAnsi="Times New Roman" w:cs="Times New Roman"/>
        </w:rPr>
        <w:t>ta</w:t>
      </w:r>
      <w:r w:rsidRPr="001E7F52">
        <w:rPr>
          <w:rFonts w:ascii="Times New Roman" w:hAnsi="Times New Roman" w:cs="Times New Roman"/>
        </w:rPr>
        <w:t>mente la construcción de edificios (con especial perjuicio para las nuevas casas de estudios que no podían degradar inmuebles que no tenían) y el equipamiento, así como las iniciativas para generar una mejora institucional, como los programas de ciencia y técnica, extensión, virtualización, internacionalización y mejoras de carreras. En consecuencia, la reducción del presupuesto universitario durante el año 2024 de un tercio en valores reales afectó a todos los componentes del presupuesto universitario y fue más intensa en los rubros que permitían un crecimiento futuro.</w:t>
      </w:r>
    </w:p>
    <w:p w14:paraId="792A4799" w14:textId="77777777" w:rsidR="003867D4" w:rsidRPr="001E7F52" w:rsidRDefault="003867D4" w:rsidP="003867D4">
      <w:pPr>
        <w:spacing w:line="240" w:lineRule="auto"/>
        <w:ind w:firstLine="708"/>
        <w:jc w:val="both"/>
        <w:rPr>
          <w:rFonts w:ascii="Times New Roman" w:hAnsi="Times New Roman" w:cs="Times New Roman"/>
          <w:highlight w:val="yellow"/>
        </w:rPr>
      </w:pPr>
      <w:r w:rsidRPr="001E7F52">
        <w:rPr>
          <w:rFonts w:ascii="Times New Roman" w:hAnsi="Times New Roman" w:cs="Times New Roman"/>
        </w:rPr>
        <w:t>Un fenómeno singular observado a partir del año 2024 ha sido el aporte económico de los estados provinciales o municipales ante el retiro del estado nacional en el financiamiento para el desarrollo de la infraestructura y el equipamiento de las nuevas universidades nacionales. Esta es una situación casi sin antecedentes y una paradoja en un sistema fiscal en el cual la mayoría de las potestades recaudatorias están en cabeza del estado nacional, siempre más poderoso que los niveles subnacionales (Claus y Bucciarelli, 2020). Pese a no tener ninguna obligación normativa, para no permitir un estado de precariedad institucional, algunas provincias como la de Buenos Aires para las UU.NN. del conurbano bonaerense o la de Río Negro para la UN de Río Negro, así como el Municipio de Pilar para la UN de Pilar, han financiado obras arquitectónicas.</w:t>
      </w:r>
    </w:p>
    <w:p w14:paraId="6609B4E3" w14:textId="77777777" w:rsidR="003867D4" w:rsidRPr="001E7F52" w:rsidRDefault="003867D4" w:rsidP="003867D4">
      <w:pPr>
        <w:spacing w:after="0" w:line="240" w:lineRule="auto"/>
        <w:jc w:val="both"/>
        <w:rPr>
          <w:rFonts w:ascii="Times New Roman" w:hAnsi="Times New Roman" w:cs="Times New Roman"/>
        </w:rPr>
      </w:pPr>
      <w:r w:rsidRPr="001E7F52">
        <w:rPr>
          <w:rFonts w:ascii="Times New Roman" w:hAnsi="Times New Roman" w:cs="Times New Roman"/>
        </w:rPr>
        <w:t>Cuadro N° 2. Gasto público universitario por componentes. Período 2014-2024.</w:t>
      </w:r>
    </w:p>
    <w:tbl>
      <w:tblPr>
        <w:tblStyle w:val="Tablaconcuadrcula"/>
        <w:tblW w:w="0" w:type="auto"/>
        <w:tblLook w:val="04A0" w:firstRow="1" w:lastRow="0" w:firstColumn="1" w:lastColumn="0" w:noHBand="0" w:noVBand="1"/>
      </w:tblPr>
      <w:tblGrid>
        <w:gridCol w:w="773"/>
        <w:gridCol w:w="1035"/>
        <w:gridCol w:w="1723"/>
        <w:gridCol w:w="1247"/>
        <w:gridCol w:w="1629"/>
        <w:gridCol w:w="1259"/>
        <w:gridCol w:w="828"/>
      </w:tblGrid>
      <w:tr w:rsidR="003867D4" w:rsidRPr="001E7F52" w14:paraId="3B295216" w14:textId="77777777" w:rsidTr="001264D7">
        <w:tc>
          <w:tcPr>
            <w:tcW w:w="1252" w:type="dxa"/>
            <w:vAlign w:val="center"/>
          </w:tcPr>
          <w:p w14:paraId="1D6D4F7E"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Año</w:t>
            </w:r>
          </w:p>
        </w:tc>
        <w:tc>
          <w:tcPr>
            <w:tcW w:w="1310" w:type="dxa"/>
            <w:vAlign w:val="center"/>
          </w:tcPr>
          <w:p w14:paraId="058F6540"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Salarios</w:t>
            </w:r>
          </w:p>
        </w:tc>
        <w:tc>
          <w:tcPr>
            <w:tcW w:w="1636" w:type="dxa"/>
            <w:vAlign w:val="center"/>
          </w:tcPr>
          <w:p w14:paraId="692BFED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Gastos de funcionamiento</w:t>
            </w:r>
          </w:p>
        </w:tc>
        <w:tc>
          <w:tcPr>
            <w:tcW w:w="1350" w:type="dxa"/>
            <w:vAlign w:val="center"/>
          </w:tcPr>
          <w:p w14:paraId="57DD9AC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Hospitales</w:t>
            </w:r>
          </w:p>
        </w:tc>
        <w:tc>
          <w:tcPr>
            <w:tcW w:w="1563" w:type="dxa"/>
            <w:vAlign w:val="center"/>
          </w:tcPr>
          <w:p w14:paraId="6B88E352"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Infraestructura</w:t>
            </w:r>
          </w:p>
        </w:tc>
        <w:tc>
          <w:tcPr>
            <w:tcW w:w="1355" w:type="dxa"/>
            <w:vAlign w:val="center"/>
          </w:tcPr>
          <w:p w14:paraId="7D859EB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Otros Programas</w:t>
            </w:r>
          </w:p>
        </w:tc>
        <w:tc>
          <w:tcPr>
            <w:tcW w:w="1270" w:type="dxa"/>
            <w:vAlign w:val="center"/>
          </w:tcPr>
          <w:p w14:paraId="0A27FD33"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Total</w:t>
            </w:r>
          </w:p>
        </w:tc>
      </w:tr>
      <w:tr w:rsidR="003867D4" w:rsidRPr="001E7F52" w14:paraId="5CEB27F5" w14:textId="77777777" w:rsidTr="001264D7">
        <w:tc>
          <w:tcPr>
            <w:tcW w:w="1252" w:type="dxa"/>
            <w:vAlign w:val="bottom"/>
          </w:tcPr>
          <w:p w14:paraId="3B3EF78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2014</w:t>
            </w:r>
          </w:p>
        </w:tc>
        <w:tc>
          <w:tcPr>
            <w:tcW w:w="1310" w:type="dxa"/>
            <w:vAlign w:val="bottom"/>
          </w:tcPr>
          <w:p w14:paraId="79ABA2BA"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84,7</w:t>
            </w:r>
          </w:p>
        </w:tc>
        <w:tc>
          <w:tcPr>
            <w:tcW w:w="1636" w:type="dxa"/>
            <w:vAlign w:val="bottom"/>
          </w:tcPr>
          <w:p w14:paraId="488EB6DA"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7,0</w:t>
            </w:r>
          </w:p>
        </w:tc>
        <w:tc>
          <w:tcPr>
            <w:tcW w:w="1350" w:type="dxa"/>
            <w:vAlign w:val="bottom"/>
          </w:tcPr>
          <w:p w14:paraId="260997A6"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0,7</w:t>
            </w:r>
          </w:p>
        </w:tc>
        <w:tc>
          <w:tcPr>
            <w:tcW w:w="1563" w:type="dxa"/>
            <w:vAlign w:val="bottom"/>
          </w:tcPr>
          <w:p w14:paraId="590B7599"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1,0</w:t>
            </w:r>
          </w:p>
        </w:tc>
        <w:tc>
          <w:tcPr>
            <w:tcW w:w="1355" w:type="dxa"/>
            <w:vAlign w:val="bottom"/>
          </w:tcPr>
          <w:p w14:paraId="27AB5490"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5,7</w:t>
            </w:r>
          </w:p>
        </w:tc>
        <w:tc>
          <w:tcPr>
            <w:tcW w:w="1270" w:type="dxa"/>
            <w:vAlign w:val="bottom"/>
          </w:tcPr>
          <w:p w14:paraId="72D7D3F4"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100,0</w:t>
            </w:r>
          </w:p>
        </w:tc>
      </w:tr>
      <w:tr w:rsidR="003867D4" w:rsidRPr="001E7F52" w14:paraId="79D7912B" w14:textId="77777777" w:rsidTr="001264D7">
        <w:tc>
          <w:tcPr>
            <w:tcW w:w="1252" w:type="dxa"/>
            <w:vAlign w:val="bottom"/>
          </w:tcPr>
          <w:p w14:paraId="4468C6A2"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2015</w:t>
            </w:r>
          </w:p>
        </w:tc>
        <w:tc>
          <w:tcPr>
            <w:tcW w:w="1310" w:type="dxa"/>
            <w:vAlign w:val="bottom"/>
          </w:tcPr>
          <w:p w14:paraId="02990C86"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84,7</w:t>
            </w:r>
          </w:p>
        </w:tc>
        <w:tc>
          <w:tcPr>
            <w:tcW w:w="1636" w:type="dxa"/>
            <w:vAlign w:val="bottom"/>
          </w:tcPr>
          <w:p w14:paraId="448211B9"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7,5</w:t>
            </w:r>
          </w:p>
        </w:tc>
        <w:tc>
          <w:tcPr>
            <w:tcW w:w="1350" w:type="dxa"/>
            <w:vAlign w:val="bottom"/>
          </w:tcPr>
          <w:p w14:paraId="4CEEC405"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0,6</w:t>
            </w:r>
          </w:p>
        </w:tc>
        <w:tc>
          <w:tcPr>
            <w:tcW w:w="1563" w:type="dxa"/>
            <w:vAlign w:val="bottom"/>
          </w:tcPr>
          <w:p w14:paraId="7EE2CE2D"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1,2</w:t>
            </w:r>
          </w:p>
        </w:tc>
        <w:tc>
          <w:tcPr>
            <w:tcW w:w="1355" w:type="dxa"/>
            <w:vAlign w:val="bottom"/>
          </w:tcPr>
          <w:p w14:paraId="5E0C96CC"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3,5</w:t>
            </w:r>
          </w:p>
        </w:tc>
        <w:tc>
          <w:tcPr>
            <w:tcW w:w="1270" w:type="dxa"/>
            <w:vAlign w:val="bottom"/>
          </w:tcPr>
          <w:p w14:paraId="2401F317"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100,0</w:t>
            </w:r>
          </w:p>
        </w:tc>
      </w:tr>
      <w:tr w:rsidR="003867D4" w:rsidRPr="001E7F52" w14:paraId="19C75AB0" w14:textId="77777777" w:rsidTr="001264D7">
        <w:tc>
          <w:tcPr>
            <w:tcW w:w="1252" w:type="dxa"/>
            <w:vAlign w:val="bottom"/>
          </w:tcPr>
          <w:p w14:paraId="5DE91A54"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2016</w:t>
            </w:r>
          </w:p>
        </w:tc>
        <w:tc>
          <w:tcPr>
            <w:tcW w:w="1310" w:type="dxa"/>
            <w:vAlign w:val="center"/>
          </w:tcPr>
          <w:p w14:paraId="52A3DE28"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s.d.</w:t>
            </w:r>
          </w:p>
        </w:tc>
        <w:tc>
          <w:tcPr>
            <w:tcW w:w="1636" w:type="dxa"/>
            <w:vAlign w:val="center"/>
          </w:tcPr>
          <w:p w14:paraId="738E95F8"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s.d.</w:t>
            </w:r>
          </w:p>
        </w:tc>
        <w:tc>
          <w:tcPr>
            <w:tcW w:w="1350" w:type="dxa"/>
            <w:vAlign w:val="center"/>
          </w:tcPr>
          <w:p w14:paraId="401C4B72"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s.d.</w:t>
            </w:r>
          </w:p>
        </w:tc>
        <w:tc>
          <w:tcPr>
            <w:tcW w:w="1563" w:type="dxa"/>
            <w:vAlign w:val="center"/>
          </w:tcPr>
          <w:p w14:paraId="1887341A"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s.d.</w:t>
            </w:r>
          </w:p>
        </w:tc>
        <w:tc>
          <w:tcPr>
            <w:tcW w:w="1355" w:type="dxa"/>
            <w:vAlign w:val="center"/>
          </w:tcPr>
          <w:p w14:paraId="15E67B33"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s.d.</w:t>
            </w:r>
          </w:p>
        </w:tc>
        <w:tc>
          <w:tcPr>
            <w:tcW w:w="1270" w:type="dxa"/>
            <w:vAlign w:val="center"/>
          </w:tcPr>
          <w:p w14:paraId="46111E61"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s.d.</w:t>
            </w:r>
          </w:p>
        </w:tc>
      </w:tr>
      <w:tr w:rsidR="003867D4" w:rsidRPr="001E7F52" w14:paraId="6989F661" w14:textId="77777777" w:rsidTr="001264D7">
        <w:tc>
          <w:tcPr>
            <w:tcW w:w="1252" w:type="dxa"/>
            <w:vAlign w:val="bottom"/>
          </w:tcPr>
          <w:p w14:paraId="0FEED78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2017</w:t>
            </w:r>
          </w:p>
        </w:tc>
        <w:tc>
          <w:tcPr>
            <w:tcW w:w="1310" w:type="dxa"/>
            <w:vAlign w:val="bottom"/>
          </w:tcPr>
          <w:p w14:paraId="58CFE5E2"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84,7</w:t>
            </w:r>
          </w:p>
        </w:tc>
        <w:tc>
          <w:tcPr>
            <w:tcW w:w="1636" w:type="dxa"/>
            <w:vAlign w:val="bottom"/>
          </w:tcPr>
          <w:p w14:paraId="3AB2E8A4"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8,1</w:t>
            </w:r>
          </w:p>
        </w:tc>
        <w:tc>
          <w:tcPr>
            <w:tcW w:w="1350" w:type="dxa"/>
            <w:vAlign w:val="bottom"/>
          </w:tcPr>
          <w:p w14:paraId="7C93B7B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1,7</w:t>
            </w:r>
          </w:p>
        </w:tc>
        <w:tc>
          <w:tcPr>
            <w:tcW w:w="1563" w:type="dxa"/>
            <w:vAlign w:val="bottom"/>
          </w:tcPr>
          <w:p w14:paraId="49FCB789"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1,1</w:t>
            </w:r>
          </w:p>
        </w:tc>
        <w:tc>
          <w:tcPr>
            <w:tcW w:w="1355" w:type="dxa"/>
            <w:vAlign w:val="bottom"/>
          </w:tcPr>
          <w:p w14:paraId="7F19CF91"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4,4</w:t>
            </w:r>
          </w:p>
        </w:tc>
        <w:tc>
          <w:tcPr>
            <w:tcW w:w="1270" w:type="dxa"/>
            <w:vAlign w:val="bottom"/>
          </w:tcPr>
          <w:p w14:paraId="1C3CF4D9"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2ECC5E67" w14:textId="77777777" w:rsidTr="001264D7">
        <w:tc>
          <w:tcPr>
            <w:tcW w:w="1252" w:type="dxa"/>
            <w:vAlign w:val="bottom"/>
          </w:tcPr>
          <w:p w14:paraId="6CBDE75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2018</w:t>
            </w:r>
          </w:p>
        </w:tc>
        <w:tc>
          <w:tcPr>
            <w:tcW w:w="1310" w:type="dxa"/>
            <w:vAlign w:val="bottom"/>
          </w:tcPr>
          <w:p w14:paraId="4C61CBD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88,9</w:t>
            </w:r>
          </w:p>
        </w:tc>
        <w:tc>
          <w:tcPr>
            <w:tcW w:w="1636" w:type="dxa"/>
            <w:vAlign w:val="bottom"/>
          </w:tcPr>
          <w:p w14:paraId="5ED647C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7,4</w:t>
            </w:r>
          </w:p>
        </w:tc>
        <w:tc>
          <w:tcPr>
            <w:tcW w:w="1350" w:type="dxa"/>
            <w:vAlign w:val="bottom"/>
          </w:tcPr>
          <w:p w14:paraId="5D8C9879"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1,3</w:t>
            </w:r>
          </w:p>
        </w:tc>
        <w:tc>
          <w:tcPr>
            <w:tcW w:w="1563" w:type="dxa"/>
            <w:vAlign w:val="bottom"/>
          </w:tcPr>
          <w:p w14:paraId="75C24B78"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0,4</w:t>
            </w:r>
          </w:p>
        </w:tc>
        <w:tc>
          <w:tcPr>
            <w:tcW w:w="1355" w:type="dxa"/>
            <w:vAlign w:val="bottom"/>
          </w:tcPr>
          <w:p w14:paraId="39D641E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w:t>
            </w:r>
          </w:p>
        </w:tc>
        <w:tc>
          <w:tcPr>
            <w:tcW w:w="1270" w:type="dxa"/>
            <w:vAlign w:val="bottom"/>
          </w:tcPr>
          <w:p w14:paraId="6BAB89A5"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27229851" w14:textId="77777777" w:rsidTr="001264D7">
        <w:tc>
          <w:tcPr>
            <w:tcW w:w="1252" w:type="dxa"/>
            <w:vAlign w:val="bottom"/>
          </w:tcPr>
          <w:p w14:paraId="714E58C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2019</w:t>
            </w:r>
          </w:p>
        </w:tc>
        <w:tc>
          <w:tcPr>
            <w:tcW w:w="1310" w:type="dxa"/>
            <w:vAlign w:val="bottom"/>
          </w:tcPr>
          <w:p w14:paraId="65B0AF72"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91,3</w:t>
            </w:r>
          </w:p>
        </w:tc>
        <w:tc>
          <w:tcPr>
            <w:tcW w:w="1636" w:type="dxa"/>
            <w:vAlign w:val="bottom"/>
          </w:tcPr>
          <w:p w14:paraId="46478AA5"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5,6</w:t>
            </w:r>
          </w:p>
        </w:tc>
        <w:tc>
          <w:tcPr>
            <w:tcW w:w="1350" w:type="dxa"/>
            <w:vAlign w:val="bottom"/>
          </w:tcPr>
          <w:p w14:paraId="419EBAC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1,1</w:t>
            </w:r>
          </w:p>
        </w:tc>
        <w:tc>
          <w:tcPr>
            <w:tcW w:w="1563" w:type="dxa"/>
            <w:vAlign w:val="bottom"/>
          </w:tcPr>
          <w:p w14:paraId="017122AB"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0,3</w:t>
            </w:r>
          </w:p>
        </w:tc>
        <w:tc>
          <w:tcPr>
            <w:tcW w:w="1355" w:type="dxa"/>
            <w:vAlign w:val="bottom"/>
          </w:tcPr>
          <w:p w14:paraId="6C4BA594"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1,8</w:t>
            </w:r>
          </w:p>
        </w:tc>
        <w:tc>
          <w:tcPr>
            <w:tcW w:w="1270" w:type="dxa"/>
            <w:vAlign w:val="bottom"/>
          </w:tcPr>
          <w:p w14:paraId="2D1C0618"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357CEB81" w14:textId="77777777" w:rsidTr="001264D7">
        <w:tc>
          <w:tcPr>
            <w:tcW w:w="1252" w:type="dxa"/>
            <w:vAlign w:val="bottom"/>
          </w:tcPr>
          <w:p w14:paraId="753A2DD8"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2020</w:t>
            </w:r>
          </w:p>
        </w:tc>
        <w:tc>
          <w:tcPr>
            <w:tcW w:w="1310" w:type="dxa"/>
            <w:vAlign w:val="bottom"/>
          </w:tcPr>
          <w:p w14:paraId="53FDB02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91,7</w:t>
            </w:r>
          </w:p>
        </w:tc>
        <w:tc>
          <w:tcPr>
            <w:tcW w:w="1636" w:type="dxa"/>
            <w:vAlign w:val="bottom"/>
          </w:tcPr>
          <w:p w14:paraId="465CA02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4,8</w:t>
            </w:r>
          </w:p>
        </w:tc>
        <w:tc>
          <w:tcPr>
            <w:tcW w:w="1350" w:type="dxa"/>
            <w:vAlign w:val="bottom"/>
          </w:tcPr>
          <w:p w14:paraId="6A7941B9"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0,9</w:t>
            </w:r>
          </w:p>
        </w:tc>
        <w:tc>
          <w:tcPr>
            <w:tcW w:w="1563" w:type="dxa"/>
            <w:vAlign w:val="bottom"/>
          </w:tcPr>
          <w:p w14:paraId="48DB4793"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0,3</w:t>
            </w:r>
          </w:p>
        </w:tc>
        <w:tc>
          <w:tcPr>
            <w:tcW w:w="1355" w:type="dxa"/>
            <w:vAlign w:val="bottom"/>
          </w:tcPr>
          <w:p w14:paraId="1F55A56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2,4</w:t>
            </w:r>
          </w:p>
        </w:tc>
        <w:tc>
          <w:tcPr>
            <w:tcW w:w="1270" w:type="dxa"/>
            <w:vAlign w:val="bottom"/>
          </w:tcPr>
          <w:p w14:paraId="33B803F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1F1B909A" w14:textId="77777777" w:rsidTr="001264D7">
        <w:tc>
          <w:tcPr>
            <w:tcW w:w="1252" w:type="dxa"/>
            <w:vAlign w:val="bottom"/>
          </w:tcPr>
          <w:p w14:paraId="1463865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2021</w:t>
            </w:r>
          </w:p>
        </w:tc>
        <w:tc>
          <w:tcPr>
            <w:tcW w:w="1310" w:type="dxa"/>
            <w:vAlign w:val="bottom"/>
          </w:tcPr>
          <w:p w14:paraId="492650BC"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84,6</w:t>
            </w:r>
          </w:p>
        </w:tc>
        <w:tc>
          <w:tcPr>
            <w:tcW w:w="1636" w:type="dxa"/>
            <w:vAlign w:val="bottom"/>
          </w:tcPr>
          <w:p w14:paraId="5DF429E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8,3</w:t>
            </w:r>
          </w:p>
        </w:tc>
        <w:tc>
          <w:tcPr>
            <w:tcW w:w="1350" w:type="dxa"/>
            <w:vAlign w:val="bottom"/>
          </w:tcPr>
          <w:p w14:paraId="7AF8EC3E"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1,6</w:t>
            </w:r>
          </w:p>
        </w:tc>
        <w:tc>
          <w:tcPr>
            <w:tcW w:w="1563" w:type="dxa"/>
            <w:vAlign w:val="bottom"/>
          </w:tcPr>
          <w:p w14:paraId="3A8BF87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0,9</w:t>
            </w:r>
          </w:p>
        </w:tc>
        <w:tc>
          <w:tcPr>
            <w:tcW w:w="1355" w:type="dxa"/>
            <w:vAlign w:val="bottom"/>
          </w:tcPr>
          <w:p w14:paraId="26C8B7E4"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4,5</w:t>
            </w:r>
          </w:p>
        </w:tc>
        <w:tc>
          <w:tcPr>
            <w:tcW w:w="1270" w:type="dxa"/>
            <w:vAlign w:val="bottom"/>
          </w:tcPr>
          <w:p w14:paraId="7D436F8E"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005E8311" w14:textId="77777777" w:rsidTr="001264D7">
        <w:tc>
          <w:tcPr>
            <w:tcW w:w="1252" w:type="dxa"/>
            <w:vAlign w:val="bottom"/>
          </w:tcPr>
          <w:p w14:paraId="7F871AB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2022</w:t>
            </w:r>
          </w:p>
        </w:tc>
        <w:tc>
          <w:tcPr>
            <w:tcW w:w="1310" w:type="dxa"/>
            <w:vAlign w:val="bottom"/>
          </w:tcPr>
          <w:p w14:paraId="7D18D636"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87,9</w:t>
            </w:r>
          </w:p>
        </w:tc>
        <w:tc>
          <w:tcPr>
            <w:tcW w:w="1636" w:type="dxa"/>
            <w:vAlign w:val="bottom"/>
          </w:tcPr>
          <w:p w14:paraId="3CDEE003"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5,9</w:t>
            </w:r>
          </w:p>
        </w:tc>
        <w:tc>
          <w:tcPr>
            <w:tcW w:w="1350" w:type="dxa"/>
            <w:vAlign w:val="bottom"/>
          </w:tcPr>
          <w:p w14:paraId="4D449972"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1,3</w:t>
            </w:r>
          </w:p>
        </w:tc>
        <w:tc>
          <w:tcPr>
            <w:tcW w:w="1563" w:type="dxa"/>
            <w:vAlign w:val="bottom"/>
          </w:tcPr>
          <w:p w14:paraId="5BBF99C2"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1,4</w:t>
            </w:r>
          </w:p>
        </w:tc>
        <w:tc>
          <w:tcPr>
            <w:tcW w:w="1355" w:type="dxa"/>
            <w:vAlign w:val="bottom"/>
          </w:tcPr>
          <w:p w14:paraId="607A7E2B"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3,5</w:t>
            </w:r>
          </w:p>
        </w:tc>
        <w:tc>
          <w:tcPr>
            <w:tcW w:w="1270" w:type="dxa"/>
            <w:vAlign w:val="bottom"/>
          </w:tcPr>
          <w:p w14:paraId="5647178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3983FA16" w14:textId="77777777" w:rsidTr="001264D7">
        <w:tc>
          <w:tcPr>
            <w:tcW w:w="1252" w:type="dxa"/>
            <w:vAlign w:val="bottom"/>
          </w:tcPr>
          <w:p w14:paraId="44D6E1A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2023</w:t>
            </w:r>
          </w:p>
        </w:tc>
        <w:tc>
          <w:tcPr>
            <w:tcW w:w="1310" w:type="dxa"/>
            <w:vAlign w:val="bottom"/>
          </w:tcPr>
          <w:p w14:paraId="029C2356"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87,5</w:t>
            </w:r>
          </w:p>
        </w:tc>
        <w:tc>
          <w:tcPr>
            <w:tcW w:w="1636" w:type="dxa"/>
            <w:vAlign w:val="bottom"/>
          </w:tcPr>
          <w:p w14:paraId="3B043D4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5,5</w:t>
            </w:r>
          </w:p>
        </w:tc>
        <w:tc>
          <w:tcPr>
            <w:tcW w:w="1350" w:type="dxa"/>
            <w:vAlign w:val="bottom"/>
          </w:tcPr>
          <w:p w14:paraId="2CB0D9D8"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1,1</w:t>
            </w:r>
          </w:p>
        </w:tc>
        <w:tc>
          <w:tcPr>
            <w:tcW w:w="1563" w:type="dxa"/>
            <w:vAlign w:val="bottom"/>
          </w:tcPr>
          <w:p w14:paraId="17A1EB4B"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0,6</w:t>
            </w:r>
          </w:p>
        </w:tc>
        <w:tc>
          <w:tcPr>
            <w:tcW w:w="1355" w:type="dxa"/>
            <w:vAlign w:val="bottom"/>
          </w:tcPr>
          <w:p w14:paraId="39CC5C16"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5,1</w:t>
            </w:r>
          </w:p>
        </w:tc>
        <w:tc>
          <w:tcPr>
            <w:tcW w:w="1270" w:type="dxa"/>
            <w:vAlign w:val="bottom"/>
          </w:tcPr>
          <w:p w14:paraId="6FF5888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76CD2817" w14:textId="77777777" w:rsidTr="001264D7">
        <w:tc>
          <w:tcPr>
            <w:tcW w:w="1252" w:type="dxa"/>
            <w:vAlign w:val="bottom"/>
          </w:tcPr>
          <w:p w14:paraId="171E03D3"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2024</w:t>
            </w:r>
          </w:p>
        </w:tc>
        <w:tc>
          <w:tcPr>
            <w:tcW w:w="1310" w:type="dxa"/>
            <w:vAlign w:val="bottom"/>
          </w:tcPr>
          <w:p w14:paraId="7585635B"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88,8</w:t>
            </w:r>
          </w:p>
        </w:tc>
        <w:tc>
          <w:tcPr>
            <w:tcW w:w="1636" w:type="dxa"/>
            <w:vAlign w:val="bottom"/>
          </w:tcPr>
          <w:p w14:paraId="1941929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8,6</w:t>
            </w:r>
          </w:p>
        </w:tc>
        <w:tc>
          <w:tcPr>
            <w:tcW w:w="1350" w:type="dxa"/>
            <w:vAlign w:val="bottom"/>
          </w:tcPr>
          <w:p w14:paraId="03A29B48"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1,9</w:t>
            </w:r>
          </w:p>
        </w:tc>
        <w:tc>
          <w:tcPr>
            <w:tcW w:w="1563" w:type="dxa"/>
            <w:vAlign w:val="bottom"/>
          </w:tcPr>
          <w:p w14:paraId="102BD181"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0,1</w:t>
            </w:r>
          </w:p>
        </w:tc>
        <w:tc>
          <w:tcPr>
            <w:tcW w:w="1355" w:type="dxa"/>
            <w:vAlign w:val="bottom"/>
          </w:tcPr>
          <w:p w14:paraId="7C110C1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0,7</w:t>
            </w:r>
          </w:p>
        </w:tc>
        <w:tc>
          <w:tcPr>
            <w:tcW w:w="1270" w:type="dxa"/>
            <w:vAlign w:val="bottom"/>
          </w:tcPr>
          <w:p w14:paraId="350AB4F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bl>
    <w:p w14:paraId="3787FBAF" w14:textId="52544F9E" w:rsidR="003867D4" w:rsidRPr="001E7F52" w:rsidRDefault="003867D4" w:rsidP="003867D4">
      <w:pPr>
        <w:spacing w:after="0" w:line="240" w:lineRule="auto"/>
        <w:jc w:val="both"/>
        <w:rPr>
          <w:rFonts w:ascii="Times New Roman" w:hAnsi="Times New Roman" w:cs="Times New Roman"/>
        </w:rPr>
      </w:pPr>
      <w:r w:rsidRPr="001E7F52">
        <w:rPr>
          <w:rFonts w:ascii="Times New Roman" w:hAnsi="Times New Roman" w:cs="Times New Roman"/>
        </w:rPr>
        <w:t xml:space="preserve">Fuente: elaboración propia </w:t>
      </w:r>
      <w:r>
        <w:rPr>
          <w:rFonts w:ascii="Times New Roman" w:hAnsi="Times New Roman" w:cs="Times New Roman"/>
        </w:rPr>
        <w:t>sobre</w:t>
      </w:r>
      <w:r w:rsidRPr="001E7F52">
        <w:rPr>
          <w:rFonts w:ascii="Times New Roman" w:hAnsi="Times New Roman" w:cs="Times New Roman"/>
        </w:rPr>
        <w:t xml:space="preserve"> la base de Datos Abiertos-Ministerio de Economía.</w:t>
      </w:r>
    </w:p>
    <w:p w14:paraId="76CF2FD4" w14:textId="77777777" w:rsidR="003867D4" w:rsidRPr="001E7F52" w:rsidRDefault="003867D4" w:rsidP="003867D4">
      <w:pPr>
        <w:spacing w:after="360" w:line="240" w:lineRule="auto"/>
        <w:jc w:val="both"/>
        <w:rPr>
          <w:rFonts w:ascii="Times New Roman" w:hAnsi="Times New Roman" w:cs="Times New Roman"/>
        </w:rPr>
      </w:pPr>
      <w:r w:rsidRPr="001E7F52">
        <w:rPr>
          <w:rFonts w:ascii="Times New Roman" w:hAnsi="Times New Roman" w:cs="Times New Roman"/>
        </w:rPr>
        <w:t>Aclaración: las discrepancias marginales en las sumas porcentuales se explican por el redondeo de los valores individuales.</w:t>
      </w:r>
    </w:p>
    <w:p w14:paraId="056ACE42"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ab/>
        <w:t xml:space="preserve">La fuente principal de financiamiento del presupuesto universitario es el tesoro nacional, que representa el 82,9% entre el 2014 y el 2024, con una importancia creciente </w:t>
      </w:r>
      <w:r w:rsidRPr="001E7F52">
        <w:rPr>
          <w:rFonts w:ascii="Times New Roman" w:hAnsi="Times New Roman" w:cs="Times New Roman"/>
        </w:rPr>
        <w:lastRenderedPageBreak/>
        <w:t>por la crisis económica que dificulta obtener recursos del sector privado y la reticencia del sector público para hacer erogaciones. Además, el 80% de  los remanentes de ejercicios anteriores (lo no gastado en ejercicios previos), provienen también del tesoro nacional. Las otras fuentes son poco significativas, solo 2,2% en el promedio del período analizado y se componen de fondos de financiamiento externo, endeudamiento u otras fuentes menores.</w:t>
      </w:r>
    </w:p>
    <w:p w14:paraId="6D775F5D"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ab/>
        <w:t>Vale la pena detenerse en el análisis en los recursos propios, porque si bien representan el 10,6% del financiamiento, tienen un costo significativo para su obtención y solo puede transferirse su margen de ganancia para solventar las funciones principales de las universidades. En la medida en que las instituciones participan de mercados competitivos como los de consultoría, cursos de idiomas u otros servicios, el costo suele ser elevado y el beneficio escaso. Solamente las donaciones podrían considerarse como fondos de libre disponibilidad, pero en el caso argentino son muy reducidas.</w:t>
      </w:r>
    </w:p>
    <w:p w14:paraId="17926521"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Con respecto al elemento más controversial relacionado con la potencial obtención de recursos propios, el cobro de aranceles por los estudios de grado está impedido por legislación vigente a partir de la sanción de la Ley 27.204 del año 2015 y solo podría aplicarse a extranjeros no residentes desde la modificación operada a través de Decreto de Necesidad y Urgencia 366/2025. Más allá de las prescripciones normativas, los aranceles por los estudios de grado son rechazados unánimemente por todas las universidades públicas por sus efectos regresivos y excluyentes en términos socio-económicos. Asimismo, en la experiencia histórica argentina de las últimas seis décadas, los aranceles solo han sido implementados en forma masiva durante la última dictadura militar, entre los años 1981 y 1983, en un período oscuro signado en términos económicos por el desfinanciamiento universitario y la restricción en el acceso estudiantil. En consecuencia, los aportes del tesoro son casi la única fuente relevante y estable de sostenimiento de las actividades de las casas de altos estudios.</w:t>
      </w:r>
    </w:p>
    <w:p w14:paraId="663E5DA8" w14:textId="77777777" w:rsidR="003867D4" w:rsidRPr="001E7F52" w:rsidRDefault="003867D4" w:rsidP="003867D4">
      <w:pPr>
        <w:spacing w:after="0" w:line="240" w:lineRule="auto"/>
        <w:jc w:val="both"/>
        <w:rPr>
          <w:rFonts w:ascii="Times New Roman" w:hAnsi="Times New Roman" w:cs="Times New Roman"/>
        </w:rPr>
      </w:pPr>
      <w:r w:rsidRPr="001E7F52">
        <w:rPr>
          <w:rFonts w:ascii="Times New Roman" w:hAnsi="Times New Roman" w:cs="Times New Roman"/>
        </w:rPr>
        <w:t xml:space="preserve"> Cuadro N° 3. Ejecución presupuestaria por fuente de financiamiento.  Período 2014-2023.</w:t>
      </w:r>
    </w:p>
    <w:tbl>
      <w:tblPr>
        <w:tblStyle w:val="Tablaconcuadrcula"/>
        <w:tblW w:w="0" w:type="auto"/>
        <w:tblLook w:val="04A0" w:firstRow="1" w:lastRow="0" w:firstColumn="1" w:lastColumn="0" w:noHBand="0" w:noVBand="1"/>
      </w:tblPr>
      <w:tblGrid>
        <w:gridCol w:w="1419"/>
        <w:gridCol w:w="1413"/>
        <w:gridCol w:w="1420"/>
        <w:gridCol w:w="1495"/>
        <w:gridCol w:w="1373"/>
        <w:gridCol w:w="1374"/>
      </w:tblGrid>
      <w:tr w:rsidR="003867D4" w:rsidRPr="001E7F52" w14:paraId="62B8C5F5" w14:textId="77777777" w:rsidTr="001264D7">
        <w:tc>
          <w:tcPr>
            <w:tcW w:w="1502" w:type="dxa"/>
            <w:vAlign w:val="center"/>
          </w:tcPr>
          <w:p w14:paraId="019BD87E"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b/>
                <w:bCs/>
                <w:color w:val="000000"/>
                <w:sz w:val="24"/>
                <w:szCs w:val="24"/>
              </w:rPr>
              <w:t>Año</w:t>
            </w:r>
          </w:p>
        </w:tc>
        <w:tc>
          <w:tcPr>
            <w:tcW w:w="1502" w:type="dxa"/>
            <w:vAlign w:val="center"/>
          </w:tcPr>
          <w:p w14:paraId="52CD00C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b/>
                <w:bCs/>
                <w:color w:val="000000"/>
                <w:sz w:val="24"/>
                <w:szCs w:val="24"/>
              </w:rPr>
              <w:t>Tesoro Nacional</w:t>
            </w:r>
          </w:p>
        </w:tc>
        <w:tc>
          <w:tcPr>
            <w:tcW w:w="1503" w:type="dxa"/>
            <w:vAlign w:val="center"/>
          </w:tcPr>
          <w:p w14:paraId="1DA4F765"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b/>
                <w:bCs/>
                <w:color w:val="000000"/>
                <w:sz w:val="24"/>
                <w:szCs w:val="24"/>
              </w:rPr>
              <w:t>Recursos Propios</w:t>
            </w:r>
          </w:p>
        </w:tc>
        <w:tc>
          <w:tcPr>
            <w:tcW w:w="1503" w:type="dxa"/>
            <w:vAlign w:val="center"/>
          </w:tcPr>
          <w:p w14:paraId="5CB395B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b/>
                <w:bCs/>
                <w:color w:val="000000"/>
                <w:sz w:val="24"/>
                <w:szCs w:val="24"/>
              </w:rPr>
              <w:t>Remanentes de ejercicios anteriores</w:t>
            </w:r>
          </w:p>
        </w:tc>
        <w:tc>
          <w:tcPr>
            <w:tcW w:w="1503" w:type="dxa"/>
            <w:vAlign w:val="center"/>
          </w:tcPr>
          <w:p w14:paraId="7084486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b/>
                <w:bCs/>
                <w:color w:val="000000"/>
                <w:sz w:val="24"/>
                <w:szCs w:val="24"/>
              </w:rPr>
              <w:t>Otras fuentes</w:t>
            </w:r>
          </w:p>
        </w:tc>
        <w:tc>
          <w:tcPr>
            <w:tcW w:w="1503" w:type="dxa"/>
            <w:vAlign w:val="center"/>
          </w:tcPr>
          <w:p w14:paraId="1DDA81F8"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b/>
                <w:bCs/>
                <w:color w:val="000000"/>
                <w:sz w:val="24"/>
                <w:szCs w:val="24"/>
              </w:rPr>
              <w:t>Total</w:t>
            </w:r>
          </w:p>
        </w:tc>
      </w:tr>
      <w:tr w:rsidR="003867D4" w:rsidRPr="001E7F52" w14:paraId="30F935B2" w14:textId="77777777" w:rsidTr="001264D7">
        <w:tc>
          <w:tcPr>
            <w:tcW w:w="1502" w:type="dxa"/>
            <w:vAlign w:val="bottom"/>
          </w:tcPr>
          <w:p w14:paraId="658F310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2014</w:t>
            </w:r>
          </w:p>
        </w:tc>
        <w:tc>
          <w:tcPr>
            <w:tcW w:w="1502" w:type="dxa"/>
            <w:vAlign w:val="bottom"/>
          </w:tcPr>
          <w:p w14:paraId="4159B2E3"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76,9%</w:t>
            </w:r>
          </w:p>
        </w:tc>
        <w:tc>
          <w:tcPr>
            <w:tcW w:w="1503" w:type="dxa"/>
            <w:vAlign w:val="bottom"/>
          </w:tcPr>
          <w:p w14:paraId="29308F46"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14,9%</w:t>
            </w:r>
          </w:p>
        </w:tc>
        <w:tc>
          <w:tcPr>
            <w:tcW w:w="1503" w:type="dxa"/>
            <w:vAlign w:val="bottom"/>
          </w:tcPr>
          <w:p w14:paraId="46F53DFB"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4,4%</w:t>
            </w:r>
          </w:p>
        </w:tc>
        <w:tc>
          <w:tcPr>
            <w:tcW w:w="1503" w:type="dxa"/>
            <w:vAlign w:val="bottom"/>
          </w:tcPr>
          <w:p w14:paraId="49579FF3"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3,8%</w:t>
            </w:r>
          </w:p>
        </w:tc>
        <w:tc>
          <w:tcPr>
            <w:tcW w:w="1503" w:type="dxa"/>
            <w:vAlign w:val="bottom"/>
          </w:tcPr>
          <w:p w14:paraId="419FF7FB"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1BD41B01" w14:textId="77777777" w:rsidTr="001264D7">
        <w:tc>
          <w:tcPr>
            <w:tcW w:w="1502" w:type="dxa"/>
            <w:vAlign w:val="bottom"/>
          </w:tcPr>
          <w:p w14:paraId="638DBB83"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2015</w:t>
            </w:r>
          </w:p>
        </w:tc>
        <w:tc>
          <w:tcPr>
            <w:tcW w:w="1502" w:type="dxa"/>
            <w:vAlign w:val="bottom"/>
          </w:tcPr>
          <w:p w14:paraId="4F5F863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73,9%</w:t>
            </w:r>
          </w:p>
        </w:tc>
        <w:tc>
          <w:tcPr>
            <w:tcW w:w="1503" w:type="dxa"/>
            <w:vAlign w:val="bottom"/>
          </w:tcPr>
          <w:p w14:paraId="1EAD3FA8"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15,2%</w:t>
            </w:r>
          </w:p>
        </w:tc>
        <w:tc>
          <w:tcPr>
            <w:tcW w:w="1503" w:type="dxa"/>
            <w:vAlign w:val="bottom"/>
          </w:tcPr>
          <w:p w14:paraId="776FC8A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5,3%</w:t>
            </w:r>
          </w:p>
        </w:tc>
        <w:tc>
          <w:tcPr>
            <w:tcW w:w="1503" w:type="dxa"/>
            <w:vAlign w:val="bottom"/>
          </w:tcPr>
          <w:p w14:paraId="16727AF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5,6%</w:t>
            </w:r>
          </w:p>
        </w:tc>
        <w:tc>
          <w:tcPr>
            <w:tcW w:w="1503" w:type="dxa"/>
            <w:vAlign w:val="bottom"/>
          </w:tcPr>
          <w:p w14:paraId="40E4927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23318CE1" w14:textId="77777777" w:rsidTr="001264D7">
        <w:tc>
          <w:tcPr>
            <w:tcW w:w="1502" w:type="dxa"/>
            <w:vAlign w:val="bottom"/>
          </w:tcPr>
          <w:p w14:paraId="331CB02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2016</w:t>
            </w:r>
          </w:p>
        </w:tc>
        <w:tc>
          <w:tcPr>
            <w:tcW w:w="1502" w:type="dxa"/>
            <w:vAlign w:val="bottom"/>
          </w:tcPr>
          <w:p w14:paraId="6E9FC51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s.d.</w:t>
            </w:r>
          </w:p>
        </w:tc>
        <w:tc>
          <w:tcPr>
            <w:tcW w:w="1503" w:type="dxa"/>
            <w:vAlign w:val="bottom"/>
          </w:tcPr>
          <w:p w14:paraId="025961F9"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s.d.</w:t>
            </w:r>
          </w:p>
        </w:tc>
        <w:tc>
          <w:tcPr>
            <w:tcW w:w="1503" w:type="dxa"/>
            <w:vAlign w:val="bottom"/>
          </w:tcPr>
          <w:p w14:paraId="3A1033B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s.d.</w:t>
            </w:r>
          </w:p>
        </w:tc>
        <w:tc>
          <w:tcPr>
            <w:tcW w:w="1503" w:type="dxa"/>
            <w:vAlign w:val="bottom"/>
          </w:tcPr>
          <w:p w14:paraId="1A9DF943"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s.d.</w:t>
            </w:r>
          </w:p>
        </w:tc>
        <w:tc>
          <w:tcPr>
            <w:tcW w:w="1503" w:type="dxa"/>
            <w:vAlign w:val="bottom"/>
          </w:tcPr>
          <w:p w14:paraId="397045C6"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s.d.</w:t>
            </w:r>
          </w:p>
        </w:tc>
      </w:tr>
      <w:tr w:rsidR="003867D4" w:rsidRPr="001E7F52" w14:paraId="45F32CB7" w14:textId="77777777" w:rsidTr="001264D7">
        <w:tc>
          <w:tcPr>
            <w:tcW w:w="1502" w:type="dxa"/>
            <w:vAlign w:val="bottom"/>
          </w:tcPr>
          <w:p w14:paraId="3EF6664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2017</w:t>
            </w:r>
          </w:p>
        </w:tc>
        <w:tc>
          <w:tcPr>
            <w:tcW w:w="1502" w:type="dxa"/>
            <w:vAlign w:val="bottom"/>
          </w:tcPr>
          <w:p w14:paraId="0DBFC4FC"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84,8%</w:t>
            </w:r>
          </w:p>
        </w:tc>
        <w:tc>
          <w:tcPr>
            <w:tcW w:w="1503" w:type="dxa"/>
            <w:vAlign w:val="bottom"/>
          </w:tcPr>
          <w:p w14:paraId="10F4BAB0"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8,0%</w:t>
            </w:r>
          </w:p>
        </w:tc>
        <w:tc>
          <w:tcPr>
            <w:tcW w:w="1503" w:type="dxa"/>
            <w:vAlign w:val="bottom"/>
          </w:tcPr>
          <w:p w14:paraId="17AA9BD3"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4,7%</w:t>
            </w:r>
          </w:p>
        </w:tc>
        <w:tc>
          <w:tcPr>
            <w:tcW w:w="1503" w:type="dxa"/>
            <w:vAlign w:val="bottom"/>
          </w:tcPr>
          <w:p w14:paraId="0728B5B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2,5%</w:t>
            </w:r>
          </w:p>
        </w:tc>
        <w:tc>
          <w:tcPr>
            <w:tcW w:w="1503" w:type="dxa"/>
            <w:vAlign w:val="bottom"/>
          </w:tcPr>
          <w:p w14:paraId="3FD0BD19"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6FE840AD" w14:textId="77777777" w:rsidTr="001264D7">
        <w:tc>
          <w:tcPr>
            <w:tcW w:w="1502" w:type="dxa"/>
            <w:vAlign w:val="bottom"/>
          </w:tcPr>
          <w:p w14:paraId="1D075102"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2018</w:t>
            </w:r>
          </w:p>
        </w:tc>
        <w:tc>
          <w:tcPr>
            <w:tcW w:w="1502" w:type="dxa"/>
            <w:vAlign w:val="bottom"/>
          </w:tcPr>
          <w:p w14:paraId="3CBB7C1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82,5%</w:t>
            </w:r>
          </w:p>
        </w:tc>
        <w:tc>
          <w:tcPr>
            <w:tcW w:w="1503" w:type="dxa"/>
            <w:vAlign w:val="bottom"/>
          </w:tcPr>
          <w:p w14:paraId="7F953BD3"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w:t>
            </w:r>
          </w:p>
        </w:tc>
        <w:tc>
          <w:tcPr>
            <w:tcW w:w="1503" w:type="dxa"/>
            <w:vAlign w:val="bottom"/>
          </w:tcPr>
          <w:p w14:paraId="1B24FEF2"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5,6%</w:t>
            </w:r>
          </w:p>
        </w:tc>
        <w:tc>
          <w:tcPr>
            <w:tcW w:w="1503" w:type="dxa"/>
            <w:vAlign w:val="bottom"/>
          </w:tcPr>
          <w:p w14:paraId="755555F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1,9%</w:t>
            </w:r>
          </w:p>
        </w:tc>
        <w:tc>
          <w:tcPr>
            <w:tcW w:w="1503" w:type="dxa"/>
            <w:vAlign w:val="bottom"/>
          </w:tcPr>
          <w:p w14:paraId="65CFCC94"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0E4CF3FE" w14:textId="77777777" w:rsidTr="001264D7">
        <w:tc>
          <w:tcPr>
            <w:tcW w:w="1502" w:type="dxa"/>
            <w:vAlign w:val="bottom"/>
          </w:tcPr>
          <w:p w14:paraId="3C0610C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2019</w:t>
            </w:r>
          </w:p>
        </w:tc>
        <w:tc>
          <w:tcPr>
            <w:tcW w:w="1502" w:type="dxa"/>
            <w:vAlign w:val="bottom"/>
          </w:tcPr>
          <w:p w14:paraId="4FBF6E4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86,0%</w:t>
            </w:r>
          </w:p>
        </w:tc>
        <w:tc>
          <w:tcPr>
            <w:tcW w:w="1503" w:type="dxa"/>
            <w:vAlign w:val="bottom"/>
          </w:tcPr>
          <w:p w14:paraId="7DF7540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8,0%</w:t>
            </w:r>
          </w:p>
        </w:tc>
        <w:tc>
          <w:tcPr>
            <w:tcW w:w="1503" w:type="dxa"/>
            <w:vAlign w:val="bottom"/>
          </w:tcPr>
          <w:p w14:paraId="145FFC32"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4,6%</w:t>
            </w:r>
          </w:p>
        </w:tc>
        <w:tc>
          <w:tcPr>
            <w:tcW w:w="1503" w:type="dxa"/>
            <w:vAlign w:val="bottom"/>
          </w:tcPr>
          <w:p w14:paraId="415AC7AE"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1,4%</w:t>
            </w:r>
          </w:p>
        </w:tc>
        <w:tc>
          <w:tcPr>
            <w:tcW w:w="1503" w:type="dxa"/>
            <w:vAlign w:val="bottom"/>
          </w:tcPr>
          <w:p w14:paraId="52AB3CEB"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10689F39" w14:textId="77777777" w:rsidTr="001264D7">
        <w:tc>
          <w:tcPr>
            <w:tcW w:w="1502" w:type="dxa"/>
            <w:vAlign w:val="bottom"/>
          </w:tcPr>
          <w:p w14:paraId="39390AF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2020</w:t>
            </w:r>
          </w:p>
        </w:tc>
        <w:tc>
          <w:tcPr>
            <w:tcW w:w="1502" w:type="dxa"/>
            <w:vAlign w:val="bottom"/>
          </w:tcPr>
          <w:p w14:paraId="5C66D908"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90,0%</w:t>
            </w:r>
          </w:p>
        </w:tc>
        <w:tc>
          <w:tcPr>
            <w:tcW w:w="1503" w:type="dxa"/>
            <w:vAlign w:val="bottom"/>
          </w:tcPr>
          <w:p w14:paraId="70A0FB4B"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5,8%</w:t>
            </w:r>
          </w:p>
        </w:tc>
        <w:tc>
          <w:tcPr>
            <w:tcW w:w="1503" w:type="dxa"/>
            <w:vAlign w:val="bottom"/>
          </w:tcPr>
          <w:p w14:paraId="6AD561F5"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3,5%</w:t>
            </w:r>
          </w:p>
        </w:tc>
        <w:tc>
          <w:tcPr>
            <w:tcW w:w="1503" w:type="dxa"/>
            <w:vAlign w:val="bottom"/>
          </w:tcPr>
          <w:p w14:paraId="171BDBA2"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0,7%</w:t>
            </w:r>
          </w:p>
        </w:tc>
        <w:tc>
          <w:tcPr>
            <w:tcW w:w="1503" w:type="dxa"/>
            <w:vAlign w:val="bottom"/>
          </w:tcPr>
          <w:p w14:paraId="22C5916C"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0616C834" w14:textId="77777777" w:rsidTr="001264D7">
        <w:tc>
          <w:tcPr>
            <w:tcW w:w="1502" w:type="dxa"/>
            <w:vAlign w:val="bottom"/>
          </w:tcPr>
          <w:p w14:paraId="18B11005"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2021</w:t>
            </w:r>
          </w:p>
        </w:tc>
        <w:tc>
          <w:tcPr>
            <w:tcW w:w="1502" w:type="dxa"/>
            <w:vAlign w:val="bottom"/>
          </w:tcPr>
          <w:p w14:paraId="5BC06023"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78,1%</w:t>
            </w:r>
          </w:p>
        </w:tc>
        <w:tc>
          <w:tcPr>
            <w:tcW w:w="1503" w:type="dxa"/>
            <w:vAlign w:val="bottom"/>
          </w:tcPr>
          <w:p w14:paraId="7E351420"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17,3%</w:t>
            </w:r>
          </w:p>
        </w:tc>
        <w:tc>
          <w:tcPr>
            <w:tcW w:w="1503" w:type="dxa"/>
            <w:vAlign w:val="bottom"/>
          </w:tcPr>
          <w:p w14:paraId="555201A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3,4%</w:t>
            </w:r>
          </w:p>
        </w:tc>
        <w:tc>
          <w:tcPr>
            <w:tcW w:w="1503" w:type="dxa"/>
            <w:vAlign w:val="bottom"/>
          </w:tcPr>
          <w:p w14:paraId="4616C248"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1,2%</w:t>
            </w:r>
          </w:p>
        </w:tc>
        <w:tc>
          <w:tcPr>
            <w:tcW w:w="1503" w:type="dxa"/>
            <w:vAlign w:val="bottom"/>
          </w:tcPr>
          <w:p w14:paraId="722810BB"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60A27B84" w14:textId="77777777" w:rsidTr="001264D7">
        <w:tc>
          <w:tcPr>
            <w:tcW w:w="1502" w:type="dxa"/>
            <w:vAlign w:val="bottom"/>
          </w:tcPr>
          <w:p w14:paraId="330B2684"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2022</w:t>
            </w:r>
          </w:p>
        </w:tc>
        <w:tc>
          <w:tcPr>
            <w:tcW w:w="1502" w:type="dxa"/>
            <w:vAlign w:val="bottom"/>
          </w:tcPr>
          <w:p w14:paraId="4DD17590"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86,6%</w:t>
            </w:r>
          </w:p>
        </w:tc>
        <w:tc>
          <w:tcPr>
            <w:tcW w:w="1503" w:type="dxa"/>
            <w:vAlign w:val="bottom"/>
          </w:tcPr>
          <w:p w14:paraId="7797E675"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7,6%</w:t>
            </w:r>
          </w:p>
        </w:tc>
        <w:tc>
          <w:tcPr>
            <w:tcW w:w="1503" w:type="dxa"/>
            <w:vAlign w:val="bottom"/>
          </w:tcPr>
          <w:p w14:paraId="19710BD8"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4,3%</w:t>
            </w:r>
          </w:p>
        </w:tc>
        <w:tc>
          <w:tcPr>
            <w:tcW w:w="1503" w:type="dxa"/>
            <w:vAlign w:val="bottom"/>
          </w:tcPr>
          <w:p w14:paraId="20E02254"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1,5%</w:t>
            </w:r>
          </w:p>
        </w:tc>
        <w:tc>
          <w:tcPr>
            <w:tcW w:w="1503" w:type="dxa"/>
            <w:vAlign w:val="bottom"/>
          </w:tcPr>
          <w:p w14:paraId="5191C795"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04F40308" w14:textId="77777777" w:rsidTr="001264D7">
        <w:tc>
          <w:tcPr>
            <w:tcW w:w="1502" w:type="dxa"/>
            <w:vAlign w:val="bottom"/>
          </w:tcPr>
          <w:p w14:paraId="54694F5E"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2023</w:t>
            </w:r>
          </w:p>
        </w:tc>
        <w:tc>
          <w:tcPr>
            <w:tcW w:w="1502" w:type="dxa"/>
            <w:vAlign w:val="bottom"/>
          </w:tcPr>
          <w:p w14:paraId="6716AFE0"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87,6%</w:t>
            </w:r>
          </w:p>
        </w:tc>
        <w:tc>
          <w:tcPr>
            <w:tcW w:w="1503" w:type="dxa"/>
            <w:vAlign w:val="bottom"/>
          </w:tcPr>
          <w:p w14:paraId="6C65FF56"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8,1%</w:t>
            </w:r>
          </w:p>
        </w:tc>
        <w:tc>
          <w:tcPr>
            <w:tcW w:w="1503" w:type="dxa"/>
            <w:vAlign w:val="bottom"/>
          </w:tcPr>
          <w:p w14:paraId="200173B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3,1%</w:t>
            </w:r>
          </w:p>
        </w:tc>
        <w:tc>
          <w:tcPr>
            <w:tcW w:w="1503" w:type="dxa"/>
            <w:vAlign w:val="bottom"/>
          </w:tcPr>
          <w:p w14:paraId="72C0F57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1,2%</w:t>
            </w:r>
          </w:p>
        </w:tc>
        <w:tc>
          <w:tcPr>
            <w:tcW w:w="1503" w:type="dxa"/>
            <w:vAlign w:val="bottom"/>
          </w:tcPr>
          <w:p w14:paraId="6F96BD95"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185D46D7" w14:textId="77777777" w:rsidTr="001264D7">
        <w:tc>
          <w:tcPr>
            <w:tcW w:w="1502" w:type="dxa"/>
            <w:vAlign w:val="center"/>
          </w:tcPr>
          <w:p w14:paraId="2024EDC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Promedio 2014-2023</w:t>
            </w:r>
          </w:p>
        </w:tc>
        <w:tc>
          <w:tcPr>
            <w:tcW w:w="1502" w:type="dxa"/>
            <w:vAlign w:val="center"/>
          </w:tcPr>
          <w:p w14:paraId="43C3852C"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82,9%</w:t>
            </w:r>
          </w:p>
        </w:tc>
        <w:tc>
          <w:tcPr>
            <w:tcW w:w="1503" w:type="dxa"/>
            <w:vAlign w:val="center"/>
          </w:tcPr>
          <w:p w14:paraId="3ED8CF90"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10,6%</w:t>
            </w:r>
          </w:p>
        </w:tc>
        <w:tc>
          <w:tcPr>
            <w:tcW w:w="1503" w:type="dxa"/>
            <w:vAlign w:val="center"/>
          </w:tcPr>
          <w:p w14:paraId="1E9F945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4,3%</w:t>
            </w:r>
          </w:p>
        </w:tc>
        <w:tc>
          <w:tcPr>
            <w:tcW w:w="1503" w:type="dxa"/>
            <w:vAlign w:val="center"/>
          </w:tcPr>
          <w:p w14:paraId="6B0A9CF4"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2,2%</w:t>
            </w:r>
          </w:p>
        </w:tc>
        <w:tc>
          <w:tcPr>
            <w:tcW w:w="1503" w:type="dxa"/>
            <w:vAlign w:val="center"/>
          </w:tcPr>
          <w:p w14:paraId="11342432"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100,0%</w:t>
            </w:r>
          </w:p>
        </w:tc>
      </w:tr>
    </w:tbl>
    <w:p w14:paraId="4D73742E" w14:textId="77777777" w:rsidR="003867D4" w:rsidRPr="001E7F52" w:rsidRDefault="003867D4" w:rsidP="003867D4">
      <w:pPr>
        <w:spacing w:after="0" w:line="240" w:lineRule="auto"/>
        <w:jc w:val="both"/>
        <w:rPr>
          <w:rFonts w:ascii="Times New Roman" w:hAnsi="Times New Roman" w:cs="Times New Roman"/>
        </w:rPr>
      </w:pPr>
      <w:r w:rsidRPr="001E7F52">
        <w:rPr>
          <w:rFonts w:ascii="Times New Roman" w:hAnsi="Times New Roman" w:cs="Times New Roman"/>
        </w:rPr>
        <w:lastRenderedPageBreak/>
        <w:t>Fuente: elaboración propia en base a datos de la base de los Anuarios de Estadísticas Universitarias. DIU-SSPU- Secretaría de Educación.</w:t>
      </w:r>
    </w:p>
    <w:p w14:paraId="613CECE3" w14:textId="77777777" w:rsidR="003867D4" w:rsidRPr="001E7F52" w:rsidRDefault="003867D4" w:rsidP="003867D4">
      <w:pPr>
        <w:spacing w:after="360" w:line="240" w:lineRule="auto"/>
        <w:jc w:val="both"/>
        <w:rPr>
          <w:rFonts w:ascii="Times New Roman" w:hAnsi="Times New Roman" w:cs="Times New Roman"/>
        </w:rPr>
      </w:pPr>
      <w:r w:rsidRPr="001E7F52">
        <w:rPr>
          <w:rFonts w:ascii="Times New Roman" w:hAnsi="Times New Roman" w:cs="Times New Roman"/>
        </w:rPr>
        <w:t>Aclaración: las discrepancias marginales en las sumas porcentuales se explican por el redondeo de los valores individuales.</w:t>
      </w:r>
    </w:p>
    <w:p w14:paraId="7958BB0B"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ab/>
        <w:t>La distribución del gasto por incisos muestra nuevamente que el inciso 1 (personal) es el más relevante, representando el 81,8% del total considerando todas las fuentes de financiamiento y el 91,7% de los aportes del tesoro. La suma de los otros incisos (2 “bienes de consumo”, 3 “servicios no personales”, 4 “bienes de uso” y 5 “transferencias”) solo contribuyen en un 8,3% al gasto de fuente del tesoro nacional, pero en el caso del inciso 3 se eleva significativamente en los recursos propios debido, en gran medida, a que los honorarios de consultores y proveedores diversos son un componente central del costo para la obtención de esos fondos adicionales. Asimismo, el inciso 4 “bienes de uso” es financiado básicamente mediante sobrantes de ejercicios previos, recursos propios y el financiamiento externo, en lugar de los recursos regulares de las transferencias del tesoro. Este inciso representa los gastos de capital que deberían tener una participación del 5% para reponer los efectos de las amortizaciones y dotar de una infraestructura adecuada (en lugar del 3,5% observado en la suma de todas las fuentes) según el modelo de pautas presupuestarias del CIN. Esta situación es negativa porque significa que la infraestructura y el equipamiento dependen de fuentes excepcionales, no recurrentes y, en consecuencia, su cuantía es inferior a la deseable.</w:t>
      </w:r>
    </w:p>
    <w:p w14:paraId="5C0C9B7E"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ab/>
        <w:t xml:space="preserve">La bibliografía internacional (Levin y McEwan, 2001) y el modelo de pautas presupuestarias del Consejo Interuniversitario Nacional (2020) son coincidentes en considerar que un estándar razonable para los gastos no salariales es el 25% de las erogaciones totales, no debiendo superar los salarios más del 75% del presupuesto. Las universidades nacionales tienen un sesgo muy superior a este guarismo en los recursos recurrentes, los aportes del tesoro, lo cual expone un problema de subfinanciamiento de los gastos de funcionamiento, con el agravante de que la tendencia es de creciente desequilibrio. </w:t>
      </w:r>
    </w:p>
    <w:p w14:paraId="6AB60C69" w14:textId="77777777" w:rsidR="003867D4" w:rsidRPr="001E7F52" w:rsidRDefault="003867D4" w:rsidP="003867D4">
      <w:pPr>
        <w:spacing w:after="0" w:line="240" w:lineRule="auto"/>
        <w:jc w:val="both"/>
        <w:rPr>
          <w:rFonts w:ascii="Times New Roman" w:hAnsi="Times New Roman" w:cs="Times New Roman"/>
        </w:rPr>
      </w:pPr>
      <w:r w:rsidRPr="001E7F52">
        <w:rPr>
          <w:rFonts w:ascii="Times New Roman" w:hAnsi="Times New Roman" w:cs="Times New Roman"/>
        </w:rPr>
        <w:t>Cuadro N° 4. Ejecución presupuestaria por objeto presupuestario según fuente de financiamiento. Año 2023.</w:t>
      </w:r>
    </w:p>
    <w:tbl>
      <w:tblPr>
        <w:tblStyle w:val="Tablaconcuadrcula"/>
        <w:tblW w:w="9634" w:type="dxa"/>
        <w:tblLayout w:type="fixed"/>
        <w:tblLook w:val="04A0" w:firstRow="1" w:lastRow="0" w:firstColumn="1" w:lastColumn="0" w:noHBand="0" w:noVBand="1"/>
      </w:tblPr>
      <w:tblGrid>
        <w:gridCol w:w="1838"/>
        <w:gridCol w:w="1181"/>
        <w:gridCol w:w="1181"/>
        <w:gridCol w:w="1324"/>
        <w:gridCol w:w="1039"/>
        <w:gridCol w:w="1181"/>
        <w:gridCol w:w="1040"/>
        <w:gridCol w:w="850"/>
      </w:tblGrid>
      <w:tr w:rsidR="003867D4" w:rsidRPr="001E7F52" w14:paraId="557921E0" w14:textId="77777777" w:rsidTr="001264D7">
        <w:tc>
          <w:tcPr>
            <w:tcW w:w="1838" w:type="dxa"/>
            <w:vAlign w:val="bottom"/>
          </w:tcPr>
          <w:p w14:paraId="6506F79A"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Fuente de Financiamiento</w:t>
            </w:r>
          </w:p>
        </w:tc>
        <w:tc>
          <w:tcPr>
            <w:tcW w:w="1181" w:type="dxa"/>
            <w:vAlign w:val="center"/>
          </w:tcPr>
          <w:p w14:paraId="5755B885"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Inciso 1</w:t>
            </w:r>
          </w:p>
          <w:p w14:paraId="0E949D89"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Personal</w:t>
            </w:r>
          </w:p>
        </w:tc>
        <w:tc>
          <w:tcPr>
            <w:tcW w:w="1181" w:type="dxa"/>
            <w:vAlign w:val="center"/>
          </w:tcPr>
          <w:p w14:paraId="766C54BA"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Inciso 2</w:t>
            </w:r>
          </w:p>
          <w:p w14:paraId="34FB5A1C"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Bienes de Consumo</w:t>
            </w:r>
          </w:p>
        </w:tc>
        <w:tc>
          <w:tcPr>
            <w:tcW w:w="1324" w:type="dxa"/>
            <w:vAlign w:val="center"/>
          </w:tcPr>
          <w:p w14:paraId="29BCA570"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Inciso 3</w:t>
            </w:r>
          </w:p>
          <w:p w14:paraId="4523752E"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Serv. No Personales</w:t>
            </w:r>
          </w:p>
        </w:tc>
        <w:tc>
          <w:tcPr>
            <w:tcW w:w="1039" w:type="dxa"/>
            <w:vAlign w:val="center"/>
          </w:tcPr>
          <w:p w14:paraId="7C534817"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Inciso 4</w:t>
            </w:r>
          </w:p>
          <w:p w14:paraId="22018727"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sz w:val="24"/>
                <w:szCs w:val="24"/>
              </w:rPr>
              <w:t>Bienes de Uso</w:t>
            </w:r>
          </w:p>
        </w:tc>
        <w:tc>
          <w:tcPr>
            <w:tcW w:w="1181" w:type="dxa"/>
            <w:vAlign w:val="center"/>
          </w:tcPr>
          <w:p w14:paraId="2FAAB31E"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Inciso 5 Transfe-rencias</w:t>
            </w:r>
          </w:p>
        </w:tc>
        <w:tc>
          <w:tcPr>
            <w:tcW w:w="1040" w:type="dxa"/>
            <w:vAlign w:val="center"/>
          </w:tcPr>
          <w:p w14:paraId="42A65878"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Otros Incisos</w:t>
            </w:r>
          </w:p>
        </w:tc>
        <w:tc>
          <w:tcPr>
            <w:tcW w:w="850" w:type="dxa"/>
            <w:vAlign w:val="center"/>
          </w:tcPr>
          <w:p w14:paraId="029CD3E1"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Total</w:t>
            </w:r>
          </w:p>
        </w:tc>
      </w:tr>
      <w:tr w:rsidR="003867D4" w:rsidRPr="001E7F52" w14:paraId="47E83049" w14:textId="77777777" w:rsidTr="001264D7">
        <w:tc>
          <w:tcPr>
            <w:tcW w:w="1838" w:type="dxa"/>
            <w:vAlign w:val="bottom"/>
          </w:tcPr>
          <w:p w14:paraId="23155EA1" w14:textId="77777777" w:rsidR="003867D4" w:rsidRPr="001E7F52" w:rsidRDefault="003867D4" w:rsidP="001264D7">
            <w:pPr>
              <w:rPr>
                <w:rFonts w:ascii="Times New Roman" w:hAnsi="Times New Roman" w:cs="Times New Roman"/>
                <w:sz w:val="24"/>
                <w:szCs w:val="24"/>
              </w:rPr>
            </w:pPr>
            <w:r w:rsidRPr="001E7F52">
              <w:rPr>
                <w:rFonts w:ascii="Times New Roman" w:hAnsi="Times New Roman" w:cs="Times New Roman"/>
                <w:color w:val="000000"/>
                <w:sz w:val="24"/>
                <w:szCs w:val="24"/>
              </w:rPr>
              <w:t>Tesoro Nacional</w:t>
            </w:r>
          </w:p>
        </w:tc>
        <w:tc>
          <w:tcPr>
            <w:tcW w:w="1181" w:type="dxa"/>
            <w:vAlign w:val="center"/>
          </w:tcPr>
          <w:p w14:paraId="05DBFF36"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91,7</w:t>
            </w:r>
          </w:p>
        </w:tc>
        <w:tc>
          <w:tcPr>
            <w:tcW w:w="1181" w:type="dxa"/>
            <w:vAlign w:val="center"/>
          </w:tcPr>
          <w:p w14:paraId="63DA8159"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1,1</w:t>
            </w:r>
          </w:p>
        </w:tc>
        <w:tc>
          <w:tcPr>
            <w:tcW w:w="1324" w:type="dxa"/>
            <w:vAlign w:val="center"/>
          </w:tcPr>
          <w:p w14:paraId="50A11F27"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3,7</w:t>
            </w:r>
          </w:p>
        </w:tc>
        <w:tc>
          <w:tcPr>
            <w:tcW w:w="1039" w:type="dxa"/>
            <w:vAlign w:val="center"/>
          </w:tcPr>
          <w:p w14:paraId="5035039E"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1,3</w:t>
            </w:r>
          </w:p>
        </w:tc>
        <w:tc>
          <w:tcPr>
            <w:tcW w:w="1181" w:type="dxa"/>
            <w:vAlign w:val="center"/>
          </w:tcPr>
          <w:p w14:paraId="1CD8A62F"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2,2</w:t>
            </w:r>
          </w:p>
        </w:tc>
        <w:tc>
          <w:tcPr>
            <w:tcW w:w="1040" w:type="dxa"/>
            <w:vAlign w:val="center"/>
          </w:tcPr>
          <w:p w14:paraId="3E6C0E20"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0,0</w:t>
            </w:r>
          </w:p>
        </w:tc>
        <w:tc>
          <w:tcPr>
            <w:tcW w:w="850" w:type="dxa"/>
            <w:vAlign w:val="center"/>
          </w:tcPr>
          <w:p w14:paraId="5266AC2E"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4F753664" w14:textId="77777777" w:rsidTr="001264D7">
        <w:tc>
          <w:tcPr>
            <w:tcW w:w="1838" w:type="dxa"/>
            <w:vAlign w:val="bottom"/>
          </w:tcPr>
          <w:p w14:paraId="3191369D" w14:textId="77777777" w:rsidR="003867D4" w:rsidRPr="001E7F52" w:rsidRDefault="003867D4" w:rsidP="001264D7">
            <w:pPr>
              <w:rPr>
                <w:rFonts w:ascii="Times New Roman" w:hAnsi="Times New Roman" w:cs="Times New Roman"/>
                <w:sz w:val="24"/>
                <w:szCs w:val="24"/>
              </w:rPr>
            </w:pPr>
            <w:r w:rsidRPr="001E7F52">
              <w:rPr>
                <w:rFonts w:ascii="Times New Roman" w:hAnsi="Times New Roman" w:cs="Times New Roman"/>
                <w:color w:val="000000"/>
                <w:sz w:val="24"/>
                <w:szCs w:val="24"/>
              </w:rPr>
              <w:t>Recursos Propios</w:t>
            </w:r>
          </w:p>
        </w:tc>
        <w:tc>
          <w:tcPr>
            <w:tcW w:w="1181" w:type="dxa"/>
            <w:vAlign w:val="center"/>
          </w:tcPr>
          <w:p w14:paraId="2AE8F390"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12,3</w:t>
            </w:r>
          </w:p>
        </w:tc>
        <w:tc>
          <w:tcPr>
            <w:tcW w:w="1181" w:type="dxa"/>
            <w:vAlign w:val="center"/>
          </w:tcPr>
          <w:p w14:paraId="45D49C93"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11,7</w:t>
            </w:r>
          </w:p>
        </w:tc>
        <w:tc>
          <w:tcPr>
            <w:tcW w:w="1324" w:type="dxa"/>
            <w:vAlign w:val="center"/>
          </w:tcPr>
          <w:p w14:paraId="08879543"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52,3</w:t>
            </w:r>
          </w:p>
        </w:tc>
        <w:tc>
          <w:tcPr>
            <w:tcW w:w="1039" w:type="dxa"/>
            <w:vAlign w:val="center"/>
          </w:tcPr>
          <w:p w14:paraId="5475E75B"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11,0</w:t>
            </w:r>
          </w:p>
        </w:tc>
        <w:tc>
          <w:tcPr>
            <w:tcW w:w="1181" w:type="dxa"/>
            <w:vAlign w:val="center"/>
          </w:tcPr>
          <w:p w14:paraId="4A397ADB"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9,6</w:t>
            </w:r>
          </w:p>
        </w:tc>
        <w:tc>
          <w:tcPr>
            <w:tcW w:w="1040" w:type="dxa"/>
            <w:vAlign w:val="center"/>
          </w:tcPr>
          <w:p w14:paraId="1A2AF382"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3,1</w:t>
            </w:r>
          </w:p>
        </w:tc>
        <w:tc>
          <w:tcPr>
            <w:tcW w:w="850" w:type="dxa"/>
            <w:vAlign w:val="center"/>
          </w:tcPr>
          <w:p w14:paraId="7CCC94CB"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53B39D03" w14:textId="77777777" w:rsidTr="001264D7">
        <w:tc>
          <w:tcPr>
            <w:tcW w:w="1838" w:type="dxa"/>
            <w:vAlign w:val="bottom"/>
          </w:tcPr>
          <w:p w14:paraId="5EB483E7" w14:textId="77777777" w:rsidR="003867D4" w:rsidRPr="001E7F52" w:rsidRDefault="003867D4" w:rsidP="001264D7">
            <w:pPr>
              <w:rPr>
                <w:rFonts w:ascii="Times New Roman" w:hAnsi="Times New Roman" w:cs="Times New Roman"/>
                <w:sz w:val="24"/>
                <w:szCs w:val="24"/>
              </w:rPr>
            </w:pPr>
            <w:r w:rsidRPr="001E7F52">
              <w:rPr>
                <w:rFonts w:ascii="Times New Roman" w:hAnsi="Times New Roman" w:cs="Times New Roman"/>
                <w:color w:val="000000"/>
                <w:sz w:val="24"/>
                <w:szCs w:val="24"/>
              </w:rPr>
              <w:t>Remanentes de Ejercicios Anteriores</w:t>
            </w:r>
          </w:p>
        </w:tc>
        <w:tc>
          <w:tcPr>
            <w:tcW w:w="1181" w:type="dxa"/>
            <w:vAlign w:val="center"/>
          </w:tcPr>
          <w:p w14:paraId="4E350C22"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13,3</w:t>
            </w:r>
          </w:p>
        </w:tc>
        <w:tc>
          <w:tcPr>
            <w:tcW w:w="1181" w:type="dxa"/>
            <w:vAlign w:val="center"/>
          </w:tcPr>
          <w:p w14:paraId="641F5EAC"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14,1</w:t>
            </w:r>
          </w:p>
        </w:tc>
        <w:tc>
          <w:tcPr>
            <w:tcW w:w="1324" w:type="dxa"/>
            <w:vAlign w:val="center"/>
          </w:tcPr>
          <w:p w14:paraId="227FE306"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30,9</w:t>
            </w:r>
          </w:p>
        </w:tc>
        <w:tc>
          <w:tcPr>
            <w:tcW w:w="1039" w:type="dxa"/>
            <w:vAlign w:val="center"/>
          </w:tcPr>
          <w:p w14:paraId="1F351E4B"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34,3</w:t>
            </w:r>
          </w:p>
        </w:tc>
        <w:tc>
          <w:tcPr>
            <w:tcW w:w="1181" w:type="dxa"/>
            <w:vAlign w:val="center"/>
          </w:tcPr>
          <w:p w14:paraId="53D7F72A"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7,4</w:t>
            </w:r>
          </w:p>
        </w:tc>
        <w:tc>
          <w:tcPr>
            <w:tcW w:w="1040" w:type="dxa"/>
            <w:vAlign w:val="center"/>
          </w:tcPr>
          <w:p w14:paraId="1F31F0E2"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0,1</w:t>
            </w:r>
          </w:p>
        </w:tc>
        <w:tc>
          <w:tcPr>
            <w:tcW w:w="850" w:type="dxa"/>
            <w:vAlign w:val="center"/>
          </w:tcPr>
          <w:p w14:paraId="59F2D3C9"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2091A909" w14:textId="77777777" w:rsidTr="001264D7">
        <w:tc>
          <w:tcPr>
            <w:tcW w:w="1838" w:type="dxa"/>
            <w:vAlign w:val="bottom"/>
          </w:tcPr>
          <w:p w14:paraId="2C9B5182" w14:textId="77777777" w:rsidR="003867D4" w:rsidRPr="001E7F52" w:rsidRDefault="003867D4" w:rsidP="001264D7">
            <w:pPr>
              <w:rPr>
                <w:rFonts w:ascii="Times New Roman" w:hAnsi="Times New Roman" w:cs="Times New Roman"/>
                <w:sz w:val="24"/>
                <w:szCs w:val="24"/>
              </w:rPr>
            </w:pPr>
            <w:r w:rsidRPr="001E7F52">
              <w:rPr>
                <w:rFonts w:ascii="Times New Roman" w:hAnsi="Times New Roman" w:cs="Times New Roman"/>
                <w:color w:val="000000"/>
                <w:sz w:val="24"/>
                <w:szCs w:val="24"/>
              </w:rPr>
              <w:t>Otras Fuentes</w:t>
            </w:r>
          </w:p>
        </w:tc>
        <w:tc>
          <w:tcPr>
            <w:tcW w:w="1181" w:type="dxa"/>
            <w:vAlign w:val="center"/>
          </w:tcPr>
          <w:p w14:paraId="5D92C4C3"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2,6</w:t>
            </w:r>
          </w:p>
        </w:tc>
        <w:tc>
          <w:tcPr>
            <w:tcW w:w="1181" w:type="dxa"/>
            <w:vAlign w:val="center"/>
          </w:tcPr>
          <w:p w14:paraId="62935331"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1,6</w:t>
            </w:r>
          </w:p>
        </w:tc>
        <w:tc>
          <w:tcPr>
            <w:tcW w:w="1324" w:type="dxa"/>
            <w:vAlign w:val="center"/>
          </w:tcPr>
          <w:p w14:paraId="48EB5D49"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56,3</w:t>
            </w:r>
          </w:p>
        </w:tc>
        <w:tc>
          <w:tcPr>
            <w:tcW w:w="1039" w:type="dxa"/>
            <w:vAlign w:val="center"/>
          </w:tcPr>
          <w:p w14:paraId="0866953C"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33,4</w:t>
            </w:r>
          </w:p>
        </w:tc>
        <w:tc>
          <w:tcPr>
            <w:tcW w:w="1181" w:type="dxa"/>
            <w:vAlign w:val="center"/>
          </w:tcPr>
          <w:p w14:paraId="6277DEDC"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6,1</w:t>
            </w:r>
          </w:p>
        </w:tc>
        <w:tc>
          <w:tcPr>
            <w:tcW w:w="1040" w:type="dxa"/>
            <w:vAlign w:val="center"/>
          </w:tcPr>
          <w:p w14:paraId="2BAD8360"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0,0</w:t>
            </w:r>
          </w:p>
        </w:tc>
        <w:tc>
          <w:tcPr>
            <w:tcW w:w="850" w:type="dxa"/>
            <w:vAlign w:val="center"/>
          </w:tcPr>
          <w:p w14:paraId="3A95D178"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100,0</w:t>
            </w:r>
          </w:p>
        </w:tc>
      </w:tr>
      <w:tr w:rsidR="003867D4" w:rsidRPr="001E7F52" w14:paraId="3A5882F5" w14:textId="77777777" w:rsidTr="001264D7">
        <w:tc>
          <w:tcPr>
            <w:tcW w:w="1838" w:type="dxa"/>
            <w:vAlign w:val="center"/>
          </w:tcPr>
          <w:p w14:paraId="0F0E79D7" w14:textId="77777777" w:rsidR="003867D4" w:rsidRPr="001E7F52" w:rsidRDefault="003867D4" w:rsidP="001264D7">
            <w:pPr>
              <w:rPr>
                <w:rFonts w:ascii="Times New Roman" w:hAnsi="Times New Roman" w:cs="Times New Roman"/>
                <w:sz w:val="24"/>
                <w:szCs w:val="24"/>
              </w:rPr>
            </w:pPr>
            <w:r w:rsidRPr="001E7F52">
              <w:rPr>
                <w:rFonts w:ascii="Times New Roman" w:hAnsi="Times New Roman" w:cs="Times New Roman"/>
                <w:color w:val="000000"/>
                <w:sz w:val="24"/>
                <w:szCs w:val="24"/>
              </w:rPr>
              <w:t>Total</w:t>
            </w:r>
          </w:p>
        </w:tc>
        <w:tc>
          <w:tcPr>
            <w:tcW w:w="1181" w:type="dxa"/>
            <w:vAlign w:val="center"/>
          </w:tcPr>
          <w:p w14:paraId="3964F018"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81,8 </w:t>
            </w:r>
          </w:p>
        </w:tc>
        <w:tc>
          <w:tcPr>
            <w:tcW w:w="1181" w:type="dxa"/>
            <w:vAlign w:val="center"/>
          </w:tcPr>
          <w:p w14:paraId="705B8B07"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2,4 </w:t>
            </w:r>
          </w:p>
        </w:tc>
        <w:tc>
          <w:tcPr>
            <w:tcW w:w="1324" w:type="dxa"/>
            <w:vAlign w:val="center"/>
          </w:tcPr>
          <w:p w14:paraId="02F1823C"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9,1 </w:t>
            </w:r>
          </w:p>
        </w:tc>
        <w:tc>
          <w:tcPr>
            <w:tcW w:w="1039" w:type="dxa"/>
            <w:vAlign w:val="center"/>
          </w:tcPr>
          <w:p w14:paraId="061DE07D"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3,5 </w:t>
            </w:r>
          </w:p>
        </w:tc>
        <w:tc>
          <w:tcPr>
            <w:tcW w:w="1181" w:type="dxa"/>
            <w:vAlign w:val="center"/>
          </w:tcPr>
          <w:p w14:paraId="4339C0BA"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3,0 </w:t>
            </w:r>
          </w:p>
        </w:tc>
        <w:tc>
          <w:tcPr>
            <w:tcW w:w="1040" w:type="dxa"/>
            <w:vAlign w:val="center"/>
          </w:tcPr>
          <w:p w14:paraId="19A37B93"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0,3 </w:t>
            </w:r>
          </w:p>
        </w:tc>
        <w:tc>
          <w:tcPr>
            <w:tcW w:w="850" w:type="dxa"/>
            <w:vAlign w:val="center"/>
          </w:tcPr>
          <w:p w14:paraId="2FC8830E"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100,0 </w:t>
            </w:r>
          </w:p>
        </w:tc>
      </w:tr>
    </w:tbl>
    <w:p w14:paraId="70A4C6CB" w14:textId="77777777" w:rsidR="003867D4" w:rsidRPr="001E7F52" w:rsidRDefault="003867D4" w:rsidP="003867D4">
      <w:pPr>
        <w:spacing w:after="0" w:line="240" w:lineRule="auto"/>
        <w:jc w:val="both"/>
        <w:rPr>
          <w:rFonts w:ascii="Times New Roman" w:hAnsi="Times New Roman" w:cs="Times New Roman"/>
        </w:rPr>
      </w:pPr>
      <w:r w:rsidRPr="001E7F52">
        <w:rPr>
          <w:rFonts w:ascii="Times New Roman" w:hAnsi="Times New Roman" w:cs="Times New Roman"/>
        </w:rPr>
        <w:lastRenderedPageBreak/>
        <w:t>Fuente: elaboración propia en base a datos de la base de los Anuarios de Estadísticas Universitarias 2023. DIU-SSPU- Secretaría de Educación.</w:t>
      </w:r>
    </w:p>
    <w:p w14:paraId="7C6B591F" w14:textId="77777777" w:rsidR="003867D4" w:rsidRPr="001E7F52" w:rsidRDefault="003867D4" w:rsidP="003867D4">
      <w:pPr>
        <w:spacing w:after="360" w:line="240" w:lineRule="auto"/>
        <w:jc w:val="both"/>
        <w:rPr>
          <w:rFonts w:ascii="Times New Roman" w:hAnsi="Times New Roman" w:cs="Times New Roman"/>
        </w:rPr>
      </w:pPr>
      <w:r w:rsidRPr="001E7F52">
        <w:rPr>
          <w:rFonts w:ascii="Times New Roman" w:hAnsi="Times New Roman" w:cs="Times New Roman"/>
        </w:rPr>
        <w:t>Aclaraci</w:t>
      </w:r>
      <w:r>
        <w:rPr>
          <w:rFonts w:ascii="Times New Roman" w:hAnsi="Times New Roman" w:cs="Times New Roman"/>
        </w:rPr>
        <w:t>o</w:t>
      </w:r>
      <w:r w:rsidRPr="001E7F52">
        <w:rPr>
          <w:rFonts w:ascii="Times New Roman" w:hAnsi="Times New Roman" w:cs="Times New Roman"/>
        </w:rPr>
        <w:t>n</w:t>
      </w:r>
      <w:r>
        <w:rPr>
          <w:rFonts w:ascii="Times New Roman" w:hAnsi="Times New Roman" w:cs="Times New Roman"/>
        </w:rPr>
        <w:t>es</w:t>
      </w:r>
      <w:r w:rsidRPr="001E7F52">
        <w:rPr>
          <w:rFonts w:ascii="Times New Roman" w:hAnsi="Times New Roman" w:cs="Times New Roman"/>
        </w:rPr>
        <w:t xml:space="preserve">: el porcentaje del inciso 1 del tesoro nacional no coincide con la participación relativa de los salarios en personal en el Cuadro N° 2 porque es una apertura por otro clasificador y parte de los gastos en hospitales y otros programas se consolidan en el inciso 1 del clasificador por objeto del gasto. </w:t>
      </w:r>
      <w:r>
        <w:rPr>
          <w:rFonts w:ascii="Times New Roman" w:hAnsi="Times New Roman" w:cs="Times New Roman"/>
        </w:rPr>
        <w:t>Además, l</w:t>
      </w:r>
      <w:r w:rsidRPr="0072297B">
        <w:t>a apertura por objeto del gasto no puede extraerse de la base de datos de Presupuesto Abierto del</w:t>
      </w:r>
      <w:r>
        <w:t xml:space="preserve"> Ministerio de Economía y por eso se usó la información del Anuario de Estadísticas Universitarias de la Subsecretaría de Políticas Universitarias, que solo está actualizado hasta el año 2023.</w:t>
      </w:r>
    </w:p>
    <w:p w14:paraId="3D46F25F" w14:textId="77777777" w:rsidR="003867D4" w:rsidRPr="001E7F52" w:rsidRDefault="003867D4" w:rsidP="003867D4">
      <w:pPr>
        <w:spacing w:line="240" w:lineRule="auto"/>
        <w:rPr>
          <w:rFonts w:ascii="Times New Roman" w:hAnsi="Times New Roman" w:cs="Times New Roman"/>
        </w:rPr>
      </w:pPr>
    </w:p>
    <w:p w14:paraId="65CD06F1" w14:textId="77777777" w:rsidR="003867D4" w:rsidRPr="001E7F52" w:rsidRDefault="003867D4" w:rsidP="003867D4">
      <w:pPr>
        <w:pStyle w:val="Prrafodelista"/>
        <w:numPr>
          <w:ilvl w:val="0"/>
          <w:numId w:val="1"/>
        </w:numPr>
        <w:spacing w:line="240" w:lineRule="auto"/>
        <w:ind w:left="284" w:hanging="284"/>
        <w:rPr>
          <w:rFonts w:ascii="Times New Roman" w:hAnsi="Times New Roman" w:cs="Times New Roman"/>
          <w:b/>
          <w:bCs/>
        </w:rPr>
      </w:pPr>
      <w:r w:rsidRPr="001E7F52">
        <w:rPr>
          <w:rFonts w:ascii="Times New Roman" w:hAnsi="Times New Roman" w:cs="Times New Roman"/>
          <w:b/>
          <w:bCs/>
        </w:rPr>
        <w:t>Los Presupuestos Internos de las Universidades</w:t>
      </w:r>
    </w:p>
    <w:p w14:paraId="059042FE"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En esta sección se analizan las características de los presupuestos internos de las universidades nacionales, cuyos proyectos elaboran los rectorados y luego aprueban los consejos superiores. Las fuentes básicas de información son las resoluciones de cada institución y la ejecución de “Presupuesto Abierto” que publica el Ministerio de Economía.</w:t>
      </w:r>
    </w:p>
    <w:p w14:paraId="0A66ABEB"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A continuación se expone la información con las aperturas básicas del clasificador económico y por objeto, funcional, programático, por fuente de financiamiento, institucional y geográfico.</w:t>
      </w:r>
    </w:p>
    <w:p w14:paraId="1FDE1F34" w14:textId="77777777" w:rsidR="003867D4" w:rsidRPr="00812992" w:rsidRDefault="003867D4" w:rsidP="003867D4">
      <w:pPr>
        <w:pStyle w:val="Prrafodelista"/>
        <w:numPr>
          <w:ilvl w:val="1"/>
          <w:numId w:val="1"/>
        </w:numPr>
        <w:spacing w:line="240" w:lineRule="auto"/>
        <w:ind w:left="709"/>
        <w:rPr>
          <w:rFonts w:ascii="Times New Roman" w:hAnsi="Times New Roman" w:cs="Times New Roman"/>
          <w:b/>
          <w:bCs/>
        </w:rPr>
      </w:pPr>
      <w:r w:rsidRPr="00812992">
        <w:rPr>
          <w:rFonts w:ascii="Times New Roman" w:hAnsi="Times New Roman" w:cs="Times New Roman"/>
          <w:b/>
          <w:bCs/>
        </w:rPr>
        <w:t>La Apertura Económica y por Objeto del Gasto</w:t>
      </w:r>
    </w:p>
    <w:p w14:paraId="275FD6A6" w14:textId="77777777" w:rsidR="003867D4" w:rsidRPr="001E7F52" w:rsidRDefault="003867D4" w:rsidP="003867D4">
      <w:pPr>
        <w:pStyle w:val="Prrafodelista"/>
        <w:spacing w:line="240" w:lineRule="auto"/>
        <w:ind w:left="709"/>
        <w:rPr>
          <w:rFonts w:ascii="Times New Roman" w:hAnsi="Times New Roman" w:cs="Times New Roman"/>
        </w:rPr>
      </w:pPr>
    </w:p>
    <w:p w14:paraId="22BA6018" w14:textId="77777777" w:rsidR="003867D4" w:rsidRPr="001E7F52" w:rsidRDefault="003867D4" w:rsidP="003867D4">
      <w:pPr>
        <w:pStyle w:val="Prrafodelista"/>
        <w:spacing w:line="240" w:lineRule="auto"/>
        <w:ind w:left="0" w:firstLine="708"/>
        <w:contextualSpacing w:val="0"/>
        <w:jc w:val="both"/>
        <w:rPr>
          <w:rFonts w:ascii="Times New Roman" w:hAnsi="Times New Roman" w:cs="Times New Roman"/>
        </w:rPr>
      </w:pPr>
      <w:r w:rsidRPr="001E7F52">
        <w:rPr>
          <w:rFonts w:ascii="Times New Roman" w:hAnsi="Times New Roman" w:cs="Times New Roman"/>
        </w:rPr>
        <w:t>El inciso presupuestario que concentra a la mayor parte del presupuesto en las universidades es el 1 (personal), dado el carácter “mano de obra intensiva” de la educación. Sin embargo, existe un sesgo excesivo en este concepto por las fluctuaciones de los recursos que llevan a limitar los restantes rubros, más flexibles porque resulta legalmente imposible no pagar los salarios, pero pueden degradarse otros elementos de la función de producción. Además, en una economía altamente inflacionaria como la argentina durante décadas, se profundiza este fenómeno durante el ejercicio, porque desde que el Congreso aprueba el presupuesto anual hasta su ejecución final, hay ajustes al alza de los sueldos como consecuencia de los acuerdos paritarios, habiendo muy escasos o nulos incrementos en los gastos de funcionamiento.</w:t>
      </w:r>
      <w:r>
        <w:rPr>
          <w:rFonts w:ascii="Times New Roman" w:hAnsi="Times New Roman" w:cs="Times New Roman"/>
        </w:rPr>
        <w:t xml:space="preserve"> En este sentido, l</w:t>
      </w:r>
      <w:r w:rsidRPr="001D5B69">
        <w:t>os presupuestos aprobados por los consejos superiores de las universidades incluyen una cláusula que autoriza a los rectores a incorporar durante el año y ejecutar los aumentos de transferencias producto de los aumentos salariales dispuestos en las paritarias.</w:t>
      </w:r>
    </w:p>
    <w:p w14:paraId="63053EA0" w14:textId="77777777" w:rsidR="003867D4" w:rsidRPr="001E7F52" w:rsidRDefault="003867D4" w:rsidP="003867D4">
      <w:pPr>
        <w:pStyle w:val="Prrafodelista"/>
        <w:spacing w:line="240" w:lineRule="auto"/>
        <w:ind w:left="0" w:firstLine="708"/>
        <w:contextualSpacing w:val="0"/>
        <w:jc w:val="both"/>
        <w:rPr>
          <w:rFonts w:ascii="Times New Roman" w:hAnsi="Times New Roman" w:cs="Times New Roman"/>
        </w:rPr>
      </w:pPr>
      <w:r w:rsidRPr="001E7F52">
        <w:rPr>
          <w:rFonts w:ascii="Times New Roman" w:hAnsi="Times New Roman" w:cs="Times New Roman"/>
        </w:rPr>
        <w:t xml:space="preserve">En términos cuantitativos, de las 61 universidades existentes en el año 2024, la mayoría (47) erogaba de fuente 11 (tesoro nacional) más del 84% en personal y las que tenían un menor porcentaje eran nuevas instituciones que no tienen todavía consolidadas sus plantas de personal por su desarrollo relativamente incipiente. Además, 41 universidades tenían más del 90% y 18 más del 95% de sus gastos destinados al componente salarial. Estos porcentajes son elocuentes sobre la dificultad para llevar en </w:t>
      </w:r>
      <w:r w:rsidRPr="001E7F52">
        <w:rPr>
          <w:rFonts w:ascii="Times New Roman" w:hAnsi="Times New Roman" w:cs="Times New Roman"/>
        </w:rPr>
        <w:lastRenderedPageBreak/>
        <w:t>forma equilibrada las erogaciones educativas, ya que entre los gastos salariales y los servicios públicos básicos se concentra casi la totalidad del presupuesto, dejando recursos muy escasos para los gastos de funcionamiento.</w:t>
      </w:r>
    </w:p>
    <w:p w14:paraId="5B406C05" w14:textId="77777777" w:rsidR="003867D4" w:rsidRPr="001E7F52" w:rsidRDefault="003867D4" w:rsidP="003867D4">
      <w:pPr>
        <w:pStyle w:val="Prrafodelista"/>
        <w:spacing w:line="240" w:lineRule="auto"/>
        <w:ind w:left="0" w:firstLine="708"/>
        <w:contextualSpacing w:val="0"/>
        <w:jc w:val="both"/>
        <w:rPr>
          <w:rFonts w:ascii="Times New Roman" w:hAnsi="Times New Roman" w:cs="Times New Roman"/>
        </w:rPr>
      </w:pPr>
      <w:r w:rsidRPr="001E7F52">
        <w:rPr>
          <w:rFonts w:ascii="Times New Roman" w:hAnsi="Times New Roman" w:cs="Times New Roman"/>
        </w:rPr>
        <w:t>La distribución del gasto del inciso 1 entre escalafones indica que dos tercios se destina al personal docente y un tercio al personal no docente. Las únicas dos excepciones en las cuales es mayor el gasto no docente al docente son la Universidad de Buenos Aires (por el personal hospitalario que reviste en el agrupamiento sanitario del escalafón no docente) y la Universidad de la Defensa Nacional (porque sus docentes figuran en su gran mayoría, presupuestariamente, en el Ministerio de Defensa).</w:t>
      </w:r>
    </w:p>
    <w:p w14:paraId="517CEB3C" w14:textId="77777777" w:rsidR="003867D4" w:rsidRPr="001E7F52" w:rsidRDefault="003867D4" w:rsidP="003867D4">
      <w:pPr>
        <w:pStyle w:val="Prrafodelista"/>
        <w:spacing w:line="240" w:lineRule="auto"/>
        <w:ind w:left="0" w:firstLine="708"/>
        <w:contextualSpacing w:val="0"/>
        <w:jc w:val="both"/>
        <w:rPr>
          <w:rFonts w:ascii="Times New Roman" w:hAnsi="Times New Roman" w:cs="Times New Roman"/>
        </w:rPr>
      </w:pPr>
      <w:r w:rsidRPr="001E7F52">
        <w:rPr>
          <w:rFonts w:ascii="Times New Roman" w:hAnsi="Times New Roman" w:cs="Times New Roman"/>
        </w:rPr>
        <w:t xml:space="preserve">Los presupuestos internos de las universidades en la mayoría de los casos exponen el gasto en personal con una apertura institucional por dependencias y por programas, pero algunas tienen una desagregación por los escalafones docente, no docente y de autoridades superiores (como las UU.NN. de La Rioja, Mar del Plata y Villa Mercedes), por personal permanente y transitorio (como las UU.NN. del Comahue, Entre Ríos y Lanús) y por los conceptos de pago como el salario básico, la antigüedad o el título (como las UU.NN. de Cuyo y La Pampa). Además, algunas instituciones muestran los puntos correspondientes a cada facultad o colegio (como las UU.NN. de La Plata y La Rioja). El sistema de puntos es una metodología histórica de trabajo del sistema educativo consistente en otorgar una determinada cantidad de puntos a cada dependencia y estipular que cada salario básico de un cargo u hora cátedra equivale a un número de puntos, sin considerar los adicionales. De este modo cada unidad académica puede elegir libremente la combinación de cargos deseada (por ejemplo más docentes y menos no docentes o viceversa, más docentes auxiliares y menos profesores o viceversa o más docentes exclusivos y menos de dedicación simple o viceversa), sin que entre en juego el costo de las antigüedades, que de otro modo privilegiaría por ser más baratos a los trabajadores menos experimentados. En general las unidades académicas más ligadas a la investigación, como las facultades de ciencias exactas o humanidades, tienden a establecer plantas docentes con más cargos de dedicación exclusiva y las facultades de derecho o ciencias económicas suelen escoger plantas con más cargos de dedicación simple. </w:t>
      </w:r>
    </w:p>
    <w:p w14:paraId="40593A75" w14:textId="4A0557F3" w:rsidR="003867D4" w:rsidRPr="001E7F52" w:rsidRDefault="003867D4" w:rsidP="003867D4">
      <w:pPr>
        <w:pStyle w:val="Prrafodelista"/>
        <w:spacing w:line="240" w:lineRule="auto"/>
        <w:ind w:left="0" w:firstLine="708"/>
        <w:contextualSpacing w:val="0"/>
        <w:jc w:val="both"/>
        <w:rPr>
          <w:rFonts w:ascii="Times New Roman" w:hAnsi="Times New Roman" w:cs="Times New Roman"/>
        </w:rPr>
      </w:pPr>
      <w:r w:rsidRPr="001E7F52">
        <w:rPr>
          <w:rFonts w:ascii="Times New Roman" w:hAnsi="Times New Roman" w:cs="Times New Roman"/>
        </w:rPr>
        <w:t>Los incisos presupuestarios no salariales tienen escasa importancia en las erogaciones de los aportes del tesoro, sumando solo el 8% de los gastos totales y casi la mitad de este porcentaje corresponde al inciso 3 “servicios no personales”, que contiene los gastos de servicios públicos, seguros, Internet, seguridad, limpieza, impuestos, pasajes y viáticos. En los incisos no salariales (bienes de consumo, servicios no personales, bienes de uso, transferencias y otros) la variación en su proporción en el total entre las universidades consolidadas es muy baja, pasando a valores significativos solo en las nuevas instituciones, que son aquellas con menos de 10 años de antigüedad según la definición del Programa de Apoyo a las Universidades Nuevas del (ex) Ministerio de Educación (Secretaría de Políticas Universitarias, 2017).</w:t>
      </w:r>
    </w:p>
    <w:p w14:paraId="3A24764B" w14:textId="77777777" w:rsidR="003867D4" w:rsidRPr="001E7F52" w:rsidRDefault="003867D4" w:rsidP="003867D4">
      <w:pPr>
        <w:pStyle w:val="Prrafodelista"/>
        <w:spacing w:line="240" w:lineRule="auto"/>
        <w:ind w:left="0" w:firstLine="708"/>
        <w:contextualSpacing w:val="0"/>
        <w:jc w:val="both"/>
        <w:rPr>
          <w:rFonts w:ascii="Times New Roman" w:hAnsi="Times New Roman" w:cs="Times New Roman"/>
        </w:rPr>
      </w:pPr>
      <w:r w:rsidRPr="001E7F52">
        <w:rPr>
          <w:rFonts w:ascii="Times New Roman" w:hAnsi="Times New Roman" w:cs="Times New Roman"/>
        </w:rPr>
        <w:t xml:space="preserve">Si en lugar de agruparse los incisos en el 1 y los restantes (personal versus el resto) se agrupan en el inciso 4 (bienes de uso) versus el resto, se pasa al clasificar derivado “económico”, que divide entre los gastos corrientes y de capital. En este caso, se advierte </w:t>
      </w:r>
      <w:r w:rsidRPr="001E7F52">
        <w:rPr>
          <w:rFonts w:ascii="Times New Roman" w:hAnsi="Times New Roman" w:cs="Times New Roman"/>
        </w:rPr>
        <w:lastRenderedPageBreak/>
        <w:t>que los gastos corrientes representan en la fuente 11 “aportes del tesoro” el 98,7% del presupuesto ejecutado y gastos de capital solo el 1,3%, alcanzando valores iguales o mayores al 5% (valor estándar para el modelo del CIN) solo en las universidades nuevas en desarrollo, lo cual expone las falencias de infraestructura y equipamiento del sistema universitario.</w:t>
      </w:r>
    </w:p>
    <w:p w14:paraId="23DAE248" w14:textId="77777777" w:rsidR="003867D4" w:rsidRPr="001E7F52" w:rsidRDefault="003867D4" w:rsidP="003867D4">
      <w:pPr>
        <w:pStyle w:val="Prrafodelista"/>
        <w:spacing w:line="240" w:lineRule="auto"/>
        <w:ind w:left="0" w:firstLine="708"/>
        <w:contextualSpacing w:val="0"/>
        <w:jc w:val="both"/>
        <w:rPr>
          <w:rFonts w:ascii="Times New Roman" w:hAnsi="Times New Roman" w:cs="Times New Roman"/>
        </w:rPr>
      </w:pPr>
      <w:r w:rsidRPr="001E7F52">
        <w:rPr>
          <w:rFonts w:ascii="Times New Roman" w:hAnsi="Times New Roman" w:cs="Times New Roman"/>
        </w:rPr>
        <w:t>Las normas de aprobación presupuestaria de los consejos superiores contienen aperturas por objeto del gasto con diferentes niveles de detalle. En la mayoría de los casos se expone la información por incisos, aunque en algunas instituciones se agrupan los incisos 2 a 5 como gastos de funcionamiento (UU.NN. de las Artes y de San Martín). Asimismo, algunas universidades detallan más la información con la desagregación por partida principal (como las UU.NN. de Córdoba, Entre Ríos, Lanús, Mar del Plata, Tucumán y Pedagógica) e incluso otras por partida parcial (como la UN de Cuyo).</w:t>
      </w:r>
    </w:p>
    <w:p w14:paraId="1F279F21" w14:textId="77777777" w:rsidR="003867D4" w:rsidRPr="001E7F52" w:rsidRDefault="003867D4" w:rsidP="003867D4">
      <w:pPr>
        <w:pStyle w:val="Prrafodelista"/>
        <w:spacing w:line="240" w:lineRule="auto"/>
        <w:ind w:left="0" w:firstLine="708"/>
        <w:contextualSpacing w:val="0"/>
        <w:jc w:val="both"/>
        <w:rPr>
          <w:rFonts w:ascii="Times New Roman" w:hAnsi="Times New Roman" w:cs="Times New Roman"/>
        </w:rPr>
      </w:pPr>
    </w:p>
    <w:p w14:paraId="4E106697" w14:textId="77777777" w:rsidR="003867D4" w:rsidRPr="00812992" w:rsidRDefault="003867D4" w:rsidP="003867D4">
      <w:pPr>
        <w:pStyle w:val="Prrafodelista"/>
        <w:numPr>
          <w:ilvl w:val="1"/>
          <w:numId w:val="1"/>
        </w:numPr>
        <w:spacing w:line="240" w:lineRule="auto"/>
        <w:ind w:left="709"/>
        <w:rPr>
          <w:rFonts w:ascii="Times New Roman" w:hAnsi="Times New Roman" w:cs="Times New Roman"/>
          <w:b/>
          <w:bCs/>
        </w:rPr>
      </w:pPr>
      <w:r w:rsidRPr="00812992">
        <w:rPr>
          <w:rFonts w:ascii="Times New Roman" w:hAnsi="Times New Roman" w:cs="Times New Roman"/>
          <w:b/>
          <w:bCs/>
        </w:rPr>
        <w:t>La Apertura por Función</w:t>
      </w:r>
    </w:p>
    <w:p w14:paraId="663C9222" w14:textId="49FEC4FB" w:rsidR="003867D4" w:rsidRPr="00662A07"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 xml:space="preserve">Las tres funciones más importantes que brindan las universidades son educación y cultura, salud y ciencia y técnica. Esta apertura presupuestaria es técnicamente muy difícil porque hay muchos gastos conjuntos cuya discriminación es compleja. En este sentido, el componente más importante de las actividades de investigación son las mayores dedicaciones de los docentes, que simultáneamente perciben salarios para enseñar y crear conocimientos. </w:t>
      </w:r>
      <w:r w:rsidRPr="00662A07">
        <w:rPr>
          <w:rFonts w:ascii="Times New Roman" w:hAnsi="Times New Roman" w:cs="Times New Roman"/>
        </w:rPr>
        <w:t>Del mismo modo, en los hospitales se llevan a ca</w:t>
      </w:r>
      <w:r w:rsidR="003F7036">
        <w:rPr>
          <w:rFonts w:ascii="Times New Roman" w:hAnsi="Times New Roman" w:cs="Times New Roman"/>
        </w:rPr>
        <w:t>b</w:t>
      </w:r>
      <w:r w:rsidRPr="00662A07">
        <w:rPr>
          <w:rFonts w:ascii="Times New Roman" w:hAnsi="Times New Roman" w:cs="Times New Roman"/>
        </w:rPr>
        <w:t>o actividades sanitarias y educativas, las cuales corresponden a dos funciones diferentes. Además, si bien las universidades expresan en general que sus funciones básicas son la enseñanza, la investigación y la extensión, esta última actividad no cuenta con una apertura en el Manual de Clasificaciones Presupuestarias del Ministerio de Economía y por eso no puede discriminarse su cuantía en términos económicos.</w:t>
      </w:r>
    </w:p>
    <w:p w14:paraId="3CBF160B"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 xml:space="preserve">El Ministerio de Economía y la Subsecretaría de Políticas Universitarias imputan desde el año 2000 los aumentos salariales exclusivamente a la función educación y cultura, en lugar de discriminarlos también para las restantes actividades, con el efecto de subestimar sus partidas. Por ello en el presupuesto de ley aprobado para el año 2023 y en su ejecución posterior el 97,0% corresponde a la función educación y cultura y solo el 2,0% a salud y el 1,0% a ciencia y técnica. </w:t>
      </w:r>
    </w:p>
    <w:p w14:paraId="09BD68DC"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El error en la exposición de la información fue advertido por las autoridades del Consejo Interuniversitario Nacional y, por lo tanto, a partir de su iniciativa se incorporó en el presupuesto nacional desde el año 2017, en el artículo correspondiente a las universidades, la obligación de la imputación correspondiente. Sin embargo, esta obligación normativa no se cumple en la mayoría de los casos.</w:t>
      </w:r>
    </w:p>
    <w:p w14:paraId="426C70A0" w14:textId="77777777" w:rsidR="003867D4" w:rsidRPr="00AE46CC"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 xml:space="preserve">Las universidades que tienen un mayor gasto en la finalidad salud, según la correcta </w:t>
      </w:r>
      <w:r w:rsidRPr="00AE46CC">
        <w:rPr>
          <w:rFonts w:ascii="Times New Roman" w:hAnsi="Times New Roman" w:cs="Times New Roman"/>
        </w:rPr>
        <w:t xml:space="preserve">imputación propia, son la UBA (22,8%) y la UN de Córdoba (14,9%) por contar con hospitales de gran complejidad y capacidad asistencial. De hecho, hasta el año 1993 solo contaban con transferencias para la función salud las UN de Buenos Aires y Córdoba. A partir del año 1994 se incorporaron las instituciones que dictan carreras en el área de la </w:t>
      </w:r>
      <w:r w:rsidRPr="00AE46CC">
        <w:rPr>
          <w:rFonts w:ascii="Times New Roman" w:hAnsi="Times New Roman" w:cs="Times New Roman"/>
        </w:rPr>
        <w:lastRenderedPageBreak/>
        <w:t xml:space="preserve">salud. Hay algunas universidades que tienen establecimientos sanitarios de menor tamaño como las UU.NN. de Cuyo o La Rioja. Además, las instituciones que tienen carreras de las ciencias de la salud tienen erogaciones destinadas a esta función. En algunos casos, como las UU.NN. de San Martín y José C. Paz, no se realiza la apertura por función pese al mandato de la ley de presupuesto. De acuerdo con los presupuestos de las propias universidades la función salud representa en total el 5% del presupuesto universitario, un porcentaje muy superior al 2% que figura en la ley de presupuesto. </w:t>
      </w:r>
    </w:p>
    <w:p w14:paraId="55298683"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La función ciencia y técnica debe estar presente en forma inevitable en todas las instituciones porque no es concebible una universidad sin ninguna investigación. Resulta muy difícil estimar la contribución a esta función de los docentes que simultáneamente enseñan e investigan y, mucho más aún, de otros gastos conjuntos como los de los servicios públicos. En este sentido, no hay medidores de luz diferenciados para laboratorios y aulas y, si los hubiera, habría que asignar a cada función la iluminación de los pasillos, baños y otros espacios comunes. Sin embargo, sin llegar a extremos detallistas, resulta claro que hay una subestimación de esta función porque varias instituciones, como las UU.NN. de Chilecito y Tucumán, no le imputan ningún gasto o solo le asignan los fondos para gastos de funcionamiento y no una proporción del costo del personal. Por ello, su impacto total es superior al 1% que figura en el presupuesto nacional e, incluso, mayor al que exponen muchas instituciones.</w:t>
      </w:r>
    </w:p>
    <w:p w14:paraId="351A2802"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Las universidades que asignan correctamente una parte del costo de los investigadores a esta función, como la UBA, la UN de Córdoba o la UN de Río Negro, le destinan entre el 3% y el 14% del presupuesto total. Para ello imputan no solo las transferencias para los proyectos de investigación, sino también los costos de estructuras de autoridades y no docentes de soporte y una parte del gasto de los cargos de dedicaciones semiexclusivas y exclusivas (el 50% y el 75% respectivamente en el caso de la Universidad de Buenos Aires). De este modo, cruzando la clasificación por objeto del gasto con la funcional, no solo debería haber montos para investigación en el inciso 5 (transferencias), sino también en el inciso 1 (personal).</w:t>
      </w:r>
    </w:p>
    <w:p w14:paraId="477D9517"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Por último, cabe señalar que hay un 0,1% de la ejecución presupuestaria destinado a funciones diferentes a la salud, cultura y educación y ciencia y técnica. Estos casos corresponden a transferencias de programas específicos vinculados a la prestación de servicios a organismos públicos con distintos propósitos.</w:t>
      </w:r>
    </w:p>
    <w:p w14:paraId="37CD6E52" w14:textId="77777777" w:rsidR="003867D4" w:rsidRPr="001E7F52" w:rsidRDefault="003867D4" w:rsidP="003867D4">
      <w:pPr>
        <w:pStyle w:val="Prrafodelista"/>
        <w:spacing w:line="240" w:lineRule="auto"/>
        <w:ind w:left="1080"/>
        <w:rPr>
          <w:rFonts w:ascii="Times New Roman" w:hAnsi="Times New Roman" w:cs="Times New Roman"/>
        </w:rPr>
      </w:pPr>
    </w:p>
    <w:p w14:paraId="5F0E06E5" w14:textId="77777777" w:rsidR="003867D4" w:rsidRPr="00812992" w:rsidRDefault="003867D4" w:rsidP="003867D4">
      <w:pPr>
        <w:pStyle w:val="Prrafodelista"/>
        <w:numPr>
          <w:ilvl w:val="1"/>
          <w:numId w:val="1"/>
        </w:numPr>
        <w:spacing w:line="240" w:lineRule="auto"/>
        <w:ind w:left="709"/>
        <w:rPr>
          <w:rFonts w:ascii="Times New Roman" w:hAnsi="Times New Roman" w:cs="Times New Roman"/>
          <w:b/>
          <w:bCs/>
        </w:rPr>
      </w:pPr>
      <w:r w:rsidRPr="00812992">
        <w:rPr>
          <w:rFonts w:ascii="Times New Roman" w:hAnsi="Times New Roman" w:cs="Times New Roman"/>
          <w:b/>
          <w:bCs/>
        </w:rPr>
        <w:t>La Apertura por Categoría Programática</w:t>
      </w:r>
    </w:p>
    <w:p w14:paraId="382B677E"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El presupuesto por programas es la técnica que se aplica en todo el sector público nacional desde hace más de cuarenta años. Por ello, esta apertura es central para la administración económico-financiera gubernamental. La autonomía universitaria permite la formulación de muy diferentes formatos, tanto en el grado de desagregación (en proyectos, subprogramas, actividades y obras) como en las partidas presupuestarias determinadas.</w:t>
      </w:r>
    </w:p>
    <w:p w14:paraId="742E209E"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 xml:space="preserve">La apertura más frecuente consiste en programas que se corresponden con las actividades esenciales de las universidades: administración, académica, ciencia y técnica, </w:t>
      </w:r>
      <w:r w:rsidRPr="001E7F52">
        <w:rPr>
          <w:rFonts w:ascii="Times New Roman" w:hAnsi="Times New Roman" w:cs="Times New Roman"/>
        </w:rPr>
        <w:lastRenderedPageBreak/>
        <w:t>extensión, posgrado, bienestar, vinculación tecnológica, planeamiento, infraestructura, comunicación, cultura, desarrollo territorial, actividades centrales y actividades comunes. Con distintas denominaciones, matices y mayores o menores desagregaciones, esos programas se encuentran presentes en la mayoría de las instituciones.</w:t>
      </w:r>
    </w:p>
    <w:p w14:paraId="28A6310E"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Algunas universidades, sin embargo, tienen una apertura programática que combina el criterio de actividades con una apertura que se corresponde con el clasificador institucional, estableciendo programas que son en realidad dependencias, tales como facultades, colegios, hospitales u otras unidades académicas. Las UU.NN. de Jujuy y Moreno son ejemplos de esta situación. Como la apertura programática y su vínculo con las unidades ejecutoras son elementos centrales para poder realizar estudios de costos y análisis de las diferentes actividades y sectores de las universidades, este equívoco limita las oportunidades de mejora en la gestión administrativa vinculadas al seguimiento de gastos o a la priorización presupuestaria.</w:t>
      </w:r>
    </w:p>
    <w:p w14:paraId="0AB4B00B" w14:textId="77777777" w:rsidR="003867D4" w:rsidRPr="001E7F52" w:rsidRDefault="003867D4" w:rsidP="003867D4">
      <w:pPr>
        <w:pStyle w:val="Prrafodelista"/>
        <w:spacing w:line="240" w:lineRule="auto"/>
        <w:contextualSpacing w:val="0"/>
        <w:rPr>
          <w:rFonts w:ascii="Times New Roman" w:hAnsi="Times New Roman" w:cs="Times New Roman"/>
        </w:rPr>
      </w:pPr>
    </w:p>
    <w:p w14:paraId="50D25430" w14:textId="77777777" w:rsidR="003867D4" w:rsidRPr="00812992" w:rsidRDefault="003867D4" w:rsidP="003867D4">
      <w:pPr>
        <w:pStyle w:val="Prrafodelista"/>
        <w:numPr>
          <w:ilvl w:val="1"/>
          <w:numId w:val="1"/>
        </w:numPr>
        <w:spacing w:line="240" w:lineRule="auto"/>
        <w:ind w:left="709"/>
        <w:rPr>
          <w:rFonts w:ascii="Times New Roman" w:hAnsi="Times New Roman" w:cs="Times New Roman"/>
          <w:b/>
          <w:bCs/>
        </w:rPr>
      </w:pPr>
      <w:r w:rsidRPr="00812992">
        <w:rPr>
          <w:rFonts w:ascii="Times New Roman" w:hAnsi="Times New Roman" w:cs="Times New Roman"/>
          <w:b/>
          <w:bCs/>
        </w:rPr>
        <w:t>La Apertura Institucional</w:t>
      </w:r>
    </w:p>
    <w:p w14:paraId="2FF48623" w14:textId="77777777" w:rsidR="003867D4" w:rsidRPr="001E7F52" w:rsidRDefault="003867D4" w:rsidP="003867D4">
      <w:pPr>
        <w:spacing w:line="240" w:lineRule="auto"/>
        <w:ind w:left="-11" w:firstLine="719"/>
        <w:jc w:val="both"/>
        <w:rPr>
          <w:rFonts w:ascii="Times New Roman" w:hAnsi="Times New Roman" w:cs="Times New Roman"/>
        </w:rPr>
      </w:pPr>
      <w:r w:rsidRPr="001E7F52">
        <w:rPr>
          <w:rFonts w:ascii="Times New Roman" w:hAnsi="Times New Roman" w:cs="Times New Roman"/>
        </w:rPr>
        <w:t>El clasificador institucional adopta distintos formatos dependiendo básicamente de las configuraciones estructurales de las casas de estudios, que en el país tienen una notable variedad. El modelo más frecuente tiene en su partición primaria, además del rectorado, facultades que agrupan carreras por áreas disciplinarias, a las que se suman en algunos casos colegios y hospitales. Sin embargo, algunas instituciones están organizadas por departamentos, que aglutinan docentes y alumnos por disciplinas en lugar de carreras y otras casas de estudios se componen de Institutos, cuyo motivo aglutinador de carreras es el estudio de un tema o problema. En términos generales, las universidades organizadas por facultades son las más antiguas y de mayor tamaño y las de menor escala y más modernas se estructuran por departamentos, si bien no hay una tipología estricta y se observan también casos de zonas grises que combinan diferentes estructuras. Agrega una complejidad aún mayor cierta polisemia de algunos términos de estructuras y el uso de una sinonimia que llevan a utilizar denominaciones similares para situaciones distintas y términos iguales para situaciones diferentes (Doberti, 2018). En las instituciones que tienen una mayor dispersión geográfica, como las ubicadas en la Patagonia, la agrupación de carreras se da por sedes, compartiendo la unidad académica carreras de campos disciplinarios muy disímiles.</w:t>
      </w:r>
    </w:p>
    <w:p w14:paraId="52CAB83E" w14:textId="77777777" w:rsidR="003867D4" w:rsidRPr="001E7F52" w:rsidRDefault="003867D4" w:rsidP="003867D4">
      <w:pPr>
        <w:pStyle w:val="Prrafodelista"/>
        <w:spacing w:line="240" w:lineRule="auto"/>
        <w:ind w:left="0" w:firstLine="709"/>
        <w:contextualSpacing w:val="0"/>
        <w:jc w:val="both"/>
        <w:rPr>
          <w:rFonts w:ascii="Times New Roman" w:hAnsi="Times New Roman" w:cs="Times New Roman"/>
        </w:rPr>
      </w:pPr>
      <w:r w:rsidRPr="001E7F52">
        <w:rPr>
          <w:rFonts w:ascii="Times New Roman" w:hAnsi="Times New Roman" w:cs="Times New Roman"/>
        </w:rPr>
        <w:t xml:space="preserve">Las universidades suelen concentrar en sus rectorados el presupuesto de los programas centrales (que comprenden a toda la institución) y comunes a varias dependencias pero no a todas. Además, los servicios públicos de todas las unidades académicas suelen erogarse también centralmente. Las universidades más grandes, antiguas y con oferta académica más diversificada tienen una apertura institucional con menor participación relativa del rectorado; por ejemplo en la UBA su participación relativa es de solo el 20,7% y en la UN del Litoral del 27,4%. Por el contrario, en las instituciones más nuevas, que en general se asientan en un campus único, en muchos casos el presupuesto no tiene una apertura institucional (como en las UN de José C. Paz y San Antonio de Areco) o las unidades académicas tienen una participación menor y el </w:t>
      </w:r>
      <w:r w:rsidRPr="001E7F52">
        <w:rPr>
          <w:rFonts w:ascii="Times New Roman" w:hAnsi="Times New Roman" w:cs="Times New Roman"/>
        </w:rPr>
        <w:lastRenderedPageBreak/>
        <w:t>rectorado concentra a casi todo el presupuesto (como en las UN de Lanús y La Matanza, con el 74,1% y el 87,0% respectivamente). Esto es congruente con la estructura departamentalizada que otorga más importancia a la unidad central, de la cual dependen casi todos los trabajadores no docentes, los gastos de funcionamiento y las autoridades, con menores recursos a cargo de las dependencias de menor alcance.</w:t>
      </w:r>
    </w:p>
    <w:p w14:paraId="460AFFF5" w14:textId="77777777" w:rsidR="003867D4" w:rsidRPr="001E7F52" w:rsidRDefault="003867D4" w:rsidP="003867D4">
      <w:pPr>
        <w:pStyle w:val="Prrafodelista"/>
        <w:spacing w:line="240" w:lineRule="auto"/>
        <w:rPr>
          <w:rFonts w:ascii="Times New Roman" w:hAnsi="Times New Roman" w:cs="Times New Roman"/>
        </w:rPr>
      </w:pPr>
    </w:p>
    <w:p w14:paraId="2F0A4740" w14:textId="77777777" w:rsidR="003867D4" w:rsidRPr="00812992" w:rsidRDefault="003867D4" w:rsidP="003867D4">
      <w:pPr>
        <w:pStyle w:val="Prrafodelista"/>
        <w:numPr>
          <w:ilvl w:val="1"/>
          <w:numId w:val="1"/>
        </w:numPr>
        <w:spacing w:line="240" w:lineRule="auto"/>
        <w:ind w:left="709"/>
        <w:rPr>
          <w:rFonts w:ascii="Times New Roman" w:hAnsi="Times New Roman" w:cs="Times New Roman"/>
          <w:b/>
          <w:bCs/>
        </w:rPr>
      </w:pPr>
      <w:r w:rsidRPr="00812992">
        <w:rPr>
          <w:rFonts w:ascii="Times New Roman" w:hAnsi="Times New Roman" w:cs="Times New Roman"/>
          <w:b/>
          <w:bCs/>
        </w:rPr>
        <w:t>La Apertura por Fuente de Financiamiento</w:t>
      </w:r>
    </w:p>
    <w:p w14:paraId="385C35A5"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Esta apertura permite advertir el origen de los recursos utilizados para financiar los gastos. En el consolidado del sistema universitario la fuente del tesoro nacional es, por lejos, la más importante en términos de la participación en el gasto total y, más aún, en la capacidad para solventar las actividades fundamentales de las instituciones. Por el contrario, los recursos propios tienen una menor cuantía, alrededor del 10% de los ingresos totales, y se destinan en su mayoría a sufragar los costos de sus actividades. Asimismo, resulta muy difícil estimar a principios de año su magnitud porque depende de los contratos que se realicen, de los avatares de los diferentes mercados en los que se prestan servicios y de precios que no controla la institución.</w:t>
      </w:r>
    </w:p>
    <w:p w14:paraId="4482DB26"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En consecuencia, si bien todas las instituciones aprueban sus presupuestos anuales de la fuente 11 antes o apenas al inicio del ejercicio anual, solo algunas aprueban conjuntamente un presupuesto de la fuente 12 (recursos propios), cuya ejecución puede diferir significativamente de su sanción y se aplica en algunos casos en forma descentralizada en las distintas dependencias de las universidades. Además, no todas las dependencias recaudan recursos propios, por lo cual su nivel de detalle en el presupuesto es mucho menor que el de la fuente 11. Sin embargo, como todas las erogaciones universitarias, finalmente deben ser incorporadas en la rendición de cuentas institucional.</w:t>
      </w:r>
    </w:p>
    <w:p w14:paraId="6B1E2355"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Algunas universidades incorporan todas las fuentes de financiamiento (tesoro nacional, recursos propios, fondos con afectación específica, transferencias internas, crédito interno, remanentes de ejercicios anteriores, transferencias externas y crédito externo) a su norma anual de distribución de recursos, con lo cual se incluye en el debate la totalidad de los fondos, haciendo efectivo el principio de la universalidad del presupuesto. Las UU.NN. de Córdoba, Hurlingham, La Matanza, Lanús, Litoral, Moreno y Quilmes, son ejemplos de esta situación. Por el contrario, otras instituciones como las UU.NN. de La Rioja, Sur y Villa Mercedes solo incluyen en esta norma anual a los aportes del tesoro, que son los más importantes, con un debate menor y a veces posterior de los restantes fondos.</w:t>
      </w:r>
    </w:p>
    <w:p w14:paraId="7E3E6E9C" w14:textId="77777777" w:rsidR="003867D4" w:rsidRPr="001E7F52" w:rsidRDefault="003867D4" w:rsidP="003867D4">
      <w:pPr>
        <w:spacing w:line="240" w:lineRule="auto"/>
        <w:ind w:left="708"/>
        <w:rPr>
          <w:rFonts w:ascii="Times New Roman" w:hAnsi="Times New Roman" w:cs="Times New Roman"/>
        </w:rPr>
      </w:pPr>
    </w:p>
    <w:p w14:paraId="3C2644E4" w14:textId="77777777" w:rsidR="003867D4" w:rsidRPr="00812992" w:rsidRDefault="003867D4" w:rsidP="003867D4">
      <w:pPr>
        <w:pStyle w:val="Prrafodelista"/>
        <w:numPr>
          <w:ilvl w:val="1"/>
          <w:numId w:val="1"/>
        </w:numPr>
        <w:spacing w:line="240" w:lineRule="auto"/>
        <w:ind w:left="709"/>
        <w:rPr>
          <w:rFonts w:ascii="Times New Roman" w:hAnsi="Times New Roman" w:cs="Times New Roman"/>
          <w:b/>
          <w:bCs/>
        </w:rPr>
      </w:pPr>
      <w:r w:rsidRPr="00812992">
        <w:rPr>
          <w:rFonts w:ascii="Times New Roman" w:hAnsi="Times New Roman" w:cs="Times New Roman"/>
          <w:b/>
          <w:bCs/>
        </w:rPr>
        <w:t>La Apertura por Localización Geográfica</w:t>
      </w:r>
    </w:p>
    <w:p w14:paraId="232DC029"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 xml:space="preserve">El clasificador geográfico establece la distribución de las partidas a partir de la división política del país. Esto permite determinar los gastos considerando las provincias y municipios en los cuales se realizan. Sin embargo, en las universidades nacionales los presupuestos aprobados no exponen esta apertura y, si bien la mayoría de las instituciones </w:t>
      </w:r>
      <w:r w:rsidRPr="001E7F52">
        <w:rPr>
          <w:rFonts w:ascii="Times New Roman" w:hAnsi="Times New Roman" w:cs="Times New Roman"/>
        </w:rPr>
        <w:lastRenderedPageBreak/>
        <w:t>están ubicadas en una sola provincia o municipio, también es cierto que en muchos casos existen dependencias en otros espacios territoriales.</w:t>
      </w:r>
    </w:p>
    <w:p w14:paraId="2D31BCDD"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La UTN es la institución con mayor diversificación geográfica (tiene sedes en 14 provincias y la CABA) y también hay otras que prestan servicios significativos en más de una jurisdicción, como las UU.NN. del Comahue (en Neuquén y Río Negro), del Nordeste (en Corrientes y Chaco), Pedagógica (en la CABA y la Provincia de Buenos Aires) y de la Defensa (en la CABA, Buenos Aires y Córdoba). Además, muchas universidades tienen dependencias, asentamientos, espacios de prácticas pedagógicas, investigación o extensión en otras jurisdicciones, como la UBA con sedes del ciclo básico común en la Provincia de Buenos Aires o la UN de Cuyo con participación en el Instituto Balseiro en Río Negro.</w:t>
      </w:r>
    </w:p>
    <w:p w14:paraId="68272733"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Más allá de la ubicación geográfica en el nivel provincial, muchas instituciones tienen participación en diferentes municipios de una o de diferentes provincias. En el caso de las instituciones patagónicas y las UN de Catamarca, Entre Ríos, Jujuy, Centro y Noroeste de la Provincia de Buenos Aires y La Rioja, por citar solo algunos ejemplos, existen sedes institucionales en más de una ciudad. Sin embargo, los presupuestos no tienen una correcta asignación por localización geográfica y solo en algunos casos se imputan los gastos de las sedes en forma diferenciada, pero como consecuencia de su apertura institucional y no del uso de este clasificador.</w:t>
      </w:r>
    </w:p>
    <w:p w14:paraId="4117C338" w14:textId="77777777" w:rsidR="003867D4" w:rsidRPr="001E7F52" w:rsidRDefault="003867D4" w:rsidP="003867D4">
      <w:pPr>
        <w:spacing w:line="240" w:lineRule="auto"/>
        <w:rPr>
          <w:rFonts w:ascii="Times New Roman" w:hAnsi="Times New Roman" w:cs="Times New Roman"/>
        </w:rPr>
      </w:pPr>
    </w:p>
    <w:p w14:paraId="47A90034" w14:textId="77777777" w:rsidR="003867D4" w:rsidRPr="001E7F52" w:rsidRDefault="003867D4" w:rsidP="003867D4">
      <w:pPr>
        <w:pStyle w:val="Prrafodelista"/>
        <w:numPr>
          <w:ilvl w:val="0"/>
          <w:numId w:val="1"/>
        </w:numPr>
        <w:spacing w:line="240" w:lineRule="auto"/>
        <w:ind w:left="284" w:hanging="284"/>
        <w:rPr>
          <w:rFonts w:ascii="Times New Roman" w:hAnsi="Times New Roman" w:cs="Times New Roman"/>
          <w:b/>
          <w:bCs/>
        </w:rPr>
      </w:pPr>
      <w:r w:rsidRPr="001E7F52">
        <w:rPr>
          <w:rFonts w:ascii="Times New Roman" w:hAnsi="Times New Roman" w:cs="Times New Roman"/>
          <w:b/>
          <w:bCs/>
        </w:rPr>
        <w:t>Síntesis y Conclusiones</w:t>
      </w:r>
    </w:p>
    <w:p w14:paraId="3979A1F5"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En el período 2014-2024 la tendencia del financiamiento universitario ha sido declinante, con una caída aún más pronunciada en el último año, en el que incluso se observaron subsidios de provincias y municipios a las universidades nacionales. El gasto por alumno se redujo a menos de la mitad con respecto al inicio del período y el sesgo hacia el componente salarial del presupuesto se acentuó debido a la restricción de recursos aún mayor de los rubros de gastos de funcionamiento, especialmente los referidos a infraestructura y programas de desarrollo.</w:t>
      </w:r>
    </w:p>
    <w:p w14:paraId="0A471065"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Los componentes no salariales están muy desfinanciados y tienen como alternativa para su financiamiento a las fuentes no ligadas a los aportes del tesoro, pero en Argentina estas tienen escasa dimensión por la poca propensión a las donaciones y el costo de generación de recursos adicionales. En consecuencia, si no se revierte el desfinanciamiento universitario, sería predecible un sendero de degradación de las prestaciones educativas.</w:t>
      </w:r>
    </w:p>
    <w:p w14:paraId="634CA4BE"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 xml:space="preserve">Las diferentes aperturas del clasificador permiten el análisis del presupuesto en función de diferentes variables. La comparación de las normas de aprobación y ejecución de gastos entre las distintas universidades son concluyentes sobre el sesgo excesivo en la participación del componente salarial en el total del presupuesto, existiendo excepciones solo en casos de instituciones nuevas que no tienen consolidadas sus plantas de personal. En términos del clasificador funcional se advierte la mayor importancia de las erogaciones sanitarias frente a lo establecido en las leyes de presupuesto y la </w:t>
      </w:r>
      <w:r w:rsidRPr="001E7F52">
        <w:rPr>
          <w:rFonts w:ascii="Times New Roman" w:hAnsi="Times New Roman" w:cs="Times New Roman"/>
        </w:rPr>
        <w:lastRenderedPageBreak/>
        <w:t>subestimación de los gastos de ciencia y técnica por la dificultad de asignar los gastos conjuntos con la función de educación. En consecuencia, contribuiría a mejorar la gestión económica que el Poder Ejecutivo en la formulación y el Poder Legislativo en la aprobación del presupuesto nacional, así como las universidades en sus presupuestos internos, corrigieran los errores en la imputación por funciones a través del recálculo de las erogaciones y su asignación funcional a partir de indicadores cuantitativos.</w:t>
      </w:r>
    </w:p>
    <w:p w14:paraId="0E58F3C1"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Las aperturas programáticas muestran diferencias entre las universidades, así como la clasificación institucional, en la cual se advierte la mayor centralización de los gastos en el rectorado en las casas de estudios más pequeñas, departamentalizadas, con menor oferta académica y ubicadas en un campus único. El registro de la información es más preciso y anticipado en la fuente de recursos del tesoro nacional, que es más previsible, que en las restantes. Por último, el clasificador geográfico tiene un uso muy limitado, sin registros precisos de las erogaciones en provincias y municipios diferentes de la ubicación central del rectorado.</w:t>
      </w:r>
    </w:p>
    <w:p w14:paraId="058BE7B8"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Cabe señalar que la mejora en el uso de los clasificadores presupuestarios no solo permite un mejor registro de las transacciones sino, sobre todo, mejores asignaciones de recursos y prestaciones de servicios. En este sentido, el análisis de costos por carreras, el uso de indicadores y la realización de cálculos plurianuales requieren datos de base con las diversas aperturas.</w:t>
      </w:r>
    </w:p>
    <w:p w14:paraId="63451E96" w14:textId="77777777" w:rsidR="003867D4" w:rsidRPr="001E7F52" w:rsidRDefault="003867D4" w:rsidP="003867D4">
      <w:pPr>
        <w:spacing w:line="240" w:lineRule="auto"/>
        <w:ind w:firstLine="708"/>
        <w:jc w:val="both"/>
        <w:rPr>
          <w:rFonts w:ascii="Times New Roman" w:hAnsi="Times New Roman" w:cs="Times New Roman"/>
        </w:rPr>
      </w:pPr>
      <w:r w:rsidRPr="001E7F52">
        <w:rPr>
          <w:rFonts w:ascii="Times New Roman" w:hAnsi="Times New Roman" w:cs="Times New Roman"/>
        </w:rPr>
        <w:t>Finalmente, cabe enfatizar que las mejoras en el uso de los recursos no pueden compensar las rebajas en las asignaciones y que la obligación de maximizar las prestaciones debe ir acompañada de una adecuada cantidad de fondos, acorde con los parámetros de la experiencia comparada y a los estándares de calidad, innovación y construcción de capacidades para los desafíos del futuro.</w:t>
      </w:r>
    </w:p>
    <w:p w14:paraId="6DB348CA" w14:textId="77777777" w:rsidR="003867D4" w:rsidRPr="001E7F52" w:rsidRDefault="003867D4" w:rsidP="003867D4">
      <w:pPr>
        <w:spacing w:line="240" w:lineRule="auto"/>
        <w:rPr>
          <w:rFonts w:ascii="Times New Roman" w:hAnsi="Times New Roman" w:cs="Times New Roman"/>
        </w:rPr>
      </w:pPr>
      <w:r w:rsidRPr="001E7F52">
        <w:rPr>
          <w:rFonts w:ascii="Times New Roman" w:hAnsi="Times New Roman" w:cs="Times New Roman"/>
        </w:rPr>
        <w:br w:type="page"/>
      </w:r>
    </w:p>
    <w:p w14:paraId="11FC6798" w14:textId="77777777" w:rsidR="003867D4" w:rsidRPr="001E7F52" w:rsidRDefault="003867D4" w:rsidP="003867D4">
      <w:pPr>
        <w:spacing w:line="240" w:lineRule="auto"/>
        <w:jc w:val="both"/>
        <w:rPr>
          <w:rFonts w:ascii="Times New Roman" w:hAnsi="Times New Roman" w:cs="Times New Roman"/>
          <w:b/>
          <w:bCs/>
        </w:rPr>
      </w:pPr>
      <w:r w:rsidRPr="001E7F52">
        <w:rPr>
          <w:rFonts w:ascii="Times New Roman" w:hAnsi="Times New Roman" w:cs="Times New Roman"/>
          <w:b/>
          <w:bCs/>
        </w:rPr>
        <w:lastRenderedPageBreak/>
        <w:t>Anexo de Información</w:t>
      </w:r>
    </w:p>
    <w:p w14:paraId="1B1EEF96" w14:textId="77777777" w:rsidR="003867D4" w:rsidRPr="001E7F52" w:rsidRDefault="003867D4" w:rsidP="003867D4">
      <w:pPr>
        <w:spacing w:after="0" w:line="240" w:lineRule="auto"/>
        <w:jc w:val="both"/>
        <w:rPr>
          <w:rFonts w:ascii="Times New Roman" w:hAnsi="Times New Roman" w:cs="Times New Roman"/>
        </w:rPr>
      </w:pPr>
      <w:r w:rsidRPr="001E7F52">
        <w:rPr>
          <w:rFonts w:ascii="Times New Roman" w:hAnsi="Times New Roman" w:cs="Times New Roman"/>
        </w:rPr>
        <w:t>Cuadro N° 5. Gasto por Alumno y Variables Asociadas. Años 2014 a 2024.</w:t>
      </w:r>
    </w:p>
    <w:tbl>
      <w:tblPr>
        <w:tblStyle w:val="Tablaconcuadrcula"/>
        <w:tblW w:w="9209" w:type="dxa"/>
        <w:tblLook w:val="04A0" w:firstRow="1" w:lastRow="0" w:firstColumn="1" w:lastColumn="0" w:noHBand="0" w:noVBand="1"/>
      </w:tblPr>
      <w:tblGrid>
        <w:gridCol w:w="973"/>
        <w:gridCol w:w="1271"/>
        <w:gridCol w:w="1163"/>
        <w:gridCol w:w="1032"/>
        <w:gridCol w:w="1255"/>
        <w:gridCol w:w="973"/>
        <w:gridCol w:w="1350"/>
        <w:gridCol w:w="1192"/>
      </w:tblGrid>
      <w:tr w:rsidR="003867D4" w:rsidRPr="001E7F52" w14:paraId="4BA609F5" w14:textId="77777777" w:rsidTr="001264D7">
        <w:tc>
          <w:tcPr>
            <w:tcW w:w="1043" w:type="dxa"/>
            <w:vAlign w:val="center"/>
          </w:tcPr>
          <w:p w14:paraId="0CDA1E45"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Año</w:t>
            </w:r>
          </w:p>
        </w:tc>
        <w:tc>
          <w:tcPr>
            <w:tcW w:w="1296" w:type="dxa"/>
            <w:vAlign w:val="center"/>
          </w:tcPr>
          <w:p w14:paraId="26C7E933"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Alumnos</w:t>
            </w:r>
          </w:p>
          <w:p w14:paraId="5E4A22D7" w14:textId="77777777" w:rsidR="003867D4" w:rsidRPr="001E7F52" w:rsidRDefault="003867D4" w:rsidP="001264D7">
            <w:pPr>
              <w:jc w:val="center"/>
              <w:rPr>
                <w:rFonts w:ascii="Times New Roman" w:hAnsi="Times New Roman" w:cs="Times New Roman"/>
                <w:color w:val="000000"/>
                <w:sz w:val="24"/>
                <w:szCs w:val="24"/>
              </w:rPr>
            </w:pPr>
            <w:r w:rsidRPr="001E7F52">
              <w:rPr>
                <w:rFonts w:ascii="Times New Roman" w:hAnsi="Times New Roman" w:cs="Times New Roman"/>
                <w:color w:val="000000"/>
                <w:sz w:val="24"/>
                <w:szCs w:val="24"/>
              </w:rPr>
              <w:t>en</w:t>
            </w:r>
          </w:p>
          <w:p w14:paraId="5D277FB9"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UUNN</w:t>
            </w:r>
          </w:p>
        </w:tc>
        <w:tc>
          <w:tcPr>
            <w:tcW w:w="1119" w:type="dxa"/>
            <w:vAlign w:val="center"/>
          </w:tcPr>
          <w:p w14:paraId="4F5BD271"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Variación</w:t>
            </w:r>
            <w:r w:rsidRPr="001E7F52">
              <w:rPr>
                <w:rFonts w:ascii="Times New Roman" w:hAnsi="Times New Roman" w:cs="Times New Roman"/>
                <w:color w:val="000000"/>
                <w:sz w:val="24"/>
                <w:szCs w:val="24"/>
              </w:rPr>
              <w:br/>
              <w:t>del</w:t>
            </w:r>
            <w:r w:rsidRPr="001E7F52">
              <w:rPr>
                <w:rFonts w:ascii="Times New Roman" w:hAnsi="Times New Roman" w:cs="Times New Roman"/>
                <w:color w:val="000000"/>
                <w:sz w:val="24"/>
                <w:szCs w:val="24"/>
              </w:rPr>
              <w:br/>
              <w:t>PBI</w:t>
            </w:r>
          </w:p>
        </w:tc>
        <w:tc>
          <w:tcPr>
            <w:tcW w:w="1064" w:type="dxa"/>
            <w:vAlign w:val="center"/>
          </w:tcPr>
          <w:p w14:paraId="10A52B05"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Gasto en UUNN / PBI</w:t>
            </w:r>
          </w:p>
        </w:tc>
        <w:tc>
          <w:tcPr>
            <w:tcW w:w="1296" w:type="dxa"/>
            <w:vAlign w:val="center"/>
          </w:tcPr>
          <w:p w14:paraId="2B701CDC"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Alumnos</w:t>
            </w:r>
            <w:r w:rsidRPr="001E7F52">
              <w:rPr>
                <w:rFonts w:ascii="Times New Roman" w:hAnsi="Times New Roman" w:cs="Times New Roman"/>
                <w:color w:val="000000"/>
                <w:sz w:val="24"/>
                <w:szCs w:val="24"/>
              </w:rPr>
              <w:br/>
              <w:t>2014 =</w:t>
            </w:r>
            <w:r w:rsidRPr="001E7F52">
              <w:rPr>
                <w:rFonts w:ascii="Times New Roman" w:hAnsi="Times New Roman" w:cs="Times New Roman"/>
                <w:color w:val="000000"/>
                <w:sz w:val="24"/>
                <w:szCs w:val="24"/>
              </w:rPr>
              <w:br/>
              <w:t>100</w:t>
            </w:r>
          </w:p>
        </w:tc>
        <w:tc>
          <w:tcPr>
            <w:tcW w:w="1044" w:type="dxa"/>
            <w:vAlign w:val="center"/>
          </w:tcPr>
          <w:p w14:paraId="070FE6B0"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PBI</w:t>
            </w:r>
            <w:r w:rsidRPr="001E7F52">
              <w:rPr>
                <w:rFonts w:ascii="Times New Roman" w:hAnsi="Times New Roman" w:cs="Times New Roman"/>
                <w:color w:val="000000"/>
                <w:sz w:val="24"/>
                <w:szCs w:val="24"/>
              </w:rPr>
              <w:br/>
              <w:t>2014 =</w:t>
            </w:r>
            <w:r w:rsidRPr="001E7F52">
              <w:rPr>
                <w:rFonts w:ascii="Times New Roman" w:hAnsi="Times New Roman" w:cs="Times New Roman"/>
                <w:color w:val="000000"/>
                <w:sz w:val="24"/>
                <w:szCs w:val="24"/>
              </w:rPr>
              <w:br/>
              <w:t>100</w:t>
            </w:r>
          </w:p>
        </w:tc>
        <w:tc>
          <w:tcPr>
            <w:tcW w:w="1213" w:type="dxa"/>
            <w:vAlign w:val="center"/>
          </w:tcPr>
          <w:p w14:paraId="08119B59"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Gasto en UUNN/PBI</w:t>
            </w:r>
            <w:r w:rsidRPr="001E7F52">
              <w:rPr>
                <w:rFonts w:ascii="Times New Roman" w:hAnsi="Times New Roman" w:cs="Times New Roman"/>
                <w:color w:val="000000"/>
                <w:sz w:val="24"/>
                <w:szCs w:val="24"/>
              </w:rPr>
              <w:br/>
              <w:t>2014 =100</w:t>
            </w:r>
          </w:p>
        </w:tc>
        <w:tc>
          <w:tcPr>
            <w:tcW w:w="1134" w:type="dxa"/>
            <w:vAlign w:val="center"/>
          </w:tcPr>
          <w:p w14:paraId="26815BA8"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Gasto Por Alumno</w:t>
            </w:r>
            <w:r w:rsidRPr="001E7F52">
              <w:rPr>
                <w:rFonts w:ascii="Times New Roman" w:hAnsi="Times New Roman" w:cs="Times New Roman"/>
                <w:color w:val="000000"/>
                <w:sz w:val="24"/>
                <w:szCs w:val="24"/>
              </w:rPr>
              <w:br/>
              <w:t>2014=100</w:t>
            </w:r>
          </w:p>
        </w:tc>
      </w:tr>
      <w:tr w:rsidR="003867D4" w:rsidRPr="001E7F52" w14:paraId="74846AF8" w14:textId="77777777" w:rsidTr="001264D7">
        <w:tc>
          <w:tcPr>
            <w:tcW w:w="1043" w:type="dxa"/>
            <w:vAlign w:val="center"/>
          </w:tcPr>
          <w:p w14:paraId="3BD8D23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2014</w:t>
            </w:r>
          </w:p>
        </w:tc>
        <w:tc>
          <w:tcPr>
            <w:tcW w:w="1296" w:type="dxa"/>
            <w:vAlign w:val="center"/>
          </w:tcPr>
          <w:p w14:paraId="0806975A"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1.416.123 </w:t>
            </w:r>
          </w:p>
        </w:tc>
        <w:tc>
          <w:tcPr>
            <w:tcW w:w="1119" w:type="dxa"/>
            <w:vAlign w:val="center"/>
          </w:tcPr>
          <w:p w14:paraId="7FE910B6"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-2,5</w:t>
            </w:r>
          </w:p>
        </w:tc>
        <w:tc>
          <w:tcPr>
            <w:tcW w:w="1064" w:type="dxa"/>
            <w:vAlign w:val="center"/>
          </w:tcPr>
          <w:p w14:paraId="2B331F16"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sz w:val="24"/>
                <w:szCs w:val="24"/>
              </w:rPr>
              <w:t>0,82</w:t>
            </w:r>
          </w:p>
        </w:tc>
        <w:tc>
          <w:tcPr>
            <w:tcW w:w="1296" w:type="dxa"/>
            <w:vAlign w:val="center"/>
          </w:tcPr>
          <w:p w14:paraId="633C6A54"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100 </w:t>
            </w:r>
          </w:p>
        </w:tc>
        <w:tc>
          <w:tcPr>
            <w:tcW w:w="1044" w:type="dxa"/>
            <w:vAlign w:val="center"/>
          </w:tcPr>
          <w:p w14:paraId="1FC80277"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100</w:t>
            </w:r>
          </w:p>
        </w:tc>
        <w:tc>
          <w:tcPr>
            <w:tcW w:w="1213" w:type="dxa"/>
            <w:vAlign w:val="center"/>
          </w:tcPr>
          <w:p w14:paraId="571362ED"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100</w:t>
            </w:r>
          </w:p>
        </w:tc>
        <w:tc>
          <w:tcPr>
            <w:tcW w:w="1134" w:type="dxa"/>
            <w:vAlign w:val="center"/>
          </w:tcPr>
          <w:p w14:paraId="1DC6F3D1"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100</w:t>
            </w:r>
          </w:p>
        </w:tc>
      </w:tr>
      <w:tr w:rsidR="003867D4" w:rsidRPr="001E7F52" w14:paraId="612F06C8" w14:textId="77777777" w:rsidTr="001264D7">
        <w:tc>
          <w:tcPr>
            <w:tcW w:w="1043" w:type="dxa"/>
            <w:vAlign w:val="center"/>
          </w:tcPr>
          <w:p w14:paraId="1708A854"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2015</w:t>
            </w:r>
          </w:p>
        </w:tc>
        <w:tc>
          <w:tcPr>
            <w:tcW w:w="1296" w:type="dxa"/>
            <w:vAlign w:val="center"/>
          </w:tcPr>
          <w:p w14:paraId="422E5849"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1.452.081 </w:t>
            </w:r>
          </w:p>
        </w:tc>
        <w:tc>
          <w:tcPr>
            <w:tcW w:w="1119" w:type="dxa"/>
            <w:vAlign w:val="center"/>
          </w:tcPr>
          <w:p w14:paraId="06FDC416"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2,7</w:t>
            </w:r>
          </w:p>
        </w:tc>
        <w:tc>
          <w:tcPr>
            <w:tcW w:w="1064" w:type="dxa"/>
            <w:vAlign w:val="center"/>
          </w:tcPr>
          <w:p w14:paraId="5058321E"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sz w:val="24"/>
                <w:szCs w:val="24"/>
              </w:rPr>
              <w:t>0,87</w:t>
            </w:r>
          </w:p>
        </w:tc>
        <w:tc>
          <w:tcPr>
            <w:tcW w:w="1296" w:type="dxa"/>
            <w:vAlign w:val="center"/>
          </w:tcPr>
          <w:p w14:paraId="62879697"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103 </w:t>
            </w:r>
          </w:p>
        </w:tc>
        <w:tc>
          <w:tcPr>
            <w:tcW w:w="1044" w:type="dxa"/>
            <w:vAlign w:val="center"/>
          </w:tcPr>
          <w:p w14:paraId="06A91C11"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103</w:t>
            </w:r>
          </w:p>
        </w:tc>
        <w:tc>
          <w:tcPr>
            <w:tcW w:w="1213" w:type="dxa"/>
            <w:vAlign w:val="center"/>
          </w:tcPr>
          <w:p w14:paraId="20A6594C"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105</w:t>
            </w:r>
          </w:p>
        </w:tc>
        <w:tc>
          <w:tcPr>
            <w:tcW w:w="1134" w:type="dxa"/>
            <w:vAlign w:val="center"/>
          </w:tcPr>
          <w:p w14:paraId="28BC7707"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106</w:t>
            </w:r>
          </w:p>
        </w:tc>
      </w:tr>
      <w:tr w:rsidR="003867D4" w:rsidRPr="001E7F52" w14:paraId="2EDD44C2" w14:textId="77777777" w:rsidTr="001264D7">
        <w:tc>
          <w:tcPr>
            <w:tcW w:w="1043" w:type="dxa"/>
            <w:vAlign w:val="center"/>
          </w:tcPr>
          <w:p w14:paraId="64240C2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2016</w:t>
            </w:r>
          </w:p>
        </w:tc>
        <w:tc>
          <w:tcPr>
            <w:tcW w:w="1296" w:type="dxa"/>
            <w:vAlign w:val="center"/>
          </w:tcPr>
          <w:p w14:paraId="55F445A2"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1.487.432 </w:t>
            </w:r>
          </w:p>
        </w:tc>
        <w:tc>
          <w:tcPr>
            <w:tcW w:w="1119" w:type="dxa"/>
            <w:vAlign w:val="center"/>
          </w:tcPr>
          <w:p w14:paraId="17203A89"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-2,0</w:t>
            </w:r>
          </w:p>
        </w:tc>
        <w:tc>
          <w:tcPr>
            <w:tcW w:w="1064" w:type="dxa"/>
            <w:vAlign w:val="center"/>
          </w:tcPr>
          <w:p w14:paraId="4A7255B6"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sz w:val="24"/>
                <w:szCs w:val="24"/>
              </w:rPr>
              <w:t>0,81</w:t>
            </w:r>
          </w:p>
        </w:tc>
        <w:tc>
          <w:tcPr>
            <w:tcW w:w="1296" w:type="dxa"/>
            <w:vAlign w:val="center"/>
          </w:tcPr>
          <w:p w14:paraId="1F4F0CF2"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105</w:t>
            </w:r>
          </w:p>
        </w:tc>
        <w:tc>
          <w:tcPr>
            <w:tcW w:w="1044" w:type="dxa"/>
            <w:vAlign w:val="center"/>
          </w:tcPr>
          <w:p w14:paraId="36B073FC"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101</w:t>
            </w:r>
          </w:p>
        </w:tc>
        <w:tc>
          <w:tcPr>
            <w:tcW w:w="1213" w:type="dxa"/>
            <w:vAlign w:val="center"/>
          </w:tcPr>
          <w:p w14:paraId="2A5E5CBF"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98</w:t>
            </w:r>
          </w:p>
        </w:tc>
        <w:tc>
          <w:tcPr>
            <w:tcW w:w="1134" w:type="dxa"/>
            <w:vAlign w:val="center"/>
          </w:tcPr>
          <w:p w14:paraId="0118C8D5"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94</w:t>
            </w:r>
          </w:p>
        </w:tc>
      </w:tr>
      <w:tr w:rsidR="003867D4" w:rsidRPr="001E7F52" w14:paraId="4FECBC02" w14:textId="77777777" w:rsidTr="001264D7">
        <w:tc>
          <w:tcPr>
            <w:tcW w:w="1043" w:type="dxa"/>
            <w:vAlign w:val="center"/>
          </w:tcPr>
          <w:p w14:paraId="79A394D9"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2017</w:t>
            </w:r>
          </w:p>
        </w:tc>
        <w:tc>
          <w:tcPr>
            <w:tcW w:w="1296" w:type="dxa"/>
            <w:vAlign w:val="center"/>
          </w:tcPr>
          <w:p w14:paraId="13925464"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1.549.568 </w:t>
            </w:r>
          </w:p>
        </w:tc>
        <w:tc>
          <w:tcPr>
            <w:tcW w:w="1119" w:type="dxa"/>
            <w:vAlign w:val="center"/>
          </w:tcPr>
          <w:p w14:paraId="6FBC2C75"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2,8</w:t>
            </w:r>
          </w:p>
        </w:tc>
        <w:tc>
          <w:tcPr>
            <w:tcW w:w="1064" w:type="dxa"/>
            <w:vAlign w:val="center"/>
          </w:tcPr>
          <w:p w14:paraId="2102842F"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sz w:val="24"/>
                <w:szCs w:val="24"/>
              </w:rPr>
              <w:t>0,85</w:t>
            </w:r>
          </w:p>
        </w:tc>
        <w:tc>
          <w:tcPr>
            <w:tcW w:w="1296" w:type="dxa"/>
            <w:vAlign w:val="center"/>
          </w:tcPr>
          <w:p w14:paraId="7895C654"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109 </w:t>
            </w:r>
          </w:p>
        </w:tc>
        <w:tc>
          <w:tcPr>
            <w:tcW w:w="1044" w:type="dxa"/>
            <w:vAlign w:val="center"/>
          </w:tcPr>
          <w:p w14:paraId="24E67AC1"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103</w:t>
            </w:r>
          </w:p>
        </w:tc>
        <w:tc>
          <w:tcPr>
            <w:tcW w:w="1213" w:type="dxa"/>
            <w:vAlign w:val="center"/>
          </w:tcPr>
          <w:p w14:paraId="390009DE"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103</w:t>
            </w:r>
          </w:p>
        </w:tc>
        <w:tc>
          <w:tcPr>
            <w:tcW w:w="1134" w:type="dxa"/>
            <w:vAlign w:val="center"/>
          </w:tcPr>
          <w:p w14:paraId="518755A0"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98</w:t>
            </w:r>
          </w:p>
        </w:tc>
      </w:tr>
      <w:tr w:rsidR="003867D4" w:rsidRPr="001E7F52" w14:paraId="57FDD7DC" w14:textId="77777777" w:rsidTr="001264D7">
        <w:tc>
          <w:tcPr>
            <w:tcW w:w="1043" w:type="dxa"/>
            <w:vAlign w:val="center"/>
          </w:tcPr>
          <w:p w14:paraId="47F56D3F"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2018</w:t>
            </w:r>
          </w:p>
        </w:tc>
        <w:tc>
          <w:tcPr>
            <w:tcW w:w="1296" w:type="dxa"/>
            <w:vAlign w:val="center"/>
          </w:tcPr>
          <w:p w14:paraId="2D6CDF88"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1.599.737 </w:t>
            </w:r>
          </w:p>
        </w:tc>
        <w:tc>
          <w:tcPr>
            <w:tcW w:w="1119" w:type="dxa"/>
            <w:vAlign w:val="center"/>
          </w:tcPr>
          <w:p w14:paraId="44C82F7C"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-2,6</w:t>
            </w:r>
          </w:p>
        </w:tc>
        <w:tc>
          <w:tcPr>
            <w:tcW w:w="1064" w:type="dxa"/>
            <w:vAlign w:val="center"/>
          </w:tcPr>
          <w:p w14:paraId="4ED28209"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sz w:val="24"/>
                <w:szCs w:val="24"/>
              </w:rPr>
              <w:t>0,75</w:t>
            </w:r>
          </w:p>
        </w:tc>
        <w:tc>
          <w:tcPr>
            <w:tcW w:w="1296" w:type="dxa"/>
            <w:vAlign w:val="center"/>
          </w:tcPr>
          <w:p w14:paraId="7CD372E0"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113 </w:t>
            </w:r>
          </w:p>
        </w:tc>
        <w:tc>
          <w:tcPr>
            <w:tcW w:w="1044" w:type="dxa"/>
            <w:vAlign w:val="center"/>
          </w:tcPr>
          <w:p w14:paraId="56EAF2E2"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101</w:t>
            </w:r>
          </w:p>
        </w:tc>
        <w:tc>
          <w:tcPr>
            <w:tcW w:w="1213" w:type="dxa"/>
            <w:vAlign w:val="center"/>
          </w:tcPr>
          <w:p w14:paraId="0E74BD84"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91</w:t>
            </w:r>
          </w:p>
        </w:tc>
        <w:tc>
          <w:tcPr>
            <w:tcW w:w="1134" w:type="dxa"/>
            <w:vAlign w:val="center"/>
          </w:tcPr>
          <w:p w14:paraId="2F973CA2"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81</w:t>
            </w:r>
          </w:p>
        </w:tc>
      </w:tr>
      <w:tr w:rsidR="003867D4" w:rsidRPr="001E7F52" w14:paraId="00983CB4" w14:textId="77777777" w:rsidTr="001264D7">
        <w:tc>
          <w:tcPr>
            <w:tcW w:w="1043" w:type="dxa"/>
            <w:vAlign w:val="center"/>
          </w:tcPr>
          <w:p w14:paraId="404EF7ED"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2019</w:t>
            </w:r>
          </w:p>
        </w:tc>
        <w:tc>
          <w:tcPr>
            <w:tcW w:w="1296" w:type="dxa"/>
            <w:vAlign w:val="center"/>
          </w:tcPr>
          <w:p w14:paraId="308A133E"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1.701.438 </w:t>
            </w:r>
          </w:p>
        </w:tc>
        <w:tc>
          <w:tcPr>
            <w:tcW w:w="1119" w:type="dxa"/>
            <w:vAlign w:val="center"/>
          </w:tcPr>
          <w:p w14:paraId="3C110AB0"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-2,1</w:t>
            </w:r>
          </w:p>
        </w:tc>
        <w:tc>
          <w:tcPr>
            <w:tcW w:w="1064" w:type="dxa"/>
            <w:vAlign w:val="center"/>
          </w:tcPr>
          <w:p w14:paraId="74D3E19E"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sz w:val="24"/>
                <w:szCs w:val="24"/>
              </w:rPr>
              <w:t>0,70</w:t>
            </w:r>
          </w:p>
        </w:tc>
        <w:tc>
          <w:tcPr>
            <w:tcW w:w="1296" w:type="dxa"/>
            <w:vAlign w:val="center"/>
          </w:tcPr>
          <w:p w14:paraId="7F8368E0"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120 </w:t>
            </w:r>
          </w:p>
        </w:tc>
        <w:tc>
          <w:tcPr>
            <w:tcW w:w="1044" w:type="dxa"/>
            <w:vAlign w:val="center"/>
          </w:tcPr>
          <w:p w14:paraId="6F5B4A97"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99</w:t>
            </w:r>
          </w:p>
        </w:tc>
        <w:tc>
          <w:tcPr>
            <w:tcW w:w="1213" w:type="dxa"/>
            <w:vAlign w:val="center"/>
          </w:tcPr>
          <w:p w14:paraId="1C496E61"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85</w:t>
            </w:r>
          </w:p>
        </w:tc>
        <w:tc>
          <w:tcPr>
            <w:tcW w:w="1134" w:type="dxa"/>
            <w:vAlign w:val="center"/>
          </w:tcPr>
          <w:p w14:paraId="481C4BE4"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70</w:t>
            </w:r>
          </w:p>
        </w:tc>
      </w:tr>
      <w:tr w:rsidR="003867D4" w:rsidRPr="001E7F52" w14:paraId="684679A6" w14:textId="77777777" w:rsidTr="001264D7">
        <w:tc>
          <w:tcPr>
            <w:tcW w:w="1043" w:type="dxa"/>
            <w:vAlign w:val="center"/>
          </w:tcPr>
          <w:p w14:paraId="6B5D74D1"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2020</w:t>
            </w:r>
          </w:p>
        </w:tc>
        <w:tc>
          <w:tcPr>
            <w:tcW w:w="1296" w:type="dxa"/>
            <w:vAlign w:val="center"/>
          </w:tcPr>
          <w:p w14:paraId="7B57754D"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1.812.233 </w:t>
            </w:r>
          </w:p>
        </w:tc>
        <w:tc>
          <w:tcPr>
            <w:tcW w:w="1119" w:type="dxa"/>
            <w:vAlign w:val="center"/>
          </w:tcPr>
          <w:p w14:paraId="653C0E9F"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-9,9</w:t>
            </w:r>
          </w:p>
        </w:tc>
        <w:tc>
          <w:tcPr>
            <w:tcW w:w="1064" w:type="dxa"/>
            <w:vAlign w:val="center"/>
          </w:tcPr>
          <w:p w14:paraId="4C09C925"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sz w:val="24"/>
                <w:szCs w:val="24"/>
              </w:rPr>
              <w:t>0,76</w:t>
            </w:r>
          </w:p>
        </w:tc>
        <w:tc>
          <w:tcPr>
            <w:tcW w:w="1296" w:type="dxa"/>
            <w:vAlign w:val="center"/>
          </w:tcPr>
          <w:p w14:paraId="2E76730C"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128 </w:t>
            </w:r>
          </w:p>
        </w:tc>
        <w:tc>
          <w:tcPr>
            <w:tcW w:w="1044" w:type="dxa"/>
            <w:vAlign w:val="center"/>
          </w:tcPr>
          <w:p w14:paraId="11286EB3"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89</w:t>
            </w:r>
          </w:p>
        </w:tc>
        <w:tc>
          <w:tcPr>
            <w:tcW w:w="1213" w:type="dxa"/>
            <w:vAlign w:val="center"/>
          </w:tcPr>
          <w:p w14:paraId="572B8C9D"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93</w:t>
            </w:r>
          </w:p>
        </w:tc>
        <w:tc>
          <w:tcPr>
            <w:tcW w:w="1134" w:type="dxa"/>
            <w:vAlign w:val="center"/>
          </w:tcPr>
          <w:p w14:paraId="3CBE36BB"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65</w:t>
            </w:r>
          </w:p>
        </w:tc>
      </w:tr>
      <w:tr w:rsidR="003867D4" w:rsidRPr="001E7F52" w14:paraId="0729E085" w14:textId="77777777" w:rsidTr="001264D7">
        <w:tc>
          <w:tcPr>
            <w:tcW w:w="1043" w:type="dxa"/>
            <w:vAlign w:val="center"/>
          </w:tcPr>
          <w:p w14:paraId="72B5CDB6"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2021</w:t>
            </w:r>
          </w:p>
        </w:tc>
        <w:tc>
          <w:tcPr>
            <w:tcW w:w="1296" w:type="dxa"/>
            <w:vAlign w:val="center"/>
          </w:tcPr>
          <w:p w14:paraId="43A1BB59"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1.989.612 </w:t>
            </w:r>
          </w:p>
        </w:tc>
        <w:tc>
          <w:tcPr>
            <w:tcW w:w="1119" w:type="dxa"/>
            <w:vAlign w:val="center"/>
          </w:tcPr>
          <w:p w14:paraId="2E9D2577"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10,4</w:t>
            </w:r>
          </w:p>
        </w:tc>
        <w:tc>
          <w:tcPr>
            <w:tcW w:w="1064" w:type="dxa"/>
            <w:vAlign w:val="center"/>
          </w:tcPr>
          <w:p w14:paraId="5DB321CB"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sz w:val="24"/>
                <w:szCs w:val="24"/>
              </w:rPr>
              <w:t>0,68</w:t>
            </w:r>
          </w:p>
        </w:tc>
        <w:tc>
          <w:tcPr>
            <w:tcW w:w="1296" w:type="dxa"/>
            <w:vAlign w:val="center"/>
          </w:tcPr>
          <w:p w14:paraId="3C24413D"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140 </w:t>
            </w:r>
          </w:p>
        </w:tc>
        <w:tc>
          <w:tcPr>
            <w:tcW w:w="1044" w:type="dxa"/>
            <w:vAlign w:val="center"/>
          </w:tcPr>
          <w:p w14:paraId="55E7887E"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98</w:t>
            </w:r>
          </w:p>
        </w:tc>
        <w:tc>
          <w:tcPr>
            <w:tcW w:w="1213" w:type="dxa"/>
            <w:vAlign w:val="center"/>
          </w:tcPr>
          <w:p w14:paraId="2E6C209E"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83</w:t>
            </w:r>
          </w:p>
        </w:tc>
        <w:tc>
          <w:tcPr>
            <w:tcW w:w="1134" w:type="dxa"/>
            <w:vAlign w:val="center"/>
          </w:tcPr>
          <w:p w14:paraId="052C14E2"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58</w:t>
            </w:r>
          </w:p>
        </w:tc>
      </w:tr>
      <w:tr w:rsidR="003867D4" w:rsidRPr="001E7F52" w14:paraId="1225BED2" w14:textId="77777777" w:rsidTr="001264D7">
        <w:tc>
          <w:tcPr>
            <w:tcW w:w="1043" w:type="dxa"/>
            <w:vAlign w:val="center"/>
          </w:tcPr>
          <w:p w14:paraId="6C970D8E"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2022</w:t>
            </w:r>
          </w:p>
        </w:tc>
        <w:tc>
          <w:tcPr>
            <w:tcW w:w="1296" w:type="dxa"/>
            <w:vAlign w:val="center"/>
          </w:tcPr>
          <w:p w14:paraId="79EFE61C"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1.955.107 </w:t>
            </w:r>
          </w:p>
        </w:tc>
        <w:tc>
          <w:tcPr>
            <w:tcW w:w="1119" w:type="dxa"/>
            <w:vAlign w:val="center"/>
          </w:tcPr>
          <w:p w14:paraId="035BC52C"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5,3</w:t>
            </w:r>
          </w:p>
        </w:tc>
        <w:tc>
          <w:tcPr>
            <w:tcW w:w="1064" w:type="dxa"/>
            <w:vAlign w:val="center"/>
          </w:tcPr>
          <w:p w14:paraId="72A7EC58"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sz w:val="24"/>
                <w:szCs w:val="24"/>
              </w:rPr>
              <w:t>0,68</w:t>
            </w:r>
          </w:p>
        </w:tc>
        <w:tc>
          <w:tcPr>
            <w:tcW w:w="1296" w:type="dxa"/>
            <w:vAlign w:val="center"/>
          </w:tcPr>
          <w:p w14:paraId="2F22D120"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138 </w:t>
            </w:r>
          </w:p>
        </w:tc>
        <w:tc>
          <w:tcPr>
            <w:tcW w:w="1044" w:type="dxa"/>
            <w:vAlign w:val="center"/>
          </w:tcPr>
          <w:p w14:paraId="65BD747E"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103</w:t>
            </w:r>
          </w:p>
        </w:tc>
        <w:tc>
          <w:tcPr>
            <w:tcW w:w="1213" w:type="dxa"/>
            <w:vAlign w:val="center"/>
          </w:tcPr>
          <w:p w14:paraId="302AE4A2"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83</w:t>
            </w:r>
          </w:p>
        </w:tc>
        <w:tc>
          <w:tcPr>
            <w:tcW w:w="1134" w:type="dxa"/>
            <w:vAlign w:val="center"/>
          </w:tcPr>
          <w:p w14:paraId="7891F30A"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62</w:t>
            </w:r>
          </w:p>
        </w:tc>
      </w:tr>
      <w:tr w:rsidR="003867D4" w:rsidRPr="001E7F52" w14:paraId="4D73044C" w14:textId="77777777" w:rsidTr="001264D7">
        <w:tc>
          <w:tcPr>
            <w:tcW w:w="1043" w:type="dxa"/>
            <w:vAlign w:val="center"/>
          </w:tcPr>
          <w:p w14:paraId="4D163F40"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2023</w:t>
            </w:r>
          </w:p>
        </w:tc>
        <w:tc>
          <w:tcPr>
            <w:tcW w:w="1296" w:type="dxa"/>
            <w:vAlign w:val="center"/>
          </w:tcPr>
          <w:p w14:paraId="69856698"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1.932.311</w:t>
            </w:r>
          </w:p>
        </w:tc>
        <w:tc>
          <w:tcPr>
            <w:tcW w:w="1119" w:type="dxa"/>
            <w:vAlign w:val="center"/>
          </w:tcPr>
          <w:p w14:paraId="3DBDC816"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-2,0</w:t>
            </w:r>
          </w:p>
        </w:tc>
        <w:tc>
          <w:tcPr>
            <w:tcW w:w="1064" w:type="dxa"/>
            <w:vAlign w:val="center"/>
          </w:tcPr>
          <w:p w14:paraId="34B1B8ED"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sz w:val="24"/>
                <w:szCs w:val="24"/>
              </w:rPr>
              <w:t>0,72</w:t>
            </w:r>
          </w:p>
        </w:tc>
        <w:tc>
          <w:tcPr>
            <w:tcW w:w="1296" w:type="dxa"/>
            <w:vAlign w:val="center"/>
          </w:tcPr>
          <w:p w14:paraId="21103A23"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136 </w:t>
            </w:r>
          </w:p>
        </w:tc>
        <w:tc>
          <w:tcPr>
            <w:tcW w:w="1044" w:type="dxa"/>
            <w:vAlign w:val="center"/>
          </w:tcPr>
          <w:p w14:paraId="0693029F"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103</w:t>
            </w:r>
          </w:p>
        </w:tc>
        <w:tc>
          <w:tcPr>
            <w:tcW w:w="1213" w:type="dxa"/>
            <w:vAlign w:val="center"/>
          </w:tcPr>
          <w:p w14:paraId="50D84030"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88</w:t>
            </w:r>
          </w:p>
        </w:tc>
        <w:tc>
          <w:tcPr>
            <w:tcW w:w="1134" w:type="dxa"/>
            <w:vAlign w:val="center"/>
          </w:tcPr>
          <w:p w14:paraId="132354A5"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66</w:t>
            </w:r>
          </w:p>
        </w:tc>
      </w:tr>
      <w:tr w:rsidR="003867D4" w:rsidRPr="001E7F52" w14:paraId="4F86B1CF" w14:textId="77777777" w:rsidTr="001264D7">
        <w:tc>
          <w:tcPr>
            <w:tcW w:w="1043" w:type="dxa"/>
            <w:vAlign w:val="center"/>
          </w:tcPr>
          <w:p w14:paraId="5078C6F4" w14:textId="77777777" w:rsidR="003867D4" w:rsidRPr="001E7F52" w:rsidRDefault="003867D4" w:rsidP="001264D7">
            <w:pPr>
              <w:jc w:val="center"/>
              <w:rPr>
                <w:rFonts w:ascii="Times New Roman" w:hAnsi="Times New Roman" w:cs="Times New Roman"/>
                <w:sz w:val="24"/>
                <w:szCs w:val="24"/>
              </w:rPr>
            </w:pPr>
            <w:r w:rsidRPr="001E7F52">
              <w:rPr>
                <w:rFonts w:ascii="Times New Roman" w:hAnsi="Times New Roman" w:cs="Times New Roman"/>
                <w:color w:val="000000"/>
                <w:sz w:val="24"/>
                <w:szCs w:val="24"/>
              </w:rPr>
              <w:t>2024</w:t>
            </w:r>
          </w:p>
        </w:tc>
        <w:tc>
          <w:tcPr>
            <w:tcW w:w="1296" w:type="dxa"/>
            <w:vAlign w:val="center"/>
          </w:tcPr>
          <w:p w14:paraId="44755555"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1.932.311 </w:t>
            </w:r>
          </w:p>
        </w:tc>
        <w:tc>
          <w:tcPr>
            <w:tcW w:w="1119" w:type="dxa"/>
            <w:vAlign w:val="center"/>
          </w:tcPr>
          <w:p w14:paraId="64577DC9"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-1,7</w:t>
            </w:r>
          </w:p>
        </w:tc>
        <w:tc>
          <w:tcPr>
            <w:tcW w:w="1064" w:type="dxa"/>
            <w:vAlign w:val="center"/>
          </w:tcPr>
          <w:p w14:paraId="0B81750B"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sz w:val="24"/>
                <w:szCs w:val="24"/>
              </w:rPr>
              <w:t>0,51</w:t>
            </w:r>
          </w:p>
        </w:tc>
        <w:tc>
          <w:tcPr>
            <w:tcW w:w="1296" w:type="dxa"/>
            <w:vAlign w:val="center"/>
          </w:tcPr>
          <w:p w14:paraId="0073E57E"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 xml:space="preserve">136 </w:t>
            </w:r>
          </w:p>
        </w:tc>
        <w:tc>
          <w:tcPr>
            <w:tcW w:w="1044" w:type="dxa"/>
            <w:vAlign w:val="center"/>
          </w:tcPr>
          <w:p w14:paraId="7937B29D"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102</w:t>
            </w:r>
          </w:p>
        </w:tc>
        <w:tc>
          <w:tcPr>
            <w:tcW w:w="1213" w:type="dxa"/>
            <w:vAlign w:val="center"/>
          </w:tcPr>
          <w:p w14:paraId="68CC38CE"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62</w:t>
            </w:r>
          </w:p>
        </w:tc>
        <w:tc>
          <w:tcPr>
            <w:tcW w:w="1134" w:type="dxa"/>
            <w:vAlign w:val="center"/>
          </w:tcPr>
          <w:p w14:paraId="7DAC214E" w14:textId="77777777" w:rsidR="003867D4" w:rsidRPr="001E7F52" w:rsidRDefault="003867D4" w:rsidP="001264D7">
            <w:pPr>
              <w:jc w:val="right"/>
              <w:rPr>
                <w:rFonts w:ascii="Times New Roman" w:hAnsi="Times New Roman" w:cs="Times New Roman"/>
                <w:sz w:val="24"/>
                <w:szCs w:val="24"/>
              </w:rPr>
            </w:pPr>
            <w:r w:rsidRPr="001E7F52">
              <w:rPr>
                <w:rFonts w:ascii="Times New Roman" w:hAnsi="Times New Roman" w:cs="Times New Roman"/>
                <w:color w:val="000000"/>
                <w:sz w:val="24"/>
                <w:szCs w:val="24"/>
              </w:rPr>
              <w:t>46</w:t>
            </w:r>
          </w:p>
        </w:tc>
      </w:tr>
    </w:tbl>
    <w:p w14:paraId="7D60316E" w14:textId="77777777" w:rsidR="003867D4" w:rsidRPr="001E7F52" w:rsidRDefault="003867D4" w:rsidP="003867D4">
      <w:pPr>
        <w:spacing w:after="0" w:line="240" w:lineRule="auto"/>
        <w:jc w:val="both"/>
        <w:rPr>
          <w:rFonts w:ascii="Times New Roman" w:hAnsi="Times New Roman" w:cs="Times New Roman"/>
        </w:rPr>
      </w:pPr>
      <w:r w:rsidRPr="001E7F52">
        <w:rPr>
          <w:rFonts w:ascii="Times New Roman" w:hAnsi="Times New Roman" w:cs="Times New Roman"/>
        </w:rPr>
        <w:t>Fuente: elaboración propia en base a datos de la base de los Anuarios de Estadísticas Universitarias 2023-DIU-SSPU- Secretaría de Educación y de Serie de PBI-INDEC- Ministerio de Economía.</w:t>
      </w:r>
    </w:p>
    <w:p w14:paraId="6E5543FE" w14:textId="77777777" w:rsidR="003867D4" w:rsidRPr="001E7F52" w:rsidRDefault="003867D4" w:rsidP="003867D4">
      <w:pPr>
        <w:spacing w:after="0" w:line="240" w:lineRule="auto"/>
        <w:jc w:val="both"/>
        <w:rPr>
          <w:rFonts w:ascii="Times New Roman" w:hAnsi="Times New Roman" w:cs="Times New Roman"/>
        </w:rPr>
      </w:pPr>
      <w:r w:rsidRPr="001E7F52">
        <w:rPr>
          <w:rFonts w:ascii="Times New Roman" w:hAnsi="Times New Roman" w:cs="Times New Roman"/>
        </w:rPr>
        <w:t>Aclaración: alumnos 2024 replica el dato de 2023 porque aún no está la información actualizada.</w:t>
      </w:r>
    </w:p>
    <w:p w14:paraId="581E4B00" w14:textId="77777777" w:rsidR="003867D4" w:rsidRDefault="003867D4" w:rsidP="003867D4">
      <w:pPr>
        <w:spacing w:line="240" w:lineRule="auto"/>
        <w:rPr>
          <w:rFonts w:ascii="Times New Roman" w:hAnsi="Times New Roman" w:cs="Times New Roman"/>
          <w:b/>
          <w:bCs/>
        </w:rPr>
      </w:pPr>
      <w:r>
        <w:rPr>
          <w:rFonts w:ascii="Times New Roman" w:hAnsi="Times New Roman" w:cs="Times New Roman"/>
          <w:b/>
          <w:bCs/>
        </w:rPr>
        <w:br w:type="page"/>
      </w:r>
    </w:p>
    <w:p w14:paraId="39B57161" w14:textId="1A3A442E"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lastRenderedPageBreak/>
        <w:t>Referencias Bibliográficas</w:t>
      </w:r>
    </w:p>
    <w:p w14:paraId="6E616813"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 xml:space="preserve">Accotto, Alejandro, Martínez, Carlos, Mangas, Martín y Paparas, Ricardo (2018). </w:t>
      </w:r>
      <w:r w:rsidRPr="001E7F52">
        <w:rPr>
          <w:rFonts w:ascii="Times New Roman" w:hAnsi="Times New Roman" w:cs="Times New Roman"/>
          <w:i/>
          <w:iCs/>
        </w:rPr>
        <w:t>El financiamiento universitario en la Argentina</w:t>
      </w:r>
      <w:r w:rsidRPr="001E7F52">
        <w:rPr>
          <w:rFonts w:ascii="Times New Roman" w:hAnsi="Times New Roman" w:cs="Times New Roman"/>
        </w:rPr>
        <w:t>. Buenos Aires: IEC-CONADU.</w:t>
      </w:r>
    </w:p>
    <w:p w14:paraId="29E2883B"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 xml:space="preserve">Becerra, Marcelo, Cetrángolo, Oscar, Curcio, Javier y Jiménez, Juan Pablo (2003). </w:t>
      </w:r>
      <w:r w:rsidRPr="001E7F52">
        <w:rPr>
          <w:rFonts w:ascii="Times New Roman" w:hAnsi="Times New Roman" w:cs="Times New Roman"/>
          <w:i/>
          <w:iCs/>
        </w:rPr>
        <w:t>El gasto público universitario en la Argentina</w:t>
      </w:r>
      <w:r w:rsidRPr="001E7F52">
        <w:rPr>
          <w:rFonts w:ascii="Times New Roman" w:hAnsi="Times New Roman" w:cs="Times New Roman"/>
        </w:rPr>
        <w:t>. Washington, D.C.: Oficina del Banco Mundial.</w:t>
      </w:r>
    </w:p>
    <w:p w14:paraId="7291057D"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 xml:space="preserve">Cetrángolo, Oscar y Curcio, Javier (2017). </w:t>
      </w:r>
      <w:r w:rsidRPr="001E7F52">
        <w:rPr>
          <w:rFonts w:ascii="Times New Roman" w:hAnsi="Times New Roman" w:cs="Times New Roman"/>
          <w:i/>
          <w:iCs/>
        </w:rPr>
        <w:t>El gasto de las universidades públicas nacionales</w:t>
      </w:r>
      <w:r w:rsidRPr="001E7F52">
        <w:rPr>
          <w:rFonts w:ascii="Times New Roman" w:hAnsi="Times New Roman" w:cs="Times New Roman"/>
        </w:rPr>
        <w:t>. Buenos Aires: Centro de Estudios para el Cambio Estructural.</w:t>
      </w:r>
    </w:p>
    <w:p w14:paraId="408C863E"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 xml:space="preserve">Claus, A. y Bucciarelli, M. E. (2020). </w:t>
      </w:r>
      <w:r w:rsidRPr="001E7F52">
        <w:rPr>
          <w:rFonts w:ascii="Times New Roman" w:hAnsi="Times New Roman" w:cs="Times New Roman"/>
          <w:i/>
          <w:iCs/>
        </w:rPr>
        <w:t>El financiamiento educativo en Argentina. El desafío de la equidad bajo un esquema federal.</w:t>
      </w:r>
      <w:r w:rsidRPr="001E7F52">
        <w:rPr>
          <w:rFonts w:ascii="Times New Roman" w:hAnsi="Times New Roman" w:cs="Times New Roman"/>
        </w:rPr>
        <w:t xml:space="preserve"> CIPPEC. Documento de Trabajo N° 194.</w:t>
      </w:r>
    </w:p>
    <w:p w14:paraId="6A06DFD9"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 xml:space="preserve">Consejo Interuniversitario Nacional (2020). </w:t>
      </w:r>
      <w:r w:rsidRPr="001E7F52">
        <w:rPr>
          <w:rFonts w:ascii="Times New Roman" w:hAnsi="Times New Roman" w:cs="Times New Roman"/>
          <w:i/>
          <w:iCs/>
        </w:rPr>
        <w:t>Modelo de asignación presupuestaria. Texto Unificado</w:t>
      </w:r>
      <w:r w:rsidRPr="001E7F52">
        <w:rPr>
          <w:rFonts w:ascii="Times New Roman" w:hAnsi="Times New Roman" w:cs="Times New Roman"/>
        </w:rPr>
        <w:t>. Buenos Aires: CIN.</w:t>
      </w:r>
    </w:p>
    <w:p w14:paraId="24C6742E"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 xml:space="preserve">Doberti, Juan Ignacio (2018). </w:t>
      </w:r>
      <w:r w:rsidRPr="001E7F52">
        <w:rPr>
          <w:rFonts w:ascii="Times New Roman" w:hAnsi="Times New Roman" w:cs="Times New Roman"/>
          <w:i/>
          <w:iCs/>
        </w:rPr>
        <w:t>La organización académica en la universidad</w:t>
      </w:r>
      <w:r w:rsidRPr="001E7F52">
        <w:rPr>
          <w:rFonts w:ascii="Times New Roman" w:hAnsi="Times New Roman" w:cs="Times New Roman"/>
        </w:rPr>
        <w:t>. Buenos Aires: EUDEBA.</w:t>
      </w:r>
    </w:p>
    <w:p w14:paraId="6C63D536"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 xml:space="preserve">Doberti, Juan Ignacio (2020). La eficiencia interna en las universidades nacionales. En C. Marquís (ed.) </w:t>
      </w:r>
      <w:r w:rsidRPr="001E7F52">
        <w:rPr>
          <w:rFonts w:ascii="Times New Roman" w:hAnsi="Times New Roman" w:cs="Times New Roman"/>
          <w:i/>
          <w:iCs/>
        </w:rPr>
        <w:t>La Agenda Universitaria V. Criterios y Propuestas de Gestión y Políticas Universitarias</w:t>
      </w:r>
      <w:r w:rsidRPr="001E7F52">
        <w:rPr>
          <w:rFonts w:ascii="Times New Roman" w:hAnsi="Times New Roman" w:cs="Times New Roman"/>
        </w:rPr>
        <w:t>. Buenos Aires: Fundación Universidad de Palermo, Colección de Educación Superior.</w:t>
      </w:r>
    </w:p>
    <w:p w14:paraId="4CF763EA"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 xml:space="preserve">Doberti, Juan Ignacio (2023). Los Modelos de Pautas Presupuestarias para las Universidades Nacionales en el Período 1992-2020: Origen, Desarrollo y Perspectivas. En G. Riquelme (ed.) </w:t>
      </w:r>
      <w:r w:rsidRPr="001E7F52">
        <w:rPr>
          <w:rFonts w:ascii="Times New Roman" w:hAnsi="Times New Roman" w:cs="Times New Roman"/>
          <w:i/>
          <w:iCs/>
        </w:rPr>
        <w:t>La construcción del campo de la Economía de la Educación en Argentina</w:t>
      </w:r>
      <w:r w:rsidRPr="001E7F52">
        <w:rPr>
          <w:rFonts w:ascii="Times New Roman" w:hAnsi="Times New Roman" w:cs="Times New Roman"/>
        </w:rPr>
        <w:t>. Buenos Aires: EUDEBA.</w:t>
      </w:r>
    </w:p>
    <w:p w14:paraId="49C0E60B"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rPr>
        <w:t xml:space="preserve">Doberti, Juan Ignacio (2024). La inercia y el cambio en el presupuesto universitario argentino. </w:t>
      </w:r>
      <w:r w:rsidRPr="001E7F52">
        <w:rPr>
          <w:rFonts w:ascii="Times New Roman" w:hAnsi="Times New Roman" w:cs="Times New Roman"/>
          <w:i/>
          <w:iCs/>
        </w:rPr>
        <w:t>Revista de Economía Política de Buenos Aires (REPBA)</w:t>
      </w:r>
      <w:r w:rsidRPr="001E7F52">
        <w:rPr>
          <w:rFonts w:ascii="Times New Roman" w:hAnsi="Times New Roman" w:cs="Times New Roman"/>
        </w:rPr>
        <w:t>. Buenos Aires: Instituto Interdisciplinario de Economía Política, Facultad de Ciencias Económicas, UBA.</w:t>
      </w:r>
    </w:p>
    <w:p w14:paraId="08460C44" w14:textId="77777777" w:rsidR="003867D4" w:rsidRPr="001E7F52" w:rsidRDefault="003867D4" w:rsidP="003867D4">
      <w:pPr>
        <w:spacing w:line="240" w:lineRule="auto"/>
        <w:jc w:val="both"/>
        <w:rPr>
          <w:rFonts w:ascii="Times New Roman" w:hAnsi="Times New Roman" w:cs="Times New Roman"/>
          <w:lang w:val="en-US"/>
        </w:rPr>
      </w:pPr>
      <w:r w:rsidRPr="001E7F52">
        <w:rPr>
          <w:rFonts w:ascii="Times New Roman" w:hAnsi="Times New Roman" w:cs="Times New Roman"/>
        </w:rPr>
        <w:t xml:space="preserve">García Fanelli, Ana (2005). </w:t>
      </w:r>
      <w:r w:rsidRPr="001E7F52">
        <w:rPr>
          <w:rFonts w:ascii="Times New Roman" w:hAnsi="Times New Roman" w:cs="Times New Roman"/>
          <w:i/>
          <w:iCs/>
        </w:rPr>
        <w:t>Universidad, organización e incentivos. Desafío de la política de financiamiento frente a la complejidad institucional</w:t>
      </w:r>
      <w:r w:rsidRPr="001E7F52">
        <w:rPr>
          <w:rFonts w:ascii="Times New Roman" w:hAnsi="Times New Roman" w:cs="Times New Roman"/>
        </w:rPr>
        <w:t xml:space="preserve">. </w:t>
      </w:r>
      <w:r w:rsidRPr="001E7F52">
        <w:rPr>
          <w:rFonts w:ascii="Times New Roman" w:hAnsi="Times New Roman" w:cs="Times New Roman"/>
          <w:lang w:val="en-US"/>
        </w:rPr>
        <w:t>Buenos Aires.</w:t>
      </w:r>
    </w:p>
    <w:p w14:paraId="02513F22" w14:textId="77777777" w:rsidR="003867D4" w:rsidRPr="001E7F52" w:rsidRDefault="003867D4" w:rsidP="003867D4">
      <w:pPr>
        <w:spacing w:line="240" w:lineRule="auto"/>
        <w:jc w:val="both"/>
        <w:rPr>
          <w:rFonts w:ascii="Times New Roman" w:hAnsi="Times New Roman" w:cs="Times New Roman"/>
        </w:rPr>
      </w:pPr>
      <w:r w:rsidRPr="001E7F52">
        <w:rPr>
          <w:rFonts w:ascii="Times New Roman" w:hAnsi="Times New Roman" w:cs="Times New Roman"/>
          <w:lang w:val="en-GB"/>
        </w:rPr>
        <w:t xml:space="preserve">Levin, Henry y McEwan, Patrick (2001). </w:t>
      </w:r>
      <w:r w:rsidRPr="001E7F52">
        <w:rPr>
          <w:rFonts w:ascii="Times New Roman" w:hAnsi="Times New Roman" w:cs="Times New Roman"/>
          <w:i/>
          <w:iCs/>
          <w:lang w:val="en-US"/>
        </w:rPr>
        <w:t>Cost-effectiveness analysis: Methods and applications</w:t>
      </w:r>
      <w:r w:rsidRPr="001E7F52">
        <w:rPr>
          <w:rFonts w:ascii="Times New Roman" w:hAnsi="Times New Roman" w:cs="Times New Roman"/>
          <w:lang w:val="en-US"/>
        </w:rPr>
        <w:t xml:space="preserve"> (2nd ed.). </w:t>
      </w:r>
      <w:r w:rsidRPr="001E7F52">
        <w:rPr>
          <w:rFonts w:ascii="Times New Roman" w:hAnsi="Times New Roman" w:cs="Times New Roman"/>
        </w:rPr>
        <w:t>Thousand Oaks: Sage Publications.</w:t>
      </w:r>
    </w:p>
    <w:p w14:paraId="01EFB833" w14:textId="77777777" w:rsidR="003867D4" w:rsidRPr="00FB37F4" w:rsidRDefault="003867D4" w:rsidP="003867D4">
      <w:pPr>
        <w:spacing w:line="240" w:lineRule="auto"/>
        <w:jc w:val="both"/>
        <w:rPr>
          <w:rFonts w:ascii="Times New Roman" w:hAnsi="Times New Roman" w:cs="Times New Roman"/>
        </w:rPr>
      </w:pPr>
      <w:r w:rsidRPr="00FB37F4">
        <w:rPr>
          <w:rFonts w:ascii="Times New Roman" w:hAnsi="Times New Roman" w:cs="Times New Roman"/>
        </w:rPr>
        <w:t>Makon, M. y Calle, R. (2012).</w:t>
      </w:r>
      <w:r>
        <w:rPr>
          <w:rFonts w:ascii="Times New Roman" w:hAnsi="Times New Roman" w:cs="Times New Roman"/>
        </w:rPr>
        <w:t xml:space="preserve"> </w:t>
      </w:r>
      <w:r w:rsidRPr="00FB37F4">
        <w:rPr>
          <w:rFonts w:ascii="Times New Roman" w:hAnsi="Times New Roman" w:cs="Times New Roman"/>
        </w:rPr>
        <w:t xml:space="preserve">La estimación de costos en las entidades del sector público: una propuesta metodológica, en la </w:t>
      </w:r>
      <w:r w:rsidRPr="00FB37F4">
        <w:rPr>
          <w:rFonts w:ascii="Times New Roman" w:hAnsi="Times New Roman" w:cs="Times New Roman"/>
          <w:i/>
          <w:iCs/>
        </w:rPr>
        <w:t>Revista Internacional de Presupuesto Público</w:t>
      </w:r>
      <w:r w:rsidRPr="00FB37F4">
        <w:rPr>
          <w:rFonts w:ascii="Times New Roman" w:hAnsi="Times New Roman" w:cs="Times New Roman"/>
        </w:rPr>
        <w:t>.</w:t>
      </w:r>
    </w:p>
    <w:p w14:paraId="647A1C86" w14:textId="77777777" w:rsidR="003867D4" w:rsidRPr="00FB37F4" w:rsidRDefault="003867D4" w:rsidP="003867D4">
      <w:pPr>
        <w:spacing w:line="240" w:lineRule="auto"/>
        <w:rPr>
          <w:rFonts w:ascii="Times New Roman" w:hAnsi="Times New Roman" w:cs="Times New Roman"/>
        </w:rPr>
      </w:pPr>
      <w:r w:rsidRPr="00FB37F4">
        <w:rPr>
          <w:rFonts w:ascii="Times New Roman" w:hAnsi="Times New Roman" w:cs="Times New Roman"/>
          <w:lang w:val="en-US"/>
        </w:rPr>
        <w:t xml:space="preserve">OCDE. (2023). </w:t>
      </w:r>
      <w:r w:rsidRPr="00FB37F4">
        <w:rPr>
          <w:rFonts w:ascii="Times New Roman" w:hAnsi="Times New Roman" w:cs="Times New Roman"/>
          <w:i/>
          <w:iCs/>
          <w:lang w:val="en-US"/>
        </w:rPr>
        <w:t>Education at a glance 2023: OECD indicators</w:t>
      </w:r>
      <w:r w:rsidRPr="00FB37F4">
        <w:rPr>
          <w:rFonts w:ascii="Times New Roman" w:hAnsi="Times New Roman" w:cs="Times New Roman"/>
          <w:lang w:val="en-US"/>
        </w:rPr>
        <w:t xml:space="preserve">. </w:t>
      </w:r>
      <w:hyperlink r:id="rId7" w:tgtFrame="_blank" w:history="1">
        <w:r w:rsidRPr="003867D4">
          <w:rPr>
            <w:rFonts w:ascii="Times New Roman" w:hAnsi="Times New Roman" w:cs="Times New Roman"/>
            <w:lang w:val="es-AR"/>
          </w:rPr>
          <w:t>OECD Publishing</w:t>
        </w:r>
      </w:hyperlink>
      <w:r w:rsidRPr="003867D4">
        <w:rPr>
          <w:rFonts w:ascii="Times New Roman" w:hAnsi="Times New Roman" w:cs="Times New Roman"/>
          <w:lang w:val="es-AR"/>
        </w:rPr>
        <w:t>.</w:t>
      </w:r>
    </w:p>
    <w:p w14:paraId="7E83515B" w14:textId="633560D2" w:rsidR="001923DC" w:rsidRPr="003867D4" w:rsidRDefault="003867D4" w:rsidP="003867D4">
      <w:pPr>
        <w:spacing w:line="240" w:lineRule="auto"/>
        <w:jc w:val="both"/>
        <w:rPr>
          <w:rFonts w:ascii="Times New Roman" w:hAnsi="Times New Roman" w:cs="Times New Roman"/>
        </w:rPr>
      </w:pPr>
      <w:r w:rsidRPr="00FB37F4">
        <w:rPr>
          <w:rFonts w:ascii="Times New Roman" w:hAnsi="Times New Roman" w:cs="Times New Roman"/>
        </w:rPr>
        <w:t>Secretaría de Políticas Universitarias (2017). Criterios para la implementación de la nueva modalidad de contratos programa integrales (CPI). Ministerio de Educación y Deportes.</w:t>
      </w:r>
    </w:p>
    <w:sectPr w:rsidR="001923DC" w:rsidRPr="003867D4"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ABC35" w14:textId="77777777" w:rsidR="00691479" w:rsidRPr="00BA642E" w:rsidRDefault="00691479" w:rsidP="00C802F5">
      <w:pPr>
        <w:spacing w:after="0" w:line="240" w:lineRule="auto"/>
      </w:pPr>
      <w:r w:rsidRPr="00BA642E">
        <w:separator/>
      </w:r>
    </w:p>
  </w:endnote>
  <w:endnote w:type="continuationSeparator" w:id="0">
    <w:p w14:paraId="70DC7399" w14:textId="77777777" w:rsidR="00691479" w:rsidRPr="00BA642E" w:rsidRDefault="0069147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GaramondPr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A863" w14:textId="77777777" w:rsidR="00691479" w:rsidRPr="00BA642E" w:rsidRDefault="00691479" w:rsidP="00C802F5">
      <w:pPr>
        <w:spacing w:after="0" w:line="240" w:lineRule="auto"/>
      </w:pPr>
      <w:r w:rsidRPr="00BA642E">
        <w:separator/>
      </w:r>
    </w:p>
  </w:footnote>
  <w:footnote w:type="continuationSeparator" w:id="0">
    <w:p w14:paraId="7E452FA5" w14:textId="77777777" w:rsidR="00691479" w:rsidRPr="00BA642E" w:rsidRDefault="0069147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5187B58"/>
    <w:multiLevelType w:val="multilevel"/>
    <w:tmpl w:val="E33860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351434D"/>
    <w:multiLevelType w:val="singleLevel"/>
    <w:tmpl w:val="2C0A0001"/>
    <w:lvl w:ilvl="0">
      <w:start w:val="1"/>
      <w:numFmt w:val="bullet"/>
      <w:lvlText w:val=""/>
      <w:lvlJc w:val="left"/>
      <w:pPr>
        <w:ind w:left="360" w:hanging="360"/>
      </w:pPr>
      <w:rPr>
        <w:rFonts w:ascii="Symbol" w:hAnsi="Symbol" w:hint="default"/>
      </w:rPr>
    </w:lvl>
  </w:abstractNum>
  <w:num w:numId="1" w16cid:durableId="1607537170">
    <w:abstractNumId w:val="1"/>
  </w:num>
  <w:num w:numId="2" w16cid:durableId="1354262953">
    <w:abstractNumId w:val="2"/>
  </w:num>
  <w:num w:numId="3" w16cid:durableId="1869220237">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2D6D07"/>
    <w:rsid w:val="0030793A"/>
    <w:rsid w:val="00312392"/>
    <w:rsid w:val="003867D4"/>
    <w:rsid w:val="003F7036"/>
    <w:rsid w:val="004040C0"/>
    <w:rsid w:val="00437E9C"/>
    <w:rsid w:val="00482274"/>
    <w:rsid w:val="00550766"/>
    <w:rsid w:val="005B3542"/>
    <w:rsid w:val="005C722E"/>
    <w:rsid w:val="005F3B2E"/>
    <w:rsid w:val="00691479"/>
    <w:rsid w:val="00692BF1"/>
    <w:rsid w:val="00701F64"/>
    <w:rsid w:val="007B5B5F"/>
    <w:rsid w:val="007D233B"/>
    <w:rsid w:val="0085070B"/>
    <w:rsid w:val="00A17247"/>
    <w:rsid w:val="00BA642E"/>
    <w:rsid w:val="00BC236F"/>
    <w:rsid w:val="00C802F5"/>
    <w:rsid w:val="00C96B2C"/>
    <w:rsid w:val="00CC04C1"/>
    <w:rsid w:val="00D843EC"/>
    <w:rsid w:val="00DC6C66"/>
    <w:rsid w:val="00F9204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pie">
    <w:name w:val="footnote text"/>
    <w:basedOn w:val="Normal"/>
    <w:link w:val="TextonotapieCar"/>
    <w:uiPriority w:val="99"/>
    <w:semiHidden/>
    <w:unhideWhenUsed/>
    <w:rsid w:val="003867D4"/>
    <w:pPr>
      <w:spacing w:after="0" w:line="240" w:lineRule="auto"/>
    </w:pPr>
    <w:rPr>
      <w:sz w:val="20"/>
      <w:szCs w:val="20"/>
      <w:lang w:val="es-ES"/>
    </w:rPr>
  </w:style>
  <w:style w:type="character" w:customStyle="1" w:styleId="TextonotapieCar">
    <w:name w:val="Texto nota pie Car"/>
    <w:basedOn w:val="Fuentedeprrafopredeter"/>
    <w:link w:val="Textonotapie"/>
    <w:uiPriority w:val="99"/>
    <w:semiHidden/>
    <w:rsid w:val="003867D4"/>
    <w:rPr>
      <w:sz w:val="20"/>
      <w:szCs w:val="20"/>
      <w:lang w:val="es-ES"/>
    </w:rPr>
  </w:style>
  <w:style w:type="character" w:styleId="Refdenotaalpie">
    <w:name w:val="footnote reference"/>
    <w:basedOn w:val="Fuentedeprrafopredeter"/>
    <w:uiPriority w:val="99"/>
    <w:semiHidden/>
    <w:unhideWhenUsed/>
    <w:rsid w:val="003867D4"/>
    <w:rPr>
      <w:vertAlign w:val="superscript"/>
    </w:rPr>
  </w:style>
  <w:style w:type="table" w:styleId="Tablaconcuadrcula">
    <w:name w:val="Table Grid"/>
    <w:basedOn w:val="Tablanormal"/>
    <w:uiPriority w:val="39"/>
    <w:rsid w:val="003867D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67D4"/>
    <w:pPr>
      <w:autoSpaceDE w:val="0"/>
      <w:autoSpaceDN w:val="0"/>
      <w:adjustRightInd w:val="0"/>
      <w:spacing w:after="0" w:line="240" w:lineRule="auto"/>
    </w:pPr>
    <w:rPr>
      <w:rFonts w:ascii="Calibri" w:eastAsia="Calibri" w:hAnsi="Calibri" w:cs="Calibri"/>
      <w:color w:val="000000"/>
      <w:kern w:val="0"/>
      <w:lang w:eastAsia="es-AR"/>
      <w14:ligatures w14:val="none"/>
    </w:rPr>
  </w:style>
  <w:style w:type="paragraph" w:styleId="Textoindependiente2">
    <w:name w:val="Body Text 2"/>
    <w:basedOn w:val="Normal"/>
    <w:link w:val="Textoindependiente2Car"/>
    <w:rsid w:val="003867D4"/>
    <w:pPr>
      <w:spacing w:after="0" w:line="312" w:lineRule="auto"/>
      <w:jc w:val="both"/>
    </w:pPr>
    <w:rPr>
      <w:rFonts w:ascii="Times New Roman" w:eastAsia="Times New Roman" w:hAnsi="Times New Roman" w:cs="Times New Roman"/>
      <w:kern w:val="0"/>
      <w:lang w:val="es-ES" w:eastAsia="es-ES"/>
      <w14:ligatures w14:val="none"/>
    </w:rPr>
  </w:style>
  <w:style w:type="character" w:customStyle="1" w:styleId="Textoindependiente2Car">
    <w:name w:val="Texto independiente 2 Car"/>
    <w:basedOn w:val="Fuentedeprrafopredeter"/>
    <w:link w:val="Textoindependiente2"/>
    <w:rsid w:val="003867D4"/>
    <w:rPr>
      <w:rFonts w:ascii="Times New Roman" w:eastAsia="Times New Roman" w:hAnsi="Times New Roman" w:cs="Times New Roman"/>
      <w:kern w:val="0"/>
      <w:lang w:val="es-ES" w:eastAsia="es-ES"/>
      <w14:ligatures w14:val="none"/>
    </w:rPr>
  </w:style>
  <w:style w:type="character" w:customStyle="1" w:styleId="fontstyle01">
    <w:name w:val="fontstyle01"/>
    <w:basedOn w:val="Fuentedeprrafopredeter"/>
    <w:rsid w:val="003867D4"/>
    <w:rPr>
      <w:rFonts w:ascii="Cambria" w:hAnsi="Cambria" w:hint="default"/>
      <w:b w:val="0"/>
      <w:bCs w:val="0"/>
      <w:i w:val="0"/>
      <w:iCs w:val="0"/>
      <w:color w:val="000000"/>
      <w:sz w:val="48"/>
      <w:szCs w:val="48"/>
    </w:rPr>
  </w:style>
  <w:style w:type="paragraph" w:styleId="Revisin">
    <w:name w:val="Revision"/>
    <w:hidden/>
    <w:uiPriority w:val="99"/>
    <w:semiHidden/>
    <w:rsid w:val="003867D4"/>
    <w:pPr>
      <w:spacing w:after="0" w:line="240" w:lineRule="auto"/>
    </w:pPr>
    <w:rPr>
      <w:lang w:val="es-ES"/>
    </w:rPr>
  </w:style>
  <w:style w:type="character" w:customStyle="1" w:styleId="hgkelc">
    <w:name w:val="hgkelc"/>
    <w:basedOn w:val="Fuentedeprrafopredeter"/>
    <w:rsid w:val="003867D4"/>
  </w:style>
  <w:style w:type="character" w:customStyle="1" w:styleId="Mencinsinresolver1">
    <w:name w:val="Mención sin resolver1"/>
    <w:basedOn w:val="Fuentedeprrafopredeter"/>
    <w:uiPriority w:val="99"/>
    <w:semiHidden/>
    <w:unhideWhenUsed/>
    <w:rsid w:val="003867D4"/>
    <w:rPr>
      <w:color w:val="605E5C"/>
      <w:shd w:val="clear" w:color="auto" w:fill="E1DFDD"/>
    </w:rPr>
  </w:style>
  <w:style w:type="character" w:styleId="Refdecomentario">
    <w:name w:val="annotation reference"/>
    <w:basedOn w:val="Fuentedeprrafopredeter"/>
    <w:uiPriority w:val="99"/>
    <w:semiHidden/>
    <w:unhideWhenUsed/>
    <w:rsid w:val="003867D4"/>
    <w:rPr>
      <w:sz w:val="16"/>
      <w:szCs w:val="16"/>
    </w:rPr>
  </w:style>
  <w:style w:type="paragraph" w:styleId="Textocomentario">
    <w:name w:val="annotation text"/>
    <w:basedOn w:val="Normal"/>
    <w:link w:val="TextocomentarioCar"/>
    <w:uiPriority w:val="99"/>
    <w:unhideWhenUsed/>
    <w:rsid w:val="003867D4"/>
    <w:pPr>
      <w:spacing w:line="240" w:lineRule="auto"/>
    </w:pPr>
    <w:rPr>
      <w:sz w:val="20"/>
      <w:szCs w:val="20"/>
      <w:lang w:val="es-ES"/>
    </w:rPr>
  </w:style>
  <w:style w:type="character" w:customStyle="1" w:styleId="TextocomentarioCar">
    <w:name w:val="Texto comentario Car"/>
    <w:basedOn w:val="Fuentedeprrafopredeter"/>
    <w:link w:val="Textocomentario"/>
    <w:uiPriority w:val="99"/>
    <w:rsid w:val="003867D4"/>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3867D4"/>
    <w:rPr>
      <w:b/>
      <w:bCs/>
    </w:rPr>
  </w:style>
  <w:style w:type="character" w:customStyle="1" w:styleId="AsuntodelcomentarioCar">
    <w:name w:val="Asunto del comentario Car"/>
    <w:basedOn w:val="TextocomentarioCar"/>
    <w:link w:val="Asuntodelcomentario"/>
    <w:uiPriority w:val="99"/>
    <w:semiHidden/>
    <w:rsid w:val="003867D4"/>
    <w:rPr>
      <w:b/>
      <w:bCs/>
      <w:sz w:val="20"/>
      <w:szCs w:val="20"/>
      <w:lang w:val="es-ES"/>
    </w:rPr>
  </w:style>
  <w:style w:type="paragraph" w:customStyle="1" w:styleId="RMIECuerpo01">
    <w:name w:val="RMIE Cuerpo01"/>
    <w:basedOn w:val="Normal"/>
    <w:uiPriority w:val="99"/>
    <w:rsid w:val="00386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80" w:lineRule="atLeast"/>
      <w:jc w:val="both"/>
      <w:textAlignment w:val="center"/>
    </w:pPr>
    <w:rPr>
      <w:rFonts w:ascii="AGaramondPro-Regular" w:hAnsi="AGaramondPro-Regular" w:cs="AGaramondPro-Regular"/>
      <w:color w:val="000000"/>
      <w:spacing w:val="4"/>
      <w:w w:val="105"/>
      <w:kern w:val="0"/>
      <w:sz w:val="22"/>
      <w:szCs w:val="22"/>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ecd.org/content/dam/oecd/en/publications/reports/2023/09/education-at-a-glance-2023_581c9602/e13bef63-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17</Pages>
  <Words>7322</Words>
  <Characters>40274</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Juan</cp:lastModifiedBy>
  <cp:revision>5</cp:revision>
  <dcterms:created xsi:type="dcterms:W3CDTF">2026-06-26T04:42:00Z</dcterms:created>
  <dcterms:modified xsi:type="dcterms:W3CDTF">2026-06-28T16:04:00Z</dcterms:modified>
</cp:coreProperties>
</file>