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2261ECC4" w14:textId="77777777" w:rsidR="006929B6" w:rsidRDefault="006929B6" w:rsidP="006929B6">
      <w:pPr>
        <w:spacing w:line="240" w:lineRule="auto"/>
        <w:jc w:val="center"/>
        <w:rPr>
          <w:rFonts w:ascii="Times New Roman" w:hAnsi="Times New Roman" w:cs="Times New Roman"/>
          <w:b/>
          <w:bCs/>
        </w:rPr>
      </w:pPr>
      <w:r w:rsidRPr="00AC5912">
        <w:rPr>
          <w:rFonts w:ascii="Times New Roman" w:hAnsi="Times New Roman" w:cs="Times New Roman"/>
          <w:b/>
          <w:bCs/>
        </w:rPr>
        <w:t xml:space="preserve">¿De la integralidad normativa a la fragmentación curricular? </w:t>
      </w:r>
    </w:p>
    <w:p w14:paraId="1F61BBDC" w14:textId="5A163E53" w:rsidR="006929B6" w:rsidRPr="00AC5912" w:rsidRDefault="006929B6" w:rsidP="006929B6">
      <w:pPr>
        <w:spacing w:line="240" w:lineRule="auto"/>
        <w:jc w:val="center"/>
        <w:rPr>
          <w:rFonts w:ascii="Times New Roman" w:hAnsi="Times New Roman" w:cs="Times New Roman"/>
          <w:b/>
          <w:bCs/>
        </w:rPr>
      </w:pPr>
      <w:r w:rsidRPr="00AC5912">
        <w:rPr>
          <w:rFonts w:ascii="Times New Roman" w:hAnsi="Times New Roman" w:cs="Times New Roman"/>
          <w:b/>
          <w:bCs/>
        </w:rPr>
        <w:t>Mediaciones en la formación médica en Argentina</w:t>
      </w:r>
    </w:p>
    <w:p w14:paraId="43C49479" w14:textId="77777777" w:rsidR="005F3B2E" w:rsidRPr="00BA642E" w:rsidRDefault="005F3B2E" w:rsidP="001923DC">
      <w:pPr>
        <w:jc w:val="center"/>
        <w:rPr>
          <w:rFonts w:ascii="Times New Roman" w:hAnsi="Times New Roman" w:cs="Times New Roman"/>
        </w:rPr>
      </w:pPr>
    </w:p>
    <w:p w14:paraId="4CE15CC2" w14:textId="77777777" w:rsidR="006929B6" w:rsidRPr="00AC5912" w:rsidRDefault="006929B6" w:rsidP="006929B6">
      <w:pPr>
        <w:spacing w:line="240" w:lineRule="auto"/>
        <w:jc w:val="right"/>
        <w:rPr>
          <w:rFonts w:ascii="Times New Roman" w:hAnsi="Times New Roman" w:cs="Times New Roman"/>
        </w:rPr>
      </w:pPr>
      <w:r w:rsidRPr="00AC5912">
        <w:rPr>
          <w:rFonts w:ascii="Times New Roman" w:hAnsi="Times New Roman" w:cs="Times New Roman"/>
        </w:rPr>
        <w:t>Juan Pablo E. Pardias</w:t>
      </w:r>
    </w:p>
    <w:p w14:paraId="7CB06739" w14:textId="77777777" w:rsidR="006929B6" w:rsidRDefault="006929B6" w:rsidP="006929B6">
      <w:pPr>
        <w:spacing w:line="240" w:lineRule="auto"/>
        <w:jc w:val="right"/>
        <w:rPr>
          <w:rFonts w:ascii="Times New Roman" w:hAnsi="Times New Roman" w:cs="Times New Roman"/>
        </w:rPr>
      </w:pPr>
      <w:r w:rsidRPr="00AC5912">
        <w:rPr>
          <w:rFonts w:ascii="Times New Roman" w:hAnsi="Times New Roman" w:cs="Times New Roman"/>
        </w:rPr>
        <w:t>Universidad de Buenos Aires / Universidad Provincial del Sudoeste</w:t>
      </w:r>
    </w:p>
    <w:p w14:paraId="1FA0F857" w14:textId="1674F35D" w:rsidR="005F3B2E" w:rsidRPr="00BA642E" w:rsidRDefault="006929B6" w:rsidP="006929B6">
      <w:pPr>
        <w:jc w:val="right"/>
        <w:rPr>
          <w:rFonts w:ascii="Times New Roman" w:hAnsi="Times New Roman" w:cs="Times New Roman"/>
        </w:rPr>
      </w:pPr>
      <w:hyperlink r:id="rId7" w:history="1">
        <w:r w:rsidRPr="00AC5912">
          <w:rPr>
            <w:rStyle w:val="Hipervnculo"/>
            <w:rFonts w:ascii="Times New Roman" w:hAnsi="Times New Roman" w:cs="Times New Roman"/>
            <w:lang w:val="es-AR"/>
          </w:rPr>
          <w:t>j.pardias@hotmail.com</w:t>
        </w:r>
      </w:hyperlink>
      <w:r w:rsidRPr="00AC5912">
        <w:rPr>
          <w:rFonts w:ascii="Times New Roman" w:hAnsi="Times New Roman" w:cs="Times New Roman"/>
          <w:lang w:val="es-AR"/>
        </w:rPr>
        <w:t xml:space="preserve"> / </w:t>
      </w:r>
      <w:hyperlink r:id="rId8" w:history="1">
        <w:r w:rsidRPr="00CD757F">
          <w:rPr>
            <w:rStyle w:val="Hipervnculo"/>
            <w:rFonts w:ascii="Times New Roman" w:hAnsi="Times New Roman" w:cs="Times New Roman"/>
            <w:lang w:val="es-AR"/>
          </w:rPr>
          <w:t>jpardias@</w:t>
        </w:r>
        <w:r w:rsidRPr="00CD757F">
          <w:rPr>
            <w:rStyle w:val="Hipervnculo"/>
            <w:rFonts w:ascii="Times New Roman" w:hAnsi="Times New Roman" w:cs="Times New Roman"/>
          </w:rPr>
          <w:t>cbc,uba.ar</w:t>
        </w:r>
      </w:hyperlink>
    </w:p>
    <w:p w14:paraId="3D4BC3B1"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b/>
          <w:bCs/>
        </w:rPr>
        <w:t xml:space="preserve">Resumen </w:t>
      </w:r>
    </w:p>
    <w:p w14:paraId="1E9F4262" w14:textId="172ADD1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 xml:space="preserve">El trabajo analiza cómo la orientación normativa hacia un enfoque integral de la formación médica —centrado en la Atención Primaria de la Salud (APS) y el modelo biopsicosocial (BPS)— se traduce en el diseño curricular de tres universidades argentinas: la Universidad Nacional del Sur (UNS), la Universidad del Salvador (USAL) y la Universidad de Buenos Aires (UBA). El marco teórico incluye el ciclo de políticas de Stephen Ball (1993, 2012), particularmente el concepto de </w:t>
      </w:r>
      <w:proofErr w:type="spellStart"/>
      <w:r w:rsidRPr="00073E25">
        <w:rPr>
          <w:rFonts w:ascii="Times New Roman" w:hAnsi="Times New Roman" w:cs="Times New Roman"/>
          <w:i/>
          <w:iCs/>
        </w:rPr>
        <w:t>enactment</w:t>
      </w:r>
      <w:proofErr w:type="spellEnd"/>
      <w:r w:rsidRPr="00AC5912">
        <w:rPr>
          <w:rFonts w:ascii="Times New Roman" w:hAnsi="Times New Roman" w:cs="Times New Roman"/>
        </w:rPr>
        <w:t xml:space="preserve">: las políticas no se implementan </w:t>
      </w:r>
      <w:r w:rsidR="00073E25" w:rsidRPr="00AC5912">
        <w:rPr>
          <w:rFonts w:ascii="Times New Roman" w:hAnsi="Times New Roman" w:cs="Times New Roman"/>
        </w:rPr>
        <w:t>linealmente,</w:t>
      </w:r>
      <w:r w:rsidRPr="00AC5912">
        <w:rPr>
          <w:rFonts w:ascii="Times New Roman" w:hAnsi="Times New Roman" w:cs="Times New Roman"/>
        </w:rPr>
        <w:t xml:space="preserve"> sino que son interpretadas, negociadas y reconfiguradas por actores en contextos institucionales específicos. El recorrido normativo parte de la Declaración de Edimburgo (WFME, 1988) y Alma-Ata (OMS, 1978), que sentaron las bases de la reorientación hacia la APS y la integración biopsicosocial. En Argentina, ese proceso culminó en la Resolución Ministerial 798/2022, que define el perfil del egresado como médico general con orientación en APS e incorpora determinantes psicosociales, sociales y culturales en los contenidos curriculares básicos (CCB). La misma resolución establece que los CCB no constituyen un principio de organización de los planes de estudio, cuya arquitectura es decisión de cada unidad académica. Esta permisividad —justificada en la autonomía universitaria— es identificada como el límite estructural central del instrumento normativo. El análisis comparado muestra resultados heterogéneos. La UNS presenta la mayor coherencia con el mandato normativo: su diseño, construido desde el modelo pedagógico de McMaster desde 1996, organiza los primeros años en unidades integradas que articulan dimensiones biológicas, psicosociales, epidemiológicas y clínicas. La APS opera como perspectiva transversal, con Medicina Familiar y Comunitaria como asignatura troncal en el último año con carga horaria superior a la de Medicina Crítica. La USAL muestra una adaptación progresiva: incorpora los CCB requeridos y distribuye componentes de salud pública, psicología y sociología a lo largo de la carrera, aunque mantiene una organización predominantemente disciplinar por especialidades. El proceso de acreditación operó como instancia de adecuación antes que como reorientación epistemológica de origen. El caso UBA presenta condicionantes metodológicos: el proceso de acreditación no está finalizado y no se dispone de programas analíticos públicos. La arquitectura visible del plan 2024 organiza el ciclo biomédico en torno a ciencias básicas y el ciclo clínico por especialidades, con espacios de salud mental, salud pública y bioética como áreas diferenciadas. Si el enfoque BPS y la APS operan transversalmente al interior de los programas es una pregunta que </w:t>
      </w:r>
      <w:r w:rsidRPr="00AC5912">
        <w:rPr>
          <w:rFonts w:ascii="Times New Roman" w:hAnsi="Times New Roman" w:cs="Times New Roman"/>
        </w:rPr>
        <w:lastRenderedPageBreak/>
        <w:t>los documentos disponibles no permiten responder, y que la evaluación de CONEAU en curso contribuirá a precisar. Las conclusiones articulan tres ejes: la robustez discursiva de la normativa no garantiza su traducción curricular efectiva; la variable explicativa no es la antigüedad en el sistema de acreditación sino la orientación epistemológica con que cada institución concibió su carrera; y el instrumento normativo encuentra un límite al delegar en las instituciones la arquitectura curricular. El diseño curricular es condición necesaria pero no suficiente: las prácticas y las residencias operan con lógicas que tienden a reproducir el modelo biomédico, lo que constituye la agenda central de la investigación doctoral en curso.</w:t>
      </w:r>
    </w:p>
    <w:p w14:paraId="5EC25E59" w14:textId="77777777" w:rsidR="006929B6" w:rsidRPr="006929B6" w:rsidRDefault="006929B6" w:rsidP="006929B6">
      <w:pPr>
        <w:spacing w:line="240" w:lineRule="auto"/>
        <w:jc w:val="both"/>
        <w:rPr>
          <w:rFonts w:ascii="Times New Roman" w:hAnsi="Times New Roman" w:cs="Times New Roman"/>
          <w:b/>
          <w:bCs/>
        </w:rPr>
      </w:pPr>
      <w:r w:rsidRPr="006929B6">
        <w:rPr>
          <w:rFonts w:ascii="Times New Roman" w:hAnsi="Times New Roman" w:cs="Times New Roman"/>
          <w:b/>
          <w:bCs/>
        </w:rPr>
        <w:t>Palabras clave:</w:t>
      </w:r>
    </w:p>
    <w:p w14:paraId="61AA77BD" w14:textId="0EABB2CB"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Artículo 43, desarrollo curricular, carreras de medicina, política universitaria</w:t>
      </w:r>
    </w:p>
    <w:p w14:paraId="78559891" w14:textId="77777777" w:rsidR="006929B6" w:rsidRDefault="006929B6" w:rsidP="006929B6">
      <w:pPr>
        <w:pStyle w:val="Prrafodelista"/>
        <w:spacing w:line="240" w:lineRule="auto"/>
        <w:ind w:left="284"/>
        <w:rPr>
          <w:rFonts w:ascii="Times New Roman" w:hAnsi="Times New Roman" w:cs="Times New Roman"/>
          <w:b/>
          <w:bCs/>
        </w:rPr>
      </w:pPr>
    </w:p>
    <w:p w14:paraId="63C06DB7" w14:textId="6BF6DBA7" w:rsidR="006929B6" w:rsidRPr="00AC5912" w:rsidRDefault="006929B6" w:rsidP="006929B6">
      <w:pPr>
        <w:pStyle w:val="Prrafodelista"/>
        <w:numPr>
          <w:ilvl w:val="0"/>
          <w:numId w:val="2"/>
        </w:numPr>
        <w:spacing w:line="240" w:lineRule="auto"/>
        <w:ind w:left="284"/>
        <w:rPr>
          <w:rFonts w:ascii="Times New Roman" w:hAnsi="Times New Roman" w:cs="Times New Roman"/>
          <w:b/>
          <w:bCs/>
        </w:rPr>
      </w:pPr>
      <w:r w:rsidRPr="00AC5912">
        <w:rPr>
          <w:rFonts w:ascii="Times New Roman" w:hAnsi="Times New Roman" w:cs="Times New Roman"/>
          <w:b/>
          <w:bCs/>
        </w:rPr>
        <w:t>Introducción</w:t>
      </w:r>
    </w:p>
    <w:p w14:paraId="683E0070"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En las últimas décadas, y especialmente desde la Declaración de Edimburgo de la Federación Mundial de Educación Médica (WFME, 1988), se ha consolidado a nivel global una reorientación de la educación médica que implicó un progresivo desplazamiento de una mirada biologicista y fragmentada hacia una formación con énfasis en la atención primaria, la integración de dimensiones biológicas, psicológicas y sociales, y la responsabilidad social de las facultades de medicina.</w:t>
      </w:r>
    </w:p>
    <w:p w14:paraId="2DA3A54D"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Aunque en sus inicios encontró resistencias —incluso por parte de actores influyentes como la publicación The Lancet, que la consideraron excesivamente “utópica” (Fernández Villalón et al., 2023) el enfoque biopsicosocial (BPS) y la estrategia de Atención Primaria de la Salud (APS) han ido ganando legitimidad en organismos internacionales (OMS, OPS) y en instituciones vinculadas a la formación en salud, tanto a nivel global como nacional.</w:t>
      </w:r>
    </w:p>
    <w:p w14:paraId="7A0941ED"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Este trabajo —inscripto en un proyecto de tesis doctoral en educación en curso— se propone, por un lado, mapear los actores y vínculos más relevantes en la adopción de este enfoque en Argentina y, por otro, analizar su expresión en el diseño curricular de tres universidades con tradiciones y configuraciones institucionales diversas: la Universidad Nacional del Sur (UNS), la Universidad del Salvador (USAL) y la Universidad de Buenos Aires (UBA).</w:t>
      </w:r>
    </w:p>
    <w:p w14:paraId="503321D3"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La existencia de un marco normativo discursivamente robusto no garantiza su traducción efectiva en el diseño curricular. Entre la regulación estatal y los planes de estudio operan mediaciones político-institucionales —tradiciones disciplinares e institucionales, configuraciones organizacionales, relaciones de poder— que modulan, negocian o neutralizan el alcance transformador del enfoque integral. Esta tensión es la que orienta la pregunta central del trabajo: ¿cómo se traduce el enfoque BPS y la estrategia de APS, promovidos a nivel normativo, en el diseño curricular de las carreras de medicina, y qué mediaciones inciden?</w:t>
      </w:r>
    </w:p>
    <w:p w14:paraId="54A577E3" w14:textId="77777777" w:rsidR="006929B6" w:rsidRPr="00AC5912" w:rsidRDefault="006929B6" w:rsidP="006929B6">
      <w:pPr>
        <w:spacing w:line="240" w:lineRule="auto"/>
        <w:jc w:val="both"/>
        <w:rPr>
          <w:rFonts w:ascii="Times New Roman" w:hAnsi="Times New Roman" w:cs="Times New Roman"/>
          <w:b/>
          <w:bCs/>
        </w:rPr>
      </w:pPr>
      <w:r w:rsidRPr="00AC5912">
        <w:rPr>
          <w:rFonts w:ascii="Times New Roman" w:hAnsi="Times New Roman" w:cs="Times New Roman"/>
          <w:b/>
          <w:bCs/>
        </w:rPr>
        <w:t>2. El marco regulatorio: de la WFME al artículo 43</w:t>
      </w:r>
    </w:p>
    <w:p w14:paraId="6AF5304E"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lastRenderedPageBreak/>
        <w:t>Las bases de la reorientación de la educación médica hacia un enfoque integral se encuentran en una serie de declaraciones y documentos producidos por organismos internacionales que, desde fines de la década de 1980, fueron configurando un consenso global sobre el perfil de la medicina. La Declaración de Edimburgo (WFME, 1988) fue un hito en ese proceso. Por primera vez, una organización de alcance mundial sistematizó principios orientadores para la formación médica, entre ellos la centralidad de la atención primaria, la responsabilidad social de las facultades y la necesidad de integrar dimensiones biológicas, psicológicas y sociales en el perfil del egresado. Lejos de tratarse de un consenso homogéneo, su adopción implicó tensiones: sectores de la comunidad médica internacional cuestionaron la viabilidad de sus postulados, considerándolos excesivamente ambiciosos. La OMS y la OPS reforzaron posteriormente estos lineamientos, dotándolos de mayor legitimidad institucional y articulándolos con la estrategia de Atención Primaria de la Salud formulada en Alma-Ata (1978).</w:t>
      </w:r>
    </w:p>
    <w:p w14:paraId="5B4B0F4E" w14:textId="5C72A93C"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 xml:space="preserve">En Argentina, este proceso internacional encontró su correlato normativo en la Ley de Educación Superior </w:t>
      </w:r>
      <w:r w:rsidR="00073E25" w:rsidRPr="00AC5912">
        <w:rPr>
          <w:rFonts w:ascii="Times New Roman" w:hAnsi="Times New Roman" w:cs="Times New Roman"/>
        </w:rPr>
        <w:t>N.º</w:t>
      </w:r>
      <w:r w:rsidRPr="00AC5912">
        <w:rPr>
          <w:rFonts w:ascii="Times New Roman" w:hAnsi="Times New Roman" w:cs="Times New Roman"/>
        </w:rPr>
        <w:t xml:space="preserve"> 24.521 (1995) y, específicamente, en su artículo 43, que estableció la acreditación obligatoria de las carreras cuyo ejercicio profesional pudiera comprometer el interés público. La carrera de Medicina fue la primera incluida en esa nómina, en 1999, con la aprobación de los primeros estándares elaborados por AFACIMERA (Asociación de Facultades de Ciencias Médicas de la República Argentina) en articulación con la CONEAU y el Consejo de Universidades. Este proceso de construcción de estándares desde la propia comunidad académica disciplinar —y su posterior formalización estatal— ilustra lo que Fernández Lamarra y Aiello (2014) describen como un modelo en el que los criterios nacen en el campo académico y se formalizan luego a través de la agencia pública, aunque con creciente peso normativo de esta última en los juicios finales de acreditación.</w:t>
      </w:r>
    </w:p>
    <w:p w14:paraId="6996FD9F"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La trayectoria normativa se profundizó en sucesivas resoluciones ministeriales hasta la Resolución 798/2022, que establece los contenidos curriculares básicos, los criterios de intensidad de la formación práctica y el perfil del egresado como médico general con orientación en APS. Esta resolución explicita la necesidad de un equilibrio entre aspectos individuales y colectivos, preventivos y curativos, y la integración de dimensiones psicosociales en la formación.</w:t>
      </w:r>
    </w:p>
    <w:p w14:paraId="608CB83E" w14:textId="17984BB6"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 xml:space="preserve">Sin embargo, la propia Resolución establece con precisión los límites de su alcance regulatorio frente a la autonomía universitaria al declarar que los CCB </w:t>
      </w:r>
      <w:r w:rsidR="00073E25">
        <w:rPr>
          <w:rFonts w:ascii="Times New Roman" w:hAnsi="Times New Roman" w:cs="Times New Roman"/>
          <w:i/>
          <w:iCs/>
        </w:rPr>
        <w:t>“</w:t>
      </w:r>
      <w:r w:rsidRPr="00AC5912">
        <w:rPr>
          <w:rFonts w:ascii="Times New Roman" w:hAnsi="Times New Roman" w:cs="Times New Roman"/>
          <w:i/>
          <w:iCs/>
        </w:rPr>
        <w:t>están organizados de modo tal que contribuyan a su articulación e integración vertical y horizontal [...] sin que esto involucre etapas, ciclos o cualquier otra estructura curricular. Esa organización depende, exclusivamente, de las decisiones de cada Unidad Académica. [...] De ninguna manera constituyen un principio de organización de los Planes de estudio o de la conformación de asignaturas</w:t>
      </w:r>
      <w:r w:rsidR="00073E25">
        <w:rPr>
          <w:rFonts w:ascii="Times New Roman" w:hAnsi="Times New Roman" w:cs="Times New Roman"/>
          <w:i/>
          <w:iCs/>
        </w:rPr>
        <w:t>”</w:t>
      </w:r>
      <w:r w:rsidRPr="00AC5912">
        <w:rPr>
          <w:rFonts w:ascii="Times New Roman" w:hAnsi="Times New Roman" w:cs="Times New Roman"/>
          <w:i/>
          <w:iCs/>
        </w:rPr>
        <w:t xml:space="preserve"> </w:t>
      </w:r>
      <w:r w:rsidRPr="00AC5912">
        <w:rPr>
          <w:rFonts w:ascii="Times New Roman" w:hAnsi="Times New Roman" w:cs="Times New Roman"/>
        </w:rPr>
        <w:t>(Anexo I, Resolución Ministerial 798/2022)</w:t>
      </w:r>
      <w:r w:rsidR="00073E25">
        <w:rPr>
          <w:rFonts w:ascii="Times New Roman" w:hAnsi="Times New Roman" w:cs="Times New Roman"/>
        </w:rPr>
        <w:t>.</w:t>
      </w:r>
    </w:p>
    <w:p w14:paraId="1185098E"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 xml:space="preserve">Esta disposición es analíticamente central: el Estado fija un piso de contenidos y un enfoque, pero delega en cada institución la arquitectura curricular mediante la cual ese piso se concreta. Los CCB están organizados en doce ejes temáticos que expresan explícitamente la integración de determinantes psicosociales, sociales y culturales. Esto </w:t>
      </w:r>
      <w:r w:rsidRPr="00AC5912">
        <w:rPr>
          <w:rFonts w:ascii="Times New Roman" w:hAnsi="Times New Roman" w:cs="Times New Roman"/>
        </w:rPr>
        <w:lastRenderedPageBreak/>
        <w:t>abre una tensión estructural que recorre todo el trabajo: ¿esa permisividad es una virtud que respeta la diversidad institucional, o es la puerta por donde el mandato integral se diluye en tradiciones y lógicas de poder?</w:t>
      </w:r>
    </w:p>
    <w:p w14:paraId="37CC36B2"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Un elemento adicional de este marco regulatorio merece atención: el reconocimiento en 2024 de la CONEAU por parte de la WFME como agencia acreditadora de estándares internacionales. Esta articulación entre el sistema nacional de acreditación y el marco global de legitimación refuerza la presión hacia la convergencia curricular, y tuvo consecuencias concretas: visibilizó la situación de las carreras no acreditadas —en particular la de la UBA— frente a la posibilidad de reválida internacional de títulos, posiblemente acelerando procesos institucionales bloqueados durante más de dos décadas.</w:t>
      </w:r>
    </w:p>
    <w:p w14:paraId="305B27A7"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b/>
          <w:bCs/>
        </w:rPr>
        <w:t>3. Mapa de actores: regulación, evaluación y traducción curricular. Las particularidades de la Educación Médica</w:t>
      </w:r>
    </w:p>
    <w:p w14:paraId="340CF51B"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La educación médica constituye un campo de formación profesional cuya complejidad excede los límites del currículum universitario. A diferencia de otras carreras, la formación se desarrolla en espacios híbridos —hospitales, centros de salud, residencias— donde intervienen actores, lógicas e instituciones que no dependen directamente de las universidades. Comprender cómo se traduce la normativa en el diseño curricular requiere, por tanto, mapear ese entramado de actores y relaciones antes de ingresar al análisis de los casos.</w:t>
      </w:r>
    </w:p>
    <w:p w14:paraId="7023D290"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A nivel internacional, la WFME opera como instancia de legitimación global, produciendo estándares y declaraciones que orientan los sistemas nacionales de formación médica. La OMS y la OPS refuerzan ese marco desde una perspectiva de salud pública, articulando la formación profesional con las necesidades epidemiológicas y sociales de las poblaciones. Estos organismos no tienen capacidad regulatoria directa sobre los sistemas universitarios nacionales, pero su peso simbólico es determinante en la construcción de consensos disciplinares.</w:t>
      </w:r>
    </w:p>
    <w:p w14:paraId="2951E2A3"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En el nivel nacional, el ahora ex Ministerio de Educación formaliza esos consensos a través de resoluciones ministeriales, en articulación con el Consejo de Universidades. En la construcción de los estándares disciplinares intervienen la Asociación de Facultades de Ciencias Médicas de la República Argentina (AFACIMERA), el Foro Argentino de Facultades y Escuelas de Medicina Pública (FAFEMP), junto con el Consejo de Rectores de Universidades Privadas (CRUP) y el Consejo Interuniversitario Nacional (CIN), cuyos aportes son considerados en el ámbito del Consejo de Universidades antes de su formalización normativa. La CONEAU opera como dispositivo de evaluación y regulación: acredita las carreras, emite recomendaciones y habilita planes de mejora, en el marco de un modelo institucional que concentra en una agencia pública única funciones de control y evaluación. Como señalan Fernández Lamarra y Aiello (2014), este esquema requirió desde su origen la construcción de legitimidad en el propio campo académico —en un contexto en el que la acreditación era percibida como un avance sobre la autonomía universitaria— y combina funciones formativas con un creciente peso normativo en los juicios finales de acreditación.</w:t>
      </w:r>
    </w:p>
    <w:p w14:paraId="457058A9"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lastRenderedPageBreak/>
        <w:t xml:space="preserve">En el nivel institucional, las universidades son las responsables de traducir los lineamientos en planes de estudio, programas y prácticas. Es aquí donde opera con mayor fuerza lo que Ball (2012) denomina el proceso de </w:t>
      </w:r>
      <w:proofErr w:type="spellStart"/>
      <w:r w:rsidRPr="00AC5912">
        <w:rPr>
          <w:rFonts w:ascii="Times New Roman" w:hAnsi="Times New Roman" w:cs="Times New Roman"/>
          <w:i/>
          <w:iCs/>
        </w:rPr>
        <w:t>enactment</w:t>
      </w:r>
      <w:proofErr w:type="spellEnd"/>
      <w:r w:rsidRPr="00AC5912">
        <w:rPr>
          <w:rFonts w:ascii="Times New Roman" w:hAnsi="Times New Roman" w:cs="Times New Roman"/>
        </w:rPr>
        <w:t xml:space="preserve">: las políticas no se implementan mecánicamente, sino que se interpretan, negocian y reconfiguran en función de tradiciones disciplinares, estructuras organizacionales y relaciones de poder internas. El caso de la UBA ilustra con particular elocuencia esta dimensión: durante más de dos décadas, su peso institucional y simbólico le permitió resistir la acreditación obligatoria, operando como excepción en un sistema que avanzaba hacia la convergencia normativa. </w:t>
      </w:r>
    </w:p>
    <w:p w14:paraId="0206363F"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Finalmente, más allá del currículum formal, la formación clínica real se desarrolla en hospitales, centros de salud y, sobre todo, en el sistema de residencias médicas —regulado por el Ministerio de Salud y las sociedades científicas—, donde el peso de la tradición profesional y del currículum oculto es determinante. Es en ese espacio donde los mandatos del enfoque BPS y la APS encuentran una prueba exigente, y donde las proclamas de las resoluciones ministeriales pueden diluirse con mayor intensidad. El análisis de ese nivel excede el recorte de este trabajo y constituye una de las agendas centrales de la investigación doctoral en curso.</w:t>
      </w:r>
    </w:p>
    <w:p w14:paraId="435BC31D"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b/>
          <w:bCs/>
        </w:rPr>
        <w:t>Tabla 1. De la regulación internacional a la formación profesional: mediaciones en la educación médica</w:t>
      </w:r>
    </w:p>
    <w:p w14:paraId="3258FA2B" w14:textId="77777777" w:rsidR="006929B6" w:rsidRPr="00AC5912" w:rsidRDefault="006929B6" w:rsidP="006929B6">
      <w:pPr>
        <w:keepNext/>
        <w:spacing w:line="240" w:lineRule="auto"/>
        <w:jc w:val="center"/>
      </w:pPr>
      <w:r w:rsidRPr="00AC5912">
        <w:rPr>
          <w:rFonts w:ascii="Times New Roman" w:hAnsi="Times New Roman" w:cs="Times New Roman"/>
          <w:noProof/>
        </w:rPr>
        <w:drawing>
          <wp:inline distT="0" distB="0" distL="0" distR="0" wp14:anchorId="6D7E12FC" wp14:editId="18AB516C">
            <wp:extent cx="3914159" cy="3416145"/>
            <wp:effectExtent l="0" t="0" r="0" b="0"/>
            <wp:docPr id="6970072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007234" name=""/>
                    <pic:cNvPicPr/>
                  </pic:nvPicPr>
                  <pic:blipFill>
                    <a:blip r:embed="rId9"/>
                    <a:stretch>
                      <a:fillRect/>
                    </a:stretch>
                  </pic:blipFill>
                  <pic:spPr>
                    <a:xfrm>
                      <a:off x="0" y="0"/>
                      <a:ext cx="3976770" cy="3470790"/>
                    </a:xfrm>
                    <a:prstGeom prst="rect">
                      <a:avLst/>
                    </a:prstGeom>
                  </pic:spPr>
                </pic:pic>
              </a:graphicData>
            </a:graphic>
          </wp:inline>
        </w:drawing>
      </w:r>
    </w:p>
    <w:p w14:paraId="1A820ACE" w14:textId="77777777" w:rsidR="006929B6" w:rsidRPr="00073E25" w:rsidRDefault="006929B6" w:rsidP="006929B6">
      <w:pPr>
        <w:pStyle w:val="Descripcin"/>
        <w:jc w:val="center"/>
        <w:rPr>
          <w:rFonts w:ascii="Times New Roman" w:hAnsi="Times New Roman" w:cs="Times New Roman"/>
          <w:sz w:val="20"/>
          <w:szCs w:val="20"/>
        </w:rPr>
      </w:pPr>
      <w:r w:rsidRPr="00073E25">
        <w:rPr>
          <w:sz w:val="20"/>
          <w:szCs w:val="20"/>
        </w:rPr>
        <w:t>Elaboración propia a partir de normativa nacional (Ley 24.521, Res. 798/2022), documentos de CONEAU y literatura especializada (Ball, 1993; Fernández Lamarra &amp; Aiello, 2014).</w:t>
      </w:r>
    </w:p>
    <w:p w14:paraId="09E549BF"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b/>
          <w:bCs/>
        </w:rPr>
        <w:t>4. Discusión: mediaciones, negociaciones y límites del instrumento normativo</w:t>
      </w:r>
    </w:p>
    <w:p w14:paraId="3C4ACDBF"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lastRenderedPageBreak/>
        <w:t>El análisis comparado de los tres casos permite retomar la hipótesis que orienta este trabajo: la robustez discursiva de la normativa no garantiza su traducción efectiva en el diseño curricular. Los casos examinados confirman esa hipótesis, pero además la matizan y la enriquecen.</w:t>
      </w:r>
    </w:p>
    <w:p w14:paraId="1CC3FC6B"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En lo que respecta a Contenidos Curriculares Básicos establecidos por la Resolución 798/2022, USAL cumple según informe CONEAU, UNS los incorpora en una arquitectura coherente con su espíritu, y sobre UBA no es posible afirmarlo sin programas analíticos. Sin embargo, el cumplimiento formal de los CCB no es equivalente a la incorporación del enfoque integral como principio estructurante del diseño. Como muestra el análisis, entre el piso normativo y la arquitectura curricular efectiva opera un espacio de decisión institucional —habilitado explícitamente por la propia Resolución— en el que las tradiciones disciplinares, las configuraciones organizacionales y las relaciones de poder entre actores determinan resultados muy distintos.</w:t>
      </w:r>
    </w:p>
    <w:p w14:paraId="25B75B28"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En segundo lugar, los casos ilustran con claridad que el tiempo de pertenencia al sistema de acreditación no es un predictor suficiente del grado de alineación con el enfoque integral. USAL acredita desde el año 2000 y mantiene una organización curricular predominantemente disciplinar. UNS, con una carrera más reciente, muestra la mayor coherencia estructural con el mandato normativo. Esto sugiere que la variable relevante no es la antigüedad en el sistema sino la orientación pedagógica y epistemológica con que cada institución concibió su carrera —lo que Ball (1993) denomina el contexto de práctica en el que las políticas se interpretan y recontextualizan.</w:t>
      </w:r>
    </w:p>
    <w:p w14:paraId="0630CF8C"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El caso UBA refuerza este argumento desde una perspectiva adicional: la tradición disciplinar no opera solo como resistencia pasiva frente a la normativa externa, sino que puede expresarse activamente en las decisiones de diseño curricular. Que el plan 2024 —elaborado precisamente en el contexto del proceso de acreditación— haya reducido la visibilidad de espacios formativos vinculados a la medicina familiar, la salud mental y la salud pública respecto del plan anterior (Trombetta, 2024), sugiere que la presión hacia la acreditación no necesariamente produce una reorientación sustantiva del enfoque: puede producir, en cambio, una reordenación formal que preserva las lógicas estructurales previas. En términos de Ball (1993), el texto de política es recontextualizado por actores institucionales que seleccionan, enfatizan y omiten elementos en función de tradiciones, intereses y relaciones de poder que preexisten a la normativa.</w:t>
      </w:r>
    </w:p>
    <w:p w14:paraId="1996E250"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 xml:space="preserve">Así es que el caso UBA introduce una dimensión que excede el análisis curricular estrictamente y remite al campo de las relaciones de poder entre actores institucionales. Durante más de dos décadas, la institución de mayor peso simbólico y cuantitativo del sistema universitario argentino operó al margen del dispositivo de acreditación, amparándose en una lectura extensiva de la autonomía universitaria. Lo que permitió esa resistencia prolongada no fue un argumento pedagógico o epistemológico —ningún documento público de la UBA sostuvo que el enfoque biomédico era preferible </w:t>
      </w:r>
      <w:proofErr w:type="gramStart"/>
      <w:r w:rsidRPr="00AC5912">
        <w:rPr>
          <w:rFonts w:ascii="Times New Roman" w:hAnsi="Times New Roman" w:cs="Times New Roman"/>
        </w:rPr>
        <w:t>al integral</w:t>
      </w:r>
      <w:proofErr w:type="gramEnd"/>
      <w:r w:rsidRPr="00AC5912">
        <w:rPr>
          <w:rFonts w:ascii="Times New Roman" w:hAnsi="Times New Roman" w:cs="Times New Roman"/>
        </w:rPr>
        <w:t xml:space="preserve">— sino el poder fáctico y simbólico de una institución cuyo peso en el campo profesional y académico la colocaba en una posición de negociación excepcional frente al Estado. Fernández Lamarra y Aiello (2014) documentan que varias universidades nacionales impugnaron judicialmente los artículos de la LES referidos a la acreditación, </w:t>
      </w:r>
      <w:r w:rsidRPr="00AC5912">
        <w:rPr>
          <w:rFonts w:ascii="Times New Roman" w:hAnsi="Times New Roman" w:cs="Times New Roman"/>
        </w:rPr>
        <w:lastRenderedPageBreak/>
        <w:t>argumentando violación de la autonomía: el caso UBA es la expresión más prolongada y visible de esa resistencia.</w:t>
      </w:r>
    </w:p>
    <w:p w14:paraId="4C74D03B"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Lo que finalmente aceleró el proceso no fue una revisión interna de la institución sino una presión externa de nuevo tipo: el reconocimiento de la CONEAU por parte de la WFME como agencia acreditadora de estándares internacionales y sus consecuencias para la reválida de títulos en el exterior. Cuando la no acreditación comenzó a tener efectos concretos sobre los egresados —no sobre la institución— la negociación se reconfiguró. Este episodio ilustra con precisión lo que Ball (1993) describe como el carácter contingente y disputado de las políticas educativas: los textos normativos no se implementan, se negocian, y los resultados de esa negociación dependen de las relaciones de fuerza entre los actores involucrados.</w:t>
      </w:r>
    </w:p>
    <w:p w14:paraId="386557FA" w14:textId="3E3A5E99" w:rsidR="006929B6" w:rsidRPr="00AC5912" w:rsidRDefault="00073E25" w:rsidP="006929B6">
      <w:pPr>
        <w:spacing w:line="240" w:lineRule="auto"/>
        <w:jc w:val="both"/>
        <w:rPr>
          <w:rFonts w:ascii="Times New Roman" w:hAnsi="Times New Roman" w:cs="Times New Roman"/>
        </w:rPr>
      </w:pPr>
      <w:r w:rsidRPr="00AC5912">
        <w:rPr>
          <w:rFonts w:ascii="Times New Roman" w:hAnsi="Times New Roman" w:cs="Times New Roman"/>
        </w:rPr>
        <w:t>Asimismo,</w:t>
      </w:r>
      <w:r w:rsidR="006929B6" w:rsidRPr="00AC5912">
        <w:rPr>
          <w:rFonts w:ascii="Times New Roman" w:hAnsi="Times New Roman" w:cs="Times New Roman"/>
        </w:rPr>
        <w:t xml:space="preserve"> el análisis pone de manifiesto un límite estructural del instrumento normativo que merece atención: la Resolución 798/2022 es robusta en el </w:t>
      </w:r>
      <w:r w:rsidRPr="00AC5912">
        <w:rPr>
          <w:rFonts w:ascii="Times New Roman" w:hAnsi="Times New Roman" w:cs="Times New Roman"/>
        </w:rPr>
        <w:t>enfoque,</w:t>
      </w:r>
      <w:r w:rsidR="006929B6" w:rsidRPr="00AC5912">
        <w:rPr>
          <w:rFonts w:ascii="Times New Roman" w:hAnsi="Times New Roman" w:cs="Times New Roman"/>
        </w:rPr>
        <w:t xml:space="preserve"> pero deliberadamente permisiva en la organización. Al establecer que los CCB no constituyen un principio de organización de los planes de estudio y que la arquitectura curricular es decisión exclusiva de cada unidad académica, el Estado preserva la autonomía </w:t>
      </w:r>
      <w:r w:rsidRPr="00AC5912">
        <w:rPr>
          <w:rFonts w:ascii="Times New Roman" w:hAnsi="Times New Roman" w:cs="Times New Roman"/>
        </w:rPr>
        <w:t>universitaria,</w:t>
      </w:r>
      <w:r w:rsidR="006929B6" w:rsidRPr="00AC5912">
        <w:rPr>
          <w:rFonts w:ascii="Times New Roman" w:hAnsi="Times New Roman" w:cs="Times New Roman"/>
        </w:rPr>
        <w:t xml:space="preserve"> pero reduce su capacidad de incidir en el modo en que el enfoque integral se concreta —o no se concreta— en la estructura del diseño. Este es el punto donde la normativa como texto (Ball, 1993) de política encuentra su límite más claro: puede fijar un piso de contenidos, pero no puede prescribir la lógica curricular con la que esos contenidos se organizan, jerarquizan y articulan.</w:t>
      </w:r>
    </w:p>
    <w:p w14:paraId="22ECE4EB"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Finalmente, los tres casos confirman que la educación médica es un campo donde el diseño curricular universitario es condición necesaria pero no suficiente para la formación del perfil profesional esperado. Las prácticas clínicas hospitalarias, las residencias y la socialización profesional en espacios asistenciales operan con lógicas propias que el currículum formal no controla —y que, según la evidencia acumulada en la literatura sobre educación médica, tienden a reproducir el modelo biomédico-especialista con mayor fuerza que los planes de estudio más innovadores. Este nivel de análisis excede el recorte de este trabajo y constituye una de las agendas centrales de la investigación doctoral en curso.</w:t>
      </w:r>
    </w:p>
    <w:p w14:paraId="7516CFB4"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b/>
          <w:bCs/>
        </w:rPr>
        <w:t>5. El diseño curricular en tres casos: UNS, USAL y UBA</w:t>
      </w:r>
    </w:p>
    <w:p w14:paraId="072B1F69"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 xml:space="preserve">El análisis comparado de los documentos curriculares de las tres instituciones permite identificar distintos grados de coherencia entre el mandato normativo y su traducción en la arquitectura del plan de estudios. Una advertencia metodológica es necesaria antes de proceder: el alcance del análisis es desigual por caso. El plan de estudios de UNS ofrece el mayor nivel de detalle —incluyendo estructura curricular, competencias por ciclo y sistema de evaluación—; USAL cuenta con plan de estudios e informe de acreditación CONEAU; UBA solo permite un análisis parcial a partir de la grilla de asignaturas y los objetivos declarados, sin programas analíticos disponibles públicamente. Esta asimetría condiciona las conclusiones posibles en cada caso y es en sí misma un dato analíticamente relevante. El enfoque utilizado para el análisis curricular retoma los aportes de Steiman (2018) y </w:t>
      </w:r>
      <w:proofErr w:type="spellStart"/>
      <w:r w:rsidRPr="00AC5912">
        <w:rPr>
          <w:rFonts w:ascii="Times New Roman" w:hAnsi="Times New Roman" w:cs="Times New Roman"/>
        </w:rPr>
        <w:t>Bernatené</w:t>
      </w:r>
      <w:proofErr w:type="spellEnd"/>
      <w:r w:rsidRPr="00AC5912">
        <w:rPr>
          <w:rFonts w:ascii="Times New Roman" w:hAnsi="Times New Roman" w:cs="Times New Roman"/>
        </w:rPr>
        <w:t xml:space="preserve"> y Steiman (2025) sobre análisis didáctico-curricular reflexivo.</w:t>
      </w:r>
    </w:p>
    <w:p w14:paraId="1C60ABBB"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b/>
          <w:bCs/>
        </w:rPr>
        <w:lastRenderedPageBreak/>
        <w:t>Universidad Nacional del Sur (UNS)</w:t>
      </w:r>
    </w:p>
    <w:p w14:paraId="43A8DB55"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El caso de la carrera de Medicina de la UNS presenta una particularidad institucional que resulta clave para comprender su diseño curricular: no se trata simplemente de una carrera reciente sin tradición acumulada, sino de una carrera cuya tradición fue deliberadamente construida desde una orientación pedagógica alternativa. En 1996, la UNS conformó una Comisión integrada por docentes universitarios y miembros de la Asociación Médica de Bahía Blanca con el propósito específico de relevar el método de enseñanza de la Facultad de Ciencias de la Salud de la Universidad McMaster (Canadá) —institución pionera en el Aprendizaje Basado en Problemas y en la formación médica orientada a la comunidad. Ese modelo es el que estructura actualmente el plan de estudios de la UNS. Esto contrasta significativamente con los casos de USAL y UBA, cuyas carreras se desarrollaron sobre tradiciones disciplinares previas y consolidadas.</w:t>
      </w:r>
    </w:p>
    <w:p w14:paraId="3FF320C6"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Sin embargo, la ausencia de tradición organizacional no implica ausencia de tradición disciplinar. La medicina constituye un campo profesional fuertemente estructurado, con jerarquías y expectativas históricamente sedimentadas. En este sentido, distintos testimonios recogidos en entrevistas a actores del campo médico local (material de campo no publicado) señalan que el peso simbólico de los centros tradicionales de formación —particularmente en Buenos Aires— persiste en el territorio: no es un dato menor que numerosos médicos y médicas bahienses elijan enviar a sus hijos a estudiar medicina a la UBA antes que a la UNS, lo que expresa una valoración del prestigio institucional que opera por fuera del diseño curricular y que incide en las dinámicas del campo profesional local. Este fenómeno puede ser interpretado a la luz de las lógicas de funcionamiento de los campos sociales, en los que el capital simbólico acumulado por ciertas instituciones tiende a reproducir posiciones dominantes más allá de las transformaciones formales (Bourdieu, 1996).</w:t>
      </w:r>
    </w:p>
    <w:p w14:paraId="6D3D1E0C"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Con esa contextualización, el plan de estudios vigente (2023, versión 2) muestra la mayor coherencia estructural entre los tres casos respecto del enfoque BPS y la estrategia de APS. Los indicios son múltiples y articulados.</w:t>
      </w:r>
    </w:p>
    <w:p w14:paraId="5CB6B58F" w14:textId="2ADDD4B6"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La nomenclatura de las asignaturas del ciclo inicial abandona la lógica disciplinar clásica: en lugar de Anatomía, Fisiología o Bioquímica como compartimentos estancos, el plan organiza los primeros tres años en unidades integradas —</w:t>
      </w:r>
      <w:r w:rsidR="00073E25">
        <w:rPr>
          <w:rFonts w:ascii="Times New Roman" w:hAnsi="Times New Roman" w:cs="Times New Roman"/>
        </w:rPr>
        <w:t>“</w:t>
      </w:r>
      <w:r w:rsidRPr="00AC5912">
        <w:rPr>
          <w:rFonts w:ascii="Times New Roman" w:hAnsi="Times New Roman" w:cs="Times New Roman"/>
        </w:rPr>
        <w:t>La comunicación y la práctica de la medicina</w:t>
      </w:r>
      <w:r w:rsidR="00073E25">
        <w:rPr>
          <w:rFonts w:ascii="Times New Roman" w:hAnsi="Times New Roman" w:cs="Times New Roman"/>
        </w:rPr>
        <w:t>”</w:t>
      </w:r>
      <w:r w:rsidRPr="00AC5912">
        <w:rPr>
          <w:rFonts w:ascii="Times New Roman" w:hAnsi="Times New Roman" w:cs="Times New Roman"/>
        </w:rPr>
        <w:t xml:space="preserve">, </w:t>
      </w:r>
      <w:r w:rsidR="00073E25">
        <w:rPr>
          <w:rFonts w:ascii="Times New Roman" w:hAnsi="Times New Roman" w:cs="Times New Roman"/>
        </w:rPr>
        <w:t>“</w:t>
      </w:r>
      <w:r w:rsidRPr="00AC5912">
        <w:rPr>
          <w:rFonts w:ascii="Times New Roman" w:hAnsi="Times New Roman" w:cs="Times New Roman"/>
        </w:rPr>
        <w:t>Las personas y el entorno: la interacción</w:t>
      </w:r>
      <w:r w:rsidR="00073E25">
        <w:rPr>
          <w:rFonts w:ascii="Times New Roman" w:hAnsi="Times New Roman" w:cs="Times New Roman"/>
        </w:rPr>
        <w:t>”</w:t>
      </w:r>
      <w:r w:rsidRPr="00AC5912">
        <w:rPr>
          <w:rFonts w:ascii="Times New Roman" w:hAnsi="Times New Roman" w:cs="Times New Roman"/>
        </w:rPr>
        <w:t xml:space="preserve">, </w:t>
      </w:r>
      <w:r w:rsidR="00073E25">
        <w:rPr>
          <w:rFonts w:ascii="Times New Roman" w:hAnsi="Times New Roman" w:cs="Times New Roman"/>
        </w:rPr>
        <w:t>“</w:t>
      </w:r>
      <w:r w:rsidRPr="00AC5912">
        <w:rPr>
          <w:rFonts w:ascii="Times New Roman" w:hAnsi="Times New Roman" w:cs="Times New Roman"/>
        </w:rPr>
        <w:t>El comportamiento de las personas</w:t>
      </w:r>
      <w:r w:rsidR="00073E25">
        <w:rPr>
          <w:rFonts w:ascii="Times New Roman" w:hAnsi="Times New Roman" w:cs="Times New Roman"/>
        </w:rPr>
        <w:t>”</w:t>
      </w:r>
      <w:r w:rsidRPr="00AC5912">
        <w:rPr>
          <w:rFonts w:ascii="Times New Roman" w:hAnsi="Times New Roman" w:cs="Times New Roman"/>
        </w:rPr>
        <w:t>— que expresan desde la denominación misma una lógica integradora de dimensiones biológicas, psicosociales y relacionales. Esta decisión nomenclatural no es cosmética: refleja una organización curricular que articula simultáneamente cinco áreas disciplinares desde el primer año: Biológica, Salud Individual y Colectiva, Análisis Epidemiológico de los Determinantes de la Salud, Ciencias del Comportamiento y Clínica.</w:t>
      </w:r>
    </w:p>
    <w:p w14:paraId="68600AE2"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 xml:space="preserve">El plan incorpora desde el primer año actividades de Trabajo en Terreno bajo la modalidad de Aprendizaje Basado en la Comunidad, poniendo a los estudiantes en contacto con actores sociales y problemas de salud-enfermedad colectiva desde el inicio de su formación. La APS no es un destino curricular del último año sino una perspectiva </w:t>
      </w:r>
      <w:r w:rsidRPr="00AC5912">
        <w:rPr>
          <w:rFonts w:ascii="Times New Roman" w:hAnsi="Times New Roman" w:cs="Times New Roman"/>
        </w:rPr>
        <w:lastRenderedPageBreak/>
        <w:t>formativa transversal. El sexto año incluye Medicina Familiar y Comunitaria como asignatura troncal obligatoria con 528 horas —superior a las 264 horas de Medicina Crítica y de Urgencias— lo cual es una señal arquitectónica relevante sobre la jerarquía curricular efectiva.</w:t>
      </w:r>
    </w:p>
    <w:p w14:paraId="478E7B6F"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 xml:space="preserve">El menú de optativas refuerza esta orientación: Salud Ambiental, Educación Sexual Integral, Prácticas Integrativas e Interculturales en Salud, Consumos Problemáticos y Adicciones, Herramientas Epidemiológicas Aplicadas a la Salud Pública, entre otras, amplían el horizonte hacia determinantes sociales y enfoques de derechos. </w:t>
      </w:r>
    </w:p>
    <w:p w14:paraId="40222A6A"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b/>
          <w:bCs/>
        </w:rPr>
        <w:t>Universidad del Salvador (USAL)</w:t>
      </w:r>
    </w:p>
    <w:p w14:paraId="79C1FD38"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La USAL presenta una situación intermedia. Su plan de estudios 2014 —con modificaciones incorporadas en 2023 para adecuarse a la Resolución 798/2022— acredita en el tercer ciclo con requerimientos subsanados, lo que indica un proceso de adaptación activa a la normativa antes que una orientación curricular originaria hacia el enfoque integral.</w:t>
      </w:r>
    </w:p>
    <w:p w14:paraId="221C4FF2"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 xml:space="preserve">La estructura curricular mantiene una lógica disciplinar más tradicional. El ciclo básico-clínico organiza las asignaturas por especialidades y sistemas: Cardiología, Neurología, Nefrología, </w:t>
      </w:r>
      <w:proofErr w:type="spellStart"/>
      <w:r w:rsidRPr="00AC5912">
        <w:rPr>
          <w:rFonts w:ascii="Times New Roman" w:hAnsi="Times New Roman" w:cs="Times New Roman"/>
        </w:rPr>
        <w:t>Neumonología</w:t>
      </w:r>
      <w:proofErr w:type="spellEnd"/>
      <w:r w:rsidRPr="00AC5912">
        <w:rPr>
          <w:rFonts w:ascii="Times New Roman" w:hAnsi="Times New Roman" w:cs="Times New Roman"/>
        </w:rPr>
        <w:t>, Gastroenterología, entre otras, como rotaciones diferenciadas dentro de Medicina II y Medicina III. Esta fragmentación por especialidades es precisamente la organización que el enfoque BPS busca superar, y que la Resolución 798/2022 no prohíbe —dada la autonomía ya analizada— pero tampoco promueve.</w:t>
      </w:r>
    </w:p>
    <w:p w14:paraId="3333C178" w14:textId="43590112"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 xml:space="preserve">El informe CONEAU confirma que el Plan 2014 incluye todos los CCB del Anexo I de la Resolución Ministerial, aunque señala déficits en la garantía del dictado efectivo de algunos contenidos —en particular </w:t>
      </w:r>
      <w:r w:rsidR="00073E25">
        <w:rPr>
          <w:rFonts w:ascii="Times New Roman" w:hAnsi="Times New Roman" w:cs="Times New Roman"/>
        </w:rPr>
        <w:t>“</w:t>
      </w:r>
      <w:r w:rsidRPr="00AC5912">
        <w:rPr>
          <w:rFonts w:ascii="Times New Roman" w:hAnsi="Times New Roman" w:cs="Times New Roman"/>
        </w:rPr>
        <w:t>embarazo adolescente</w:t>
      </w:r>
      <w:r w:rsidR="00073E25">
        <w:rPr>
          <w:rFonts w:ascii="Times New Roman" w:hAnsi="Times New Roman" w:cs="Times New Roman"/>
        </w:rPr>
        <w:t>”</w:t>
      </w:r>
      <w:r w:rsidRPr="00AC5912">
        <w:rPr>
          <w:rFonts w:ascii="Times New Roman" w:hAnsi="Times New Roman" w:cs="Times New Roman"/>
        </w:rPr>
        <w:t xml:space="preserve"> y </w:t>
      </w:r>
      <w:r w:rsidR="00073E25">
        <w:rPr>
          <w:rFonts w:ascii="Times New Roman" w:hAnsi="Times New Roman" w:cs="Times New Roman"/>
        </w:rPr>
        <w:t>“</w:t>
      </w:r>
      <w:proofErr w:type="spellStart"/>
      <w:r w:rsidRPr="00AC5912">
        <w:rPr>
          <w:rFonts w:ascii="Times New Roman" w:hAnsi="Times New Roman" w:cs="Times New Roman"/>
        </w:rPr>
        <w:t>especuloscopía</w:t>
      </w:r>
      <w:proofErr w:type="spellEnd"/>
      <w:r w:rsidRPr="00AC5912">
        <w:rPr>
          <w:rFonts w:ascii="Times New Roman" w:hAnsi="Times New Roman" w:cs="Times New Roman"/>
        </w:rPr>
        <w:t>, tacto vaginal y toma de citología</w:t>
      </w:r>
      <w:r w:rsidR="00073E25">
        <w:rPr>
          <w:rFonts w:ascii="Times New Roman" w:hAnsi="Times New Roman" w:cs="Times New Roman"/>
        </w:rPr>
        <w:t>”</w:t>
      </w:r>
      <w:r w:rsidRPr="00AC5912">
        <w:rPr>
          <w:rFonts w:ascii="Times New Roman" w:hAnsi="Times New Roman" w:cs="Times New Roman"/>
        </w:rPr>
        <w:t>— que fueron subsanados en la segunda instancia evaluativa. Esto ilustra una tensión recurrente en los procesos de acreditación: la presencia formal de los contenidos en los documentos curriculares no garantiza su dictado efectivo en las prácticas de enseñanza.</w:t>
      </w:r>
    </w:p>
    <w:p w14:paraId="6391E82A"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Sin embargo, el plan incorpora elementos relevantes: Introducción a la Salud Pública en primer año, Sociología de la Salud y Psicología I en segundo año, Demografía y Psicología II en tercer año, Epidemiología en cuarto año y Políticas Estratégicas de Salud en quinto. La Práctica Final Obligatoria (PFO) incluye una rotación obligatoria de siete semanas en APS, aunque el informe CONEAU observó que la supervisión docente en los CESAC no estaba garantizada en todos los casos —déficit que también fue subsanado.</w:t>
      </w:r>
    </w:p>
    <w:p w14:paraId="6F848FB6"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Un dato analíticamente significativo es que el plan incluye 172 horas de contenidos no contemplados en la Resolución Ministerial —Antropología Filosófica, Antropología Teológica y Ética Biomédica— que expresan la impronta identitaria de una institución privada y confesional. Esto ilustra cómo el margen de autonomía habilitado por los CCB permite incorporar elementos formativos propios que coexisten con —pero no reemplazan ni articulan— los contenidos del enfoque integral.</w:t>
      </w:r>
    </w:p>
    <w:p w14:paraId="4B8A2E01"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lastRenderedPageBreak/>
        <w:t>En síntesis, USAL muestra una adaptación formal al marco normativo, con presencia de componentes psicosociales y comunitarios, pero sin que el enfoque integral opere como principio estructurante de la arquitectura curricular en su conjunto.</w:t>
      </w:r>
    </w:p>
    <w:p w14:paraId="0F13C3FE"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b/>
          <w:bCs/>
        </w:rPr>
        <w:t>Universidad de Buenos Aires (UBA)</w:t>
      </w:r>
    </w:p>
    <w:p w14:paraId="0452A2C5"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El análisis del caso UBA requiere una advertencia metodológica previa: la información disponible se limita a los objetivos declarados de la carrera y la grilla de asignaturas del plan vigente, aprobado por Resolución del Consejo Superior RESCS-2023-1217-UBA-REC e implementado desde 2024. No se dispone de programas analíticos públicos ni de informes de acreditación CONEAU, dado que el proceso de acreditación no se encuentra finalizado a la fecha de elaboración de este trabajo. Con esa limitación explícita, el análisis se restringe a lo que los documentos disponibles permiten sostener.</w:t>
      </w:r>
    </w:p>
    <w:p w14:paraId="713B1B95" w14:textId="49FAD840"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Los objetivos declarados de la carrera incluyen referencias al enfoque integral —</w:t>
      </w:r>
      <w:r w:rsidR="00073E25">
        <w:rPr>
          <w:rFonts w:ascii="Times New Roman" w:hAnsi="Times New Roman" w:cs="Times New Roman"/>
        </w:rPr>
        <w:t>“</w:t>
      </w:r>
      <w:r w:rsidRPr="00AC5912">
        <w:rPr>
          <w:rFonts w:ascii="Times New Roman" w:hAnsi="Times New Roman" w:cs="Times New Roman"/>
        </w:rPr>
        <w:t>enfoque integral del ser humano considerando sus aspectos biológicos, psíquicos y sociales</w:t>
      </w:r>
      <w:r w:rsidR="00073E25">
        <w:rPr>
          <w:rFonts w:ascii="Times New Roman" w:hAnsi="Times New Roman" w:cs="Times New Roman"/>
        </w:rPr>
        <w:t>”</w:t>
      </w:r>
      <w:r w:rsidRPr="00AC5912">
        <w:rPr>
          <w:rFonts w:ascii="Times New Roman" w:hAnsi="Times New Roman" w:cs="Times New Roman"/>
        </w:rPr>
        <w:t xml:space="preserve"> (Universidad de Buenos Aires, Facultad de Medicina, s/f), énfasis en la APS, medicina preventiva y trabajo comunitario— que son formalmente coherentes con el mandato normativo. </w:t>
      </w:r>
    </w:p>
    <w:p w14:paraId="039E0FEE"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Más relevante para el análisis es que la arquitectura del plan de estudios no evidencia que esas declaraciones se traduzcan en una organización curricular que les dé sustento estructural. El Ciclo Biomédico está compuesto exclusivamente por asignaturas de ciencias básicas —Anatomía, Histología, Embriología, Biología Molecular y Genética, Fisiología y Biofísica, Bioquímica, Inmunología, Microbiología y Parasitología— sin presencia curricular visible de dimensiones psicosociales, epidemiológicas o de salud colectiva en esa etapa. El Ciclo Clínico organiza las asignaturas por especialidades y sistemas, con áreas transversales —Salud Mental, Salud Pública, Bioética— que aparecen como complementos del eje clínico dominante, no como principios estructurantes.</w:t>
      </w:r>
    </w:p>
    <w:p w14:paraId="61D5C70B"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Podría argumentarse que el enfoque BPS y la APS están presentes al interior de los programas de las asignaturas disciplinares. No es posible confirmarlo ni descartarlo sin acceso a esos programas. Lo que sí puede afirmarse es que la arquitectura visible del plan no ofrece indicios de que esa integración opere de manera transversal y estructurante —a diferencia de lo que muestra el caso UNS, donde la integración es legible desde la nomenclatura, la secuencia y la jerarquía horaria de las asignaturas.</w:t>
      </w:r>
    </w:p>
    <w:p w14:paraId="6141E9EE"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La opacidad informacional que rodea al caso UBA —ausencia de programas analíticos públicos, falta de datos verificables sobre el proceso de acreditación en curso— es en sí misma un dato para el análisis político-institucional: una institución que acredita en un contexto de creciente exigencia externa, después de más de dos décadas de resistencia, y que mantiene baja transparencia sobre su proceso de adecuación curricular, plantea interrogantes legítimos sobre el alcance real de los cambios introducidos. Es precisamente este plan 2024 el que CONEAU tiene ante sí, lo que hace que la evaluación en curso sea especialmente significativa.</w:t>
      </w:r>
    </w:p>
    <w:p w14:paraId="38B82FBF"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b/>
          <w:bCs/>
        </w:rPr>
        <w:t>6. Conclusiones</w:t>
      </w:r>
    </w:p>
    <w:p w14:paraId="0D0C7587"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lastRenderedPageBreak/>
        <w:t>Este trabajo se propuso analizar cómo la orientación normativa hacia un enfoque integral de la formación médica —consolidada en Argentina a través de una trayectoria que va de la Resolución Ministerial 535/99 a la Resolución 798/2022— se traduce en el diseño curricular de tres universidades con tradiciones, escalas y modalidades de gestión diversas. El análisis permite formular algunas conclusiones que, lejos de cerrar el problema, lo precisan y lo abren hacia agendas de investigación más amplias.</w:t>
      </w:r>
    </w:p>
    <w:p w14:paraId="320565EE"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La primera conclusión es que la robustez discursiva de la normativa no garantiza su traducción estructural en el diseño curricular. Los tres casos examinados muestran resultados heterogéneos: UNS incorpora el enfoque integral como principio estructurante de su arquitectura curricular; USAL lo incorpora como componente presente pero subordinado a una organización disciplinar clásica; UBA, con la información disponible, muestra una organización curricular que no evidencia esa integración de manera visible, y cuya reforma más reciente parece haber reducido —antes que ampliado— la visibilidad de los espacios formativos más directamente vinculados al enfoque BPS y a la APS. Entre la regulación estatal y los planes de estudio operan mediaciones que modulan, negocian o neutralizan el alcance transformador del mandato normativo.</w:t>
      </w:r>
    </w:p>
    <w:p w14:paraId="1424238C"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La segunda conclusión refiere al peso diferencial de la tradición como variable explicativa. Los casos sugieren que, a mayor antigüedad y peso institucional acumulado, mayor es la inercia organizacional que resiste la reorientación curricular —no necesariamente por oposición declarada al enfoque integral, sino por la persistencia de lógicas de organización, jerarquización y evaluación del conocimiento que preexisten a la normativa y que no son modificadas por ella. El caso UNS ilustra la contracara: una tradición alternativa deliberadamente construida —con McMaster como modelo pedagógico de referencia desde 1996— puede producir resultados curriculares significativamente más alineados con el mandato normativo que instituciones con décadas de acreditación formal. La variable relevante no es la antigüedad en el sistema sino la orientación epistemológica con que cada institución concibió su carrera.</w:t>
      </w:r>
    </w:p>
    <w:p w14:paraId="49745B4B"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La tercera conclusión concierne al instrumento normativo mismo. La Resolución 798/2022 establece un piso de contenidos y un enfoque, pero delega en cada institución la arquitectura curricular mediante la cual ese piso se concreta. Esta permisividad —explícitamente fundamentada en la autonomía universitaria— es a la vez una virtud y un límite: preserva la diversidad institucional, pero reduce la capacidad del Estado de incidir en el modo en que el enfoque integral se organiza, jerarquiza y articula en los planes de estudio. Los CCB son condición necesaria pero no suficiente para garantizar que el enfoque BPS y la APS operen como principios estructurantes y no como declaraciones sin anclaje arquitectónico.</w:t>
      </w:r>
    </w:p>
    <w:p w14:paraId="0FDF373F"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 xml:space="preserve">La cuarta conclusión es de orden político-institucional y remite al caso de la UBA como un espacio de resistencia prolongada. Durante más de dos décadas, la institución de mayor peso simbólico y cuantitativo del sistema universitario argentino permaneció al margen del dispositivo de acreditación. Esta posición puede comprenderse no tanto por la formulación de argumentos pedagógicos explícitos, sino por la capacidad de negociación que le otorga su lugar dominante en el campo académico y profesional. Más recientemente, el proceso de adecuación parece haberse acelerado en un contexto de </w:t>
      </w:r>
      <w:r w:rsidRPr="00AC5912">
        <w:rPr>
          <w:rFonts w:ascii="Times New Roman" w:hAnsi="Times New Roman" w:cs="Times New Roman"/>
        </w:rPr>
        <w:lastRenderedPageBreak/>
        <w:t>nuevas presiones externas, particularmente vinculadas al reconocimiento internacional de títulos. Este caso ilustra que las políticas educativas no se implementan de manera lineal, sino que se disputan y reconfiguran en función de las relaciones de fuerza entre los actores involucrados (Ball, 1993).</w:t>
      </w:r>
    </w:p>
    <w:p w14:paraId="01572E0D"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Cabe señalar que las tensiones analizadas en este trabajo entre homogeneización normativa y autonomía institucional son dables de profundizarse en los próximos años con la implementación del Sistema Argentino de Créditos Académicos Universitarios (SACAU), que está comenzando a desplegarse en el sistema universitario nacional. Un sistema de créditos introduce una lógica de cuantificación y comparabilidad que, aplicada a carreras reguladas por el artículo 43, ejercerá presión adicional hacia la convergencia curricular —reduciendo potencialmente el margen de maniobra institucional que hoy habilita la permisividad de los CCB. Si esa presión se traduce en una mayor coherencia entre el enfoque normativo y el diseño curricular efectivo, o si por el contrario produce nuevas formas de cumplimiento formal sin transformación sustantiva, es una pregunta que la investigación educativa deberá atender con urgencia.</w:t>
      </w:r>
    </w:p>
    <w:p w14:paraId="088E6B1D" w14:textId="77777777" w:rsidR="006929B6" w:rsidRPr="00AC5912" w:rsidRDefault="006929B6" w:rsidP="006929B6">
      <w:pPr>
        <w:spacing w:line="240" w:lineRule="auto"/>
        <w:jc w:val="both"/>
        <w:rPr>
          <w:rFonts w:ascii="Times New Roman" w:hAnsi="Times New Roman" w:cs="Times New Roman"/>
        </w:rPr>
      </w:pPr>
      <w:r w:rsidRPr="00AC5912">
        <w:rPr>
          <w:rFonts w:ascii="Times New Roman" w:hAnsi="Times New Roman" w:cs="Times New Roman"/>
        </w:rPr>
        <w:t>Finalmente, el análisis pone de manifiesto un límite estructural que excede el diseño curricular: la educación médica es un campo donde el currículum universitario formal es condición necesaria pero no suficiente para la formación del perfil profesional esperado. Las prácticas clínicas hospitalarias, las residencias y la socialización profesional en espacios asistenciales operan con lógicas propias —más cercanas al modelo biomédico-especialista— que el currículum formal no controla. Es en ese espacio donde los mandatos del enfoque integral encuentran su prueba más exigente, y donde las proclamas de las resoluciones ministeriales tienden a diluirse con mayor intensidad. El análisis de ese nivel —que requiere observación, entrevistas y encuestas— constituye una de las agendas centrales de la investigación doctoral en curso, de la que este trabajo es un avance parcial.</w:t>
      </w:r>
    </w:p>
    <w:p w14:paraId="5AAFE877" w14:textId="77777777" w:rsidR="006929B6" w:rsidRPr="00AC5912" w:rsidRDefault="006929B6" w:rsidP="006929B6">
      <w:pPr>
        <w:spacing w:line="240" w:lineRule="auto"/>
        <w:jc w:val="both"/>
        <w:rPr>
          <w:rFonts w:ascii="Times New Roman" w:hAnsi="Times New Roman" w:cs="Times New Roman"/>
        </w:rPr>
      </w:pPr>
    </w:p>
    <w:p w14:paraId="2975F3A9" w14:textId="4FC952B8" w:rsidR="006929B6" w:rsidRPr="00AC5912" w:rsidRDefault="006929B6" w:rsidP="006929B6">
      <w:pPr>
        <w:spacing w:line="240" w:lineRule="auto"/>
        <w:jc w:val="both"/>
        <w:rPr>
          <w:rFonts w:ascii="Times New Roman" w:hAnsi="Times New Roman" w:cs="Times New Roman"/>
          <w:b/>
          <w:bCs/>
        </w:rPr>
      </w:pPr>
      <w:r w:rsidRPr="00AC5912">
        <w:rPr>
          <w:rFonts w:ascii="Times New Roman" w:hAnsi="Times New Roman" w:cs="Times New Roman"/>
          <w:b/>
          <w:bCs/>
        </w:rPr>
        <w:t>Referencias bibliográficas</w:t>
      </w:r>
      <w:r>
        <w:rPr>
          <w:rFonts w:ascii="Times New Roman" w:hAnsi="Times New Roman" w:cs="Times New Roman"/>
          <w:b/>
          <w:bCs/>
        </w:rPr>
        <w:t xml:space="preserve"> </w:t>
      </w:r>
      <w:r w:rsidRPr="006929B6">
        <w:rPr>
          <w:rFonts w:ascii="Times New Roman" w:hAnsi="Times New Roman" w:cs="Times New Roman"/>
          <w:b/>
          <w:bCs/>
          <w:lang w:val="en-US"/>
        </w:rPr>
        <w:t>(APA 7)</w:t>
      </w:r>
      <w:r w:rsidRPr="00AC5912">
        <w:rPr>
          <w:rFonts w:ascii="Times New Roman" w:hAnsi="Times New Roman" w:cs="Times New Roman"/>
          <w:b/>
          <w:bCs/>
        </w:rPr>
        <w:t>:</w:t>
      </w:r>
    </w:p>
    <w:p w14:paraId="2D11750F" w14:textId="77777777" w:rsidR="006929B6" w:rsidRPr="00AC5912" w:rsidRDefault="006929B6" w:rsidP="006929B6">
      <w:pPr>
        <w:pStyle w:val="Prrafodelista"/>
        <w:numPr>
          <w:ilvl w:val="0"/>
          <w:numId w:val="1"/>
        </w:numPr>
        <w:spacing w:line="240" w:lineRule="auto"/>
        <w:rPr>
          <w:rFonts w:ascii="Times New Roman" w:hAnsi="Times New Roman" w:cs="Times New Roman"/>
        </w:rPr>
      </w:pPr>
      <w:r w:rsidRPr="00AC5912">
        <w:rPr>
          <w:rFonts w:ascii="Times New Roman" w:hAnsi="Times New Roman" w:cs="Times New Roman"/>
        </w:rPr>
        <w:t xml:space="preserve">Argentina. (1995). </w:t>
      </w:r>
      <w:r w:rsidRPr="00AC5912">
        <w:rPr>
          <w:rFonts w:ascii="Times New Roman" w:hAnsi="Times New Roman" w:cs="Times New Roman"/>
          <w:i/>
          <w:iCs/>
        </w:rPr>
        <w:t>Ley de Educación Superior N.º 24.521</w:t>
      </w:r>
      <w:r w:rsidRPr="00AC5912">
        <w:rPr>
          <w:rFonts w:ascii="Times New Roman" w:hAnsi="Times New Roman" w:cs="Times New Roman"/>
        </w:rPr>
        <w:t xml:space="preserve">. Boletín Oficial de la República Argentina. </w:t>
      </w:r>
      <w:hyperlink r:id="rId10" w:history="1">
        <w:r w:rsidRPr="00AC5912">
          <w:rPr>
            <w:rStyle w:val="Hipervnculo"/>
            <w:rFonts w:ascii="Times New Roman" w:hAnsi="Times New Roman" w:cs="Times New Roman"/>
          </w:rPr>
          <w:t>http://servicios.infoleg.gob.ar/infolegInternet/anexos/25000-29999/25394/texact.htm</w:t>
        </w:r>
      </w:hyperlink>
    </w:p>
    <w:p w14:paraId="11C4920D" w14:textId="77777777" w:rsidR="006929B6" w:rsidRPr="00AC5912" w:rsidRDefault="006929B6" w:rsidP="006929B6">
      <w:pPr>
        <w:pStyle w:val="Prrafodelista"/>
        <w:numPr>
          <w:ilvl w:val="0"/>
          <w:numId w:val="1"/>
        </w:numPr>
        <w:spacing w:line="240" w:lineRule="auto"/>
        <w:rPr>
          <w:rFonts w:ascii="Times New Roman" w:hAnsi="Times New Roman" w:cs="Times New Roman"/>
          <w:lang w:val="en-US"/>
        </w:rPr>
      </w:pPr>
      <w:r w:rsidRPr="00AC5912">
        <w:rPr>
          <w:rFonts w:ascii="Times New Roman" w:hAnsi="Times New Roman" w:cs="Times New Roman"/>
          <w:lang w:val="en-US"/>
        </w:rPr>
        <w:t xml:space="preserve">Ball, S. J. (1993). What is policy? Texts, trajectories and toolboxes. </w:t>
      </w:r>
      <w:r w:rsidRPr="00AC5912">
        <w:rPr>
          <w:rFonts w:ascii="Times New Roman" w:hAnsi="Times New Roman" w:cs="Times New Roman"/>
          <w:i/>
          <w:iCs/>
          <w:lang w:val="en-US"/>
        </w:rPr>
        <w:t>Discourse</w:t>
      </w:r>
      <w:r w:rsidRPr="00AC5912">
        <w:rPr>
          <w:rFonts w:ascii="Times New Roman" w:hAnsi="Times New Roman" w:cs="Times New Roman"/>
          <w:lang w:val="en-US"/>
        </w:rPr>
        <w:t>, 13(2), 10–17.</w:t>
      </w:r>
    </w:p>
    <w:p w14:paraId="3D23A8C8" w14:textId="77777777" w:rsidR="006929B6" w:rsidRPr="00AC5912" w:rsidRDefault="006929B6" w:rsidP="006929B6">
      <w:pPr>
        <w:pStyle w:val="Prrafodelista"/>
        <w:numPr>
          <w:ilvl w:val="0"/>
          <w:numId w:val="1"/>
        </w:numPr>
        <w:spacing w:line="240" w:lineRule="auto"/>
        <w:rPr>
          <w:rFonts w:ascii="Times New Roman" w:hAnsi="Times New Roman" w:cs="Times New Roman"/>
        </w:rPr>
      </w:pPr>
      <w:r w:rsidRPr="00AC5912">
        <w:rPr>
          <w:rFonts w:ascii="Times New Roman" w:hAnsi="Times New Roman" w:cs="Times New Roman"/>
          <w:lang w:val="en-US"/>
        </w:rPr>
        <w:t xml:space="preserve">Ball, S. J., Maguire, M., &amp; Braun, A. (2012). </w:t>
      </w:r>
      <w:r w:rsidRPr="00AC5912">
        <w:rPr>
          <w:rFonts w:ascii="Times New Roman" w:hAnsi="Times New Roman" w:cs="Times New Roman"/>
          <w:i/>
          <w:iCs/>
          <w:lang w:val="en-US"/>
        </w:rPr>
        <w:t>How schools do policy: Policy enactments in secondary schools</w:t>
      </w:r>
      <w:r w:rsidRPr="00AC5912">
        <w:rPr>
          <w:rFonts w:ascii="Times New Roman" w:hAnsi="Times New Roman" w:cs="Times New Roman"/>
          <w:lang w:val="en-US"/>
        </w:rPr>
        <w:t xml:space="preserve">. </w:t>
      </w:r>
      <w:r w:rsidRPr="00AC5912">
        <w:rPr>
          <w:rFonts w:ascii="Times New Roman" w:hAnsi="Times New Roman" w:cs="Times New Roman"/>
        </w:rPr>
        <w:t xml:space="preserve">Routledge. </w:t>
      </w:r>
    </w:p>
    <w:p w14:paraId="1C0ED301" w14:textId="77777777" w:rsidR="006929B6" w:rsidRPr="00AC5912" w:rsidRDefault="006929B6" w:rsidP="006929B6">
      <w:pPr>
        <w:pStyle w:val="Prrafodelista"/>
        <w:numPr>
          <w:ilvl w:val="0"/>
          <w:numId w:val="1"/>
        </w:numPr>
        <w:spacing w:line="240" w:lineRule="auto"/>
        <w:rPr>
          <w:rFonts w:ascii="Times New Roman" w:hAnsi="Times New Roman" w:cs="Times New Roman"/>
        </w:rPr>
      </w:pPr>
      <w:r w:rsidRPr="00AC5912">
        <w:rPr>
          <w:rFonts w:ascii="Times New Roman" w:hAnsi="Times New Roman" w:cs="Times New Roman"/>
        </w:rPr>
        <w:t xml:space="preserve">Bernatené, S y Steiman, (2025). </w:t>
      </w:r>
      <w:r w:rsidRPr="00AC5912">
        <w:rPr>
          <w:rFonts w:ascii="Times New Roman" w:hAnsi="Times New Roman" w:cs="Times New Roman"/>
          <w:i/>
          <w:iCs/>
        </w:rPr>
        <w:t>Guía para un análisis curricular</w:t>
      </w:r>
      <w:r w:rsidRPr="00AC5912">
        <w:rPr>
          <w:rFonts w:ascii="Times New Roman" w:hAnsi="Times New Roman" w:cs="Times New Roman"/>
        </w:rPr>
        <w:t xml:space="preserve"> [Material de cátedra]. Seminario de Currículum Universitario, PIDE.</w:t>
      </w:r>
    </w:p>
    <w:p w14:paraId="7FC198BD" w14:textId="77777777" w:rsidR="006929B6" w:rsidRPr="00AC5912" w:rsidRDefault="006929B6" w:rsidP="006929B6">
      <w:pPr>
        <w:pStyle w:val="Prrafodelista"/>
        <w:numPr>
          <w:ilvl w:val="0"/>
          <w:numId w:val="1"/>
        </w:numPr>
        <w:spacing w:line="240" w:lineRule="auto"/>
        <w:rPr>
          <w:rFonts w:ascii="Times New Roman" w:hAnsi="Times New Roman" w:cs="Times New Roman"/>
        </w:rPr>
      </w:pPr>
      <w:r w:rsidRPr="00AC5912">
        <w:rPr>
          <w:rFonts w:ascii="Times New Roman" w:hAnsi="Times New Roman" w:cs="Times New Roman"/>
        </w:rPr>
        <w:t xml:space="preserve">Bourdieu, P. (1996). Espíritus de Estado. </w:t>
      </w:r>
      <w:r w:rsidRPr="00AC5912">
        <w:rPr>
          <w:rFonts w:ascii="Times New Roman" w:hAnsi="Times New Roman" w:cs="Times New Roman"/>
          <w:i/>
          <w:iCs/>
        </w:rPr>
        <w:t>Revista Sociedad</w:t>
      </w:r>
      <w:r w:rsidRPr="00AC5912">
        <w:rPr>
          <w:rFonts w:ascii="Times New Roman" w:hAnsi="Times New Roman" w:cs="Times New Roman"/>
        </w:rPr>
        <w:t>, 8, Facultad de Ciencias Sociales, UBA.</w:t>
      </w:r>
    </w:p>
    <w:p w14:paraId="410D8086" w14:textId="77777777" w:rsidR="006929B6" w:rsidRPr="00AC5912" w:rsidRDefault="006929B6" w:rsidP="006929B6">
      <w:pPr>
        <w:pStyle w:val="Prrafodelista"/>
        <w:numPr>
          <w:ilvl w:val="0"/>
          <w:numId w:val="1"/>
        </w:numPr>
        <w:spacing w:line="240" w:lineRule="auto"/>
        <w:rPr>
          <w:rFonts w:ascii="Times New Roman" w:hAnsi="Times New Roman" w:cs="Times New Roman"/>
        </w:rPr>
      </w:pPr>
      <w:r w:rsidRPr="00AC5912">
        <w:rPr>
          <w:rFonts w:ascii="Times New Roman" w:hAnsi="Times New Roman" w:cs="Times New Roman"/>
        </w:rPr>
        <w:t xml:space="preserve">Comisión Nacional de Evaluación y Acreditación Universitaria. (2018). </w:t>
      </w:r>
      <w:r w:rsidRPr="00AC5912">
        <w:rPr>
          <w:rFonts w:ascii="Times New Roman" w:hAnsi="Times New Roman" w:cs="Times New Roman"/>
          <w:i/>
          <w:iCs/>
        </w:rPr>
        <w:t>Documento marco sobre estándares de acreditación de carreras de grado</w:t>
      </w:r>
      <w:r w:rsidRPr="00AC5912">
        <w:rPr>
          <w:rFonts w:ascii="Times New Roman" w:hAnsi="Times New Roman" w:cs="Times New Roman"/>
        </w:rPr>
        <w:t>.</w:t>
      </w:r>
    </w:p>
    <w:p w14:paraId="3E0863E1" w14:textId="77777777" w:rsidR="006929B6" w:rsidRPr="00AC5912" w:rsidRDefault="006929B6" w:rsidP="006929B6">
      <w:pPr>
        <w:pStyle w:val="Prrafodelista"/>
        <w:numPr>
          <w:ilvl w:val="0"/>
          <w:numId w:val="1"/>
        </w:numPr>
        <w:spacing w:line="240" w:lineRule="auto"/>
        <w:rPr>
          <w:rFonts w:ascii="Times New Roman" w:hAnsi="Times New Roman" w:cs="Times New Roman"/>
        </w:rPr>
      </w:pPr>
      <w:r w:rsidRPr="00AC5912">
        <w:rPr>
          <w:rFonts w:ascii="Times New Roman" w:hAnsi="Times New Roman" w:cs="Times New Roman"/>
        </w:rPr>
        <w:lastRenderedPageBreak/>
        <w:t xml:space="preserve">Comisión Nacional de Evaluación y Acreditación Universitaria. (2024). </w:t>
      </w:r>
      <w:r w:rsidRPr="00AC5912">
        <w:rPr>
          <w:rFonts w:ascii="Times New Roman" w:hAnsi="Times New Roman" w:cs="Times New Roman"/>
          <w:i/>
          <w:iCs/>
        </w:rPr>
        <w:t xml:space="preserve">CONEAU obtiene el reconocimiento de la World </w:t>
      </w:r>
      <w:proofErr w:type="spellStart"/>
      <w:r w:rsidRPr="00AC5912">
        <w:rPr>
          <w:rFonts w:ascii="Times New Roman" w:hAnsi="Times New Roman" w:cs="Times New Roman"/>
          <w:i/>
          <w:iCs/>
        </w:rPr>
        <w:t>Federation</w:t>
      </w:r>
      <w:proofErr w:type="spellEnd"/>
      <w:r w:rsidRPr="00AC5912">
        <w:rPr>
          <w:rFonts w:ascii="Times New Roman" w:hAnsi="Times New Roman" w:cs="Times New Roman"/>
          <w:i/>
          <w:iCs/>
        </w:rPr>
        <w:t xml:space="preserve"> </w:t>
      </w:r>
      <w:proofErr w:type="spellStart"/>
      <w:r w:rsidRPr="00AC5912">
        <w:rPr>
          <w:rFonts w:ascii="Times New Roman" w:hAnsi="Times New Roman" w:cs="Times New Roman"/>
          <w:i/>
          <w:iCs/>
        </w:rPr>
        <w:t>for</w:t>
      </w:r>
      <w:proofErr w:type="spellEnd"/>
      <w:r w:rsidRPr="00AC5912">
        <w:rPr>
          <w:rFonts w:ascii="Times New Roman" w:hAnsi="Times New Roman" w:cs="Times New Roman"/>
          <w:i/>
          <w:iCs/>
        </w:rPr>
        <w:t xml:space="preserve"> Medical </w:t>
      </w:r>
      <w:proofErr w:type="spellStart"/>
      <w:r w:rsidRPr="00AC5912">
        <w:rPr>
          <w:rFonts w:ascii="Times New Roman" w:hAnsi="Times New Roman" w:cs="Times New Roman"/>
          <w:i/>
          <w:iCs/>
        </w:rPr>
        <w:t>Education</w:t>
      </w:r>
      <w:proofErr w:type="spellEnd"/>
      <w:r w:rsidRPr="00AC5912">
        <w:rPr>
          <w:rFonts w:ascii="Times New Roman" w:hAnsi="Times New Roman" w:cs="Times New Roman"/>
          <w:i/>
          <w:iCs/>
        </w:rPr>
        <w:t xml:space="preserve"> (WFME)</w:t>
      </w:r>
      <w:r w:rsidRPr="00AC5912">
        <w:rPr>
          <w:rFonts w:ascii="Times New Roman" w:hAnsi="Times New Roman" w:cs="Times New Roman"/>
        </w:rPr>
        <w:t xml:space="preserve">. </w:t>
      </w:r>
      <w:hyperlink r:id="rId11" w:tgtFrame="_new" w:history="1">
        <w:r w:rsidRPr="00AC5912">
          <w:rPr>
            <w:rStyle w:val="Hipervnculo"/>
            <w:rFonts w:ascii="Times New Roman" w:hAnsi="Times New Roman" w:cs="Times New Roman"/>
          </w:rPr>
          <w:t>https://www.coneau.gob.ar/coneau/coneau-obtiene-el-reconocimiento-de-la-world-federation-for-medical-education-wfme/</w:t>
        </w:r>
      </w:hyperlink>
    </w:p>
    <w:p w14:paraId="62EC885A" w14:textId="77777777" w:rsidR="006929B6" w:rsidRPr="00AC5912" w:rsidRDefault="006929B6" w:rsidP="006929B6">
      <w:pPr>
        <w:pStyle w:val="Prrafodelista"/>
        <w:numPr>
          <w:ilvl w:val="0"/>
          <w:numId w:val="1"/>
        </w:numPr>
        <w:spacing w:line="240" w:lineRule="auto"/>
        <w:rPr>
          <w:rFonts w:ascii="Times New Roman" w:hAnsi="Times New Roman" w:cs="Times New Roman"/>
        </w:rPr>
      </w:pPr>
      <w:r w:rsidRPr="00AC5912">
        <w:rPr>
          <w:rFonts w:ascii="Times New Roman" w:hAnsi="Times New Roman" w:cs="Times New Roman"/>
        </w:rPr>
        <w:t>Fernández Lamarra, N. y Aiello, M. (2014). La evaluación universitaria en Argentina en el marco de América Latina. Situación y desafíos en relación al aseguramiento de la calidad. En: Monarca, H. y Valle López, J. (</w:t>
      </w:r>
      <w:proofErr w:type="spellStart"/>
      <w:r w:rsidRPr="00AC5912">
        <w:rPr>
          <w:rFonts w:ascii="Times New Roman" w:hAnsi="Times New Roman" w:cs="Times New Roman"/>
        </w:rPr>
        <w:t>Coords</w:t>
      </w:r>
      <w:proofErr w:type="spellEnd"/>
      <w:r w:rsidRPr="00AC5912">
        <w:rPr>
          <w:rFonts w:ascii="Times New Roman" w:hAnsi="Times New Roman" w:cs="Times New Roman"/>
        </w:rPr>
        <w:t>.) Evaluación de la calidad de la educación superior en Iberoamérica. Madrid: GIPES-UAM.</w:t>
      </w:r>
    </w:p>
    <w:p w14:paraId="2737C7D4" w14:textId="77777777" w:rsidR="006929B6" w:rsidRPr="00AC5912" w:rsidRDefault="006929B6" w:rsidP="006929B6">
      <w:pPr>
        <w:pStyle w:val="Prrafodelista"/>
        <w:numPr>
          <w:ilvl w:val="0"/>
          <w:numId w:val="1"/>
        </w:numPr>
        <w:spacing w:line="240" w:lineRule="auto"/>
        <w:rPr>
          <w:rFonts w:ascii="Times New Roman" w:hAnsi="Times New Roman" w:cs="Times New Roman"/>
        </w:rPr>
      </w:pPr>
      <w:r w:rsidRPr="00AC5912">
        <w:rPr>
          <w:rFonts w:ascii="Times New Roman" w:hAnsi="Times New Roman" w:cs="Times New Roman"/>
        </w:rPr>
        <w:t xml:space="preserve">Fernández Villalón, M., Lambert Delgado, A. R., &amp; Leyva Caballero, R. (2023). </w:t>
      </w:r>
      <w:r w:rsidRPr="00AC5912">
        <w:rPr>
          <w:rFonts w:ascii="Times New Roman" w:hAnsi="Times New Roman" w:cs="Times New Roman"/>
          <w:i/>
          <w:iCs/>
        </w:rPr>
        <w:t>Promoción de la salud en la Universidad Médica a 35 años de la Declaración de Edimburgo</w:t>
      </w:r>
      <w:r w:rsidRPr="00AC5912">
        <w:rPr>
          <w:rFonts w:ascii="Times New Roman" w:hAnsi="Times New Roman" w:cs="Times New Roman"/>
        </w:rPr>
        <w:t>. MEDISAN, 27(4), e4457.</w:t>
      </w:r>
    </w:p>
    <w:p w14:paraId="21F9CF68" w14:textId="77777777" w:rsidR="006929B6" w:rsidRPr="00AC5912" w:rsidRDefault="006929B6" w:rsidP="006929B6">
      <w:pPr>
        <w:pStyle w:val="Prrafodelista"/>
        <w:numPr>
          <w:ilvl w:val="0"/>
          <w:numId w:val="1"/>
        </w:numPr>
        <w:spacing w:line="240" w:lineRule="auto"/>
        <w:rPr>
          <w:rFonts w:ascii="Times New Roman" w:hAnsi="Times New Roman" w:cs="Times New Roman"/>
        </w:rPr>
      </w:pPr>
      <w:r w:rsidRPr="00AC5912">
        <w:rPr>
          <w:rFonts w:ascii="Times New Roman" w:hAnsi="Times New Roman" w:cs="Times New Roman"/>
        </w:rPr>
        <w:t xml:space="preserve">Ministerio de Educación de la Nación. (2022). </w:t>
      </w:r>
      <w:r w:rsidRPr="00AC5912">
        <w:rPr>
          <w:rFonts w:ascii="Times New Roman" w:hAnsi="Times New Roman" w:cs="Times New Roman"/>
          <w:i/>
          <w:iCs/>
        </w:rPr>
        <w:t>Resolución 798/2022: Estándares para la acreditación de la carrera de Medicina</w:t>
      </w:r>
      <w:r w:rsidRPr="00AC5912">
        <w:rPr>
          <w:rFonts w:ascii="Times New Roman" w:hAnsi="Times New Roman" w:cs="Times New Roman"/>
        </w:rPr>
        <w:t>. Ministerio de Educación de la Nación.</w:t>
      </w:r>
    </w:p>
    <w:p w14:paraId="079695E3" w14:textId="77777777" w:rsidR="006929B6" w:rsidRPr="00AC5912" w:rsidRDefault="006929B6" w:rsidP="006929B6">
      <w:pPr>
        <w:pStyle w:val="Prrafodelista"/>
        <w:numPr>
          <w:ilvl w:val="0"/>
          <w:numId w:val="1"/>
        </w:numPr>
        <w:spacing w:line="240" w:lineRule="auto"/>
        <w:rPr>
          <w:rFonts w:ascii="Times New Roman" w:hAnsi="Times New Roman" w:cs="Times New Roman"/>
          <w:lang w:val="en-US"/>
        </w:rPr>
      </w:pPr>
      <w:r w:rsidRPr="00AC5912">
        <w:rPr>
          <w:rFonts w:ascii="Times New Roman" w:hAnsi="Times New Roman" w:cs="Times New Roman"/>
        </w:rPr>
        <w:t xml:space="preserve">Organización Mundial de la Salud. </w:t>
      </w:r>
      <w:r w:rsidRPr="00AC5912">
        <w:rPr>
          <w:rFonts w:ascii="Times New Roman" w:hAnsi="Times New Roman" w:cs="Times New Roman"/>
          <w:lang w:val="en-US"/>
        </w:rPr>
        <w:t xml:space="preserve">(1978). </w:t>
      </w:r>
      <w:r w:rsidRPr="00AC5912">
        <w:rPr>
          <w:rFonts w:ascii="Times New Roman" w:hAnsi="Times New Roman" w:cs="Times New Roman"/>
          <w:i/>
          <w:iCs/>
          <w:lang w:val="en-US"/>
        </w:rPr>
        <w:t>Declaration of Alma-Ata</w:t>
      </w:r>
      <w:r w:rsidRPr="00AC5912">
        <w:rPr>
          <w:rFonts w:ascii="Times New Roman" w:hAnsi="Times New Roman" w:cs="Times New Roman"/>
          <w:lang w:val="en-US"/>
        </w:rPr>
        <w:t>.</w:t>
      </w:r>
    </w:p>
    <w:p w14:paraId="3700D56B" w14:textId="77777777" w:rsidR="006929B6" w:rsidRPr="00AC5912" w:rsidRDefault="006929B6" w:rsidP="006929B6">
      <w:pPr>
        <w:pStyle w:val="Prrafodelista"/>
        <w:numPr>
          <w:ilvl w:val="0"/>
          <w:numId w:val="1"/>
        </w:numPr>
        <w:spacing w:line="240" w:lineRule="auto"/>
        <w:rPr>
          <w:rFonts w:ascii="Times New Roman" w:hAnsi="Times New Roman" w:cs="Times New Roman"/>
        </w:rPr>
      </w:pPr>
      <w:r w:rsidRPr="00AC5912">
        <w:rPr>
          <w:rFonts w:ascii="Times New Roman" w:hAnsi="Times New Roman" w:cs="Times New Roman"/>
        </w:rPr>
        <w:t xml:space="preserve">Steiman, J. (2018). </w:t>
      </w:r>
      <w:r w:rsidRPr="00AC5912">
        <w:rPr>
          <w:rFonts w:ascii="Times New Roman" w:hAnsi="Times New Roman" w:cs="Times New Roman"/>
          <w:i/>
          <w:iCs/>
        </w:rPr>
        <w:t>Análisis curricular en la universidad</w:t>
      </w:r>
      <w:r w:rsidRPr="00AC5912">
        <w:rPr>
          <w:rFonts w:ascii="Times New Roman" w:hAnsi="Times New Roman" w:cs="Times New Roman"/>
        </w:rPr>
        <w:t xml:space="preserve"> [Material de cátedra].</w:t>
      </w:r>
    </w:p>
    <w:p w14:paraId="36084D4D" w14:textId="77777777" w:rsidR="006929B6" w:rsidRPr="00AC5912" w:rsidRDefault="006929B6" w:rsidP="006929B6">
      <w:pPr>
        <w:pStyle w:val="Prrafodelista"/>
        <w:numPr>
          <w:ilvl w:val="0"/>
          <w:numId w:val="1"/>
        </w:numPr>
        <w:spacing w:line="240" w:lineRule="auto"/>
        <w:rPr>
          <w:rFonts w:ascii="Times New Roman" w:hAnsi="Times New Roman" w:cs="Times New Roman"/>
          <w:i/>
          <w:iCs/>
        </w:rPr>
      </w:pPr>
      <w:r w:rsidRPr="00AC5912">
        <w:rPr>
          <w:rFonts w:ascii="Times New Roman" w:hAnsi="Times New Roman" w:cs="Times New Roman"/>
        </w:rPr>
        <w:t xml:space="preserve">Trombetta, L. (2024). </w:t>
      </w:r>
      <w:r w:rsidRPr="00AC5912">
        <w:rPr>
          <w:rFonts w:ascii="Times New Roman" w:hAnsi="Times New Roman" w:cs="Times New Roman"/>
          <w:i/>
          <w:iCs/>
        </w:rPr>
        <w:t>Las reformas curriculares de la carrera de Medicina: FCM-UBA 1982–2019. Leamos.</w:t>
      </w:r>
    </w:p>
    <w:p w14:paraId="778A5E3B" w14:textId="77777777" w:rsidR="006929B6" w:rsidRPr="00AC5912" w:rsidRDefault="006929B6" w:rsidP="006929B6">
      <w:pPr>
        <w:pStyle w:val="Prrafodelista"/>
        <w:numPr>
          <w:ilvl w:val="0"/>
          <w:numId w:val="1"/>
        </w:numPr>
        <w:spacing w:line="240" w:lineRule="auto"/>
        <w:rPr>
          <w:rFonts w:ascii="Times New Roman" w:hAnsi="Times New Roman" w:cs="Times New Roman"/>
        </w:rPr>
      </w:pPr>
      <w:r w:rsidRPr="00AC5912">
        <w:rPr>
          <w:rFonts w:ascii="Times New Roman" w:hAnsi="Times New Roman" w:cs="Times New Roman"/>
        </w:rPr>
        <w:t xml:space="preserve">Universidad de Buenos Aires, Facultad de Medicina. (s. f.). </w:t>
      </w:r>
      <w:r w:rsidRPr="00AC5912">
        <w:rPr>
          <w:rFonts w:ascii="Times New Roman" w:hAnsi="Times New Roman" w:cs="Times New Roman"/>
          <w:i/>
          <w:iCs/>
        </w:rPr>
        <w:t>Carrera de Medicina: Información general</w:t>
      </w:r>
      <w:r w:rsidRPr="00AC5912">
        <w:rPr>
          <w:rFonts w:ascii="Times New Roman" w:hAnsi="Times New Roman" w:cs="Times New Roman"/>
        </w:rPr>
        <w:t xml:space="preserve">. </w:t>
      </w:r>
      <w:hyperlink r:id="rId12" w:tgtFrame="_new" w:history="1">
        <w:r w:rsidRPr="00AC5912">
          <w:rPr>
            <w:rStyle w:val="Hipervnculo"/>
            <w:rFonts w:ascii="Times New Roman" w:hAnsi="Times New Roman" w:cs="Times New Roman"/>
          </w:rPr>
          <w:t>https://fmed.uba.ar/carreras/medicina/informacion-general</w:t>
        </w:r>
      </w:hyperlink>
    </w:p>
    <w:p w14:paraId="124E06C8" w14:textId="77777777" w:rsidR="006929B6" w:rsidRPr="00AC5912" w:rsidRDefault="006929B6" w:rsidP="006929B6">
      <w:pPr>
        <w:pStyle w:val="Prrafodelista"/>
        <w:numPr>
          <w:ilvl w:val="0"/>
          <w:numId w:val="1"/>
        </w:numPr>
        <w:spacing w:line="240" w:lineRule="auto"/>
        <w:rPr>
          <w:rFonts w:ascii="Times New Roman" w:hAnsi="Times New Roman" w:cs="Times New Roman"/>
        </w:rPr>
      </w:pPr>
      <w:r w:rsidRPr="00AC5912">
        <w:rPr>
          <w:rFonts w:ascii="Times New Roman" w:hAnsi="Times New Roman" w:cs="Times New Roman"/>
        </w:rPr>
        <w:t xml:space="preserve">Universidad del Salvador. (2014). </w:t>
      </w:r>
      <w:r w:rsidRPr="00AC5912">
        <w:rPr>
          <w:rFonts w:ascii="Times New Roman" w:hAnsi="Times New Roman" w:cs="Times New Roman"/>
          <w:i/>
          <w:iCs/>
        </w:rPr>
        <w:t>Plan de estudios de la carrera de Medicina (Resolución Rectoral N.º RR 89/14)</w:t>
      </w:r>
      <w:r w:rsidRPr="00AC5912">
        <w:rPr>
          <w:rFonts w:ascii="Times New Roman" w:hAnsi="Times New Roman" w:cs="Times New Roman"/>
        </w:rPr>
        <w:t xml:space="preserve">. </w:t>
      </w:r>
      <w:hyperlink r:id="rId13" w:tgtFrame="_new" w:history="1">
        <w:r w:rsidRPr="00AC5912">
          <w:rPr>
            <w:rStyle w:val="Hipervnculo"/>
            <w:rFonts w:ascii="Times New Roman" w:hAnsi="Times New Roman" w:cs="Times New Roman"/>
          </w:rPr>
          <w:t>https://www.usal.edu.ar/ingreso/propuesta/medicina/</w:t>
        </w:r>
      </w:hyperlink>
    </w:p>
    <w:p w14:paraId="5666D82F" w14:textId="77777777" w:rsidR="006929B6" w:rsidRPr="00AC5912" w:rsidRDefault="006929B6" w:rsidP="006929B6">
      <w:pPr>
        <w:pStyle w:val="Prrafodelista"/>
        <w:numPr>
          <w:ilvl w:val="0"/>
          <w:numId w:val="1"/>
        </w:numPr>
        <w:spacing w:line="240" w:lineRule="auto"/>
        <w:rPr>
          <w:rFonts w:ascii="Times New Roman" w:hAnsi="Times New Roman" w:cs="Times New Roman"/>
        </w:rPr>
      </w:pPr>
      <w:r w:rsidRPr="00AC5912">
        <w:rPr>
          <w:rFonts w:ascii="Times New Roman" w:hAnsi="Times New Roman" w:cs="Times New Roman"/>
        </w:rPr>
        <w:t xml:space="preserve">Universidad Nacional del Sur. (2023). </w:t>
      </w:r>
      <w:r w:rsidRPr="00AC5912">
        <w:rPr>
          <w:rFonts w:ascii="Times New Roman" w:hAnsi="Times New Roman" w:cs="Times New Roman"/>
          <w:i/>
          <w:iCs/>
        </w:rPr>
        <w:t>Plan de estudios de la carrera de Medicina</w:t>
      </w:r>
      <w:r w:rsidRPr="00AC5912">
        <w:rPr>
          <w:rFonts w:ascii="Times New Roman" w:hAnsi="Times New Roman" w:cs="Times New Roman"/>
        </w:rPr>
        <w:t xml:space="preserve">. </w:t>
      </w:r>
      <w:hyperlink r:id="rId14" w:history="1">
        <w:r w:rsidRPr="00AC5912">
          <w:rPr>
            <w:rFonts w:ascii="Times New Roman" w:hAnsi="Times New Roman" w:cs="Times New Roman"/>
            <w:i/>
            <w:iCs/>
          </w:rPr>
          <w:t>versión 2 Res. CSU Nº 1052/23</w:t>
        </w:r>
      </w:hyperlink>
      <w:r w:rsidRPr="00AC5912">
        <w:rPr>
          <w:rFonts w:ascii="Times New Roman" w:hAnsi="Times New Roman" w:cs="Times New Roman"/>
        </w:rPr>
        <w:t xml:space="preserve">. Bahía Blanca, Argentina: Universidad Nacional del Sur. </w:t>
      </w:r>
      <w:hyperlink r:id="rId15" w:history="1">
        <w:r w:rsidRPr="00AC5912">
          <w:rPr>
            <w:rStyle w:val="Hipervnculo"/>
            <w:rFonts w:ascii="Times New Roman" w:hAnsi="Times New Roman" w:cs="Times New Roman"/>
          </w:rPr>
          <w:t>https://st02.uns.edu.ar/contenidos/documentos/39_AP_7481.pdf</w:t>
        </w:r>
      </w:hyperlink>
      <w:r w:rsidRPr="00AC5912">
        <w:rPr>
          <w:rFonts w:ascii="Times New Roman" w:hAnsi="Times New Roman" w:cs="Times New Roman"/>
        </w:rPr>
        <w:t xml:space="preserve"> </w:t>
      </w:r>
    </w:p>
    <w:p w14:paraId="42805F63" w14:textId="77777777" w:rsidR="006929B6" w:rsidRPr="00AC5912" w:rsidRDefault="006929B6" w:rsidP="006929B6">
      <w:pPr>
        <w:pStyle w:val="Prrafodelista"/>
        <w:numPr>
          <w:ilvl w:val="0"/>
          <w:numId w:val="1"/>
        </w:numPr>
        <w:spacing w:line="240" w:lineRule="auto"/>
        <w:rPr>
          <w:rFonts w:ascii="Times New Roman" w:hAnsi="Times New Roman" w:cs="Times New Roman"/>
        </w:rPr>
      </w:pPr>
      <w:r w:rsidRPr="00AC5912">
        <w:rPr>
          <w:rFonts w:ascii="Times New Roman" w:hAnsi="Times New Roman" w:cs="Times New Roman"/>
          <w:lang w:val="en-US"/>
        </w:rPr>
        <w:t xml:space="preserve">World Federation for Medical Education. </w:t>
      </w:r>
      <w:r w:rsidRPr="00AC5912">
        <w:rPr>
          <w:rFonts w:ascii="Times New Roman" w:hAnsi="Times New Roman" w:cs="Times New Roman"/>
        </w:rPr>
        <w:t xml:space="preserve">(1988). </w:t>
      </w:r>
      <w:r w:rsidRPr="00AC5912">
        <w:rPr>
          <w:rFonts w:ascii="Times New Roman" w:hAnsi="Times New Roman" w:cs="Times New Roman"/>
          <w:i/>
          <w:iCs/>
        </w:rPr>
        <w:t>Declaración de Edimburgo</w:t>
      </w:r>
      <w:r w:rsidRPr="00AC5912">
        <w:rPr>
          <w:rFonts w:ascii="Times New Roman" w:hAnsi="Times New Roman" w:cs="Times New Roman"/>
        </w:rPr>
        <w:t xml:space="preserve">. </w:t>
      </w:r>
      <w:r w:rsidRPr="00AC5912">
        <w:rPr>
          <w:rFonts w:ascii="Times New Roman" w:hAnsi="Times New Roman" w:cs="Times New Roman"/>
          <w:i/>
          <w:iCs/>
        </w:rPr>
        <w:t xml:space="preserve">Medical </w:t>
      </w:r>
      <w:proofErr w:type="spellStart"/>
      <w:r w:rsidRPr="00AC5912">
        <w:rPr>
          <w:rFonts w:ascii="Times New Roman" w:hAnsi="Times New Roman" w:cs="Times New Roman"/>
          <w:i/>
          <w:iCs/>
        </w:rPr>
        <w:t>Education</w:t>
      </w:r>
      <w:proofErr w:type="spellEnd"/>
      <w:r w:rsidRPr="00AC5912">
        <w:rPr>
          <w:rFonts w:ascii="Times New Roman" w:hAnsi="Times New Roman" w:cs="Times New Roman"/>
        </w:rPr>
        <w:t>, 22(5), 481–482.</w:t>
      </w:r>
    </w:p>
    <w:p w14:paraId="51D82A69" w14:textId="77777777" w:rsidR="006929B6" w:rsidRPr="00AC5912" w:rsidRDefault="006929B6" w:rsidP="006929B6">
      <w:pPr>
        <w:spacing w:line="240" w:lineRule="auto"/>
      </w:pPr>
    </w:p>
    <w:p w14:paraId="6CDFE8FD" w14:textId="77777777" w:rsidR="006929B6" w:rsidRPr="00AC5912" w:rsidRDefault="006929B6" w:rsidP="006929B6">
      <w:pPr>
        <w:spacing w:line="240" w:lineRule="auto"/>
        <w:rPr>
          <w:rFonts w:ascii="Times New Roman" w:hAnsi="Times New Roman" w:cs="Times New Roman"/>
          <w:b/>
          <w:bCs/>
        </w:rPr>
      </w:pPr>
      <w:r w:rsidRPr="00AC5912">
        <w:rPr>
          <w:rFonts w:ascii="Times New Roman" w:hAnsi="Times New Roman" w:cs="Times New Roman"/>
          <w:b/>
          <w:bCs/>
        </w:rPr>
        <w:t>Declaración de uso de IA</w:t>
      </w:r>
    </w:p>
    <w:p w14:paraId="64FA32DC" w14:textId="285939CF" w:rsidR="006929B6" w:rsidRPr="00AC5912" w:rsidRDefault="006929B6" w:rsidP="006929B6">
      <w:pPr>
        <w:spacing w:line="240" w:lineRule="auto"/>
      </w:pPr>
      <w:r w:rsidRPr="00AC5912">
        <w:rPr>
          <w:rFonts w:ascii="Times New Roman" w:hAnsi="Times New Roman" w:cs="Times New Roman"/>
        </w:rPr>
        <w:t xml:space="preserve">Este trabajo fue elaborado por el autor. Se utilizaron herramientas de IA generativa únicamente como apoyo instrumental: </w:t>
      </w:r>
      <w:proofErr w:type="spellStart"/>
      <w:r w:rsidRPr="00AC5912">
        <w:rPr>
          <w:rFonts w:ascii="Times New Roman" w:hAnsi="Times New Roman" w:cs="Times New Roman"/>
        </w:rPr>
        <w:t>NotebookLM</w:t>
      </w:r>
      <w:proofErr w:type="spellEnd"/>
      <w:r w:rsidRPr="00AC5912">
        <w:rPr>
          <w:rFonts w:ascii="Times New Roman" w:hAnsi="Times New Roman" w:cs="Times New Roman"/>
        </w:rPr>
        <w:t xml:space="preserve"> para la organización de la bibliografía y Claude como asistente de escritura académica en etapa de revisión</w:t>
      </w:r>
      <w:r>
        <w:rPr>
          <w:rFonts w:ascii="Times New Roman" w:hAnsi="Times New Roman" w:cs="Times New Roman"/>
        </w:rPr>
        <w:t>.</w:t>
      </w:r>
    </w:p>
    <w:p w14:paraId="544B704F" w14:textId="77777777" w:rsidR="00BC236F" w:rsidRPr="006929B6" w:rsidRDefault="00BC236F" w:rsidP="007B5B5F">
      <w:pPr>
        <w:spacing w:line="240" w:lineRule="auto"/>
        <w:jc w:val="both"/>
        <w:rPr>
          <w:rFonts w:ascii="Times New Roman" w:hAnsi="Times New Roman" w:cs="Times New Roman"/>
          <w:lang w:val="es-AR"/>
        </w:rPr>
      </w:pPr>
    </w:p>
    <w:p w14:paraId="7E83515B" w14:textId="79773BDA" w:rsidR="001923DC" w:rsidRPr="006929B6" w:rsidRDefault="001923DC" w:rsidP="007B5B5F">
      <w:pPr>
        <w:spacing w:line="240" w:lineRule="auto"/>
        <w:jc w:val="center"/>
        <w:rPr>
          <w:rFonts w:ascii="Times New Roman" w:hAnsi="Times New Roman" w:cs="Times New Roman"/>
          <w:lang w:val="es-AR"/>
        </w:rPr>
      </w:pPr>
    </w:p>
    <w:sectPr w:rsidR="001923DC" w:rsidRPr="006929B6" w:rsidSect="00701F64">
      <w:headerReference w:type="default" r:id="rId16"/>
      <w:footerReference w:type="default" r:id="rId1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FD2B1" w14:textId="77777777" w:rsidR="00512997" w:rsidRPr="00BA642E" w:rsidRDefault="00512997" w:rsidP="00C802F5">
      <w:pPr>
        <w:spacing w:after="0" w:line="240" w:lineRule="auto"/>
      </w:pPr>
      <w:r w:rsidRPr="00BA642E">
        <w:separator/>
      </w:r>
    </w:p>
  </w:endnote>
  <w:endnote w:type="continuationSeparator" w:id="0">
    <w:p w14:paraId="7DB830BA" w14:textId="77777777" w:rsidR="00512997" w:rsidRPr="00BA642E" w:rsidRDefault="00512997"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03A34" w14:textId="77777777" w:rsidR="00512997" w:rsidRPr="00BA642E" w:rsidRDefault="00512997" w:rsidP="00C802F5">
      <w:pPr>
        <w:spacing w:after="0" w:line="240" w:lineRule="auto"/>
      </w:pPr>
      <w:r w:rsidRPr="00BA642E">
        <w:separator/>
      </w:r>
    </w:p>
  </w:footnote>
  <w:footnote w:type="continuationSeparator" w:id="0">
    <w:p w14:paraId="01A6EE6C" w14:textId="77777777" w:rsidR="00512997" w:rsidRPr="00BA642E" w:rsidRDefault="00512997"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82F55"/>
    <w:multiLevelType w:val="hybridMultilevel"/>
    <w:tmpl w:val="9B4ADB7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7D230241"/>
    <w:multiLevelType w:val="hybridMultilevel"/>
    <w:tmpl w:val="470E70A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473520117">
    <w:abstractNumId w:val="1"/>
  </w:num>
  <w:num w:numId="2" w16cid:durableId="269894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347FE"/>
    <w:rsid w:val="00073E25"/>
    <w:rsid w:val="001816D6"/>
    <w:rsid w:val="00185F5E"/>
    <w:rsid w:val="001923DC"/>
    <w:rsid w:val="002327C3"/>
    <w:rsid w:val="00312392"/>
    <w:rsid w:val="004040C0"/>
    <w:rsid w:val="00437E9C"/>
    <w:rsid w:val="00512997"/>
    <w:rsid w:val="00550766"/>
    <w:rsid w:val="005F3B2E"/>
    <w:rsid w:val="006929B6"/>
    <w:rsid w:val="00701F64"/>
    <w:rsid w:val="007B5B5F"/>
    <w:rsid w:val="007D233B"/>
    <w:rsid w:val="0085070B"/>
    <w:rsid w:val="00A17247"/>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Descripcin">
    <w:name w:val="caption"/>
    <w:basedOn w:val="Normal"/>
    <w:next w:val="Normal"/>
    <w:uiPriority w:val="35"/>
    <w:unhideWhenUsed/>
    <w:qFormat/>
    <w:rsid w:val="006929B6"/>
    <w:pPr>
      <w:spacing w:after="200" w:line="240" w:lineRule="auto"/>
    </w:pPr>
    <w:rPr>
      <w:i/>
      <w:iCs/>
      <w:color w:val="44546A" w:themeColor="text2"/>
      <w:kern w:val="0"/>
      <w:sz w:val="18"/>
      <w:szCs w:val="18"/>
      <w:lang w:val="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ardias@cbc,uba.ar" TargetMode="External"/><Relationship Id="rId13" Type="http://schemas.openxmlformats.org/officeDocument/2006/relationships/hyperlink" Target="https://www.usal.edu.ar/ingreso/propuesta/medicin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pardias@hotmail.com" TargetMode="External"/><Relationship Id="rId12" Type="http://schemas.openxmlformats.org/officeDocument/2006/relationships/hyperlink" Target="https://fmed.uba.ar/carreras/medicina/informacion-genera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eau.gob.ar/coneau/coneau-obtiene-el-reconocimiento-de-la-world-federation-for-medical-education-wfme/" TargetMode="External"/><Relationship Id="rId5" Type="http://schemas.openxmlformats.org/officeDocument/2006/relationships/footnotes" Target="footnotes.xml"/><Relationship Id="rId15" Type="http://schemas.openxmlformats.org/officeDocument/2006/relationships/hyperlink" Target="https://st02.uns.edu.ar/contenidos/documentos/39_AP_7481.pdf" TargetMode="External"/><Relationship Id="rId10" Type="http://schemas.openxmlformats.org/officeDocument/2006/relationships/hyperlink" Target="http://servicios.infoleg.gob.ar/infolegInternet/anexos/25000-29999/25394/texact.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st02.uns.edu.ar/contenidos/documentos/39_AP_7481.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6140</Words>
  <Characters>33773</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Pablo Pardias</dc:creator>
  <cp:keywords/>
  <dc:description/>
  <cp:lastModifiedBy>Juan Pablo Pardias</cp:lastModifiedBy>
  <cp:revision>3</cp:revision>
  <dcterms:created xsi:type="dcterms:W3CDTF">2026-07-13T16:24:00Z</dcterms:created>
  <dcterms:modified xsi:type="dcterms:W3CDTF">2026-07-13T16:27:00Z</dcterms:modified>
</cp:coreProperties>
</file>