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29C5D835" w14:textId="77777777" w:rsidR="008F4B29" w:rsidRPr="007A1728" w:rsidRDefault="008F4B29" w:rsidP="008F4B29">
      <w:pPr>
        <w:jc w:val="center"/>
        <w:rPr>
          <w:rFonts w:ascii="Times New Roman" w:hAnsi="Times New Roman" w:cs="Times New Roman"/>
          <w:b/>
          <w:bCs/>
        </w:rPr>
      </w:pPr>
      <w:r w:rsidRPr="007A1728">
        <w:rPr>
          <w:rFonts w:ascii="Times New Roman" w:hAnsi="Times New Roman" w:cs="Times New Roman"/>
          <w:b/>
          <w:bCs/>
        </w:rPr>
        <w:t>Gobernanza, regulación académica y sistema de créditos universitarios en Argentina: análisis sistémico y experiencia institucional</w:t>
      </w:r>
    </w:p>
    <w:p w14:paraId="26043D53" w14:textId="77777777" w:rsidR="008F4B29" w:rsidRDefault="008F4B29" w:rsidP="008F4B29">
      <w:pPr>
        <w:spacing w:after="0" w:line="360" w:lineRule="auto"/>
        <w:rPr>
          <w:rFonts w:ascii="Times New Roman" w:hAnsi="Times New Roman" w:cs="Times New Roman"/>
          <w:b/>
          <w:bCs/>
        </w:rPr>
      </w:pPr>
    </w:p>
    <w:p w14:paraId="1DABD42B" w14:textId="1947134C" w:rsidR="001923DC" w:rsidRPr="00BA642E" w:rsidRDefault="001923DC" w:rsidP="008F4B29">
      <w:pPr>
        <w:rPr>
          <w:rFonts w:ascii="Times New Roman" w:hAnsi="Times New Roman" w:cs="Times New Roman"/>
          <w:b/>
          <w:bCs/>
        </w:rPr>
      </w:pPr>
    </w:p>
    <w:p w14:paraId="43C49479" w14:textId="77777777" w:rsidR="005F3B2E" w:rsidRPr="00BA642E" w:rsidRDefault="005F3B2E" w:rsidP="001923DC">
      <w:pPr>
        <w:jc w:val="center"/>
        <w:rPr>
          <w:rFonts w:ascii="Times New Roman" w:hAnsi="Times New Roman" w:cs="Times New Roman"/>
        </w:rPr>
      </w:pPr>
    </w:p>
    <w:p w14:paraId="4E738780" w14:textId="5515EC47" w:rsidR="005F3B2E" w:rsidRPr="00BA642E" w:rsidRDefault="008F4B29" w:rsidP="005F3B2E">
      <w:pPr>
        <w:spacing w:after="0" w:line="240" w:lineRule="auto"/>
        <w:jc w:val="right"/>
        <w:rPr>
          <w:rFonts w:ascii="Times New Roman" w:hAnsi="Times New Roman" w:cs="Times New Roman"/>
        </w:rPr>
      </w:pPr>
      <w:r>
        <w:rPr>
          <w:rFonts w:ascii="Times New Roman" w:hAnsi="Times New Roman" w:cs="Times New Roman"/>
        </w:rPr>
        <w:t>Zaba, Stella Maris</w:t>
      </w:r>
    </w:p>
    <w:p w14:paraId="6C2AECCA" w14:textId="421B8FB6" w:rsidR="005F3B2E" w:rsidRDefault="008F4B29" w:rsidP="005F3B2E">
      <w:pPr>
        <w:spacing w:after="0" w:line="240" w:lineRule="auto"/>
        <w:jc w:val="right"/>
        <w:rPr>
          <w:rFonts w:ascii="Times New Roman" w:hAnsi="Times New Roman" w:cs="Times New Roman"/>
        </w:rPr>
      </w:pPr>
      <w:r>
        <w:rPr>
          <w:rFonts w:ascii="Times New Roman" w:hAnsi="Times New Roman" w:cs="Times New Roman"/>
        </w:rPr>
        <w:t>Universidad Nacional Raul Scalabrini Ortiz</w:t>
      </w:r>
    </w:p>
    <w:p w14:paraId="5EFF6DE4" w14:textId="25DEABCB" w:rsidR="008F4B29" w:rsidRPr="00BA642E" w:rsidRDefault="008F4B29" w:rsidP="005F3B2E">
      <w:pPr>
        <w:spacing w:after="0" w:line="240" w:lineRule="auto"/>
        <w:jc w:val="right"/>
        <w:rPr>
          <w:rFonts w:ascii="Times New Roman" w:hAnsi="Times New Roman" w:cs="Times New Roman"/>
        </w:rPr>
      </w:pPr>
      <w:r>
        <w:rPr>
          <w:rFonts w:ascii="Times New Roman" w:hAnsi="Times New Roman" w:cs="Times New Roman"/>
        </w:rPr>
        <w:t>Universidad de Buenos Aires</w:t>
      </w:r>
    </w:p>
    <w:p w14:paraId="7D0026CD" w14:textId="66D9F0F6" w:rsidR="005F3B2E" w:rsidRPr="00BA642E" w:rsidRDefault="008F4B29" w:rsidP="005F3B2E">
      <w:pPr>
        <w:spacing w:after="0" w:line="240" w:lineRule="auto"/>
        <w:jc w:val="right"/>
        <w:rPr>
          <w:rFonts w:ascii="Times New Roman" w:hAnsi="Times New Roman" w:cs="Times New Roman"/>
        </w:rPr>
      </w:pPr>
      <w:r>
        <w:rPr>
          <w:rFonts w:ascii="Times New Roman" w:hAnsi="Times New Roman" w:cs="Times New Roman"/>
        </w:rPr>
        <w:t>smzaba@gmail.com</w:t>
      </w:r>
    </w:p>
    <w:p w14:paraId="7B9027E2" w14:textId="77777777" w:rsidR="00BA642E" w:rsidRDefault="00BA642E" w:rsidP="005F3B2E">
      <w:pPr>
        <w:rPr>
          <w:rFonts w:ascii="Times New Roman" w:hAnsi="Times New Roman" w:cs="Times New Roman"/>
          <w:b/>
          <w:bCs/>
        </w:rPr>
      </w:pPr>
    </w:p>
    <w:p w14:paraId="13BAF914" w14:textId="77777777" w:rsidR="008F4B29" w:rsidRDefault="008F4B29" w:rsidP="005F3B2E">
      <w:pPr>
        <w:rPr>
          <w:rFonts w:ascii="Times New Roman" w:hAnsi="Times New Roman" w:cs="Times New Roman"/>
          <w:b/>
          <w:bCs/>
        </w:rPr>
      </w:pPr>
    </w:p>
    <w:p w14:paraId="1189E59B" w14:textId="77777777" w:rsidR="008F4B29" w:rsidRDefault="008F4B29" w:rsidP="005F3B2E">
      <w:pPr>
        <w:rPr>
          <w:rFonts w:ascii="Times New Roman" w:hAnsi="Times New Roman" w:cs="Times New Roman"/>
          <w:b/>
          <w:bCs/>
        </w:rPr>
      </w:pPr>
    </w:p>
    <w:p w14:paraId="3BE3E95F" w14:textId="77777777" w:rsidR="008F4B29" w:rsidRDefault="008F4B29" w:rsidP="005F3B2E">
      <w:pPr>
        <w:rPr>
          <w:rFonts w:ascii="Times New Roman" w:hAnsi="Times New Roman" w:cs="Times New Roman"/>
          <w:b/>
          <w:bCs/>
        </w:rPr>
      </w:pPr>
    </w:p>
    <w:p w14:paraId="18BF0249" w14:textId="77777777" w:rsidR="008F4B29" w:rsidRDefault="008F4B29" w:rsidP="005F3B2E">
      <w:pPr>
        <w:rPr>
          <w:rFonts w:ascii="Times New Roman" w:hAnsi="Times New Roman" w:cs="Times New Roman"/>
          <w:b/>
          <w:bCs/>
        </w:rPr>
      </w:pPr>
    </w:p>
    <w:p w14:paraId="65D54CA7" w14:textId="77777777" w:rsidR="008F4B29" w:rsidRDefault="008F4B29" w:rsidP="005F3B2E">
      <w:pPr>
        <w:rPr>
          <w:rFonts w:ascii="Times New Roman" w:hAnsi="Times New Roman" w:cs="Times New Roman"/>
          <w:b/>
          <w:bCs/>
        </w:rPr>
      </w:pPr>
    </w:p>
    <w:p w14:paraId="396F509F" w14:textId="77777777" w:rsidR="008F4B29" w:rsidRDefault="008F4B29" w:rsidP="005F3B2E">
      <w:pPr>
        <w:rPr>
          <w:rFonts w:ascii="Times New Roman" w:hAnsi="Times New Roman" w:cs="Times New Roman"/>
          <w:b/>
          <w:bCs/>
        </w:rPr>
      </w:pPr>
    </w:p>
    <w:p w14:paraId="6041471D" w14:textId="77777777" w:rsidR="008F4B29" w:rsidRDefault="008F4B29" w:rsidP="005F3B2E">
      <w:pPr>
        <w:rPr>
          <w:rFonts w:ascii="Times New Roman" w:hAnsi="Times New Roman" w:cs="Times New Roman"/>
          <w:b/>
          <w:bCs/>
        </w:rPr>
      </w:pPr>
    </w:p>
    <w:p w14:paraId="3FCD6B5E" w14:textId="77777777" w:rsidR="008F4B29" w:rsidRDefault="008F4B29" w:rsidP="005F3B2E">
      <w:pPr>
        <w:rPr>
          <w:rFonts w:ascii="Times New Roman" w:hAnsi="Times New Roman" w:cs="Times New Roman"/>
          <w:b/>
          <w:bCs/>
        </w:rPr>
      </w:pPr>
    </w:p>
    <w:p w14:paraId="0A83BD27" w14:textId="77777777" w:rsidR="008F4B29" w:rsidRDefault="008F4B29" w:rsidP="005F3B2E">
      <w:pPr>
        <w:rPr>
          <w:rFonts w:ascii="Times New Roman" w:hAnsi="Times New Roman" w:cs="Times New Roman"/>
          <w:b/>
          <w:bCs/>
        </w:rPr>
      </w:pPr>
    </w:p>
    <w:p w14:paraId="38936E94" w14:textId="77777777" w:rsidR="008F4B29" w:rsidRDefault="008F4B29" w:rsidP="005F3B2E">
      <w:pPr>
        <w:rPr>
          <w:rFonts w:ascii="Times New Roman" w:hAnsi="Times New Roman" w:cs="Times New Roman"/>
          <w:b/>
          <w:bCs/>
        </w:rPr>
      </w:pPr>
    </w:p>
    <w:p w14:paraId="424FB688" w14:textId="77777777" w:rsidR="008F4B29" w:rsidRDefault="008F4B29" w:rsidP="005F3B2E">
      <w:pPr>
        <w:rPr>
          <w:rFonts w:ascii="Times New Roman" w:hAnsi="Times New Roman" w:cs="Times New Roman"/>
          <w:b/>
          <w:bCs/>
        </w:rPr>
      </w:pPr>
    </w:p>
    <w:p w14:paraId="178886F3" w14:textId="77777777" w:rsidR="008F4B29" w:rsidRDefault="008F4B29" w:rsidP="005F3B2E">
      <w:pPr>
        <w:rPr>
          <w:rFonts w:ascii="Times New Roman" w:hAnsi="Times New Roman" w:cs="Times New Roman"/>
          <w:b/>
          <w:bCs/>
        </w:rPr>
      </w:pPr>
    </w:p>
    <w:p w14:paraId="09DDE9B4" w14:textId="77777777" w:rsidR="008F4B29" w:rsidRDefault="008F4B29" w:rsidP="005F3B2E">
      <w:pPr>
        <w:rPr>
          <w:rFonts w:ascii="Times New Roman" w:hAnsi="Times New Roman" w:cs="Times New Roman"/>
          <w:b/>
          <w:bCs/>
        </w:rPr>
      </w:pPr>
    </w:p>
    <w:p w14:paraId="4A969E55" w14:textId="77777777" w:rsidR="008F4B29" w:rsidRDefault="008F4B29" w:rsidP="005F3B2E">
      <w:pPr>
        <w:rPr>
          <w:rFonts w:ascii="Times New Roman" w:hAnsi="Times New Roman" w:cs="Times New Roman"/>
          <w:b/>
          <w:bCs/>
        </w:rPr>
      </w:pPr>
    </w:p>
    <w:p w14:paraId="6626DEED" w14:textId="77777777" w:rsidR="008F4B29" w:rsidRDefault="008F4B29" w:rsidP="005F3B2E">
      <w:pPr>
        <w:rPr>
          <w:rFonts w:ascii="Times New Roman" w:hAnsi="Times New Roman" w:cs="Times New Roman"/>
          <w:b/>
          <w:bCs/>
        </w:rPr>
      </w:pPr>
    </w:p>
    <w:p w14:paraId="342886C5" w14:textId="77777777" w:rsidR="008F4B29" w:rsidRDefault="008F4B29" w:rsidP="005F3B2E">
      <w:pPr>
        <w:rPr>
          <w:rFonts w:ascii="Times New Roman" w:hAnsi="Times New Roman" w:cs="Times New Roman"/>
          <w:b/>
          <w:bCs/>
        </w:rPr>
      </w:pPr>
    </w:p>
    <w:p w14:paraId="1D3496A0" w14:textId="77777777" w:rsidR="008F4B29" w:rsidRDefault="008F4B29" w:rsidP="005F3B2E">
      <w:pPr>
        <w:rPr>
          <w:rFonts w:ascii="Times New Roman" w:hAnsi="Times New Roman" w:cs="Times New Roman"/>
          <w:b/>
          <w:bCs/>
        </w:rPr>
      </w:pPr>
    </w:p>
    <w:p w14:paraId="18E98E0B" w14:textId="77777777" w:rsidR="008F4B29" w:rsidRDefault="008F4B29" w:rsidP="005F3B2E">
      <w:pPr>
        <w:rPr>
          <w:rFonts w:ascii="Times New Roman" w:hAnsi="Times New Roman" w:cs="Times New Roman"/>
          <w:b/>
          <w:bCs/>
        </w:rPr>
      </w:pPr>
    </w:p>
    <w:p w14:paraId="03879B2E" w14:textId="77777777" w:rsidR="008F4B29" w:rsidRDefault="008F4B29" w:rsidP="005F3B2E">
      <w:pPr>
        <w:rPr>
          <w:rFonts w:ascii="Times New Roman" w:hAnsi="Times New Roman" w:cs="Times New Roman"/>
          <w:b/>
          <w:bCs/>
        </w:rPr>
      </w:pPr>
    </w:p>
    <w:p w14:paraId="7AFE5496" w14:textId="7C5B4434" w:rsidR="008F4B29" w:rsidRPr="005E2301" w:rsidRDefault="008F4B29" w:rsidP="008F4B29">
      <w:pPr>
        <w:spacing w:after="0" w:line="360" w:lineRule="auto"/>
        <w:rPr>
          <w:rFonts w:ascii="Times New Roman" w:hAnsi="Times New Roman" w:cs="Times New Roman"/>
        </w:rPr>
      </w:pPr>
      <w:r>
        <w:rPr>
          <w:rFonts w:ascii="Times New Roman" w:hAnsi="Times New Roman" w:cs="Times New Roman"/>
          <w:b/>
          <w:bCs/>
        </w:rPr>
        <w:t>Resumen</w:t>
      </w:r>
      <w:r w:rsidRPr="005E2301">
        <w:rPr>
          <w:rFonts w:ascii="Times New Roman" w:hAnsi="Times New Roman" w:cs="Times New Roman"/>
        </w:rPr>
        <w:tab/>
      </w:r>
    </w:p>
    <w:p w14:paraId="09FFEEF7" w14:textId="77777777" w:rsidR="008F4B29" w:rsidRPr="00AF1AF0" w:rsidRDefault="008F4B29" w:rsidP="008F4B29">
      <w:pPr>
        <w:spacing w:after="0" w:line="240" w:lineRule="auto"/>
        <w:jc w:val="both"/>
        <w:rPr>
          <w:rFonts w:ascii="Times New Roman" w:hAnsi="Times New Roman" w:cs="Times New Roman"/>
        </w:rPr>
      </w:pPr>
      <w:r w:rsidRPr="00AF1AF0">
        <w:rPr>
          <w:rFonts w:ascii="Times New Roman" w:hAnsi="Times New Roman" w:cs="Times New Roman"/>
        </w:rPr>
        <w:t>Los cambios recientes en la gobernanza del sistema universitario argentino, junto con la definición de políticas públicas impulsadas por el Estado central y legitimadas mediante la intervención de múltiples actores en el nivel intermedio del sistema, han dado lugar a nuevas regulaciones en las políticas académicas y curriculares con impacto en las instituciones. Las interacciones entre el nivel sistémico y el institucional, atravesadas por la participación de actores con intereses y marcos de creencias no siempre convergentes, pueden habilitar procesos de cambio con distintas posibilidades de consolidación e institucionalización.</w:t>
      </w:r>
      <w:r>
        <w:rPr>
          <w:rFonts w:ascii="Times New Roman" w:hAnsi="Times New Roman" w:cs="Times New Roman"/>
        </w:rPr>
        <w:t xml:space="preserve"> </w:t>
      </w:r>
      <w:r w:rsidRPr="00AF1AF0">
        <w:rPr>
          <w:rFonts w:ascii="Times New Roman" w:hAnsi="Times New Roman" w:cs="Times New Roman"/>
        </w:rPr>
        <w:t xml:space="preserve">En este marco, el trabajo se propone, en primer lugar, describir las políticas académicas desarrolladas por el gobierno nacional, los organismos de coordinación del sistema de educación superior y otros actores situados en el nivel sistémico, orientadas a regular la enseñanza universitaria de grado y posgrado. En particular, se analiza el marco normativo establecido por la Resolución del Ministerio de Educación Nacional </w:t>
      </w:r>
      <w:proofErr w:type="spellStart"/>
      <w:r w:rsidRPr="00AF1AF0">
        <w:rPr>
          <w:rFonts w:ascii="Times New Roman" w:hAnsi="Times New Roman" w:cs="Times New Roman"/>
        </w:rPr>
        <w:t>Nº</w:t>
      </w:r>
      <w:proofErr w:type="spellEnd"/>
      <w:r w:rsidRPr="00AF1AF0">
        <w:rPr>
          <w:rFonts w:ascii="Times New Roman" w:hAnsi="Times New Roman" w:cs="Times New Roman"/>
        </w:rPr>
        <w:t xml:space="preserve"> 2598/2023 y su modificación posterior mediante la Resolución </w:t>
      </w:r>
      <w:proofErr w:type="spellStart"/>
      <w:r w:rsidRPr="00AF1AF0">
        <w:rPr>
          <w:rFonts w:ascii="Times New Roman" w:hAnsi="Times New Roman" w:cs="Times New Roman"/>
        </w:rPr>
        <w:t>Nº</w:t>
      </w:r>
      <w:proofErr w:type="spellEnd"/>
      <w:r w:rsidRPr="00AF1AF0">
        <w:rPr>
          <w:rFonts w:ascii="Times New Roman" w:hAnsi="Times New Roman" w:cs="Times New Roman"/>
        </w:rPr>
        <w:t xml:space="preserve"> 556/2025, que introdujo el Crédito de Referencia del/la Estudiante (CRE) como unidad de medida del tiempo total de trabajo académico. Desde una perspectiva centrada en el nivel sistémico —más que en el institucional— se recupera la noción de gobernanza como categoría analítica, en tanto permite comprender los mecanismos de coordinación de las acciones de los actores en el campo universitario.</w:t>
      </w:r>
      <w:r>
        <w:rPr>
          <w:rFonts w:ascii="Times New Roman" w:hAnsi="Times New Roman" w:cs="Times New Roman"/>
        </w:rPr>
        <w:t xml:space="preserve"> </w:t>
      </w:r>
      <w:r w:rsidRPr="00AF1AF0">
        <w:rPr>
          <w:rFonts w:ascii="Times New Roman" w:hAnsi="Times New Roman" w:cs="Times New Roman"/>
        </w:rPr>
        <w:t>Asimismo, se consideran los aspectos del gobierno universitario vinculados con las estructuras y los procesos de toma e implementación de decisiones, tanto en la relación entre el Estado y las instituciones como en el interior de las propias universidades.</w:t>
      </w:r>
      <w:r>
        <w:rPr>
          <w:rFonts w:ascii="Times New Roman" w:hAnsi="Times New Roman" w:cs="Times New Roman"/>
        </w:rPr>
        <w:t xml:space="preserve"> </w:t>
      </w:r>
      <w:r w:rsidRPr="00AF1AF0">
        <w:rPr>
          <w:rFonts w:ascii="Times New Roman" w:hAnsi="Times New Roman" w:cs="Times New Roman"/>
        </w:rPr>
        <w:t>En segundo lugar, el trabajo presenta la experiencia de implementación del Sistema Argentino de Créditos Académicos Universitarios (SACAU) que la Universidad Nacional Raúl Scalabrini Ortiz (UNSO) desarrolla desde abril de 2025. El objetivo del proyecto es generar las condiciones institucionales y los insumos necesarios para incorporar el sistema de créditos en los planes de estudio. Aunque la iniciativa se encuentra en una etapa inicial, se sostiene que su implementación excede la asignación de valores numéricos a las unidades curriculares, ya que supone una revisión curricular integral articulada con las definiciones sistémicas relativas a la flexibilidad, la movilidad y la articulación de la formación universitaria.</w:t>
      </w:r>
      <w:r>
        <w:rPr>
          <w:rFonts w:ascii="Times New Roman" w:hAnsi="Times New Roman" w:cs="Times New Roman"/>
        </w:rPr>
        <w:t xml:space="preserve"> </w:t>
      </w:r>
      <w:r w:rsidRPr="00AF1AF0">
        <w:rPr>
          <w:rFonts w:ascii="Times New Roman" w:hAnsi="Times New Roman" w:cs="Times New Roman"/>
        </w:rPr>
        <w:t>En este sentido, el desarrollo del proyecto ha permitido abrir un proceso institucional de análisis y reflexión sobre los planes de estudio y la oferta formativa. Para ello, se diseñó un dispositivo de trabajo que involucra a distintos actores institucionales y busca construir evidencia para la evaluación curricular, orientada a una implementación consistente del sistema de créditos en relación con el proyecto institucional de la Universidad.</w:t>
      </w:r>
      <w:r>
        <w:rPr>
          <w:rFonts w:ascii="Times New Roman" w:hAnsi="Times New Roman" w:cs="Times New Roman"/>
        </w:rPr>
        <w:t xml:space="preserve"> </w:t>
      </w:r>
      <w:r w:rsidRPr="00AF1AF0">
        <w:rPr>
          <w:rFonts w:ascii="Times New Roman" w:hAnsi="Times New Roman" w:cs="Times New Roman"/>
        </w:rPr>
        <w:t>Finalmente, el trabajo propone reflexionar sobre las capacidades de las instituciones universitarias para llevar adelante transformaciones sustantivas en un contexto caracterizado por restricciones presupuestarias y limitaciones en los recursos humanos, analizando los riesgos de que estos procesos deriven en dinámicas de adaptación formal o de inercia institucional antes que en cambios efectivos.</w:t>
      </w:r>
    </w:p>
    <w:p w14:paraId="3A7F1F92" w14:textId="77777777" w:rsidR="008F4B29" w:rsidRPr="005E2301" w:rsidRDefault="008F4B29" w:rsidP="008F4B29">
      <w:pPr>
        <w:rPr>
          <w:rFonts w:ascii="Times New Roman" w:hAnsi="Times New Roman" w:cs="Times New Roman"/>
        </w:rPr>
      </w:pPr>
    </w:p>
    <w:p w14:paraId="39EAF377" w14:textId="77777777" w:rsidR="008F4B29" w:rsidRPr="007A1728" w:rsidRDefault="008F4B29" w:rsidP="008F4B29">
      <w:pPr>
        <w:pBdr>
          <w:top w:val="nil"/>
          <w:left w:val="nil"/>
          <w:bottom w:val="nil"/>
          <w:right w:val="nil"/>
          <w:between w:val="nil"/>
        </w:pBdr>
        <w:spacing w:after="0" w:line="360" w:lineRule="auto"/>
        <w:jc w:val="both"/>
        <w:rPr>
          <w:rFonts w:ascii="Times New Roman" w:eastAsia="Arial" w:hAnsi="Times New Roman" w:cs="Times New Roman"/>
          <w:color w:val="000000"/>
        </w:rPr>
      </w:pPr>
      <w:r w:rsidRPr="007A1728">
        <w:rPr>
          <w:rFonts w:ascii="Times New Roman" w:hAnsi="Times New Roman" w:cs="Times New Roman"/>
          <w:b/>
        </w:rPr>
        <w:lastRenderedPageBreak/>
        <w:t>Palabras clave:</w:t>
      </w:r>
      <w:r w:rsidRPr="007A1728">
        <w:rPr>
          <w:rFonts w:ascii="Times New Roman" w:hAnsi="Times New Roman" w:cs="Times New Roman"/>
        </w:rPr>
        <w:t xml:space="preserve"> GOBERNANZA UNIVERSITARI</w:t>
      </w:r>
      <w:r>
        <w:rPr>
          <w:rFonts w:ascii="Times New Roman" w:hAnsi="Times New Roman" w:cs="Times New Roman"/>
        </w:rPr>
        <w:t xml:space="preserve">A, </w:t>
      </w:r>
      <w:r w:rsidRPr="007A1728">
        <w:rPr>
          <w:rFonts w:ascii="Times New Roman" w:hAnsi="Times New Roman" w:cs="Times New Roman"/>
        </w:rPr>
        <w:t>POLÍTICA ACADÉMICA</w:t>
      </w:r>
      <w:r>
        <w:rPr>
          <w:rFonts w:ascii="Times New Roman" w:hAnsi="Times New Roman" w:cs="Times New Roman"/>
        </w:rPr>
        <w:t xml:space="preserve">, </w:t>
      </w:r>
      <w:r w:rsidRPr="007A1728">
        <w:rPr>
          <w:rFonts w:ascii="Times New Roman" w:hAnsi="Times New Roman" w:cs="Times New Roman"/>
        </w:rPr>
        <w:t>SISTEMA ARGENTINO DE CRÉDITOS ACADÉMICOS UNIVERSITARIOS.</w:t>
      </w:r>
      <w:r w:rsidRPr="007A1728">
        <w:rPr>
          <w:rFonts w:ascii="Times New Roman" w:eastAsia="Times New Roman" w:hAnsi="Times New Roman" w:cs="Times New Roman"/>
          <w:bCs/>
          <w:color w:val="3B3838"/>
        </w:rPr>
        <w:t xml:space="preserve"> </w:t>
      </w:r>
    </w:p>
    <w:p w14:paraId="058AE464" w14:textId="77777777" w:rsidR="008F4B29" w:rsidRDefault="008F4B29" w:rsidP="008F4B29"/>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493206BE" w14:textId="77777777" w:rsidR="008F4B29" w:rsidRDefault="008F4B29" w:rsidP="007B5B5F">
      <w:pPr>
        <w:spacing w:line="240" w:lineRule="auto"/>
        <w:rPr>
          <w:rFonts w:ascii="Times New Roman" w:hAnsi="Times New Roman" w:cs="Times New Roman"/>
          <w:b/>
          <w:bCs/>
        </w:rPr>
      </w:pPr>
    </w:p>
    <w:p w14:paraId="00A26C31" w14:textId="77777777" w:rsidR="008F4B29" w:rsidRDefault="008F4B29" w:rsidP="007B5B5F">
      <w:pPr>
        <w:spacing w:line="240" w:lineRule="auto"/>
        <w:rPr>
          <w:rFonts w:ascii="Times New Roman" w:hAnsi="Times New Roman" w:cs="Times New Roman"/>
          <w:b/>
          <w:bCs/>
        </w:rPr>
      </w:pPr>
    </w:p>
    <w:p w14:paraId="2FD138AD" w14:textId="0B0602B4" w:rsidR="005F3B2E"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55EC5F20" w14:textId="77777777" w:rsidR="008F4B29" w:rsidRPr="00EA09F8" w:rsidRDefault="008F4B29" w:rsidP="008F4B29">
      <w:pPr>
        <w:pStyle w:val="Ttulo1"/>
        <w:spacing w:before="0" w:after="0" w:line="240" w:lineRule="auto"/>
        <w:rPr>
          <w:rFonts w:ascii="Times New Roman" w:eastAsia="Arial" w:hAnsi="Times New Roman" w:cs="Times New Roman"/>
          <w:b/>
          <w:bCs/>
          <w:color w:val="auto"/>
          <w:sz w:val="24"/>
          <w:szCs w:val="24"/>
        </w:rPr>
      </w:pPr>
      <w:r w:rsidRPr="00EA09F8">
        <w:rPr>
          <w:rFonts w:ascii="Times New Roman" w:eastAsia="Arial" w:hAnsi="Times New Roman" w:cs="Times New Roman"/>
          <w:b/>
          <w:bCs/>
          <w:color w:val="auto"/>
          <w:sz w:val="24"/>
          <w:szCs w:val="24"/>
        </w:rPr>
        <w:t>Cambios en la gobernanza del sistema universitario: aportes conceptuales</w:t>
      </w:r>
    </w:p>
    <w:p w14:paraId="680A4396" w14:textId="77777777" w:rsidR="008F4B29" w:rsidRPr="00EA09F8" w:rsidRDefault="008F4B29" w:rsidP="008F4B29">
      <w:pPr>
        <w:spacing w:after="0" w:line="240" w:lineRule="auto"/>
        <w:rPr>
          <w:rFonts w:ascii="Times New Roman" w:hAnsi="Times New Roman" w:cs="Times New Roman"/>
        </w:rPr>
      </w:pPr>
    </w:p>
    <w:p w14:paraId="6CCFC015"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Los distintos actores ubicados en los niveles sistémico e institucional de las universidades han dado lugar a transformaciones en el marco regulatorio de la enseñanza universitaria argentina que resultan relevantes para documentar y analizar.</w:t>
      </w:r>
    </w:p>
    <w:p w14:paraId="7908E9B9"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Para el análisis sistémico planteado en este trabajo se utiliza la gobernanza como categoría analítica central, en tanto permite examinar los mecanismos de coordinación de las actividades de los actores en un campo determinado. Las cuestiones principales en la investigación sobre gobernanza refieren a las estructuras de toma de decisiones, sus procesos y sus objetivos (Kehm, 2012).</w:t>
      </w:r>
    </w:p>
    <w:p w14:paraId="65FB6766"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Resulta igualmente relevante el análisis de los aspectos de gobierno universitario vinculados con las estructuras y los procesos a través de los cuales se adoptan y ejecutan las decisiones, tanto a nivel del sistema —en la relación entre el gobierno, los demás poderes públicos y las instituciones— como al interior de las propias instituciones.</w:t>
      </w:r>
    </w:p>
    <w:p w14:paraId="78BAA45E"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Para Levy (1993), la coordinación supone el establecimiento de relaciones adecuadas que implican interacciones mediante las cuales el comportamiento y el destino de las partes individuales se ven afectados de manera significativa por las acciones de las demás. Conlleva un grado de cooperación e incluso de acción común; la armonía resultante se produce preferentemente de manera voluntaria, a nivel del subsistema, y comporta un alto grado de competencia y autonomía de sus distintas partes respecto del poder sistémico general. El autor identifica dos tipos extremos de coordinación: a) la coordinación general centralizada y b) la coordinación sistémica con gobierno central mínimo.</w:t>
      </w:r>
    </w:p>
    <w:p w14:paraId="2B40B511"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El juego y los modos de articulación entre los distintos niveles revisten una importancia particular en el marco de la situación que aborda este trabajo. Haberfeld, Marquina y Morresi (2020) proponen un marco analítico que divide la coordinación del sistema universitario en tres niveles: el primero, constituido por las universidades mismas; el segundo, por los organismos tanto estatales como aquellos que operan como instancia de intersección entre las universidades y el Estado nacional; y el tercero, por el Estado Nacional en su conjunto.</w:t>
      </w:r>
    </w:p>
    <w:p w14:paraId="6C6F1E05" w14:textId="77777777" w:rsidR="008F4B29" w:rsidRPr="00EA09F8" w:rsidRDefault="008F4B29" w:rsidP="008F4B29">
      <w:pPr>
        <w:spacing w:after="0" w:line="240" w:lineRule="auto"/>
        <w:jc w:val="both"/>
        <w:rPr>
          <w:rFonts w:ascii="Times New Roman" w:eastAsia="Arial" w:hAnsi="Times New Roman" w:cs="Times New Roman"/>
        </w:rPr>
      </w:pPr>
      <w:r w:rsidRPr="00EA09F8">
        <w:rPr>
          <w:rFonts w:ascii="Times New Roman" w:eastAsia="Arial" w:hAnsi="Times New Roman" w:cs="Times New Roman"/>
        </w:rPr>
        <w:t xml:space="preserve">Dado que este trabajo aborda los procesos regulatorios, resulta necesario precisar dicho concepto. </w:t>
      </w:r>
      <w:r w:rsidRPr="00EA09F8">
        <w:rPr>
          <w:rFonts w:ascii="Times New Roman" w:hAnsi="Times New Roman" w:cs="Times New Roman"/>
        </w:rPr>
        <w:t xml:space="preserve">El concepto de </w:t>
      </w:r>
      <w:r w:rsidRPr="00EA09F8">
        <w:rPr>
          <w:rFonts w:ascii="Times New Roman" w:hAnsi="Times New Roman" w:cs="Times New Roman"/>
          <w:i/>
          <w:iCs/>
        </w:rPr>
        <w:t>“regulación”</w:t>
      </w:r>
      <w:r w:rsidRPr="00EA09F8">
        <w:rPr>
          <w:rFonts w:ascii="Times New Roman" w:hAnsi="Times New Roman" w:cs="Times New Roman"/>
        </w:rPr>
        <w:t xml:space="preserve">, común en la literatura francesa y anglosajona sobre el tema, expresa el proceso de articulación y producción de normas o reglas de juego en una organización, orientando la conducta de los actores. </w:t>
      </w:r>
      <w:r w:rsidRPr="00EA09F8">
        <w:rPr>
          <w:rFonts w:ascii="Times New Roman" w:eastAsia="Arial" w:hAnsi="Times New Roman" w:cs="Times New Roman"/>
        </w:rPr>
        <w:t xml:space="preserve">Por regulación se entiende el conjunto de intervenciones desarrolladas por determinadas instancias </w:t>
      </w:r>
      <w:r w:rsidRPr="00EA09F8">
        <w:rPr>
          <w:rFonts w:ascii="Times New Roman" w:eastAsia="Arial" w:hAnsi="Times New Roman" w:cs="Times New Roman"/>
        </w:rPr>
        <w:lastRenderedPageBreak/>
        <w:t>jerárquicas —como el Estado, los órganos de gobierno de una institución universitaria u otros actores externos, tales como los sindicatos docentes o los organismos de coordinación del sistema— que procuran orientar las acciones de los actores sobre los cuales se ejerce un determinado nivel de autoridad</w:t>
      </w:r>
      <w:r w:rsidRPr="00EA09F8">
        <w:rPr>
          <w:rFonts w:ascii="Times New Roman" w:hAnsi="Times New Roman" w:cs="Times New Roman"/>
        </w:rPr>
        <w:t xml:space="preserve"> (</w:t>
      </w:r>
      <w:proofErr w:type="spellStart"/>
      <w:r w:rsidRPr="00EA09F8">
        <w:rPr>
          <w:rFonts w:ascii="Times New Roman" w:hAnsi="Times New Roman" w:cs="Times New Roman"/>
        </w:rPr>
        <w:t>Maroy</w:t>
      </w:r>
      <w:proofErr w:type="spellEnd"/>
      <w:r w:rsidRPr="00EA09F8">
        <w:rPr>
          <w:rFonts w:ascii="Times New Roman" w:hAnsi="Times New Roman" w:cs="Times New Roman"/>
        </w:rPr>
        <w:t xml:space="preserve"> y </w:t>
      </w:r>
      <w:proofErr w:type="spellStart"/>
      <w:r w:rsidRPr="00EA09F8">
        <w:rPr>
          <w:rFonts w:ascii="Times New Roman" w:hAnsi="Times New Roman" w:cs="Times New Roman"/>
        </w:rPr>
        <w:t>Dupriez</w:t>
      </w:r>
      <w:proofErr w:type="spellEnd"/>
      <w:r w:rsidRPr="00EA09F8">
        <w:rPr>
          <w:rFonts w:ascii="Times New Roman" w:hAnsi="Times New Roman" w:cs="Times New Roman"/>
        </w:rPr>
        <w:t>, 2000).</w:t>
      </w:r>
    </w:p>
    <w:p w14:paraId="7DDFA5A4" w14:textId="77777777" w:rsidR="008F4B29" w:rsidRPr="00EA09F8" w:rsidRDefault="008F4B29" w:rsidP="008F4B29">
      <w:pPr>
        <w:autoSpaceDE w:val="0"/>
        <w:autoSpaceDN w:val="0"/>
        <w:adjustRightInd w:val="0"/>
        <w:spacing w:after="0" w:line="240" w:lineRule="auto"/>
        <w:jc w:val="both"/>
        <w:rPr>
          <w:rFonts w:ascii="Times New Roman" w:hAnsi="Times New Roman" w:cs="Times New Roman"/>
        </w:rPr>
      </w:pPr>
      <w:r w:rsidRPr="00EA09F8">
        <w:rPr>
          <w:rFonts w:ascii="Times New Roman" w:hAnsi="Times New Roman" w:cs="Times New Roman"/>
        </w:rPr>
        <w:t>Puede haber una regulación normativa (o reglamentación) por parte del Estado y una regulación del propio sistema, en muchos casos a partir de la primera.</w:t>
      </w:r>
    </w:p>
    <w:p w14:paraId="07E2804A" w14:textId="77777777" w:rsidR="008F4B29" w:rsidRPr="00EA09F8" w:rsidRDefault="008F4B29" w:rsidP="008F4B29">
      <w:pPr>
        <w:autoSpaceDE w:val="0"/>
        <w:autoSpaceDN w:val="0"/>
        <w:adjustRightInd w:val="0"/>
        <w:spacing w:after="0" w:line="240" w:lineRule="auto"/>
        <w:jc w:val="both"/>
        <w:rPr>
          <w:rFonts w:ascii="Times New Roman" w:hAnsi="Times New Roman" w:cs="Times New Roman"/>
        </w:rPr>
      </w:pPr>
      <w:r w:rsidRPr="00EA09F8">
        <w:rPr>
          <w:rFonts w:ascii="Times New Roman" w:hAnsi="Times New Roman" w:cs="Times New Roman"/>
        </w:rPr>
        <w:t xml:space="preserve">De este modo, puede servir para describir dos tipos de fenómenos diferenciados, pero interdependientes, como dice Barroso (2006:12), tanto “los modos como son producidas y aplicadas las reglas que orientan la acción de los actores, como los modos como esos mismos actores se las apropian o las transforman”. En el primer caso, hay una </w:t>
      </w:r>
      <w:r w:rsidRPr="00EA09F8">
        <w:rPr>
          <w:rFonts w:ascii="Times New Roman" w:hAnsi="Times New Roman" w:cs="Times New Roman"/>
          <w:i/>
          <w:iCs/>
        </w:rPr>
        <w:t>regulación institucional</w:t>
      </w:r>
      <w:r w:rsidRPr="00EA09F8">
        <w:rPr>
          <w:rFonts w:ascii="Times New Roman" w:hAnsi="Times New Roman" w:cs="Times New Roman"/>
        </w:rPr>
        <w:t xml:space="preserve">, normativa o de control, en cuanto reglas, discursos o procedimientos de una autoridad que orienta las acciones e interacciones de los actores; mientras que en el segundo nos dirigimos a una </w:t>
      </w:r>
      <w:r w:rsidRPr="00EA09F8">
        <w:rPr>
          <w:rFonts w:ascii="Times New Roman" w:hAnsi="Times New Roman" w:cs="Times New Roman"/>
          <w:i/>
          <w:iCs/>
        </w:rPr>
        <w:t>regulación situacional</w:t>
      </w:r>
      <w:r w:rsidRPr="00EA09F8">
        <w:rPr>
          <w:rFonts w:ascii="Times New Roman" w:hAnsi="Times New Roman" w:cs="Times New Roman"/>
        </w:rPr>
        <w:t>, activa o autónoma de los que son protagonistas.</w:t>
      </w:r>
    </w:p>
    <w:p w14:paraId="1760462A" w14:textId="77777777" w:rsidR="008F4B29" w:rsidRPr="00EA09F8" w:rsidRDefault="008F4B29" w:rsidP="008F4B29">
      <w:pPr>
        <w:autoSpaceDE w:val="0"/>
        <w:autoSpaceDN w:val="0"/>
        <w:adjustRightInd w:val="0"/>
        <w:spacing w:after="0" w:line="240" w:lineRule="auto"/>
        <w:jc w:val="both"/>
        <w:rPr>
          <w:rFonts w:ascii="Times New Roman" w:hAnsi="Times New Roman" w:cs="Times New Roman"/>
        </w:rPr>
      </w:pPr>
      <w:r w:rsidRPr="00EA09F8">
        <w:rPr>
          <w:rFonts w:ascii="Times New Roman" w:hAnsi="Times New Roman" w:cs="Times New Roman"/>
        </w:rPr>
        <w:t>Esto da lugar a entender el sistema educativo como un sistema complejo, con pluralidad de fuentes y formas de regulación, según los actores o instancias en juego.</w:t>
      </w:r>
    </w:p>
    <w:p w14:paraId="63708456" w14:textId="77777777" w:rsidR="008F4B29" w:rsidRPr="00EA09F8" w:rsidRDefault="008F4B29" w:rsidP="008F4B29">
      <w:pPr>
        <w:autoSpaceDE w:val="0"/>
        <w:autoSpaceDN w:val="0"/>
        <w:adjustRightInd w:val="0"/>
        <w:spacing w:after="0" w:line="240" w:lineRule="auto"/>
        <w:jc w:val="both"/>
        <w:rPr>
          <w:rFonts w:ascii="Times New Roman" w:hAnsi="Times New Roman" w:cs="Times New Roman"/>
        </w:rPr>
      </w:pPr>
      <w:r w:rsidRPr="00EA09F8">
        <w:rPr>
          <w:rFonts w:ascii="Times New Roman" w:hAnsi="Times New Roman" w:cs="Times New Roman"/>
        </w:rPr>
        <w:t>El “control regulación” por la administración desde el “</w:t>
      </w:r>
      <w:r w:rsidRPr="00EA09F8">
        <w:rPr>
          <w:rFonts w:ascii="Times New Roman" w:hAnsi="Times New Roman" w:cs="Times New Roman"/>
          <w:i/>
          <w:iCs/>
        </w:rPr>
        <w:t>top</w:t>
      </w:r>
      <w:r w:rsidRPr="00EA09F8">
        <w:rPr>
          <w:rFonts w:ascii="Times New Roman" w:hAnsi="Times New Roman" w:cs="Times New Roman"/>
        </w:rPr>
        <w:t>”, puede interactuar con varias formas de “</w:t>
      </w:r>
      <w:proofErr w:type="gramStart"/>
      <w:r w:rsidRPr="00EA09F8">
        <w:rPr>
          <w:rFonts w:ascii="Times New Roman" w:hAnsi="Times New Roman" w:cs="Times New Roman"/>
        </w:rPr>
        <w:t>regulación autónomas</w:t>
      </w:r>
      <w:proofErr w:type="gramEnd"/>
      <w:r>
        <w:rPr>
          <w:rFonts w:ascii="Times New Roman" w:hAnsi="Times New Roman" w:cs="Times New Roman"/>
        </w:rPr>
        <w:t xml:space="preserve">”. </w:t>
      </w:r>
      <w:r w:rsidRPr="00EA09F8">
        <w:rPr>
          <w:rFonts w:ascii="Times New Roman" w:hAnsi="Times New Roman" w:cs="Times New Roman"/>
        </w:rPr>
        <w:t xml:space="preserve">Por eso, en sentido amplio, la regulación social designa múltiples procesos, contradictorios y a menudo conflictivos, con factores entrecruzados, que orientan las conductas de los actores y definen las reglas de juego en un sistema social, político o educativo determinado. </w:t>
      </w:r>
    </w:p>
    <w:p w14:paraId="6E91B13B" w14:textId="77777777" w:rsidR="008F4B29" w:rsidRPr="00EA09F8" w:rsidRDefault="008F4B29" w:rsidP="008F4B29">
      <w:pPr>
        <w:autoSpaceDE w:val="0"/>
        <w:autoSpaceDN w:val="0"/>
        <w:adjustRightInd w:val="0"/>
        <w:spacing w:after="0" w:line="240" w:lineRule="auto"/>
        <w:jc w:val="both"/>
        <w:rPr>
          <w:rFonts w:ascii="Times New Roman" w:hAnsi="Times New Roman" w:cs="Times New Roman"/>
        </w:rPr>
      </w:pPr>
      <w:r w:rsidRPr="00EA09F8">
        <w:rPr>
          <w:rFonts w:ascii="Times New Roman" w:hAnsi="Times New Roman" w:cs="Times New Roman"/>
        </w:rPr>
        <w:t>La regulación es, pues, un proceso múltiple por sus fuentes, sus mecanismos, sus objetos, pero también por la pluralidad de actores que la construyen (al nivel transnacional, nacional, local).</w:t>
      </w:r>
    </w:p>
    <w:p w14:paraId="6649040A" w14:textId="77777777" w:rsidR="008F4B29" w:rsidRPr="00EA09F8" w:rsidRDefault="008F4B29" w:rsidP="008F4B29">
      <w:pPr>
        <w:autoSpaceDE w:val="0"/>
        <w:autoSpaceDN w:val="0"/>
        <w:adjustRightInd w:val="0"/>
        <w:spacing w:after="0" w:line="240" w:lineRule="auto"/>
        <w:jc w:val="both"/>
        <w:rPr>
          <w:rFonts w:ascii="Times New Roman" w:hAnsi="Times New Roman" w:cs="Times New Roman"/>
        </w:rPr>
      </w:pPr>
      <w:r w:rsidRPr="00EA09F8">
        <w:rPr>
          <w:rFonts w:ascii="Times New Roman" w:hAnsi="Times New Roman" w:cs="Times New Roman"/>
        </w:rPr>
        <w:t xml:space="preserve">En la práctica, como dice Barroso (2006), la regulación es siempre una </w:t>
      </w:r>
      <w:proofErr w:type="spellStart"/>
      <w:r w:rsidRPr="00EA09F8">
        <w:rPr>
          <w:rFonts w:ascii="Times New Roman" w:hAnsi="Times New Roman" w:cs="Times New Roman"/>
        </w:rPr>
        <w:t>multirregulación</w:t>
      </w:r>
      <w:proofErr w:type="spellEnd"/>
      <w:r w:rsidRPr="00EA09F8">
        <w:rPr>
          <w:rFonts w:ascii="Times New Roman" w:hAnsi="Times New Roman" w:cs="Times New Roman"/>
        </w:rPr>
        <w:t xml:space="preserve"> compleja, a veces conflictiva y potencialmente contradictoria. Lejos de una visión funcionalista, no siempre produce un orden, pudiendo ser fuente de tensiones y contradicciones. </w:t>
      </w:r>
    </w:p>
    <w:p w14:paraId="1A2CEB25" w14:textId="77777777" w:rsidR="008F4B29" w:rsidRPr="00EA09F8" w:rsidRDefault="008F4B29" w:rsidP="008F4B29">
      <w:pPr>
        <w:autoSpaceDE w:val="0"/>
        <w:autoSpaceDN w:val="0"/>
        <w:adjustRightInd w:val="0"/>
        <w:spacing w:after="0" w:line="240" w:lineRule="auto"/>
        <w:jc w:val="both"/>
        <w:rPr>
          <w:rFonts w:ascii="Times New Roman" w:hAnsi="Times New Roman" w:cs="Times New Roman"/>
        </w:rPr>
      </w:pPr>
      <w:r w:rsidRPr="00EA09F8">
        <w:rPr>
          <w:rFonts w:ascii="Times New Roman" w:hAnsi="Times New Roman" w:cs="Times New Roman"/>
        </w:rPr>
        <w:t>No hay una regulación como proceso único, sino compuesto, resultado de una interacción de regulaciones o “</w:t>
      </w:r>
      <w:proofErr w:type="spellStart"/>
      <w:r w:rsidRPr="00EA09F8">
        <w:rPr>
          <w:rFonts w:ascii="Times New Roman" w:hAnsi="Times New Roman" w:cs="Times New Roman"/>
        </w:rPr>
        <w:t>multiregulaciones</w:t>
      </w:r>
      <w:proofErr w:type="spellEnd"/>
      <w:r w:rsidRPr="00EA09F8">
        <w:rPr>
          <w:rFonts w:ascii="Times New Roman" w:hAnsi="Times New Roman" w:cs="Times New Roman"/>
        </w:rPr>
        <w:t>”, acentuado actualmente cuando se recompone el papel del Estado y se incrementa la autonomía de otros agentes e instancias.</w:t>
      </w:r>
    </w:p>
    <w:p w14:paraId="4845B96A"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Esta definición pone de relieve las dimensiones de coordinación, control e influencia ejercidas por los titulares de la autoridad legítima y, en consecuencia, se aproxima al significado predominante en la literatura estadounidense —tanto en el campo de la economía como de la educación— que concibe la regulación como la intervención de las </w:t>
      </w:r>
      <w:proofErr w:type="gramStart"/>
      <w:r w:rsidRPr="00EA09F8">
        <w:rPr>
          <w:rFonts w:ascii="Times New Roman" w:eastAsia="Arial" w:hAnsi="Times New Roman" w:cs="Times New Roman"/>
        </w:rPr>
        <w:t>autoridades públicas</w:t>
      </w:r>
      <w:proofErr w:type="gramEnd"/>
      <w:r w:rsidRPr="00EA09F8">
        <w:rPr>
          <w:rFonts w:ascii="Times New Roman" w:eastAsia="Arial" w:hAnsi="Times New Roman" w:cs="Times New Roman"/>
        </w:rPr>
        <w:t xml:space="preserve"> para introducir reglas y restricciones en el mercado o en la acción social (Barroso, 2005).</w:t>
      </w:r>
    </w:p>
    <w:p w14:paraId="35E70295"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En este escenario, los actores que participan en la negociación y el desarrollo de los procesos regulatorios son definidos como sujetos individuales o colectivos dotados de capacidad de acción estratégica. Esto supone que cada actor posee intereses y creencias propios que busca satisfacer mediante la ejecución de determinados cursos de acción, cuya probabilidad de éxito depende de su capacidad de movilización o presión (Acuña, 2007).</w:t>
      </w:r>
    </w:p>
    <w:p w14:paraId="7A5AD741"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La regulación es un proceso constitutivo de todo sistema; su función principal consiste en asegurar el equilibrio y la coherencia </w:t>
      </w:r>
      <w:proofErr w:type="gramStart"/>
      <w:r w:rsidRPr="00EA09F8">
        <w:rPr>
          <w:rFonts w:ascii="Times New Roman" w:eastAsia="Arial" w:hAnsi="Times New Roman" w:cs="Times New Roman"/>
        </w:rPr>
        <w:t>del mismo</w:t>
      </w:r>
      <w:proofErr w:type="gramEnd"/>
      <w:r w:rsidRPr="00EA09F8">
        <w:rPr>
          <w:rFonts w:ascii="Times New Roman" w:eastAsia="Arial" w:hAnsi="Times New Roman" w:cs="Times New Roman"/>
        </w:rPr>
        <w:t>, pero también su transformación.</w:t>
      </w:r>
    </w:p>
    <w:p w14:paraId="0A00E39C"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lastRenderedPageBreak/>
        <w:t>Según Barroso (2015), el proceso de regulación comprende no solo la producción de reglas —normas, mandatos, restricciones— que orientan el funcionamiento del sistema, sino también el (re)ajuste de la diversidad de acciones de los actores de acuerdo con esas mismas reglas. En función de la diversidad de actores involucrados, sus posiciones, intereses y estrategias, existe una pluralidad de fuentes, propósitos y modalidades de regulación. Esta multiplicidad implica que la coordinación, el equilibrio o la transformación del funcionamiento del sistema educativo resultan más de la interacción de los distintos dispositivos regulatorios que de la aplicación lineal de normas y directrices emanadas del poder político. Por ello, más que hablar de regulación en sentido singular, resulta más preciso hablar de «</w:t>
      </w:r>
      <w:proofErr w:type="spellStart"/>
      <w:r w:rsidRPr="00EA09F8">
        <w:rPr>
          <w:rFonts w:ascii="Times New Roman" w:eastAsia="Arial" w:hAnsi="Times New Roman" w:cs="Times New Roman"/>
        </w:rPr>
        <w:t>multirregulación</w:t>
      </w:r>
      <w:proofErr w:type="spellEnd"/>
      <w:r w:rsidRPr="00EA09F8">
        <w:rPr>
          <w:rFonts w:ascii="Times New Roman" w:eastAsia="Arial" w:hAnsi="Times New Roman" w:cs="Times New Roman"/>
        </w:rPr>
        <w:t>», dado que las acciones que garantizan el funcionamiento del sistema educativo están determinadas por un conjunto articulado de dispositivos. Los ajustes y reajustes a los que dan lugar estos procesos no derivan de ningún imperativo político, ideológico o ético definido a priori, sino de los intereses, las estrategias y las lógicas de acción de diferentes grupos de actores, a través de procesos de confrontación, negociación y recomposición de objetivos y competencias.</w:t>
      </w:r>
    </w:p>
    <w:p w14:paraId="5F28890C"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Si se concibe la «regulación del sistema educativo» como un «sistema de regulaciones», se hace necesario valorar el papel fundamental que cumplen en su funcionamiento las instancias de mediación —individuos, estructuras formales o informales— que operan como puntos de encuentro y traducción entre los distintos reguladores, pues es allí donde se realiza la síntesis o se superan los conflictos entre las regulaciones coexistentes. Estas instancias funcionan como «nodos de red» de diferentes reguladores, y su intervención resulta decisiva para la configuración de la estructura y la dinámica del sistema regulatorio y sus resultados (Barroso, 2015).</w:t>
      </w:r>
    </w:p>
    <w:p w14:paraId="311E8619"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La </w:t>
      </w:r>
      <w:proofErr w:type="spellStart"/>
      <w:r w:rsidRPr="00EA09F8">
        <w:rPr>
          <w:rFonts w:ascii="Times New Roman" w:eastAsia="Arial" w:hAnsi="Times New Roman" w:cs="Times New Roman"/>
        </w:rPr>
        <w:t>multirregulación</w:t>
      </w:r>
      <w:proofErr w:type="spellEnd"/>
      <w:r w:rsidRPr="00EA09F8">
        <w:rPr>
          <w:rFonts w:ascii="Times New Roman" w:eastAsia="Arial" w:hAnsi="Times New Roman" w:cs="Times New Roman"/>
        </w:rPr>
        <w:t xml:space="preserve"> se materializa en diversos instrumentos legislativos, económicos, informativos, comunicacionales y de gestión, entre otros. Estos dispositivos configuran tanto sus propios efectos como una determinada concepción de la acción pública —su significado, su marco cognitivo y normativo— y una manera específica de materializar y poner en práctica la acción gubernamental.</w:t>
      </w:r>
    </w:p>
    <w:p w14:paraId="7B0B46C5"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Las complejas interacciones entre el nivel sistémico y el institucional, que involucran la participación de una multiplicidad de actores cuyos intereses y creencias no siempre resultan congruentes entre sí, pueden dar lugar a procesos de cambio con distintas posibilidades de perdurar en el tiempo o de institucionalizarse. Este último aspecto resulta fundamental, dado que los estudios sociológicos sobre las organizaciones identifican el fenómeno de inercia institucional, por el cual ciertas características organizacionales configuradas en un momento inicial persisten en el tiempo y limitan las alternativas futuras (Pierson, 2000).</w:t>
      </w:r>
    </w:p>
    <w:p w14:paraId="7AA6DDA9"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La transformación que redefinió el rol del Estado-nación desde la década de 1980 se asienta, en esencia, en tres «narrativas», cada una de las cuales determina y da forma a los cambios de una manera específica. La primera es la Nueva Gestión Pública (NGP), que surgió a fines de los años setenta como parte de las reformas conservadoras impulsadas por Margaret Thatcher. Esta narrativa combina jerarquías y mercados y refuerza, fundamentalmente, el papel de los gestores, a la vez que obliga a las universidades a diversificar las bases sobre las que se fundaron. La segunda narrativa se centra en la gobernanza en red, que emergió en los años noventa y trata sobre la pérdida de funciones, autoridad y responsabilidad del Estado-nación en dominios regionales y </w:t>
      </w:r>
      <w:r w:rsidRPr="00EA09F8">
        <w:rPr>
          <w:rFonts w:ascii="Times New Roman" w:eastAsia="Arial" w:hAnsi="Times New Roman" w:cs="Times New Roman"/>
        </w:rPr>
        <w:lastRenderedPageBreak/>
        <w:t xml:space="preserve">supranacionales. La distribución del poder deviene así más difusa y pluralista, lo que exige que las universidades operen estratégica y simultáneamente en distintas redes en los planos regional, nacional e internacional. La tercera narrativa, también denominada </w:t>
      </w:r>
      <w:proofErr w:type="spellStart"/>
      <w:r w:rsidRPr="00EA09F8">
        <w:rPr>
          <w:rFonts w:ascii="Times New Roman" w:eastAsia="Arial" w:hAnsi="Times New Roman" w:cs="Times New Roman"/>
        </w:rPr>
        <w:t>neoweberiana</w:t>
      </w:r>
      <w:proofErr w:type="spellEnd"/>
      <w:r w:rsidRPr="00EA09F8">
        <w:rPr>
          <w:rFonts w:ascii="Times New Roman" w:eastAsia="Arial" w:hAnsi="Times New Roman" w:cs="Times New Roman"/>
        </w:rPr>
        <w:t>, se ocupa de la «revitalización democrática» de instituciones públicas fuertemente burocratizadas (Kehm, 2012).</w:t>
      </w:r>
    </w:p>
    <w:p w14:paraId="6E92A463"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Una característica de la coordinación mediante redes es que la participación en los procesos de toma de decisiones depende del estatus de los actores en un campo determinado —constituido, por ejemplo, a través de relaciones de poder o de reputación— y de si la red se encuentra fuerte o débilmente articulada.</w:t>
      </w:r>
    </w:p>
    <w:p w14:paraId="0AB95DE2"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El término gobernanza es una categoría analítica que da cuenta de la participación de estos agentes en procesos relevantes de toma de decisiones y de su inclusión en las estructuras decisionales, anteriormente casi por completo a cargo del Estado (Kehm, 2011). </w:t>
      </w:r>
    </w:p>
    <w:p w14:paraId="04535A95"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La gobernanza es un concepto que abarca las interacciones de los actores involucrados en el proceso de política pública, y el papel del gobierno varía según la configuración de la arena decisional. Por ello, cualquier análisis sobre los cambios recientes de la gobernanza a nivel sistémico debe prestar especial atención a las variaciones en el rol específico del gobierno como eje articulador de la gobernanza del sistema de educación superior.</w:t>
      </w:r>
    </w:p>
    <w:p w14:paraId="0CC6B171"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En el estudio de la gobernanza de la educación superior existen básicamente dos enfoques: el sistémico y el institucional (González Ledesma, 2014). El enfoque sistémico conserva un potencial explicativo significativo, en tanto analiza el porqué, el cómo y el quién dirige el sistema (Kehm, 2011). El intento de responder a estas preguntas comporta un doble beneficio analítico: restituye la dimensión política a una discusión que tiende a presentarse en términos técnicos y abre la posibilidad de volver a situar al gobierno en el centro de la escena (González Ledesma, 2014).</w:t>
      </w:r>
    </w:p>
    <w:p w14:paraId="3D91EF14"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En este trabajo se adopta la tipología propuesta por Capano (2018) sobre las nuevas configuraciones de la gobernanza de la educación superior, construida a partir del cruce entre el nivel de especificación gubernamental de las metas a perseguir y el de los medios a utilizar. El resultado es una tipología que ofrece cuatro posibilidades de gobernanza sistémica, cada una con sus respectivos instrumentos de política: a) modo procedimental; b) modo jerárquico; c) modo de control a la distancia; y d) modo de autogobierno. Mientras la gobernanza procedimental y la de tipo jerárquico representan las dos modalidades tradicionales, en las que el gobierno desempeña un papel protagónico, en las dos últimas su participación es más bien indirecta.</w:t>
      </w:r>
    </w:p>
    <w:p w14:paraId="228DA07E"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Sin embargo, dado que el modo de gobernanza predominante —adaptado según las características nacionales— nunca se aplica de forma pura sino siempre de manera híbrida, se recurre aquí al concepto de gobernanza híbrida (Gornitzka y Maassen, 2000; Jungblut y Vukasovic, 2013), que permite un análisis más matizado, capaz de captar tanto las diferencias como las homogeneidades entre los distintos híbridos posibles.</w:t>
      </w:r>
    </w:p>
    <w:p w14:paraId="2E52CD87" w14:textId="77777777" w:rsidR="008F4B29" w:rsidRDefault="008F4B29" w:rsidP="008F4B29">
      <w:pPr>
        <w:spacing w:after="0" w:line="240" w:lineRule="auto"/>
        <w:jc w:val="both"/>
        <w:rPr>
          <w:rFonts w:ascii="Times New Roman" w:eastAsia="Arial" w:hAnsi="Times New Roman" w:cs="Times New Roman"/>
        </w:rPr>
      </w:pPr>
      <w:r w:rsidRPr="00EA09F8">
        <w:rPr>
          <w:rFonts w:ascii="Times New Roman" w:eastAsia="Arial" w:hAnsi="Times New Roman" w:cs="Times New Roman"/>
        </w:rPr>
        <w:t xml:space="preserve">Como se verá en el análisis de los acuerdos alcanzados para la toma de decisiones sobre nuevas regulaciones en las políticas académicas a nivel de intermediación del sistema —impulsados por el Estado central y legitimados en los órganos de coordinación—, estos dan cuenta de nuevas formas de gobernanza híbrida (Capano, 2011; Capano y </w:t>
      </w:r>
      <w:proofErr w:type="spellStart"/>
      <w:r w:rsidRPr="00EA09F8">
        <w:rPr>
          <w:rFonts w:ascii="Times New Roman" w:eastAsia="Arial" w:hAnsi="Times New Roman" w:cs="Times New Roman"/>
        </w:rPr>
        <w:t>Pritoni</w:t>
      </w:r>
      <w:proofErr w:type="spellEnd"/>
      <w:r w:rsidRPr="00EA09F8">
        <w:rPr>
          <w:rFonts w:ascii="Times New Roman" w:eastAsia="Arial" w:hAnsi="Times New Roman" w:cs="Times New Roman"/>
        </w:rPr>
        <w:t>, 2018).</w:t>
      </w:r>
    </w:p>
    <w:p w14:paraId="39A38005" w14:textId="77777777" w:rsidR="008F4B29" w:rsidRPr="00D32B92" w:rsidRDefault="008F4B29" w:rsidP="008F4B29">
      <w:pPr>
        <w:spacing w:after="0" w:line="240" w:lineRule="auto"/>
        <w:jc w:val="both"/>
        <w:rPr>
          <w:rFonts w:ascii="Times New Roman" w:hAnsi="Times New Roman" w:cs="Times New Roman"/>
        </w:rPr>
      </w:pPr>
    </w:p>
    <w:p w14:paraId="507320B3" w14:textId="77777777" w:rsidR="008F4B29" w:rsidRPr="00D32B92" w:rsidRDefault="008F4B29" w:rsidP="008F4B29">
      <w:pPr>
        <w:pStyle w:val="Ttulo1"/>
        <w:spacing w:before="0" w:after="0" w:line="240" w:lineRule="auto"/>
        <w:jc w:val="both"/>
        <w:rPr>
          <w:rFonts w:ascii="Times New Roman" w:eastAsia="Arial" w:hAnsi="Times New Roman" w:cs="Times New Roman"/>
          <w:b/>
          <w:bCs/>
          <w:color w:val="auto"/>
          <w:sz w:val="24"/>
          <w:szCs w:val="24"/>
        </w:rPr>
      </w:pPr>
      <w:r w:rsidRPr="00D32B92">
        <w:rPr>
          <w:rFonts w:ascii="Times New Roman" w:eastAsia="Arial" w:hAnsi="Times New Roman" w:cs="Times New Roman"/>
          <w:b/>
          <w:bCs/>
          <w:color w:val="auto"/>
          <w:sz w:val="24"/>
          <w:szCs w:val="24"/>
        </w:rPr>
        <w:lastRenderedPageBreak/>
        <w:t>Cambios en las políticas académicas en Argentina: órganos de gobierno y coordinación sistémica</w:t>
      </w:r>
    </w:p>
    <w:p w14:paraId="6BBA478B" w14:textId="77777777" w:rsidR="008F4B29" w:rsidRPr="00D32B92" w:rsidRDefault="008F4B29" w:rsidP="008F4B29">
      <w:pPr>
        <w:rPr>
          <w:rFonts w:ascii="Times New Roman" w:hAnsi="Times New Roman" w:cs="Times New Roman"/>
        </w:rPr>
      </w:pPr>
    </w:p>
    <w:p w14:paraId="64579B80" w14:textId="77777777" w:rsidR="008F4B29" w:rsidRPr="00EA09F8" w:rsidRDefault="008F4B29" w:rsidP="008F4B29">
      <w:pPr>
        <w:spacing w:after="0" w:line="240" w:lineRule="auto"/>
        <w:jc w:val="both"/>
        <w:rPr>
          <w:rFonts w:ascii="Times New Roman" w:hAnsi="Times New Roman" w:cs="Times New Roman"/>
        </w:rPr>
      </w:pPr>
      <w:r w:rsidRPr="00D32B92">
        <w:rPr>
          <w:rFonts w:ascii="Times New Roman" w:eastAsia="Arial" w:hAnsi="Times New Roman" w:cs="Times New Roman"/>
        </w:rPr>
        <w:t xml:space="preserve">Desde la sanción de la Ley de Educación Superior </w:t>
      </w:r>
      <w:proofErr w:type="spellStart"/>
      <w:r w:rsidRPr="00D32B92">
        <w:rPr>
          <w:rFonts w:ascii="Times New Roman" w:eastAsia="Arial" w:hAnsi="Times New Roman" w:cs="Times New Roman"/>
        </w:rPr>
        <w:t>N.°</w:t>
      </w:r>
      <w:proofErr w:type="spellEnd"/>
      <w:r w:rsidRPr="00D32B92">
        <w:rPr>
          <w:rFonts w:ascii="Times New Roman" w:eastAsia="Arial" w:hAnsi="Times New Roman" w:cs="Times New Roman"/>
        </w:rPr>
        <w:t xml:space="preserve"> 24.521 en 1995 (LES), numerosos trabajos han analizado el rol de</w:t>
      </w:r>
      <w:r w:rsidRPr="00EA09F8">
        <w:rPr>
          <w:rFonts w:ascii="Times New Roman" w:eastAsia="Arial" w:hAnsi="Times New Roman" w:cs="Times New Roman"/>
        </w:rPr>
        <w:t xml:space="preserve"> los organismos de coordinación sistémica en el sistema universitario argentino. La LES inauguró nuevos espacios de autoridad y representación: por un lado, propició una concentración de funciones en el Poder Ejecutivo con la consecuente reducción de la autonomía institucional y el uso del financiamiento como mecanismo de control gubernamental; por otro, impulsó la creación y transformación de organismos </w:t>
      </w:r>
      <w:proofErr w:type="spellStart"/>
      <w:r w:rsidRPr="00EA09F8">
        <w:rPr>
          <w:rFonts w:ascii="Times New Roman" w:eastAsia="Arial" w:hAnsi="Times New Roman" w:cs="Times New Roman"/>
        </w:rPr>
        <w:t>supraiversitarios</w:t>
      </w:r>
      <w:proofErr w:type="spellEnd"/>
      <w:r w:rsidRPr="00EA09F8">
        <w:rPr>
          <w:rFonts w:ascii="Times New Roman" w:eastAsia="Arial" w:hAnsi="Times New Roman" w:cs="Times New Roman"/>
        </w:rPr>
        <w:t xml:space="preserve"> que asumieron facultades antes correspondientes al Poder Legislativo, a las provincias y a las instituciones, promoviendo mecanismos de homogeneización del sistema y estandarización de propuestas y prácticas (</w:t>
      </w:r>
      <w:proofErr w:type="spellStart"/>
      <w:r w:rsidRPr="00EA09F8">
        <w:rPr>
          <w:rFonts w:ascii="Times New Roman" w:eastAsia="Arial" w:hAnsi="Times New Roman" w:cs="Times New Roman"/>
        </w:rPr>
        <w:t>Nosiglia</w:t>
      </w:r>
      <w:proofErr w:type="spellEnd"/>
      <w:r w:rsidRPr="00EA09F8">
        <w:rPr>
          <w:rFonts w:ascii="Times New Roman" w:eastAsia="Arial" w:hAnsi="Times New Roman" w:cs="Times New Roman"/>
        </w:rPr>
        <w:t>, 2004).</w:t>
      </w:r>
    </w:p>
    <w:p w14:paraId="0FF56F05"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La norma establece como órganos de consulta y coordinación universitaria el Consejo de Universidades (CU), el Consejo Interuniversitario Nacional (CIN), el Consejo de Rectores de Universidades Privadas (CRUP) y los Consejos Regionales de Educación Superior (CPRES) (art. 71). No obstante, como señala </w:t>
      </w:r>
      <w:proofErr w:type="spellStart"/>
      <w:r w:rsidRPr="00EA09F8">
        <w:rPr>
          <w:rFonts w:ascii="Times New Roman" w:eastAsia="Arial" w:hAnsi="Times New Roman" w:cs="Times New Roman"/>
        </w:rPr>
        <w:t>Nosiglia</w:t>
      </w:r>
      <w:proofErr w:type="spellEnd"/>
      <w:r w:rsidRPr="00EA09F8">
        <w:rPr>
          <w:rFonts w:ascii="Times New Roman" w:eastAsia="Arial" w:hAnsi="Times New Roman" w:cs="Times New Roman"/>
        </w:rPr>
        <w:t xml:space="preserve"> (2004), tanto por las atribuciones que le son conferidas como por sus relaciones con los demás organismos, la Comisión Nacional de Evaluación y Acreditación Universitaria (CONEAU) es considerada también un organismo de coordinación del sistema (arts. 44, 45, 46 y 47).</w:t>
      </w:r>
    </w:p>
    <w:p w14:paraId="55B0CD69"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A partir de este trabajo es posible señalar que, a instancias del Poder Ejecutivo Nacional y con el acuerdo y la participación de los organismos de coordinación del sistema universitario argentino, se han acordado regulaciones hacia las instituciones en diversos temas —planes de estudio, educación a distancia, posgrado, calidad, carrera de investigador, extensión e internacionalización— que implicarán, en el futuro próximo, cambios profundos en el sistema.</w:t>
      </w:r>
    </w:p>
    <w:p w14:paraId="7AC510A1"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Para los fines de este trabajo interesan especialmente tres de los organismos de coordinación: CU, CIN y CRUP —este último, en tanto participa en la definición de políticas en el marco del CU—. Una de las características de estos organismos es que integran representantes de instituciones públicas y privadas, junto con los representantes tradicionales de las universidades (</w:t>
      </w:r>
      <w:proofErr w:type="spellStart"/>
      <w:r w:rsidRPr="00EA09F8">
        <w:rPr>
          <w:rFonts w:ascii="Times New Roman" w:eastAsia="Arial" w:hAnsi="Times New Roman" w:cs="Times New Roman"/>
        </w:rPr>
        <w:t>Nosiglia</w:t>
      </w:r>
      <w:proofErr w:type="spellEnd"/>
      <w:r w:rsidRPr="00EA09F8">
        <w:rPr>
          <w:rFonts w:ascii="Times New Roman" w:eastAsia="Arial" w:hAnsi="Times New Roman" w:cs="Times New Roman"/>
        </w:rPr>
        <w:t>, 2004).</w:t>
      </w:r>
    </w:p>
    <w:p w14:paraId="751BE85F"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El análisis se centra en las normas y los mecanismos de aprobación de las políticas académicas en las que participaron los organismos de coordinación entre 2020 y 2023, con el propósito de identificar las estructuras de toma de decisión y el modelo de gobernanza del sistema universitario.</w:t>
      </w:r>
    </w:p>
    <w:p w14:paraId="4AAE7654"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Luego de un período de relativa inactividad del CU —organismo que entre sus funciones tiene la de «proponer la definición de políticas y estrategias de desarrollo universitario, promover la cooperación entre las instituciones universitarias, así como la adopción de pautas para la coordinación del sistema universitario» y «expedirse sobre otros asuntos que se le remita en consulta por la vía correspondiente», incluyendo los estándares de acreditación de grado y posgrado (art. 72)—, durante el año 2020 no se aprobaron acuerdos significativos en dicho organismo.</w:t>
      </w:r>
    </w:p>
    <w:p w14:paraId="21FE4B0F"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No obstante, cabe señalar que en virtud del artículo 43 de la LES, el CU en acuerdo con el Ministerio de Educación tiene la facultad de aprobar los criterios de intensidad de la </w:t>
      </w:r>
      <w:r w:rsidRPr="00EA09F8">
        <w:rPr>
          <w:rFonts w:ascii="Times New Roman" w:eastAsia="Arial" w:hAnsi="Times New Roman" w:cs="Times New Roman"/>
        </w:rPr>
        <w:lastRenderedPageBreak/>
        <w:t>formación práctica y, en consecuencia, posee también la facultad de modificarlos y de establecer normas transitorias para su aplicación.</w:t>
      </w:r>
    </w:p>
    <w:p w14:paraId="3392506C"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Una de las principales dificultades que debieron afrontar las instituciones universitarias durante la pandemia fue la implementación de las prácticas formativas. En ese marco, el CIN emitió la Resolución CE 1567/20 solicitando al CU la emisión del Acuerdo Plenario </w:t>
      </w:r>
      <w:proofErr w:type="spellStart"/>
      <w:r w:rsidRPr="00EA09F8">
        <w:rPr>
          <w:rFonts w:ascii="Times New Roman" w:eastAsia="Arial" w:hAnsi="Times New Roman" w:cs="Times New Roman"/>
        </w:rPr>
        <w:t>N.°</w:t>
      </w:r>
      <w:proofErr w:type="spellEnd"/>
      <w:r w:rsidRPr="00EA09F8">
        <w:rPr>
          <w:rFonts w:ascii="Times New Roman" w:eastAsia="Arial" w:hAnsi="Times New Roman" w:cs="Times New Roman"/>
        </w:rPr>
        <w:t xml:space="preserve"> 240, por el cual se autorizara a las universidades a instrumentar acciones alternativas de valor académico equivalente para el cumplimiento de los requisitos de las instancias de formación práctica, con carácter excepcional y vigencia para las cohortes afectadas por la situación epidemiológica. Si bien dicha autorización se circunscribió a esas cohortes, resulta de interés para este proyecto de investigación analizar en qué medida, a nivel de las instituciones o unidades académicas, algunas de estas prácticas pudieron haberse consolidado en el tiempo.</w:t>
      </w:r>
    </w:p>
    <w:p w14:paraId="0F240E23"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Durante 2021 se aprobaron nuevos estándares de carreras; en 2022 no hubo registro de actividad relevante. Recién hacia fines de 2023 se aprobaron varios acuerdos significativos —AP 269, 270, 271 y 272— que dieron lugar a resoluciones ministeriales sobre modificaciones en las políticas académicas en múltiples dimensiones.</w:t>
      </w:r>
    </w:p>
    <w:p w14:paraId="753F1274"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Estos acuerdos del CU se originaron en una iniciativa de la Secretaría de Políticas Universitarias (SPU) del Ministerio de Educación de la Nación que, en 2021, suscribió con el CIN un acta acuerdo en la que se definieron lineamientos de políticas universitarias para trabajar en conjunto en temas pertinentes para la mejora del sistema universitario nacional. Como señala Moulian (2023), la Declaración del CIN, conocida como el «Acuerdo de San Martín», establece —de cara al año 2030— siete lineamientos de políticas universitarias. Dicha Declaración contó con el acompañamiento de todos los organismos de coordinación, planificación y evaluación del sistema de educación superior:</w:t>
      </w:r>
    </w:p>
    <w:p w14:paraId="0FB3DFC2"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Reconfiguración de las modalidades de enseñanza y aprendizaje: educación híbrida, bimodal, virtual y remota.</w:t>
      </w:r>
    </w:p>
    <w:p w14:paraId="029BD372"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Las propuestas académicas: revisión de la distancia entre la duración teórica y la duración real de las carreras. Horas máximas. Créditos académicos.</w:t>
      </w:r>
    </w:p>
    <w:p w14:paraId="2F0B7835"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Las titulaciones intermedias, certificaciones, trayectos formativos y reconocimiento de competencias.</w:t>
      </w:r>
    </w:p>
    <w:p w14:paraId="660F6125"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El reconocimiento de la calidad en las carreras del artículo 42.</w:t>
      </w:r>
    </w:p>
    <w:p w14:paraId="770EBBC1"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 xml:space="preserve">La </w:t>
      </w:r>
      <w:proofErr w:type="spellStart"/>
      <w:r w:rsidRPr="00EA09F8">
        <w:rPr>
          <w:rFonts w:ascii="Times New Roman" w:eastAsia="Arial" w:hAnsi="Times New Roman" w:cs="Times New Roman"/>
        </w:rPr>
        <w:t>curricularización</w:t>
      </w:r>
      <w:proofErr w:type="spellEnd"/>
      <w:r w:rsidRPr="00EA09F8">
        <w:rPr>
          <w:rFonts w:ascii="Times New Roman" w:eastAsia="Arial" w:hAnsi="Times New Roman" w:cs="Times New Roman"/>
        </w:rPr>
        <w:t xml:space="preserve"> de la extensión.</w:t>
      </w:r>
    </w:p>
    <w:p w14:paraId="0B45C9DC"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La carrera del/del docente investigador/a.</w:t>
      </w:r>
    </w:p>
    <w:p w14:paraId="0F5DC262"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La importancia de la internacionalización de la educación superior.</w:t>
      </w:r>
    </w:p>
    <w:p w14:paraId="1AF6EBB1" w14:textId="77777777" w:rsidR="008F4B29" w:rsidRDefault="008F4B29" w:rsidP="008F4B29">
      <w:pPr>
        <w:spacing w:after="0" w:line="240" w:lineRule="auto"/>
        <w:jc w:val="both"/>
        <w:rPr>
          <w:rFonts w:ascii="Times New Roman" w:eastAsia="Arial" w:hAnsi="Times New Roman" w:cs="Times New Roman"/>
        </w:rPr>
      </w:pPr>
    </w:p>
    <w:p w14:paraId="0DBCA0B9"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En el funcionamiento propio del CIN, durante los años 2021 a 2023 se realizaron distintos avances sobre estos puntos y circularon propuestas en relación con su </w:t>
      </w:r>
      <w:proofErr w:type="spellStart"/>
      <w:r w:rsidRPr="00EA09F8">
        <w:rPr>
          <w:rFonts w:ascii="Times New Roman" w:eastAsia="Arial" w:hAnsi="Times New Roman" w:cs="Times New Roman"/>
        </w:rPr>
        <w:t>concrección</w:t>
      </w:r>
      <w:proofErr w:type="spellEnd"/>
      <w:r w:rsidRPr="00EA09F8">
        <w:rPr>
          <w:rFonts w:ascii="Times New Roman" w:eastAsia="Arial" w:hAnsi="Times New Roman" w:cs="Times New Roman"/>
        </w:rPr>
        <w:t xml:space="preserve">, algunas de las cuales se plasmaron en el Acuerdo Plenario </w:t>
      </w:r>
      <w:proofErr w:type="spellStart"/>
      <w:r w:rsidRPr="00EA09F8">
        <w:rPr>
          <w:rFonts w:ascii="Times New Roman" w:eastAsia="Arial" w:hAnsi="Times New Roman" w:cs="Times New Roman"/>
        </w:rPr>
        <w:t>N.°</w:t>
      </w:r>
      <w:proofErr w:type="spellEnd"/>
      <w:r w:rsidRPr="00EA09F8">
        <w:rPr>
          <w:rFonts w:ascii="Times New Roman" w:eastAsia="Arial" w:hAnsi="Times New Roman" w:cs="Times New Roman"/>
        </w:rPr>
        <w:t xml:space="preserve"> 1177/22 y la Resolución CE </w:t>
      </w:r>
      <w:proofErr w:type="spellStart"/>
      <w:r w:rsidRPr="00EA09F8">
        <w:rPr>
          <w:rFonts w:ascii="Times New Roman" w:eastAsia="Arial" w:hAnsi="Times New Roman" w:cs="Times New Roman"/>
        </w:rPr>
        <w:t>N.°</w:t>
      </w:r>
      <w:proofErr w:type="spellEnd"/>
      <w:r w:rsidRPr="00EA09F8">
        <w:rPr>
          <w:rFonts w:ascii="Times New Roman" w:eastAsia="Arial" w:hAnsi="Times New Roman" w:cs="Times New Roman"/>
        </w:rPr>
        <w:t xml:space="preserve"> 1752/23.</w:t>
      </w:r>
    </w:p>
    <w:p w14:paraId="186E8E42"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Durante 2022 se fueron ratificando actas de declaración entre el Ministerio de Educación, la Secretaría de Políticas Universitarias y el CIN, </w:t>
      </w:r>
      <w:proofErr w:type="gramStart"/>
      <w:r w:rsidRPr="00EA09F8">
        <w:rPr>
          <w:rFonts w:ascii="Times New Roman" w:eastAsia="Arial" w:hAnsi="Times New Roman" w:cs="Times New Roman"/>
        </w:rPr>
        <w:t>dando inicio a</w:t>
      </w:r>
      <w:proofErr w:type="gramEnd"/>
      <w:r w:rsidRPr="00EA09F8">
        <w:rPr>
          <w:rFonts w:ascii="Times New Roman" w:eastAsia="Arial" w:hAnsi="Times New Roman" w:cs="Times New Roman"/>
        </w:rPr>
        <w:t xml:space="preserve"> un ciclo de intensas jornadas de trabajo en todos los ámbitos del sistema: discusiones en asociaciones de decanos y decanas, en comisiones y plenarios del CIN y del CRUP, y en jornadas organizadas por y entre los equipos de gestión académica de las universidades y docentes </w:t>
      </w:r>
      <w:r w:rsidRPr="00EA09F8">
        <w:rPr>
          <w:rFonts w:ascii="Times New Roman" w:eastAsia="Arial" w:hAnsi="Times New Roman" w:cs="Times New Roman"/>
        </w:rPr>
        <w:lastRenderedPageBreak/>
        <w:t>investigadores/as. Un aspecto metodológico no menor es que la Dirección Nacional de Gestión Universitaria ordenó la discusión mediante la elaboración de documentos de trabajo para cada lineamiento (</w:t>
      </w:r>
      <w:proofErr w:type="spellStart"/>
      <w:r>
        <w:rPr>
          <w:rFonts w:ascii="Times New Roman" w:eastAsia="Arial" w:hAnsi="Times New Roman" w:cs="Times New Roman"/>
        </w:rPr>
        <w:t>D</w:t>
      </w:r>
      <w:r w:rsidRPr="00EA09F8">
        <w:rPr>
          <w:rFonts w:ascii="Times New Roman" w:eastAsia="Arial" w:hAnsi="Times New Roman" w:cs="Times New Roman"/>
        </w:rPr>
        <w:t>oulian</w:t>
      </w:r>
      <w:proofErr w:type="spellEnd"/>
      <w:r w:rsidRPr="00EA09F8">
        <w:rPr>
          <w:rFonts w:ascii="Times New Roman" w:eastAsia="Arial" w:hAnsi="Times New Roman" w:cs="Times New Roman"/>
        </w:rPr>
        <w:t>, 2023).</w:t>
      </w:r>
    </w:p>
    <w:p w14:paraId="64544487"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En ese mismo año se ratificó el documento «Orientaciones y propuestas en el marco de los procesos de reconfiguración de las opciones pedagógicas (presencial y a distancia)», primer texto que planteaba la revisión de conceptos vinculados a las opciones pedagógicas surgidas a partir de la pandemia.</w:t>
      </w:r>
    </w:p>
    <w:p w14:paraId="0FD5E4FC"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El 14 de marzo de 2023, el CIN aprobó mediante la Resolución CE </w:t>
      </w:r>
      <w:proofErr w:type="spellStart"/>
      <w:r w:rsidRPr="00EA09F8">
        <w:rPr>
          <w:rFonts w:ascii="Times New Roman" w:eastAsia="Arial" w:hAnsi="Times New Roman" w:cs="Times New Roman"/>
        </w:rPr>
        <w:t>N.°</w:t>
      </w:r>
      <w:proofErr w:type="spellEnd"/>
      <w:r w:rsidRPr="00EA09F8">
        <w:rPr>
          <w:rFonts w:ascii="Times New Roman" w:eastAsia="Arial" w:hAnsi="Times New Roman" w:cs="Times New Roman"/>
        </w:rPr>
        <w:t xml:space="preserve"> 1752/23 el «Documento de Trabajo. Aportes para pensar la distancia entre la duración teórica y real de las carreras y el reconocimiento de trayectorias formativas», en torno a los lineamientos 2 y 3 de la Declaración de diciembre de 2021 del Ministerio de Educación de la Nación.</w:t>
      </w:r>
    </w:p>
    <w:p w14:paraId="1BBE4747"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El 8 de septiembre de 2023, a través del Acuerdo Plenario </w:t>
      </w:r>
      <w:proofErr w:type="spellStart"/>
      <w:r w:rsidRPr="00EA09F8">
        <w:rPr>
          <w:rFonts w:ascii="Times New Roman" w:eastAsia="Arial" w:hAnsi="Times New Roman" w:cs="Times New Roman"/>
        </w:rPr>
        <w:t>N.°</w:t>
      </w:r>
      <w:proofErr w:type="spellEnd"/>
      <w:r w:rsidRPr="00EA09F8">
        <w:rPr>
          <w:rFonts w:ascii="Times New Roman" w:eastAsia="Arial" w:hAnsi="Times New Roman" w:cs="Times New Roman"/>
        </w:rPr>
        <w:t xml:space="preserve"> 1198/23, el CIN aprobó una declaración que plasmó en acciones concretas lo establecido en el acta suscripta con el Ministerio de Educación y la SPU en diciembre de 2021 sobre lineamientos de políticas universitarias. No obstante, en dicha declaración se señaló el compromiso de avanzar solo en cinco de los lineamientos, quedando excluidos los referidos a extensión e internacionalización.</w:t>
      </w:r>
    </w:p>
    <w:p w14:paraId="6DC13D51"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Luego de múltiples debates en el seno del CIN y sus comisiones, se alcanzaron acuerdos que se tradujeron en las siguientes resoluciones ministeriales de fines de 2023:</w:t>
      </w:r>
    </w:p>
    <w:p w14:paraId="295A340E"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 xml:space="preserve">Resolución 2600 (15/11/2023): Posgrado. Deroga la Resolución Ministerial </w:t>
      </w:r>
      <w:proofErr w:type="spellStart"/>
      <w:r w:rsidRPr="00EA09F8">
        <w:rPr>
          <w:rFonts w:ascii="Times New Roman" w:eastAsia="Arial" w:hAnsi="Times New Roman" w:cs="Times New Roman"/>
        </w:rPr>
        <w:t>N.°</w:t>
      </w:r>
      <w:proofErr w:type="spellEnd"/>
      <w:r w:rsidRPr="00EA09F8">
        <w:rPr>
          <w:rFonts w:ascii="Times New Roman" w:eastAsia="Arial" w:hAnsi="Times New Roman" w:cs="Times New Roman"/>
        </w:rPr>
        <w:t xml:space="preserve"> 160 del 29 de diciembre de 2011 y sus modificatorias.</w:t>
      </w:r>
    </w:p>
    <w:p w14:paraId="048BB8A8"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Resolución 2597 (15/11/2023): Sistema Institucional de Aseguramiento de la Calidad (SIAC). Las carreras no incluidas en el artículo 43 deberán certificar su calidad.</w:t>
      </w:r>
    </w:p>
    <w:p w14:paraId="7F37C803"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Resolución 2599 (15/11/2023): Educación a Distancia.</w:t>
      </w:r>
    </w:p>
    <w:p w14:paraId="1A012A21"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Resolución 2601 (23/11/2023): Permite la inclusión del título intermedio de Bachiller Universitario sin alcances profesionales.</w:t>
      </w:r>
    </w:p>
    <w:p w14:paraId="39BA0463"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Resolución 2598 (21/11/2023): Sistema de Créditos Académicos Universitarios (SACAU). Establece el valor asignado al crédito en 25 horas de trabajo total del estudiante.</w:t>
      </w:r>
    </w:p>
    <w:p w14:paraId="30471FFC" w14:textId="77777777" w:rsidR="008F4B29" w:rsidRDefault="008F4B29" w:rsidP="008F4B29">
      <w:pPr>
        <w:spacing w:after="0" w:line="240" w:lineRule="auto"/>
        <w:jc w:val="both"/>
        <w:rPr>
          <w:rFonts w:ascii="Times New Roman" w:eastAsia="Arial" w:hAnsi="Times New Roman" w:cs="Times New Roman"/>
        </w:rPr>
      </w:pPr>
    </w:p>
    <w:p w14:paraId="33A2CE1B"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Cabe señalar que el lineamiento 6 relativo a la carrera de investigador se materializó en el Programa para la Investigación Universitaria Argentina (PRINUAR), cuyo objetivo es articular los trabajos de investigación con la docencia, la extensión y las artes, aportando una perspectiva integral para el desarrollo científico y tecnológico. El eje principal de trabajo fue la categorización de los y las docentes investigadores/as.</w:t>
      </w:r>
    </w:p>
    <w:p w14:paraId="6672956A" w14:textId="77777777" w:rsidR="008F4B29" w:rsidRDefault="008F4B29" w:rsidP="008F4B29">
      <w:pPr>
        <w:pStyle w:val="Ttulo1"/>
        <w:spacing w:before="0" w:after="0" w:line="240" w:lineRule="auto"/>
        <w:rPr>
          <w:rFonts w:ascii="Times New Roman" w:eastAsia="Arial" w:hAnsi="Times New Roman" w:cs="Times New Roman"/>
          <w:b/>
          <w:bCs/>
          <w:color w:val="auto"/>
          <w:sz w:val="24"/>
          <w:szCs w:val="24"/>
        </w:rPr>
      </w:pPr>
    </w:p>
    <w:p w14:paraId="07C9A732" w14:textId="721D3B23" w:rsidR="008F4B29" w:rsidRPr="00D32B92" w:rsidRDefault="008F4B29" w:rsidP="008F4B29">
      <w:pPr>
        <w:pStyle w:val="Ttulo1"/>
        <w:spacing w:before="0" w:after="0" w:line="240" w:lineRule="auto"/>
        <w:rPr>
          <w:rFonts w:ascii="Times New Roman" w:eastAsia="Arial" w:hAnsi="Times New Roman" w:cs="Times New Roman"/>
          <w:b/>
          <w:bCs/>
          <w:color w:val="auto"/>
          <w:sz w:val="24"/>
          <w:szCs w:val="24"/>
        </w:rPr>
      </w:pPr>
      <w:r w:rsidRPr="00D32B92">
        <w:rPr>
          <w:rFonts w:ascii="Times New Roman" w:eastAsia="Arial" w:hAnsi="Times New Roman" w:cs="Times New Roman"/>
          <w:b/>
          <w:bCs/>
          <w:color w:val="auto"/>
          <w:sz w:val="24"/>
          <w:szCs w:val="24"/>
        </w:rPr>
        <w:t>La implementación del SACAU en la Universidad Nacional Raúl Scalabrini Ortiz</w:t>
      </w:r>
    </w:p>
    <w:p w14:paraId="5E1FE448" w14:textId="77777777" w:rsidR="008F4B29" w:rsidRPr="00D32B92" w:rsidRDefault="008F4B29" w:rsidP="008F4B29"/>
    <w:p w14:paraId="08858410"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La UNSO cuenta con 19 carreras, muchas de las cuales son de </w:t>
      </w:r>
      <w:r>
        <w:rPr>
          <w:rFonts w:ascii="Times New Roman" w:eastAsia="Arial" w:hAnsi="Times New Roman" w:cs="Times New Roman"/>
        </w:rPr>
        <w:t xml:space="preserve">corta </w:t>
      </w:r>
      <w:r w:rsidRPr="00EA09F8">
        <w:rPr>
          <w:rFonts w:ascii="Times New Roman" w:eastAsia="Arial" w:hAnsi="Times New Roman" w:cs="Times New Roman"/>
        </w:rPr>
        <w:t xml:space="preserve">duración (tecnicaturas universitarias y ciclos de complementación curricular). Su estudiantado proviene en un 73% del corredor norte de la provincia de Buenos Aires —un 30% de la ciudad de San Isidro, donde se localiza la institución—. Por año aspiran a ingresar aproximadamente </w:t>
      </w:r>
      <w:r w:rsidRPr="00EA09F8">
        <w:rPr>
          <w:rFonts w:ascii="Times New Roman" w:eastAsia="Arial" w:hAnsi="Times New Roman" w:cs="Times New Roman"/>
        </w:rPr>
        <w:lastRenderedPageBreak/>
        <w:t>2.800 estudiantes, de los cuales ingresa efectivamente el 50%, compartiendo con el resto del sistema universitario la problemática del ingreso y la sostenibilidad de la trayectoria en los primeros años. A pesar de este escenario, la institución alcanzó 900 egresados al cierre del año 2024.</w:t>
      </w:r>
    </w:p>
    <w:p w14:paraId="05280E7E"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Dada la organización institucional de tipo departamental, existen experiencias de materias comunes a varias carreras. Al mismo tiempo, hay articulación interna entre las distintas ofertas académicas, ya que el reconocimiento de carreras cortas se produce por la posibilidad de compatibilizar un primer tramo con las carreras de grado. En la actualidad, se está abordando el reconocimiento de tramos comunes para las titulaciones intermedias en el caso de las licenciaturas.</w:t>
      </w:r>
    </w:p>
    <w:p w14:paraId="6CC09F7C"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El presente trabajo da cuenta de la experiencia de implementación del SACAU que viene desarrollando la UNSO desde abril de 2025. El objetivo del proyecto es generar las condiciones e insumos necesarios para la incorporación del sistema de créditos universitarios en los planes de estudio de la Universidad. Por la naturaleza misma de los créditos, el desarrollo del proyecto abre un proceso de análisis y reflexión sobre los planes de estudio y la oferta formativa. Para habilitar ese proceso resultó conveniente diseñar un dispositivo que involucre a los distintos actores institucionales y genere una base de evidencia para la evaluación curricular y la instrumentación del sistema de créditos en articulación con el proyecto institucional de flexibilidad y articulación de la oferta formativa.</w:t>
      </w:r>
    </w:p>
    <w:p w14:paraId="34B33C3A"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Si bien el proyecto se encuentra en etapa de implementación, este trabajo pretende mostrar que el proceso es complejo y tiene un alcance más amplio que la mera asignación de valores numéricos a las unidades curriculares. Requiere una revisión curricular integral que contemple, al mismo tiempo, las definiciones sobre las estrategias de articulación a nivel del conjunto del sistema universitario.</w:t>
      </w:r>
    </w:p>
    <w:p w14:paraId="5B1A515D"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El equipo de trabajo a cargo de la implementación está conformado por la Secretaría Académica, la Secretaría de Planeamiento y Evaluación y una especialista en currículum universitario. Cada departamento cuenta con coordinadores/as de carrera que participan como referentes en las instancias de revisión. Se incluye también personal especializado del Sistema Institucional de Educación a Distancia (SIED).</w:t>
      </w:r>
    </w:p>
    <w:p w14:paraId="1BB043E4"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La complejidad del cambio en las políticas curriculares llevó a este equipo a abordar el crédito universitario desde una perspectiva compleja e integral. Los créditos introducen un modo diferente de calcular el trabajo académico: generan una unidad que expresa el trabajo directo de enseñanza del docente con el estudiante, al que se suma el trabajo autónomo que este debe realizar para cumplir con los requisitos del plan o para sostener adecuadamente su cursada.</w:t>
      </w:r>
    </w:p>
    <w:p w14:paraId="542932E8"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El tiempo de trabajo autónomo implica un factor personal y vinculado a las condiciones de partida de cada estudiante; no obstante, un sistema general de ponderación de tiempos aplicado al currículum requiere el establecimiento de un valor estandarizado. En este sentido, la implementación de un sistema de créditos necesita una base de evidencia sobre las tareas exigidas al estudiante fuera de lo pautado en el plan de estudios y, al mismo tiempo, un criterio de homogeneización que permita definir un tiempo estimado y promedio del trabajo total. El sistema de créditos define, así, el tiempo total previsto para el cursado del plan, y no el tiempo real efectivamente empleado, que está sujeto a otras variables.</w:t>
      </w:r>
    </w:p>
    <w:p w14:paraId="4B92C725"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lastRenderedPageBreak/>
        <w:t>Es necesario considerar también que los créditos definen la totalidad estimada de horas de trabajo para cada unidad curricular, área, ciclo o el conjunto del plan, y no el tiempo de recorrido individual. No se trata de cuánto tarda un estudiante o grupo en completar el plan, sino de cuántas horas se estiman necesarias para cumplir con los requisitos planteados. El tiempo de recorrido responde a una conjugación de variables que incluyen la carga del plan de estudios, pero también el tiempo que distintos estudiantes dedican a la cursada, sus condiciones de ingreso y su posibilidad —o imposibilidad— de acceso temprano al mercado laboral, entre otras.</w:t>
      </w:r>
    </w:p>
    <w:p w14:paraId="58EEC09D"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Por último, cabe señalar que las unidades curriculares no demandan el mismo tiempo de trabajo autónomo: dependiendo de las características de cada una, los requerimientos pueden ser muy distintos. En tanto el sistema se aplica al conjunto del plan, no es posible establecer un valor particular para cada asignatura, por lo que resulta necesario generar una tipificación de unidades curriculares según las características de las actividades que requieren y el tiempo estimado para su cumplimiento.</w:t>
      </w:r>
    </w:p>
    <w:p w14:paraId="5A602FA2"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Un sistema de créditos implica la asignación de un valor común y compartido para todos los planes de estudio de la Universidad, comunicable y </w:t>
      </w:r>
      <w:proofErr w:type="spellStart"/>
      <w:r w:rsidRPr="00EA09F8">
        <w:rPr>
          <w:rFonts w:ascii="Times New Roman" w:eastAsia="Arial" w:hAnsi="Times New Roman" w:cs="Times New Roman"/>
        </w:rPr>
        <w:t>compatibilizable</w:t>
      </w:r>
      <w:proofErr w:type="spellEnd"/>
      <w:r w:rsidRPr="00EA09F8">
        <w:rPr>
          <w:rFonts w:ascii="Times New Roman" w:eastAsia="Arial" w:hAnsi="Times New Roman" w:cs="Times New Roman"/>
        </w:rPr>
        <w:t xml:space="preserve"> con los planes de otras instituciones.</w:t>
      </w:r>
    </w:p>
    <w:p w14:paraId="37104992"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El proyecto se planteó los siguientes objetivos:</w:t>
      </w:r>
    </w:p>
    <w:p w14:paraId="06E33937"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Establecer un sistema para la conversión de los planes de estudio a un esquema mixto de cargas horarias: por horas directas y por créditos.</w:t>
      </w:r>
    </w:p>
    <w:p w14:paraId="561697EB"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Evaluar los planes de estudio y los programas en relación con la evidencia obtenida sobre el tiempo de trabajo exigido a los estudiantes.</w:t>
      </w:r>
    </w:p>
    <w:p w14:paraId="3BCF0144" w14:textId="77777777" w:rsidR="008F4B29" w:rsidRPr="00EA09F8" w:rsidRDefault="008F4B29" w:rsidP="008F4B29">
      <w:pPr>
        <w:pStyle w:val="Prrafodelista"/>
        <w:numPr>
          <w:ilvl w:val="0"/>
          <w:numId w:val="1"/>
        </w:numPr>
        <w:spacing w:after="0" w:line="240" w:lineRule="auto"/>
        <w:contextualSpacing w:val="0"/>
        <w:rPr>
          <w:rFonts w:ascii="Times New Roman" w:hAnsi="Times New Roman" w:cs="Times New Roman"/>
        </w:rPr>
      </w:pPr>
      <w:r w:rsidRPr="00EA09F8">
        <w:rPr>
          <w:rFonts w:ascii="Times New Roman" w:eastAsia="Arial" w:hAnsi="Times New Roman" w:cs="Times New Roman"/>
        </w:rPr>
        <w:t>Proponer posibles diseños de trayectorias diversificadas según la dedicación de los estudiantes.</w:t>
      </w:r>
    </w:p>
    <w:p w14:paraId="0F7060F4" w14:textId="77777777" w:rsidR="008F4B29" w:rsidRDefault="008F4B29" w:rsidP="008F4B29">
      <w:pPr>
        <w:spacing w:after="0" w:line="240" w:lineRule="auto"/>
        <w:jc w:val="both"/>
        <w:rPr>
          <w:rFonts w:ascii="Times New Roman" w:eastAsia="Arial" w:hAnsi="Times New Roman" w:cs="Times New Roman"/>
        </w:rPr>
      </w:pPr>
    </w:p>
    <w:p w14:paraId="65441C8C"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La planificación del equipo de trabajo contempló la organización del trabajo en distintas instancias secuenciadas, teniendo en cuenta la necesidad de involucrar a todos los actores de la Universidad.</w:t>
      </w:r>
    </w:p>
    <w:p w14:paraId="010811A3"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En una primera instancia se realizaron dos reuniones generales con directores/as de departamento y coordinadores/as de carrera destinadas a la presentación del proyecto, sus rasgos generales, los usos del sistema de créditos y, en particular, las modificaciones introducidas por la resolución que los establece en el país. En estas reuniones, a las que fueron convocados distintos especialistas, se privilegió la presentación de experiencias previas en el sistema universitario, diversas perspectivas sobre el currículum y la importancia de la articulación sistémica en los procesos de internacionalización.</w:t>
      </w:r>
    </w:p>
    <w:p w14:paraId="2D994779"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En una segunda instancia se convocó a reuniones por departamento con directores/as y coordinadores/as de carrera para llevar adelante una primera clasificación de las estructuras de los planes de estudio y de las actividades </w:t>
      </w:r>
      <w:proofErr w:type="spellStart"/>
      <w:r w:rsidRPr="00EA09F8">
        <w:rPr>
          <w:rFonts w:ascii="Times New Roman" w:eastAsia="Arial" w:hAnsi="Times New Roman" w:cs="Times New Roman"/>
        </w:rPr>
        <w:t>extraclase</w:t>
      </w:r>
      <w:proofErr w:type="spellEnd"/>
      <w:r w:rsidRPr="00EA09F8">
        <w:rPr>
          <w:rFonts w:ascii="Times New Roman" w:eastAsia="Arial" w:hAnsi="Times New Roman" w:cs="Times New Roman"/>
        </w:rPr>
        <w:t xml:space="preserve"> —por fuera de la carga horaria de los planes— requeridas a los estudiantes.</w:t>
      </w:r>
    </w:p>
    <w:p w14:paraId="6C57BBB5"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A partir de estas primeras reuniones, se prevén encuentros interdepartamentales —con directores/as, coordinadores/as de carrera o sus representantes— para compatibilizar las categorías de unidades curriculares y el listado de actividades </w:t>
      </w:r>
      <w:proofErr w:type="spellStart"/>
      <w:r w:rsidRPr="00EA09F8">
        <w:rPr>
          <w:rFonts w:ascii="Times New Roman" w:eastAsia="Arial" w:hAnsi="Times New Roman" w:cs="Times New Roman"/>
        </w:rPr>
        <w:t>extraclase</w:t>
      </w:r>
      <w:proofErr w:type="spellEnd"/>
      <w:r w:rsidRPr="00EA09F8">
        <w:rPr>
          <w:rFonts w:ascii="Times New Roman" w:eastAsia="Arial" w:hAnsi="Times New Roman" w:cs="Times New Roman"/>
        </w:rPr>
        <w:t>.</w:t>
      </w:r>
    </w:p>
    <w:p w14:paraId="7CC8F06B"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La tercera instancia incluye la aplicación de una encuesta a docentes y estudiantes, que se complementará con reuniones focales con grupos de estudiantes seleccionados de acuerdo con criterios de representatividad por carrera, año de cursado y tipo de materias.</w:t>
      </w:r>
    </w:p>
    <w:p w14:paraId="43BC436A"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lastRenderedPageBreak/>
        <w:t>La cuarta instancia prevé la conformación de una comisión técnica interdepartamental para el tratamiento conjunto de la información y el establecimiento de criterios y valores comunes para el sistema de créditos de la UNSO. En su marco se abordarán la reformulación —cuando sea necesaria— de la clasificación de unidades curriculares, la estandarización de los tipos de actividades, la sistematización de la información y el establecimiento de valores estimados según tipo de actividad y de materia. El resultado final de esta etapa será la asignación de los valores de créditos.</w:t>
      </w:r>
    </w:p>
    <w:p w14:paraId="28730DCE" w14:textId="77777777" w:rsidR="008F4B29" w:rsidRPr="00EA09F8" w:rsidRDefault="008F4B29" w:rsidP="008F4B29">
      <w:pPr>
        <w:spacing w:after="0" w:line="240" w:lineRule="auto"/>
        <w:jc w:val="both"/>
        <w:rPr>
          <w:rFonts w:ascii="Times New Roman" w:hAnsi="Times New Roman" w:cs="Times New Roman"/>
        </w:rPr>
      </w:pPr>
      <w:r>
        <w:rPr>
          <w:rFonts w:ascii="Times New Roman" w:eastAsia="Arial" w:hAnsi="Times New Roman" w:cs="Times New Roman"/>
        </w:rPr>
        <w:t>A modo de cierre. a</w:t>
      </w:r>
      <w:r w:rsidRPr="00EA09F8">
        <w:rPr>
          <w:rFonts w:ascii="Times New Roman" w:eastAsia="Arial" w:hAnsi="Times New Roman" w:cs="Times New Roman"/>
        </w:rPr>
        <w:t xml:space="preserve"> seis años de la apertura de las primeras carreras, el trabajo de implementación del SACAU permite identificar las experiencias de articulación entre carreras, revisar los planes de estudio y avanzar hacia procesos de articulación curricular más amplios.</w:t>
      </w:r>
    </w:p>
    <w:p w14:paraId="60E55893"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Un primer aspecto que emergió de las dos instancias ya implementadas es el reconocimiento de las modalidades de enseñanza que se encuentran en vigencia en las distintas carreras, motivadas tanto por los cambios introducidos a partir de la pandemia como por las condiciones edilicias propias de la institución. Diversos estudios realizados durante la </w:t>
      </w:r>
      <w:proofErr w:type="spellStart"/>
      <w:r w:rsidRPr="00EA09F8">
        <w:rPr>
          <w:rFonts w:ascii="Times New Roman" w:eastAsia="Arial" w:hAnsi="Times New Roman" w:cs="Times New Roman"/>
        </w:rPr>
        <w:t>pospandemia</w:t>
      </w:r>
      <w:proofErr w:type="spellEnd"/>
      <w:r w:rsidRPr="00EA09F8">
        <w:rPr>
          <w:rFonts w:ascii="Times New Roman" w:eastAsia="Arial" w:hAnsi="Times New Roman" w:cs="Times New Roman"/>
        </w:rPr>
        <w:t xml:space="preserve"> han comenzado a analizar cómo las transformaciones forzadas durante la emergencia sanitaria dejaron huellas persistentes en las prácticas de enseñanza y en las condiciones de trabajo docente. Viñas y Secul Giusti (2025) destacan que muchas universidades argentinas han consolidado esquemas híbridos de dictado que combinan clases sincrónicas virtuales con encuentros presenciales, especialmente en contextos urbanos con mayores niveles de conectividad.</w:t>
      </w:r>
    </w:p>
    <w:p w14:paraId="5983D6D8"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Este aspecto ha surgido como una variable a contemplar en el cálculo del trabajo autónomo, presencial y sincrónico para cada unidad curricular, así como en la definición de si las tareas asincrónicas forman parte del plan de estudios o se desarrollan por fuera de él.</w:t>
      </w:r>
    </w:p>
    <w:p w14:paraId="31D5F556" w14:textId="77777777" w:rsidR="008F4B29" w:rsidRDefault="008F4B29" w:rsidP="008F4B29">
      <w:pPr>
        <w:spacing w:after="0" w:line="240" w:lineRule="auto"/>
        <w:jc w:val="both"/>
        <w:rPr>
          <w:rFonts w:ascii="Times New Roman" w:eastAsia="Arial" w:hAnsi="Times New Roman" w:cs="Times New Roman"/>
        </w:rPr>
      </w:pPr>
      <w:r w:rsidRPr="00EA09F8">
        <w:rPr>
          <w:rFonts w:ascii="Times New Roman" w:eastAsia="Arial" w:hAnsi="Times New Roman" w:cs="Times New Roman"/>
        </w:rPr>
        <w:t>Por otro lado, se advirtió la necesidad de ampliar la información hacia toda la comunidad académica, dada la especificidad de los temas curriculares involucrados. La circulación de información da cuenta de las complejas interacciones entre el nivel sistémico y el institucional, que involucran a una multiplicidad de actores. Para que los procesos de cambio se concreten y se institucionalicen, es imprescindible la participación sostenida de todos los actores de la comunidad académica.</w:t>
      </w:r>
    </w:p>
    <w:p w14:paraId="7831A80D" w14:textId="77777777" w:rsidR="008F4B29" w:rsidRPr="00D32B92" w:rsidRDefault="008F4B29" w:rsidP="008F4B29">
      <w:pPr>
        <w:spacing w:after="0" w:line="240" w:lineRule="auto"/>
        <w:jc w:val="both"/>
        <w:rPr>
          <w:rFonts w:ascii="Times New Roman" w:hAnsi="Times New Roman" w:cs="Times New Roman"/>
        </w:rPr>
      </w:pPr>
    </w:p>
    <w:p w14:paraId="2408E353" w14:textId="1F4AE0C9" w:rsidR="008F4B29" w:rsidRDefault="008F4B29" w:rsidP="008F4B29">
      <w:pPr>
        <w:pStyle w:val="Ttulo1"/>
        <w:spacing w:before="0" w:after="0" w:line="240" w:lineRule="auto"/>
        <w:rPr>
          <w:rFonts w:ascii="Times New Roman" w:eastAsia="Arial" w:hAnsi="Times New Roman" w:cs="Times New Roman"/>
          <w:b/>
          <w:bCs/>
          <w:color w:val="auto"/>
          <w:sz w:val="24"/>
          <w:szCs w:val="24"/>
        </w:rPr>
      </w:pPr>
      <w:r>
        <w:rPr>
          <w:rFonts w:ascii="Times New Roman" w:eastAsia="Arial" w:hAnsi="Times New Roman" w:cs="Times New Roman"/>
          <w:b/>
          <w:bCs/>
          <w:color w:val="auto"/>
          <w:sz w:val="24"/>
          <w:szCs w:val="24"/>
        </w:rPr>
        <w:t>Conclusiones</w:t>
      </w:r>
    </w:p>
    <w:p w14:paraId="0405B083" w14:textId="77777777" w:rsidR="008F4B29" w:rsidRPr="00D32B92" w:rsidRDefault="008F4B29" w:rsidP="008F4B29"/>
    <w:p w14:paraId="69513E65"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La configuración actual de la gobernanza del sistema de educación superior argentino presenta rasgos híbridos, en tanto reúne instrumentos de política propios de la modalidad de control a la distancia con características del modo procedimental —particularmente la presencia de burocracias universitarias consolidadas y su relación con las oligarquías académicas—. En este esquema, el Estado Nacional mantiene la capacidad de verticalizar el proceso de política pública, reestructurando —cuando resulta necesario— el terreno en el que se desenvuelven los demás actores.</w:t>
      </w:r>
    </w:p>
    <w:p w14:paraId="6CD39A5B"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Parece existir una correspondencia entre los fines que se proponen los actores institucionales y los que persigue el gobierno a nivel formal. Como señalan varios autores, los acuerdos de gobernanza en todos los campos políticos —y no solo en la educación </w:t>
      </w:r>
      <w:r w:rsidRPr="00EA09F8">
        <w:rPr>
          <w:rFonts w:ascii="Times New Roman" w:eastAsia="Arial" w:hAnsi="Times New Roman" w:cs="Times New Roman"/>
        </w:rPr>
        <w:lastRenderedPageBreak/>
        <w:t>superior— son híbridos porque funcionan a través de combinaciones de políticas, es decir, instrumentos que pertenecen a distintas categorías o que provienen de diferentes paradigmas, creencias, sistemas o ideologías políticas (Capano et al., 2012).</w:t>
      </w:r>
    </w:p>
    <w:p w14:paraId="0CD583F5"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De acuerdo con los hallazgos preliminares de este análisis, es posible concluir que en la Argentina subsiste cierto grado de gobernanza jerárquica, en la que el Estado establece las prioridades y orienta el desarrollo universitario. Al mismo tiempo, se advierte la presencia de la llamada «gobernanza en red», centrada en las redes de políticas y en las relaciones entre estas y los actores. La combinación de ambas formas da como resultado una gobernanza híbrida.</w:t>
      </w:r>
    </w:p>
    <w:p w14:paraId="7633FAE2"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Como señala Suasnabar (2023), el nuevo tipo de gobernanza del sistema marca el desplazamiento desde una modalidad burocrático-centralizada hacia un esquema cuyo rasgo principal es la creciente pluralidad de agencias de gobierno y de actores —internos y externos al sistema— en los que se produce la construcción, la elaboración y la implementación de las políticas.</w:t>
      </w:r>
    </w:p>
    <w:p w14:paraId="432CA8BC"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 xml:space="preserve">Sin embargo, desde la noción de gobernanza híbrida, este esquema combina tanto las decisiones estatales centrales sobre qué políticas impulsar como procesos de mediación —resistencia, cambio y adaptación— en distintas instancias del sistema: universidades, facultades, departamentos y comunidades académico-disciplinares. En el caso argentino, los procesos de mediación ocurren al interior de los organismos de coordinación, cuya agenda temática y modalidades de aprobación están enmarcadas en un esquema </w:t>
      </w:r>
      <w:proofErr w:type="spellStart"/>
      <w:r w:rsidRPr="00EA09F8">
        <w:rPr>
          <w:rFonts w:ascii="Times New Roman" w:eastAsia="Arial" w:hAnsi="Times New Roman" w:cs="Times New Roman"/>
        </w:rPr>
        <w:t>prepautado</w:t>
      </w:r>
      <w:proofErr w:type="spellEnd"/>
      <w:r w:rsidRPr="00EA09F8">
        <w:rPr>
          <w:rFonts w:ascii="Times New Roman" w:eastAsia="Arial" w:hAnsi="Times New Roman" w:cs="Times New Roman"/>
        </w:rPr>
        <w:t>, al que se suma la lógica de representación propia de cada organismo.</w:t>
      </w:r>
    </w:p>
    <w:p w14:paraId="23521F39"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Al respecto, González Ledesma (2014) señala que la hibridez del caso argentino se manifiesta en la combinación de instrumentos de política propios del «modelo de conducción a la distancia» con el peso de la burocracia estatal característico del «modelo procedimental», generando un esquema mixto en el que el Estado mantiene centralidad en la definición de objetivos sectoriales y en la normativa procedimental, equilibrado con una fuerte autonomía institucional y una mayor libertad de acción de los actores académicos.</w:t>
      </w:r>
    </w:p>
    <w:p w14:paraId="208488E7"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El aporte al campo de las políticas educativas reside en el análisis de los actores que intervienen en la definición de las políticas universitarias, la variedad de temas que las conforman y el proceso de diseño y aprobación de dichas políticas. No alcanza con la mera formulación de normas en el interior del sistema: es necesario avanzar en el análisis de cómo estos cambios propuestos impactan efectivamente en las instituciones, qué actores los llevan adelante y con qué capacidad de gobierno y gestión. El desafío consiste en identificar similitudes y diferencias en cómo estas transformaciones se desarrollan en casos particulares —como la UNSO— o desde un enfoque comparado entre universidades del sistema.</w:t>
      </w:r>
    </w:p>
    <w:p w14:paraId="1784CC6E" w14:textId="77777777" w:rsidR="008F4B29" w:rsidRPr="00EA09F8" w:rsidRDefault="008F4B29" w:rsidP="008F4B29">
      <w:pPr>
        <w:spacing w:after="0" w:line="240" w:lineRule="auto"/>
        <w:jc w:val="both"/>
        <w:rPr>
          <w:rFonts w:ascii="Times New Roman" w:hAnsi="Times New Roman" w:cs="Times New Roman"/>
        </w:rPr>
      </w:pPr>
      <w:r w:rsidRPr="00EA09F8">
        <w:rPr>
          <w:rFonts w:ascii="Times New Roman" w:eastAsia="Arial" w:hAnsi="Times New Roman" w:cs="Times New Roman"/>
        </w:rPr>
        <w:t>Este último aspecto resulta fundamental, dado que los estudios sociológicos sobre las organizaciones identifican el fenómeno de inercia institucional: ciertas características organizacionales configuradas en un momento inicial tienden a persistir en el tiempo y a limitar las alternativas futuras (Pierson, 2000). En otros términos, un cambio abrupto en el ambiente puede forzar a las organizaciones a realizar adecuaciones en el contenido de sus políticas académicas, pero permanece latente la posibilidad de retornar a la configuración organizacional inmediatamente anterior.</w:t>
      </w:r>
    </w:p>
    <w:p w14:paraId="5CA34883" w14:textId="77777777" w:rsidR="008F4B29" w:rsidRPr="00EA09F8" w:rsidRDefault="008F4B29" w:rsidP="008F4B29">
      <w:pPr>
        <w:spacing w:after="0" w:line="240" w:lineRule="auto"/>
        <w:jc w:val="center"/>
        <w:rPr>
          <w:rFonts w:ascii="Times New Roman" w:hAnsi="Times New Roman" w:cs="Times New Roman"/>
          <w:b/>
          <w:bCs/>
        </w:rPr>
      </w:pPr>
    </w:p>
    <w:p w14:paraId="504DDB8C" w14:textId="77777777" w:rsidR="008F4B29" w:rsidRPr="007B5B5F" w:rsidRDefault="008F4B29" w:rsidP="007B5B5F">
      <w:pPr>
        <w:spacing w:line="240" w:lineRule="auto"/>
        <w:rPr>
          <w:rFonts w:ascii="Times New Roman" w:hAnsi="Times New Roman" w:cs="Times New Roman"/>
          <w:b/>
          <w:bCs/>
        </w:rPr>
      </w:pPr>
    </w:p>
    <w:p w14:paraId="2D823B25" w14:textId="77777777" w:rsidR="008F4B29" w:rsidRPr="0070030E" w:rsidRDefault="008F4B29" w:rsidP="008F4B29">
      <w:pPr>
        <w:pStyle w:val="Ttulo1"/>
        <w:spacing w:after="400"/>
        <w:rPr>
          <w:rFonts w:ascii="Times New Roman" w:hAnsi="Times New Roman" w:cs="Times New Roman"/>
          <w:color w:val="auto"/>
          <w:sz w:val="24"/>
          <w:szCs w:val="24"/>
        </w:rPr>
      </w:pPr>
      <w:r w:rsidRPr="0070030E">
        <w:rPr>
          <w:rFonts w:ascii="Times New Roman" w:eastAsia="Arial" w:hAnsi="Times New Roman" w:cs="Times New Roman"/>
          <w:b/>
          <w:bCs/>
          <w:color w:val="auto"/>
          <w:sz w:val="24"/>
          <w:szCs w:val="24"/>
        </w:rPr>
        <w:t>Referencias bibliográficas</w:t>
      </w:r>
    </w:p>
    <w:p w14:paraId="7823C883" w14:textId="77777777"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t xml:space="preserve">Acuña, C. (2007). </w:t>
      </w:r>
      <w:r w:rsidRPr="0070030E">
        <w:rPr>
          <w:rFonts w:ascii="Times New Roman" w:eastAsia="Arial" w:hAnsi="Times New Roman" w:cs="Times New Roman"/>
          <w:i/>
          <w:iCs/>
        </w:rPr>
        <w:t>La gobernabilidad de los sistemas educativos: Una metodología para su análisis y mejoramiento.</w:t>
      </w:r>
      <w:r w:rsidRPr="0070030E">
        <w:rPr>
          <w:rFonts w:ascii="Times New Roman" w:eastAsia="Arial" w:hAnsi="Times New Roman" w:cs="Times New Roman"/>
        </w:rPr>
        <w:t xml:space="preserve"> Centro de Estudios de las Políticas Públicas.</w:t>
      </w:r>
    </w:p>
    <w:p w14:paraId="6C62677C"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0FD05423" w14:textId="050F81C7"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t xml:space="preserve">Barroso, J. (2005). O Estado, a </w:t>
      </w:r>
      <w:proofErr w:type="spellStart"/>
      <w:r w:rsidRPr="0070030E">
        <w:rPr>
          <w:rFonts w:ascii="Times New Roman" w:eastAsia="Arial" w:hAnsi="Times New Roman" w:cs="Times New Roman"/>
        </w:rPr>
        <w:t>educação</w:t>
      </w:r>
      <w:proofErr w:type="spellEnd"/>
      <w:r w:rsidRPr="0070030E">
        <w:rPr>
          <w:rFonts w:ascii="Times New Roman" w:eastAsia="Arial" w:hAnsi="Times New Roman" w:cs="Times New Roman"/>
        </w:rPr>
        <w:t xml:space="preserve"> e a </w:t>
      </w:r>
      <w:proofErr w:type="spellStart"/>
      <w:r w:rsidRPr="0070030E">
        <w:rPr>
          <w:rFonts w:ascii="Times New Roman" w:eastAsia="Arial" w:hAnsi="Times New Roman" w:cs="Times New Roman"/>
        </w:rPr>
        <w:t>regulação</w:t>
      </w:r>
      <w:proofErr w:type="spellEnd"/>
      <w:r w:rsidRPr="0070030E">
        <w:rPr>
          <w:rFonts w:ascii="Times New Roman" w:eastAsia="Arial" w:hAnsi="Times New Roman" w:cs="Times New Roman"/>
        </w:rPr>
        <w:t xml:space="preserve"> das políticas públicas. </w:t>
      </w:r>
      <w:proofErr w:type="spellStart"/>
      <w:r w:rsidRPr="0070030E">
        <w:rPr>
          <w:rFonts w:ascii="Times New Roman" w:eastAsia="Arial" w:hAnsi="Times New Roman" w:cs="Times New Roman"/>
          <w:i/>
          <w:iCs/>
        </w:rPr>
        <w:t>Educação</w:t>
      </w:r>
      <w:proofErr w:type="spellEnd"/>
      <w:r w:rsidRPr="0070030E">
        <w:rPr>
          <w:rFonts w:ascii="Times New Roman" w:eastAsia="Arial" w:hAnsi="Times New Roman" w:cs="Times New Roman"/>
          <w:i/>
          <w:iCs/>
        </w:rPr>
        <w:t xml:space="preserve"> &amp; </w:t>
      </w:r>
      <w:proofErr w:type="spellStart"/>
      <w:r w:rsidRPr="0070030E">
        <w:rPr>
          <w:rFonts w:ascii="Times New Roman" w:eastAsia="Arial" w:hAnsi="Times New Roman" w:cs="Times New Roman"/>
          <w:i/>
          <w:iCs/>
        </w:rPr>
        <w:t>Sociedade</w:t>
      </w:r>
      <w:proofErr w:type="spellEnd"/>
      <w:r w:rsidRPr="0070030E">
        <w:rPr>
          <w:rFonts w:ascii="Times New Roman" w:eastAsia="Arial" w:hAnsi="Times New Roman" w:cs="Times New Roman"/>
          <w:i/>
          <w:iCs/>
        </w:rPr>
        <w:t>, 26</w:t>
      </w:r>
      <w:r w:rsidRPr="0070030E">
        <w:rPr>
          <w:rFonts w:ascii="Times New Roman" w:eastAsia="Arial" w:hAnsi="Times New Roman" w:cs="Times New Roman"/>
        </w:rPr>
        <w:t xml:space="preserve">(92), 725–751. </w:t>
      </w:r>
      <w:hyperlink r:id="rId7" w:history="1">
        <w:r w:rsidR="000E7DEA" w:rsidRPr="00B74CFA">
          <w:rPr>
            <w:rStyle w:val="Hipervnculo"/>
            <w:rFonts w:ascii="Times New Roman" w:eastAsia="Arial" w:hAnsi="Times New Roman" w:cs="Times New Roman"/>
          </w:rPr>
          <w:t>https://doi.org/10.1590/S0101-73302005000300002</w:t>
        </w:r>
      </w:hyperlink>
    </w:p>
    <w:p w14:paraId="3BE1E11B"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463870A5" w14:textId="77777777" w:rsidR="008F4B29" w:rsidRDefault="008F4B29" w:rsidP="000E7DEA">
      <w:pPr>
        <w:tabs>
          <w:tab w:val="left" w:pos="142"/>
        </w:tabs>
        <w:spacing w:after="0" w:line="240" w:lineRule="auto"/>
        <w:jc w:val="both"/>
        <w:rPr>
          <w:rFonts w:ascii="Times New Roman" w:hAnsi="Times New Roman" w:cs="Times New Roman"/>
        </w:rPr>
      </w:pPr>
      <w:r w:rsidRPr="0096212C">
        <w:rPr>
          <w:rFonts w:ascii="Times New Roman" w:hAnsi="Times New Roman" w:cs="Times New Roman"/>
        </w:rPr>
        <w:t>Barros</w:t>
      </w:r>
      <w:r>
        <w:rPr>
          <w:rFonts w:ascii="Times New Roman" w:hAnsi="Times New Roman" w:cs="Times New Roman"/>
        </w:rPr>
        <w:t>o, J</w:t>
      </w:r>
      <w:r w:rsidRPr="0096212C">
        <w:rPr>
          <w:rFonts w:ascii="Times New Roman" w:hAnsi="Times New Roman" w:cs="Times New Roman"/>
        </w:rPr>
        <w:t xml:space="preserve"> (</w:t>
      </w:r>
      <w:proofErr w:type="spellStart"/>
      <w:r w:rsidRPr="0096212C">
        <w:rPr>
          <w:rFonts w:ascii="Times New Roman" w:hAnsi="Times New Roman" w:cs="Times New Roman"/>
        </w:rPr>
        <w:t>org</w:t>
      </w:r>
      <w:proofErr w:type="spellEnd"/>
      <w:r w:rsidRPr="0096212C">
        <w:rPr>
          <w:rFonts w:ascii="Times New Roman" w:hAnsi="Times New Roman" w:cs="Times New Roman"/>
        </w:rPr>
        <w:t xml:space="preserve">.) (2006). A </w:t>
      </w:r>
      <w:proofErr w:type="spellStart"/>
      <w:r w:rsidRPr="0096212C">
        <w:rPr>
          <w:rFonts w:ascii="Times New Roman" w:hAnsi="Times New Roman" w:cs="Times New Roman"/>
        </w:rPr>
        <w:t>Regulação</w:t>
      </w:r>
      <w:proofErr w:type="spellEnd"/>
      <w:r w:rsidRPr="0096212C">
        <w:rPr>
          <w:rFonts w:ascii="Times New Roman" w:hAnsi="Times New Roman" w:cs="Times New Roman"/>
        </w:rPr>
        <w:t xml:space="preserve"> das Políticas Públicas de </w:t>
      </w:r>
      <w:proofErr w:type="spellStart"/>
      <w:r w:rsidRPr="0096212C">
        <w:rPr>
          <w:rFonts w:ascii="Times New Roman" w:hAnsi="Times New Roman" w:cs="Times New Roman"/>
        </w:rPr>
        <w:t>Educação</w:t>
      </w:r>
      <w:proofErr w:type="spellEnd"/>
      <w:r w:rsidRPr="0096212C">
        <w:rPr>
          <w:rFonts w:ascii="Times New Roman" w:hAnsi="Times New Roman" w:cs="Times New Roman"/>
        </w:rPr>
        <w:t xml:space="preserve">: </w:t>
      </w:r>
      <w:proofErr w:type="spellStart"/>
      <w:r w:rsidRPr="0096212C">
        <w:rPr>
          <w:rFonts w:ascii="Times New Roman" w:hAnsi="Times New Roman" w:cs="Times New Roman"/>
        </w:rPr>
        <w:t>espaços</w:t>
      </w:r>
      <w:proofErr w:type="spellEnd"/>
      <w:r w:rsidRPr="0096212C">
        <w:rPr>
          <w:rFonts w:ascii="Times New Roman" w:hAnsi="Times New Roman" w:cs="Times New Roman"/>
        </w:rPr>
        <w:t xml:space="preserve">, </w:t>
      </w:r>
      <w:proofErr w:type="spellStart"/>
      <w:r w:rsidRPr="0096212C">
        <w:rPr>
          <w:rFonts w:ascii="Times New Roman" w:hAnsi="Times New Roman" w:cs="Times New Roman"/>
        </w:rPr>
        <w:t>dinâmicas</w:t>
      </w:r>
      <w:proofErr w:type="spellEnd"/>
      <w:r w:rsidRPr="0096212C">
        <w:rPr>
          <w:rFonts w:ascii="Times New Roman" w:hAnsi="Times New Roman" w:cs="Times New Roman"/>
        </w:rPr>
        <w:t xml:space="preserve"> e actores. Lisboa: Educa/</w:t>
      </w:r>
      <w:proofErr w:type="spellStart"/>
      <w:r w:rsidRPr="0096212C">
        <w:rPr>
          <w:rFonts w:ascii="Times New Roman" w:hAnsi="Times New Roman" w:cs="Times New Roman"/>
        </w:rPr>
        <w:t>Unidade</w:t>
      </w:r>
      <w:proofErr w:type="spellEnd"/>
      <w:r w:rsidRPr="0096212C">
        <w:rPr>
          <w:rFonts w:ascii="Times New Roman" w:hAnsi="Times New Roman" w:cs="Times New Roman"/>
        </w:rPr>
        <w:t xml:space="preserve"> de I&amp;D de </w:t>
      </w:r>
      <w:proofErr w:type="spellStart"/>
      <w:r w:rsidRPr="0096212C">
        <w:rPr>
          <w:rFonts w:ascii="Times New Roman" w:hAnsi="Times New Roman" w:cs="Times New Roman"/>
        </w:rPr>
        <w:t>Ciências</w:t>
      </w:r>
      <w:proofErr w:type="spellEnd"/>
      <w:r w:rsidRPr="0096212C">
        <w:rPr>
          <w:rFonts w:ascii="Times New Roman" w:hAnsi="Times New Roman" w:cs="Times New Roman"/>
        </w:rPr>
        <w:t xml:space="preserve"> da </w:t>
      </w:r>
      <w:proofErr w:type="spellStart"/>
      <w:r w:rsidRPr="0096212C">
        <w:rPr>
          <w:rFonts w:ascii="Times New Roman" w:hAnsi="Times New Roman" w:cs="Times New Roman"/>
        </w:rPr>
        <w:t>Educação</w:t>
      </w:r>
      <w:proofErr w:type="spellEnd"/>
      <w:r w:rsidRPr="0096212C">
        <w:rPr>
          <w:rFonts w:ascii="Times New Roman" w:hAnsi="Times New Roman" w:cs="Times New Roman"/>
        </w:rPr>
        <w:t>.</w:t>
      </w:r>
    </w:p>
    <w:p w14:paraId="2DEBD369" w14:textId="77777777" w:rsidR="000E7DEA" w:rsidRDefault="000E7DEA" w:rsidP="000E7DEA">
      <w:pPr>
        <w:tabs>
          <w:tab w:val="left" w:pos="142"/>
        </w:tabs>
        <w:spacing w:after="0" w:line="240" w:lineRule="auto"/>
        <w:jc w:val="both"/>
        <w:rPr>
          <w:rFonts w:ascii="Times New Roman" w:hAnsi="Times New Roman" w:cs="Times New Roman"/>
        </w:rPr>
      </w:pPr>
    </w:p>
    <w:p w14:paraId="7E46510A" w14:textId="77777777" w:rsidR="008F4B29" w:rsidRDefault="008F4B29" w:rsidP="000E7DEA">
      <w:pPr>
        <w:tabs>
          <w:tab w:val="left" w:pos="142"/>
        </w:tabs>
        <w:spacing w:after="0" w:line="240" w:lineRule="auto"/>
        <w:jc w:val="both"/>
        <w:rPr>
          <w:rFonts w:ascii="Times New Roman" w:hAnsi="Times New Roman" w:cs="Times New Roman"/>
        </w:rPr>
      </w:pPr>
      <w:r>
        <w:rPr>
          <w:rFonts w:ascii="Times New Roman" w:hAnsi="Times New Roman" w:cs="Times New Roman"/>
        </w:rPr>
        <w:t>B</w:t>
      </w:r>
      <w:r w:rsidRPr="00604D9F">
        <w:rPr>
          <w:rFonts w:ascii="Times New Roman" w:hAnsi="Times New Roman" w:cs="Times New Roman"/>
        </w:rPr>
        <w:t>arroso, J</w:t>
      </w:r>
      <w:r>
        <w:rPr>
          <w:rFonts w:ascii="Times New Roman" w:hAnsi="Times New Roman" w:cs="Times New Roman"/>
        </w:rPr>
        <w:t>.</w:t>
      </w:r>
      <w:r w:rsidRPr="00604D9F">
        <w:rPr>
          <w:rFonts w:ascii="Times New Roman" w:hAnsi="Times New Roman" w:cs="Times New Roman"/>
        </w:rPr>
        <w:t xml:space="preserve"> (2006). A </w:t>
      </w:r>
      <w:proofErr w:type="spellStart"/>
      <w:r w:rsidRPr="00604D9F">
        <w:rPr>
          <w:rFonts w:ascii="Times New Roman" w:hAnsi="Times New Roman" w:cs="Times New Roman"/>
        </w:rPr>
        <w:t>autonomia</w:t>
      </w:r>
      <w:proofErr w:type="spellEnd"/>
      <w:r w:rsidRPr="00604D9F">
        <w:rPr>
          <w:rFonts w:ascii="Times New Roman" w:hAnsi="Times New Roman" w:cs="Times New Roman"/>
        </w:rPr>
        <w:t xml:space="preserve"> das </w:t>
      </w:r>
      <w:proofErr w:type="spellStart"/>
      <w:r w:rsidRPr="00604D9F">
        <w:rPr>
          <w:rFonts w:ascii="Times New Roman" w:hAnsi="Times New Roman" w:cs="Times New Roman"/>
        </w:rPr>
        <w:t>escolas</w:t>
      </w:r>
      <w:proofErr w:type="spellEnd"/>
      <w:r w:rsidRPr="00604D9F">
        <w:rPr>
          <w:rFonts w:ascii="Times New Roman" w:hAnsi="Times New Roman" w:cs="Times New Roman"/>
        </w:rPr>
        <w:t xml:space="preserve">: retórica, instrumento </w:t>
      </w:r>
      <w:proofErr w:type="gramStart"/>
      <w:r w:rsidRPr="00604D9F">
        <w:rPr>
          <w:rFonts w:ascii="Times New Roman" w:hAnsi="Times New Roman" w:cs="Times New Roman"/>
        </w:rPr>
        <w:t>e</w:t>
      </w:r>
      <w:proofErr w:type="gramEnd"/>
      <w:r w:rsidRPr="00604D9F">
        <w:rPr>
          <w:rFonts w:ascii="Times New Roman" w:hAnsi="Times New Roman" w:cs="Times New Roman"/>
        </w:rPr>
        <w:t xml:space="preserve"> modo de </w:t>
      </w:r>
      <w:proofErr w:type="spellStart"/>
      <w:r w:rsidRPr="00604D9F">
        <w:rPr>
          <w:rFonts w:ascii="Times New Roman" w:hAnsi="Times New Roman" w:cs="Times New Roman"/>
        </w:rPr>
        <w:t>regulação</w:t>
      </w:r>
      <w:proofErr w:type="spellEnd"/>
      <w:r w:rsidRPr="00604D9F">
        <w:rPr>
          <w:rFonts w:ascii="Times New Roman" w:hAnsi="Times New Roman" w:cs="Times New Roman"/>
        </w:rPr>
        <w:t xml:space="preserve"> da </w:t>
      </w:r>
      <w:proofErr w:type="spellStart"/>
      <w:r w:rsidRPr="00604D9F">
        <w:rPr>
          <w:rFonts w:ascii="Times New Roman" w:hAnsi="Times New Roman" w:cs="Times New Roman"/>
        </w:rPr>
        <w:t>acção</w:t>
      </w:r>
      <w:proofErr w:type="spellEnd"/>
      <w:r w:rsidRPr="00604D9F">
        <w:rPr>
          <w:rFonts w:ascii="Times New Roman" w:hAnsi="Times New Roman" w:cs="Times New Roman"/>
        </w:rPr>
        <w:t xml:space="preserve"> política. In: AAVV. A </w:t>
      </w:r>
      <w:proofErr w:type="spellStart"/>
      <w:r w:rsidRPr="00604D9F">
        <w:rPr>
          <w:rFonts w:ascii="Times New Roman" w:hAnsi="Times New Roman" w:cs="Times New Roman"/>
        </w:rPr>
        <w:t>autonomia</w:t>
      </w:r>
      <w:proofErr w:type="spellEnd"/>
      <w:r w:rsidRPr="00604D9F">
        <w:rPr>
          <w:rFonts w:ascii="Times New Roman" w:hAnsi="Times New Roman" w:cs="Times New Roman"/>
        </w:rPr>
        <w:t xml:space="preserve"> das </w:t>
      </w:r>
      <w:proofErr w:type="spellStart"/>
      <w:r w:rsidRPr="00604D9F">
        <w:rPr>
          <w:rFonts w:ascii="Times New Roman" w:hAnsi="Times New Roman" w:cs="Times New Roman"/>
        </w:rPr>
        <w:t>escolas</w:t>
      </w:r>
      <w:proofErr w:type="spellEnd"/>
      <w:r w:rsidRPr="00604D9F">
        <w:rPr>
          <w:rFonts w:ascii="Times New Roman" w:hAnsi="Times New Roman" w:cs="Times New Roman"/>
        </w:rPr>
        <w:t xml:space="preserve">. Lisboa: </w:t>
      </w:r>
      <w:proofErr w:type="spellStart"/>
      <w:r w:rsidRPr="00604D9F">
        <w:rPr>
          <w:rFonts w:ascii="Times New Roman" w:hAnsi="Times New Roman" w:cs="Times New Roman"/>
        </w:rPr>
        <w:t>Fundação</w:t>
      </w:r>
      <w:proofErr w:type="spellEnd"/>
      <w:r w:rsidRPr="00604D9F">
        <w:rPr>
          <w:rFonts w:ascii="Times New Roman" w:hAnsi="Times New Roman" w:cs="Times New Roman"/>
        </w:rPr>
        <w:t xml:space="preserve"> Calouste Gulbenkian, pp. 23-48</w:t>
      </w:r>
    </w:p>
    <w:p w14:paraId="44F66B82" w14:textId="77777777" w:rsidR="000E7DEA" w:rsidRPr="00604D9F" w:rsidRDefault="000E7DEA" w:rsidP="000E7DEA">
      <w:pPr>
        <w:tabs>
          <w:tab w:val="left" w:pos="142"/>
        </w:tabs>
        <w:spacing w:after="0" w:line="240" w:lineRule="auto"/>
        <w:jc w:val="both"/>
        <w:rPr>
          <w:rFonts w:ascii="Times New Roman" w:hAnsi="Times New Roman" w:cs="Times New Roman"/>
        </w:rPr>
      </w:pPr>
    </w:p>
    <w:p w14:paraId="6A9FEA6F" w14:textId="003806A3"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t xml:space="preserve">Capano, G. (2011). </w:t>
      </w:r>
      <w:proofErr w:type="spellStart"/>
      <w:r w:rsidRPr="0070030E">
        <w:rPr>
          <w:rFonts w:ascii="Times New Roman" w:eastAsia="Arial" w:hAnsi="Times New Roman" w:cs="Times New Roman"/>
        </w:rPr>
        <w:t>Government</w:t>
      </w:r>
      <w:proofErr w:type="spellEnd"/>
      <w:r w:rsidRPr="0070030E">
        <w:rPr>
          <w:rFonts w:ascii="Times New Roman" w:eastAsia="Arial" w:hAnsi="Times New Roman" w:cs="Times New Roman"/>
        </w:rPr>
        <w:t xml:space="preserve"> continues </w:t>
      </w:r>
      <w:proofErr w:type="spellStart"/>
      <w:r w:rsidRPr="0070030E">
        <w:rPr>
          <w:rFonts w:ascii="Times New Roman" w:eastAsia="Arial" w:hAnsi="Times New Roman" w:cs="Times New Roman"/>
        </w:rPr>
        <w:t>to</w:t>
      </w:r>
      <w:proofErr w:type="spellEnd"/>
      <w:r w:rsidRPr="0070030E">
        <w:rPr>
          <w:rFonts w:ascii="Times New Roman" w:eastAsia="Arial" w:hAnsi="Times New Roman" w:cs="Times New Roman"/>
        </w:rPr>
        <w:t xml:space="preserve"> do </w:t>
      </w:r>
      <w:proofErr w:type="spellStart"/>
      <w:r w:rsidRPr="0070030E">
        <w:rPr>
          <w:rFonts w:ascii="Times New Roman" w:eastAsia="Arial" w:hAnsi="Times New Roman" w:cs="Times New Roman"/>
        </w:rPr>
        <w:t>its</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job</w:t>
      </w:r>
      <w:proofErr w:type="spellEnd"/>
      <w:r w:rsidRPr="0070030E">
        <w:rPr>
          <w:rFonts w:ascii="Times New Roman" w:eastAsia="Arial" w:hAnsi="Times New Roman" w:cs="Times New Roman"/>
        </w:rPr>
        <w:t xml:space="preserve">: A comparative </w:t>
      </w:r>
      <w:proofErr w:type="spellStart"/>
      <w:r w:rsidRPr="0070030E">
        <w:rPr>
          <w:rFonts w:ascii="Times New Roman" w:eastAsia="Arial" w:hAnsi="Times New Roman" w:cs="Times New Roman"/>
        </w:rPr>
        <w:t>study</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of</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governance</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shifts</w:t>
      </w:r>
      <w:proofErr w:type="spellEnd"/>
      <w:r w:rsidRPr="0070030E">
        <w:rPr>
          <w:rFonts w:ascii="Times New Roman" w:eastAsia="Arial" w:hAnsi="Times New Roman" w:cs="Times New Roman"/>
        </w:rPr>
        <w:t xml:space="preserve"> in </w:t>
      </w:r>
      <w:proofErr w:type="spellStart"/>
      <w:r w:rsidRPr="0070030E">
        <w:rPr>
          <w:rFonts w:ascii="Times New Roman" w:eastAsia="Arial" w:hAnsi="Times New Roman" w:cs="Times New Roman"/>
        </w:rPr>
        <w:t>the</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higher</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education</w:t>
      </w:r>
      <w:proofErr w:type="spellEnd"/>
      <w:r w:rsidRPr="0070030E">
        <w:rPr>
          <w:rFonts w:ascii="Times New Roman" w:eastAsia="Arial" w:hAnsi="Times New Roman" w:cs="Times New Roman"/>
        </w:rPr>
        <w:t xml:space="preserve"> sector. </w:t>
      </w:r>
      <w:r w:rsidRPr="0070030E">
        <w:rPr>
          <w:rFonts w:ascii="Times New Roman" w:eastAsia="Arial" w:hAnsi="Times New Roman" w:cs="Times New Roman"/>
          <w:i/>
          <w:iCs/>
        </w:rPr>
        <w:t xml:space="preserve">Public </w:t>
      </w:r>
      <w:proofErr w:type="spellStart"/>
      <w:r w:rsidRPr="0070030E">
        <w:rPr>
          <w:rFonts w:ascii="Times New Roman" w:eastAsia="Arial" w:hAnsi="Times New Roman" w:cs="Times New Roman"/>
          <w:i/>
          <w:iCs/>
        </w:rPr>
        <w:t>Administration</w:t>
      </w:r>
      <w:proofErr w:type="spellEnd"/>
      <w:r w:rsidRPr="0070030E">
        <w:rPr>
          <w:rFonts w:ascii="Times New Roman" w:eastAsia="Arial" w:hAnsi="Times New Roman" w:cs="Times New Roman"/>
          <w:i/>
          <w:iCs/>
        </w:rPr>
        <w:t>, 89</w:t>
      </w:r>
      <w:r w:rsidRPr="0070030E">
        <w:rPr>
          <w:rFonts w:ascii="Times New Roman" w:eastAsia="Arial" w:hAnsi="Times New Roman" w:cs="Times New Roman"/>
        </w:rPr>
        <w:t xml:space="preserve">(4), 1622–1642. </w:t>
      </w:r>
      <w:hyperlink r:id="rId8" w:history="1">
        <w:r w:rsidR="000E7DEA" w:rsidRPr="00B74CFA">
          <w:rPr>
            <w:rStyle w:val="Hipervnculo"/>
            <w:rFonts w:ascii="Times New Roman" w:eastAsia="Arial" w:hAnsi="Times New Roman" w:cs="Times New Roman"/>
          </w:rPr>
          <w:t>https://doi.org/10.1111/j.1467-9299.2011.01955.x</w:t>
        </w:r>
      </w:hyperlink>
    </w:p>
    <w:p w14:paraId="2A8EDA38"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13F1A3A1" w14:textId="77777777"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t xml:space="preserve">Capano, G. y </w:t>
      </w:r>
      <w:proofErr w:type="spellStart"/>
      <w:r w:rsidRPr="0070030E">
        <w:rPr>
          <w:rFonts w:ascii="Times New Roman" w:eastAsia="Arial" w:hAnsi="Times New Roman" w:cs="Times New Roman"/>
        </w:rPr>
        <w:t>Pritoni</w:t>
      </w:r>
      <w:proofErr w:type="spellEnd"/>
      <w:r w:rsidRPr="0070030E">
        <w:rPr>
          <w:rFonts w:ascii="Times New Roman" w:eastAsia="Arial" w:hAnsi="Times New Roman" w:cs="Times New Roman"/>
        </w:rPr>
        <w:t xml:space="preserve">, A. (2018). </w:t>
      </w:r>
      <w:proofErr w:type="spellStart"/>
      <w:r w:rsidRPr="0070030E">
        <w:rPr>
          <w:rFonts w:ascii="Times New Roman" w:eastAsia="Arial" w:hAnsi="Times New Roman" w:cs="Times New Roman"/>
        </w:rPr>
        <w:t>Varieties</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of</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hybrid</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systemic</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governance</w:t>
      </w:r>
      <w:proofErr w:type="spellEnd"/>
      <w:r w:rsidRPr="0070030E">
        <w:rPr>
          <w:rFonts w:ascii="Times New Roman" w:eastAsia="Arial" w:hAnsi="Times New Roman" w:cs="Times New Roman"/>
        </w:rPr>
        <w:t xml:space="preserve"> in </w:t>
      </w:r>
      <w:proofErr w:type="spellStart"/>
      <w:r w:rsidRPr="0070030E">
        <w:rPr>
          <w:rFonts w:ascii="Times New Roman" w:eastAsia="Arial" w:hAnsi="Times New Roman" w:cs="Times New Roman"/>
        </w:rPr>
        <w:t>European</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higher</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education</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i/>
          <w:iCs/>
        </w:rPr>
        <w:t>Higher</w:t>
      </w:r>
      <w:proofErr w:type="spellEnd"/>
      <w:r w:rsidRPr="0070030E">
        <w:rPr>
          <w:rFonts w:ascii="Times New Roman" w:eastAsia="Arial" w:hAnsi="Times New Roman" w:cs="Times New Roman"/>
          <w:i/>
          <w:iCs/>
        </w:rPr>
        <w:t xml:space="preserve"> </w:t>
      </w:r>
      <w:proofErr w:type="spellStart"/>
      <w:r w:rsidRPr="0070030E">
        <w:rPr>
          <w:rFonts w:ascii="Times New Roman" w:eastAsia="Arial" w:hAnsi="Times New Roman" w:cs="Times New Roman"/>
          <w:i/>
          <w:iCs/>
        </w:rPr>
        <w:t>Education</w:t>
      </w:r>
      <w:proofErr w:type="spellEnd"/>
      <w:r w:rsidRPr="0070030E">
        <w:rPr>
          <w:rFonts w:ascii="Times New Roman" w:eastAsia="Arial" w:hAnsi="Times New Roman" w:cs="Times New Roman"/>
          <w:i/>
          <w:iCs/>
        </w:rPr>
        <w:t xml:space="preserve"> </w:t>
      </w:r>
      <w:proofErr w:type="spellStart"/>
      <w:r w:rsidRPr="0070030E">
        <w:rPr>
          <w:rFonts w:ascii="Times New Roman" w:eastAsia="Arial" w:hAnsi="Times New Roman" w:cs="Times New Roman"/>
          <w:i/>
          <w:iCs/>
        </w:rPr>
        <w:t>Quarterly</w:t>
      </w:r>
      <w:proofErr w:type="spellEnd"/>
      <w:r w:rsidRPr="0070030E">
        <w:rPr>
          <w:rFonts w:ascii="Times New Roman" w:eastAsia="Arial" w:hAnsi="Times New Roman" w:cs="Times New Roman"/>
          <w:i/>
          <w:iCs/>
        </w:rPr>
        <w:t>, 73</w:t>
      </w:r>
      <w:r w:rsidRPr="0070030E">
        <w:rPr>
          <w:rFonts w:ascii="Times New Roman" w:eastAsia="Arial" w:hAnsi="Times New Roman" w:cs="Times New Roman"/>
        </w:rPr>
        <w:t xml:space="preserve">(1), 10–27. </w:t>
      </w:r>
      <w:hyperlink r:id="rId9" w:history="1">
        <w:r w:rsidRPr="00B74CFA">
          <w:rPr>
            <w:rStyle w:val="Hipervnculo"/>
            <w:rFonts w:ascii="Times New Roman" w:eastAsia="Arial" w:hAnsi="Times New Roman" w:cs="Times New Roman"/>
          </w:rPr>
          <w:t>https://doi.org/10.1111/hequ.12178</w:t>
        </w:r>
      </w:hyperlink>
    </w:p>
    <w:p w14:paraId="798938F5" w14:textId="77777777" w:rsidR="000E7DEA" w:rsidRDefault="000E7DEA" w:rsidP="000E7DEA">
      <w:pPr>
        <w:tabs>
          <w:tab w:val="left" w:pos="142"/>
        </w:tabs>
        <w:spacing w:after="0" w:line="240" w:lineRule="auto"/>
        <w:jc w:val="both"/>
        <w:rPr>
          <w:rFonts w:ascii="Times New Roman" w:eastAsia="Arial" w:hAnsi="Times New Roman" w:cs="Times New Roman"/>
        </w:rPr>
      </w:pPr>
    </w:p>
    <w:p w14:paraId="381F2244" w14:textId="77777777" w:rsidR="008F4B29" w:rsidRDefault="008F4B29" w:rsidP="000E7DEA">
      <w:pPr>
        <w:tabs>
          <w:tab w:val="left" w:pos="142"/>
        </w:tabs>
        <w:spacing w:after="0" w:line="240" w:lineRule="auto"/>
        <w:jc w:val="both"/>
        <w:rPr>
          <w:rFonts w:ascii="Times New Roman" w:hAnsi="Times New Roman" w:cs="Times New Roman"/>
        </w:rPr>
      </w:pPr>
      <w:r w:rsidRPr="00EA09F8">
        <w:rPr>
          <w:rFonts w:ascii="Times New Roman" w:hAnsi="Times New Roman" w:cs="Times New Roman"/>
        </w:rPr>
        <w:t xml:space="preserve">Capano, G. (2018). Policy </w:t>
      </w:r>
      <w:proofErr w:type="spellStart"/>
      <w:r w:rsidRPr="00EA09F8">
        <w:rPr>
          <w:rFonts w:ascii="Times New Roman" w:hAnsi="Times New Roman" w:cs="Times New Roman"/>
        </w:rPr>
        <w:t>design</w:t>
      </w:r>
      <w:proofErr w:type="spellEnd"/>
      <w:r w:rsidRPr="00EA09F8">
        <w:rPr>
          <w:rFonts w:ascii="Times New Roman" w:hAnsi="Times New Roman" w:cs="Times New Roman"/>
        </w:rPr>
        <w:t xml:space="preserve"> </w:t>
      </w:r>
      <w:proofErr w:type="spellStart"/>
      <w:r w:rsidRPr="00EA09F8">
        <w:rPr>
          <w:rFonts w:ascii="Times New Roman" w:hAnsi="Times New Roman" w:cs="Times New Roman"/>
        </w:rPr>
        <w:t>spaces</w:t>
      </w:r>
      <w:proofErr w:type="spellEnd"/>
      <w:r w:rsidRPr="00EA09F8">
        <w:rPr>
          <w:rFonts w:ascii="Times New Roman" w:hAnsi="Times New Roman" w:cs="Times New Roman"/>
        </w:rPr>
        <w:t xml:space="preserve"> in </w:t>
      </w:r>
      <w:proofErr w:type="spellStart"/>
      <w:r w:rsidRPr="00EA09F8">
        <w:rPr>
          <w:rFonts w:ascii="Times New Roman" w:hAnsi="Times New Roman" w:cs="Times New Roman"/>
        </w:rPr>
        <w:t>reforming</w:t>
      </w:r>
      <w:proofErr w:type="spellEnd"/>
      <w:r w:rsidRPr="00EA09F8">
        <w:rPr>
          <w:rFonts w:ascii="Times New Roman" w:hAnsi="Times New Roman" w:cs="Times New Roman"/>
        </w:rPr>
        <w:t xml:space="preserve"> </w:t>
      </w:r>
      <w:proofErr w:type="spellStart"/>
      <w:r w:rsidRPr="00EA09F8">
        <w:rPr>
          <w:rFonts w:ascii="Times New Roman" w:hAnsi="Times New Roman" w:cs="Times New Roman"/>
        </w:rPr>
        <w:t>governance</w:t>
      </w:r>
      <w:proofErr w:type="spellEnd"/>
      <w:r w:rsidRPr="00EA09F8">
        <w:rPr>
          <w:rFonts w:ascii="Times New Roman" w:hAnsi="Times New Roman" w:cs="Times New Roman"/>
        </w:rPr>
        <w:t xml:space="preserve"> in </w:t>
      </w:r>
      <w:proofErr w:type="spellStart"/>
      <w:r w:rsidRPr="00EA09F8">
        <w:rPr>
          <w:rFonts w:ascii="Times New Roman" w:hAnsi="Times New Roman" w:cs="Times New Roman"/>
        </w:rPr>
        <w:t>higher</w:t>
      </w:r>
      <w:proofErr w:type="spellEnd"/>
      <w:r w:rsidRPr="00EA09F8">
        <w:rPr>
          <w:rFonts w:ascii="Times New Roman" w:hAnsi="Times New Roman" w:cs="Times New Roman"/>
        </w:rPr>
        <w:t xml:space="preserve"> </w:t>
      </w:r>
      <w:proofErr w:type="spellStart"/>
      <w:r w:rsidRPr="00EA09F8">
        <w:rPr>
          <w:rFonts w:ascii="Times New Roman" w:hAnsi="Times New Roman" w:cs="Times New Roman"/>
        </w:rPr>
        <w:t>education</w:t>
      </w:r>
      <w:proofErr w:type="spellEnd"/>
      <w:r w:rsidRPr="00EA09F8">
        <w:rPr>
          <w:rFonts w:ascii="Times New Roman" w:hAnsi="Times New Roman" w:cs="Times New Roman"/>
        </w:rPr>
        <w:t xml:space="preserve">: The </w:t>
      </w:r>
      <w:proofErr w:type="spellStart"/>
      <w:r w:rsidRPr="00EA09F8">
        <w:rPr>
          <w:rFonts w:ascii="Times New Roman" w:hAnsi="Times New Roman" w:cs="Times New Roman"/>
        </w:rPr>
        <w:t>dynamics</w:t>
      </w:r>
      <w:proofErr w:type="spellEnd"/>
      <w:r w:rsidRPr="00EA09F8">
        <w:rPr>
          <w:rFonts w:ascii="Times New Roman" w:hAnsi="Times New Roman" w:cs="Times New Roman"/>
        </w:rPr>
        <w:t xml:space="preserve"> in Italy and </w:t>
      </w:r>
      <w:proofErr w:type="spellStart"/>
      <w:r w:rsidRPr="00EA09F8">
        <w:rPr>
          <w:rFonts w:ascii="Times New Roman" w:hAnsi="Times New Roman" w:cs="Times New Roman"/>
        </w:rPr>
        <w:t>the</w:t>
      </w:r>
      <w:proofErr w:type="spellEnd"/>
      <w:r w:rsidRPr="00EA09F8">
        <w:rPr>
          <w:rFonts w:ascii="Times New Roman" w:hAnsi="Times New Roman" w:cs="Times New Roman"/>
        </w:rPr>
        <w:t xml:space="preserve"> </w:t>
      </w:r>
      <w:proofErr w:type="spellStart"/>
      <w:r w:rsidRPr="00EA09F8">
        <w:rPr>
          <w:rFonts w:ascii="Times New Roman" w:hAnsi="Times New Roman" w:cs="Times New Roman"/>
        </w:rPr>
        <w:t>Netherlands</w:t>
      </w:r>
      <w:proofErr w:type="spellEnd"/>
      <w:r w:rsidRPr="00EA09F8">
        <w:rPr>
          <w:rFonts w:ascii="Times New Roman" w:hAnsi="Times New Roman" w:cs="Times New Roman"/>
        </w:rPr>
        <w:t xml:space="preserve">. En A. Curaj, L. </w:t>
      </w:r>
      <w:proofErr w:type="spellStart"/>
      <w:r w:rsidRPr="00EA09F8">
        <w:rPr>
          <w:rFonts w:ascii="Times New Roman" w:hAnsi="Times New Roman" w:cs="Times New Roman"/>
        </w:rPr>
        <w:t>Deca</w:t>
      </w:r>
      <w:proofErr w:type="spellEnd"/>
      <w:r w:rsidRPr="00EA09F8">
        <w:rPr>
          <w:rFonts w:ascii="Times New Roman" w:hAnsi="Times New Roman" w:cs="Times New Roman"/>
        </w:rPr>
        <w:t xml:space="preserve"> y R. </w:t>
      </w:r>
      <w:proofErr w:type="spellStart"/>
      <w:r w:rsidRPr="00EA09F8">
        <w:rPr>
          <w:rFonts w:ascii="Times New Roman" w:hAnsi="Times New Roman" w:cs="Times New Roman"/>
        </w:rPr>
        <w:t>Pricopie</w:t>
      </w:r>
      <w:proofErr w:type="spellEnd"/>
      <w:r w:rsidRPr="00EA09F8">
        <w:rPr>
          <w:rFonts w:ascii="Times New Roman" w:hAnsi="Times New Roman" w:cs="Times New Roman"/>
        </w:rPr>
        <w:t xml:space="preserve"> (Eds.), </w:t>
      </w:r>
      <w:proofErr w:type="spellStart"/>
      <w:r w:rsidRPr="00EA09F8">
        <w:rPr>
          <w:rFonts w:ascii="Times New Roman" w:hAnsi="Times New Roman" w:cs="Times New Roman"/>
          <w:i/>
          <w:iCs/>
        </w:rPr>
        <w:t>European</w:t>
      </w:r>
      <w:proofErr w:type="spellEnd"/>
      <w:r w:rsidRPr="00EA09F8">
        <w:rPr>
          <w:rFonts w:ascii="Times New Roman" w:hAnsi="Times New Roman" w:cs="Times New Roman"/>
          <w:i/>
          <w:iCs/>
        </w:rPr>
        <w:t xml:space="preserve"> </w:t>
      </w:r>
      <w:proofErr w:type="spellStart"/>
      <w:r w:rsidRPr="00EA09F8">
        <w:rPr>
          <w:rFonts w:ascii="Times New Roman" w:hAnsi="Times New Roman" w:cs="Times New Roman"/>
          <w:i/>
          <w:iCs/>
        </w:rPr>
        <w:t>Higher</w:t>
      </w:r>
      <w:proofErr w:type="spellEnd"/>
      <w:r w:rsidRPr="00EA09F8">
        <w:rPr>
          <w:rFonts w:ascii="Times New Roman" w:hAnsi="Times New Roman" w:cs="Times New Roman"/>
          <w:i/>
          <w:iCs/>
        </w:rPr>
        <w:t xml:space="preserve"> </w:t>
      </w:r>
      <w:proofErr w:type="spellStart"/>
      <w:r w:rsidRPr="00EA09F8">
        <w:rPr>
          <w:rFonts w:ascii="Times New Roman" w:hAnsi="Times New Roman" w:cs="Times New Roman"/>
          <w:i/>
          <w:iCs/>
        </w:rPr>
        <w:t>Education</w:t>
      </w:r>
      <w:proofErr w:type="spellEnd"/>
      <w:r w:rsidRPr="00EA09F8">
        <w:rPr>
          <w:rFonts w:ascii="Times New Roman" w:hAnsi="Times New Roman" w:cs="Times New Roman"/>
          <w:i/>
          <w:iCs/>
        </w:rPr>
        <w:t xml:space="preserve"> Area: The </w:t>
      </w:r>
      <w:proofErr w:type="spellStart"/>
      <w:r w:rsidRPr="00EA09F8">
        <w:rPr>
          <w:rFonts w:ascii="Times New Roman" w:hAnsi="Times New Roman" w:cs="Times New Roman"/>
          <w:i/>
          <w:iCs/>
        </w:rPr>
        <w:t>impact</w:t>
      </w:r>
      <w:proofErr w:type="spellEnd"/>
      <w:r w:rsidRPr="00EA09F8">
        <w:rPr>
          <w:rFonts w:ascii="Times New Roman" w:hAnsi="Times New Roman" w:cs="Times New Roman"/>
          <w:i/>
          <w:iCs/>
        </w:rPr>
        <w:t xml:space="preserve"> </w:t>
      </w:r>
      <w:proofErr w:type="spellStart"/>
      <w:r w:rsidRPr="00EA09F8">
        <w:rPr>
          <w:rFonts w:ascii="Times New Roman" w:hAnsi="Times New Roman" w:cs="Times New Roman"/>
          <w:i/>
          <w:iCs/>
        </w:rPr>
        <w:t>of</w:t>
      </w:r>
      <w:proofErr w:type="spellEnd"/>
      <w:r w:rsidRPr="00EA09F8">
        <w:rPr>
          <w:rFonts w:ascii="Times New Roman" w:hAnsi="Times New Roman" w:cs="Times New Roman"/>
          <w:i/>
          <w:iCs/>
        </w:rPr>
        <w:t xml:space="preserve"> </w:t>
      </w:r>
      <w:proofErr w:type="spellStart"/>
      <w:r w:rsidRPr="00EA09F8">
        <w:rPr>
          <w:rFonts w:ascii="Times New Roman" w:hAnsi="Times New Roman" w:cs="Times New Roman"/>
          <w:i/>
          <w:iCs/>
        </w:rPr>
        <w:t>past</w:t>
      </w:r>
      <w:proofErr w:type="spellEnd"/>
      <w:r w:rsidRPr="00EA09F8">
        <w:rPr>
          <w:rFonts w:ascii="Times New Roman" w:hAnsi="Times New Roman" w:cs="Times New Roman"/>
          <w:i/>
          <w:iCs/>
        </w:rPr>
        <w:t xml:space="preserve"> and future </w:t>
      </w:r>
      <w:proofErr w:type="spellStart"/>
      <w:r w:rsidRPr="00EA09F8">
        <w:rPr>
          <w:rFonts w:ascii="Times New Roman" w:hAnsi="Times New Roman" w:cs="Times New Roman"/>
          <w:i/>
          <w:iCs/>
        </w:rPr>
        <w:t>policies</w:t>
      </w:r>
      <w:proofErr w:type="spellEnd"/>
      <w:r w:rsidRPr="00EA09F8">
        <w:rPr>
          <w:rFonts w:ascii="Times New Roman" w:hAnsi="Times New Roman" w:cs="Times New Roman"/>
        </w:rPr>
        <w:t xml:space="preserve"> (pp. 573–592). Springer. doi.org</w:t>
      </w:r>
    </w:p>
    <w:p w14:paraId="5F802024"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1D726F2F" w14:textId="6BC5FF51" w:rsidR="008F4B29" w:rsidRDefault="008F4B29" w:rsidP="000E7DEA">
      <w:pPr>
        <w:tabs>
          <w:tab w:val="left" w:pos="142"/>
        </w:tabs>
        <w:spacing w:after="0" w:line="240" w:lineRule="auto"/>
        <w:rPr>
          <w:rFonts w:ascii="Times New Roman" w:eastAsia="Arial" w:hAnsi="Times New Roman" w:cs="Times New Roman"/>
        </w:rPr>
      </w:pPr>
      <w:r w:rsidRPr="0070030E">
        <w:rPr>
          <w:rFonts w:ascii="Times New Roman" w:eastAsia="Arial" w:hAnsi="Times New Roman" w:cs="Times New Roman"/>
        </w:rPr>
        <w:t xml:space="preserve">Consejo Interuniversitario Nacional. (2021). </w:t>
      </w:r>
      <w:r w:rsidRPr="0070030E">
        <w:rPr>
          <w:rFonts w:ascii="Times New Roman" w:eastAsia="Arial" w:hAnsi="Times New Roman" w:cs="Times New Roman"/>
          <w:i/>
          <w:iCs/>
        </w:rPr>
        <w:t>La universidad argentina: Hacia el desarrollo económico y el progreso social.</w:t>
      </w:r>
      <w:r w:rsidRPr="0070030E">
        <w:rPr>
          <w:rFonts w:ascii="Times New Roman" w:eastAsia="Arial" w:hAnsi="Times New Roman" w:cs="Times New Roman"/>
        </w:rPr>
        <w:t xml:space="preserve"> CIN. </w:t>
      </w:r>
      <w:hyperlink r:id="rId10" w:history="1">
        <w:r w:rsidR="000E7DEA" w:rsidRPr="00B74CFA">
          <w:rPr>
            <w:rStyle w:val="Hipervnculo"/>
            <w:rFonts w:ascii="Times New Roman" w:eastAsia="Arial" w:hAnsi="Times New Roman" w:cs="Times New Roman"/>
          </w:rPr>
          <w:t>https://www.cin.edu.ar/download/universidades-argentinas-del-2030/</w:t>
        </w:r>
      </w:hyperlink>
    </w:p>
    <w:p w14:paraId="1BF82F9F"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4A2027CE" w14:textId="6BE47F8F" w:rsidR="008F4B29" w:rsidRDefault="008F4B29" w:rsidP="000E7DEA">
      <w:pPr>
        <w:tabs>
          <w:tab w:val="left" w:pos="142"/>
        </w:tabs>
        <w:spacing w:after="0" w:line="240" w:lineRule="auto"/>
        <w:rPr>
          <w:rFonts w:ascii="Times New Roman" w:eastAsia="Arial" w:hAnsi="Times New Roman" w:cs="Times New Roman"/>
        </w:rPr>
      </w:pPr>
      <w:r w:rsidRPr="0070030E">
        <w:rPr>
          <w:rFonts w:ascii="Times New Roman" w:eastAsia="Arial" w:hAnsi="Times New Roman" w:cs="Times New Roman"/>
        </w:rPr>
        <w:t xml:space="preserve">Consejo Interuniversitario Nacional. (2022). </w:t>
      </w:r>
      <w:r w:rsidRPr="0070030E">
        <w:rPr>
          <w:rFonts w:ascii="Times New Roman" w:eastAsia="Arial" w:hAnsi="Times New Roman" w:cs="Times New Roman"/>
          <w:i/>
          <w:iCs/>
        </w:rPr>
        <w:t>Resolución CE 1667/22. Lineamientos de políticas universitarias a futuro.</w:t>
      </w:r>
      <w:r w:rsidRPr="0070030E">
        <w:rPr>
          <w:rFonts w:ascii="Times New Roman" w:eastAsia="Arial" w:hAnsi="Times New Roman" w:cs="Times New Roman"/>
        </w:rPr>
        <w:t xml:space="preserve"> CIN. </w:t>
      </w:r>
      <w:hyperlink r:id="rId11" w:history="1">
        <w:r w:rsidR="000E7DEA" w:rsidRPr="00B74CFA">
          <w:rPr>
            <w:rStyle w:val="Hipervnculo"/>
            <w:rFonts w:ascii="Times New Roman" w:eastAsia="Arial" w:hAnsi="Times New Roman" w:cs="Times New Roman"/>
          </w:rPr>
          <w:t>http://acreditacion.unsl.edu.ar/wpcontent/uploads/documentos%20de%20interes/cin/Resol%20CE%20N_%201667-22.pdf</w:t>
        </w:r>
      </w:hyperlink>
    </w:p>
    <w:p w14:paraId="134AE000"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4EA3D97C" w14:textId="2D40D466"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t xml:space="preserve">Consejo Interuniversitario Nacional. (2023a). </w:t>
      </w:r>
      <w:r w:rsidRPr="0070030E">
        <w:rPr>
          <w:rFonts w:ascii="Times New Roman" w:eastAsia="Arial" w:hAnsi="Times New Roman" w:cs="Times New Roman"/>
          <w:i/>
          <w:iCs/>
        </w:rPr>
        <w:t>Acuerdo Plenario 1198/23. Lineamientos de políticas universitarias a futuro.</w:t>
      </w:r>
      <w:r w:rsidRPr="0070030E">
        <w:rPr>
          <w:rFonts w:ascii="Times New Roman" w:eastAsia="Arial" w:hAnsi="Times New Roman" w:cs="Times New Roman"/>
        </w:rPr>
        <w:t xml:space="preserve"> CIN. </w:t>
      </w:r>
      <w:hyperlink r:id="rId12" w:history="1">
        <w:r w:rsidR="000E7DEA" w:rsidRPr="00B74CFA">
          <w:rPr>
            <w:rStyle w:val="Hipervnculo"/>
            <w:rFonts w:ascii="Times New Roman" w:eastAsia="Arial" w:hAnsi="Times New Roman" w:cs="Times New Roman"/>
          </w:rPr>
          <w:t>https://www.cin.edu.ar/archivo.php</w:t>
        </w:r>
      </w:hyperlink>
    </w:p>
    <w:p w14:paraId="66B25301"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7EDB471B" w14:textId="081C9E60"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lastRenderedPageBreak/>
        <w:t xml:space="preserve">Consejo Interuniversitario Nacional. (2023b). </w:t>
      </w:r>
      <w:r w:rsidRPr="0070030E">
        <w:rPr>
          <w:rFonts w:ascii="Times New Roman" w:eastAsia="Arial" w:hAnsi="Times New Roman" w:cs="Times New Roman"/>
          <w:i/>
          <w:iCs/>
        </w:rPr>
        <w:t>Resolución CE 1752/23. Aportes para pensar la distancia entre la duración teórica y real de las carreras y el reconocimiento de trayectorias formativas.</w:t>
      </w:r>
      <w:r w:rsidRPr="0070030E">
        <w:rPr>
          <w:rFonts w:ascii="Times New Roman" w:eastAsia="Arial" w:hAnsi="Times New Roman" w:cs="Times New Roman"/>
        </w:rPr>
        <w:t xml:space="preserve"> CIN. </w:t>
      </w:r>
      <w:hyperlink r:id="rId13" w:history="1">
        <w:r w:rsidR="000E7DEA" w:rsidRPr="00B74CFA">
          <w:rPr>
            <w:rStyle w:val="Hipervnculo"/>
            <w:rFonts w:ascii="Times New Roman" w:eastAsia="Arial" w:hAnsi="Times New Roman" w:cs="Times New Roman"/>
          </w:rPr>
          <w:t>https://www.cin.edu.ar/archivo.php</w:t>
        </w:r>
      </w:hyperlink>
    </w:p>
    <w:p w14:paraId="3BA01889"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3D43C793" w14:textId="5F0279D5"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t xml:space="preserve">González-Ledesma, M. A. (2014). Nuevas modalidades de gobernanza de los sistemas de educación superior en América Latina: los casos de Chile, Argentina y México. </w:t>
      </w:r>
      <w:r w:rsidRPr="0070030E">
        <w:rPr>
          <w:rFonts w:ascii="Times New Roman" w:eastAsia="Arial" w:hAnsi="Times New Roman" w:cs="Times New Roman"/>
          <w:i/>
          <w:iCs/>
        </w:rPr>
        <w:t xml:space="preserve">[Working </w:t>
      </w:r>
      <w:proofErr w:type="spellStart"/>
      <w:r w:rsidRPr="0070030E">
        <w:rPr>
          <w:rFonts w:ascii="Times New Roman" w:eastAsia="Arial" w:hAnsi="Times New Roman" w:cs="Times New Roman"/>
          <w:i/>
          <w:iCs/>
        </w:rPr>
        <w:t>paper</w:t>
      </w:r>
      <w:proofErr w:type="spellEnd"/>
      <w:r w:rsidRPr="0070030E">
        <w:rPr>
          <w:rFonts w:ascii="Times New Roman" w:eastAsia="Arial" w:hAnsi="Times New Roman" w:cs="Times New Roman"/>
          <w:i/>
          <w:iCs/>
        </w:rPr>
        <w:t>].</w:t>
      </w:r>
      <w:r w:rsidRPr="0070030E">
        <w:rPr>
          <w:rFonts w:ascii="Times New Roman" w:eastAsia="Arial" w:hAnsi="Times New Roman" w:cs="Times New Roman"/>
        </w:rPr>
        <w:t xml:space="preserve"> </w:t>
      </w:r>
      <w:hyperlink r:id="rId14" w:history="1">
        <w:r w:rsidR="000E7DEA" w:rsidRPr="00B74CFA">
          <w:rPr>
            <w:rStyle w:val="Hipervnculo"/>
            <w:rFonts w:ascii="Times New Roman" w:eastAsia="Arial" w:hAnsi="Times New Roman" w:cs="Times New Roman"/>
          </w:rPr>
          <w:t>https://scuola.academia.edu/MiguelGonz%C3%A1lez</w:t>
        </w:r>
      </w:hyperlink>
    </w:p>
    <w:p w14:paraId="5520265A"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6C4C3A7A" w14:textId="7286B3CD"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t xml:space="preserve">Gornitzka, Å. y Maassen, P. (2000). </w:t>
      </w:r>
      <w:proofErr w:type="spellStart"/>
      <w:r w:rsidRPr="0070030E">
        <w:rPr>
          <w:rFonts w:ascii="Times New Roman" w:eastAsia="Arial" w:hAnsi="Times New Roman" w:cs="Times New Roman"/>
        </w:rPr>
        <w:t>Hybrid</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steering</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approaches</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with</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respect</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to</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European</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higher</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education</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i/>
          <w:iCs/>
        </w:rPr>
        <w:t>Higher</w:t>
      </w:r>
      <w:proofErr w:type="spellEnd"/>
      <w:r w:rsidRPr="0070030E">
        <w:rPr>
          <w:rFonts w:ascii="Times New Roman" w:eastAsia="Arial" w:hAnsi="Times New Roman" w:cs="Times New Roman"/>
          <w:i/>
          <w:iCs/>
        </w:rPr>
        <w:t xml:space="preserve"> </w:t>
      </w:r>
      <w:proofErr w:type="spellStart"/>
      <w:r w:rsidRPr="0070030E">
        <w:rPr>
          <w:rFonts w:ascii="Times New Roman" w:eastAsia="Arial" w:hAnsi="Times New Roman" w:cs="Times New Roman"/>
          <w:i/>
          <w:iCs/>
        </w:rPr>
        <w:t>Education</w:t>
      </w:r>
      <w:proofErr w:type="spellEnd"/>
      <w:r w:rsidRPr="0070030E">
        <w:rPr>
          <w:rFonts w:ascii="Times New Roman" w:eastAsia="Arial" w:hAnsi="Times New Roman" w:cs="Times New Roman"/>
          <w:i/>
          <w:iCs/>
        </w:rPr>
        <w:t xml:space="preserve"> Policy, 13</w:t>
      </w:r>
      <w:r w:rsidRPr="0070030E">
        <w:rPr>
          <w:rFonts w:ascii="Times New Roman" w:eastAsia="Arial" w:hAnsi="Times New Roman" w:cs="Times New Roman"/>
        </w:rPr>
        <w:t xml:space="preserve">(3), 267–285. </w:t>
      </w:r>
      <w:hyperlink r:id="rId15" w:history="1">
        <w:r w:rsidR="000E7DEA" w:rsidRPr="00B74CFA">
          <w:rPr>
            <w:rStyle w:val="Hipervnculo"/>
            <w:rFonts w:ascii="Times New Roman" w:eastAsia="Arial" w:hAnsi="Times New Roman" w:cs="Times New Roman"/>
          </w:rPr>
          <w:t>https://doi.org/10.1016/S0952-8733(00)00010-6</w:t>
        </w:r>
      </w:hyperlink>
    </w:p>
    <w:p w14:paraId="71764067"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436C3FA0" w14:textId="77777777"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t xml:space="preserve">Haberfeld, L., Marquina, M., y Morresi, S. (2020). </w:t>
      </w:r>
      <w:r w:rsidRPr="0070030E">
        <w:rPr>
          <w:rFonts w:ascii="Times New Roman" w:eastAsia="Arial" w:hAnsi="Times New Roman" w:cs="Times New Roman"/>
          <w:i/>
          <w:iCs/>
        </w:rPr>
        <w:t>El sistema universitario argentino.</w:t>
      </w:r>
      <w:r w:rsidRPr="0070030E">
        <w:rPr>
          <w:rFonts w:ascii="Times New Roman" w:eastAsia="Arial" w:hAnsi="Times New Roman" w:cs="Times New Roman"/>
        </w:rPr>
        <w:t xml:space="preserve"> Fundación CECE.</w:t>
      </w:r>
    </w:p>
    <w:p w14:paraId="688BFB94"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2AD1A6C8" w14:textId="14F14272"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t xml:space="preserve">Jungblut, J. y Vukasovic, M. (2013). And </w:t>
      </w:r>
      <w:proofErr w:type="spellStart"/>
      <w:r w:rsidRPr="0070030E">
        <w:rPr>
          <w:rFonts w:ascii="Times New Roman" w:eastAsia="Arial" w:hAnsi="Times New Roman" w:cs="Times New Roman"/>
        </w:rPr>
        <w:t>now</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for</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something</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completely</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different</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Re-examining</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hybrid</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steering</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approaches</w:t>
      </w:r>
      <w:proofErr w:type="spellEnd"/>
      <w:r w:rsidRPr="0070030E">
        <w:rPr>
          <w:rFonts w:ascii="Times New Roman" w:eastAsia="Arial" w:hAnsi="Times New Roman" w:cs="Times New Roman"/>
        </w:rPr>
        <w:t xml:space="preserve"> in </w:t>
      </w:r>
      <w:proofErr w:type="spellStart"/>
      <w:r w:rsidRPr="0070030E">
        <w:rPr>
          <w:rFonts w:ascii="Times New Roman" w:eastAsia="Arial" w:hAnsi="Times New Roman" w:cs="Times New Roman"/>
        </w:rPr>
        <w:t>higher</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education</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i/>
          <w:iCs/>
        </w:rPr>
        <w:t>Higher</w:t>
      </w:r>
      <w:proofErr w:type="spellEnd"/>
      <w:r w:rsidRPr="0070030E">
        <w:rPr>
          <w:rFonts w:ascii="Times New Roman" w:eastAsia="Arial" w:hAnsi="Times New Roman" w:cs="Times New Roman"/>
          <w:i/>
          <w:iCs/>
        </w:rPr>
        <w:t xml:space="preserve"> </w:t>
      </w:r>
      <w:proofErr w:type="spellStart"/>
      <w:r w:rsidRPr="0070030E">
        <w:rPr>
          <w:rFonts w:ascii="Times New Roman" w:eastAsia="Arial" w:hAnsi="Times New Roman" w:cs="Times New Roman"/>
          <w:i/>
          <w:iCs/>
        </w:rPr>
        <w:t>Education</w:t>
      </w:r>
      <w:proofErr w:type="spellEnd"/>
      <w:r w:rsidRPr="0070030E">
        <w:rPr>
          <w:rFonts w:ascii="Times New Roman" w:eastAsia="Arial" w:hAnsi="Times New Roman" w:cs="Times New Roman"/>
          <w:i/>
          <w:iCs/>
        </w:rPr>
        <w:t xml:space="preserve"> Policy, 26</w:t>
      </w:r>
      <w:r w:rsidRPr="0070030E">
        <w:rPr>
          <w:rFonts w:ascii="Times New Roman" w:eastAsia="Arial" w:hAnsi="Times New Roman" w:cs="Times New Roman"/>
        </w:rPr>
        <w:t xml:space="preserve">(4), 447–461. </w:t>
      </w:r>
      <w:hyperlink r:id="rId16" w:history="1">
        <w:r w:rsidR="000E7DEA" w:rsidRPr="00B74CFA">
          <w:rPr>
            <w:rStyle w:val="Hipervnculo"/>
            <w:rFonts w:ascii="Times New Roman" w:eastAsia="Arial" w:hAnsi="Times New Roman" w:cs="Times New Roman"/>
          </w:rPr>
          <w:t>https://doi.org/10.1057/hep.2013.16</w:t>
        </w:r>
      </w:hyperlink>
    </w:p>
    <w:p w14:paraId="617FB78B"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47F80F56" w14:textId="77777777" w:rsidR="008F4B29" w:rsidRDefault="008F4B29" w:rsidP="000E7DEA">
      <w:pPr>
        <w:tabs>
          <w:tab w:val="left" w:pos="142"/>
        </w:tabs>
        <w:spacing w:after="0" w:line="240" w:lineRule="auto"/>
        <w:jc w:val="both"/>
        <w:rPr>
          <w:rFonts w:ascii="Times New Roman" w:hAnsi="Times New Roman" w:cs="Times New Roman"/>
        </w:rPr>
      </w:pPr>
      <w:hyperlink r:id="rId17" w:history="1">
        <w:r w:rsidRPr="00BC50B4">
          <w:rPr>
            <w:rStyle w:val="Hipervnculo"/>
            <w:rFonts w:ascii="Times New Roman" w:hAnsi="Times New Roman" w:cs="Times New Roman"/>
            <w:color w:val="auto"/>
            <w:u w:val="none"/>
          </w:rPr>
          <w:t>Kehm, B.M.</w:t>
        </w:r>
      </w:hyperlink>
      <w:r w:rsidRPr="00BC50B4">
        <w:rPr>
          <w:rFonts w:ascii="Times New Roman" w:hAnsi="Times New Roman" w:cs="Times New Roman"/>
        </w:rPr>
        <w:t xml:space="preserve"> (2012) Gobernanza: </w:t>
      </w:r>
      <w:proofErr w:type="gramStart"/>
      <w:r w:rsidRPr="00BC50B4">
        <w:rPr>
          <w:rFonts w:ascii="Times New Roman" w:hAnsi="Times New Roman" w:cs="Times New Roman"/>
        </w:rPr>
        <w:t>qué es?</w:t>
      </w:r>
      <w:proofErr w:type="gramEnd"/>
      <w:r w:rsidRPr="00BC50B4">
        <w:rPr>
          <w:rFonts w:ascii="Times New Roman" w:hAnsi="Times New Roman" w:cs="Times New Roman"/>
        </w:rPr>
        <w:t xml:space="preserve"> </w:t>
      </w:r>
      <w:proofErr w:type="gramStart"/>
      <w:r w:rsidRPr="00BC50B4">
        <w:rPr>
          <w:rFonts w:ascii="Times New Roman" w:hAnsi="Times New Roman" w:cs="Times New Roman"/>
        </w:rPr>
        <w:t>Es importante?</w:t>
      </w:r>
      <w:proofErr w:type="gramEnd"/>
      <w:r w:rsidRPr="00BC50B4">
        <w:rPr>
          <w:rFonts w:ascii="Times New Roman" w:hAnsi="Times New Roman" w:cs="Times New Roman"/>
        </w:rPr>
        <w:t xml:space="preserve"> In: Kehm, B.M. (ed.) </w:t>
      </w:r>
      <w:r w:rsidRPr="00BC50B4">
        <w:rPr>
          <w:rFonts w:ascii="Times New Roman" w:hAnsi="Times New Roman" w:cs="Times New Roman"/>
          <w:i/>
          <w:iCs/>
        </w:rPr>
        <w:t>La Nueva Gobernanza de Los Sistemas Universitarios.</w:t>
      </w:r>
      <w:r w:rsidRPr="00BC50B4">
        <w:rPr>
          <w:rFonts w:ascii="Times New Roman" w:hAnsi="Times New Roman" w:cs="Times New Roman"/>
        </w:rPr>
        <w:t> Series: Educación universitaria. Octaedro: Barcelona, pp. 19-48.</w:t>
      </w:r>
    </w:p>
    <w:p w14:paraId="7E5D8897"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1271376D" w14:textId="77777777"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t xml:space="preserve">Levy, D. (1993). El gobierno de los sistemas de educación superior. </w:t>
      </w:r>
      <w:r w:rsidRPr="0070030E">
        <w:rPr>
          <w:rFonts w:ascii="Times New Roman" w:eastAsia="Arial" w:hAnsi="Times New Roman" w:cs="Times New Roman"/>
          <w:i/>
          <w:iCs/>
        </w:rPr>
        <w:t>Pensamiento Universitario, 1</w:t>
      </w:r>
      <w:r w:rsidRPr="0070030E">
        <w:rPr>
          <w:rFonts w:ascii="Times New Roman" w:eastAsia="Arial" w:hAnsi="Times New Roman" w:cs="Times New Roman"/>
        </w:rPr>
        <w:t>(1), 3–20.</w:t>
      </w:r>
    </w:p>
    <w:p w14:paraId="7EA16C0D"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1C681AA1" w14:textId="77777777" w:rsidR="008F4B29" w:rsidRDefault="008F4B29" w:rsidP="000E7DEA">
      <w:pPr>
        <w:tabs>
          <w:tab w:val="left" w:pos="142"/>
        </w:tabs>
        <w:spacing w:after="0" w:line="240" w:lineRule="auto"/>
        <w:jc w:val="both"/>
        <w:rPr>
          <w:rFonts w:ascii="Times New Roman" w:eastAsia="Arial" w:hAnsi="Times New Roman" w:cs="Times New Roman"/>
        </w:rPr>
      </w:pPr>
      <w:proofErr w:type="spellStart"/>
      <w:r w:rsidRPr="0070030E">
        <w:rPr>
          <w:rFonts w:ascii="Times New Roman" w:eastAsia="Arial" w:hAnsi="Times New Roman" w:cs="Times New Roman"/>
        </w:rPr>
        <w:t>Maroy</w:t>
      </w:r>
      <w:proofErr w:type="spellEnd"/>
      <w:r w:rsidRPr="0070030E">
        <w:rPr>
          <w:rFonts w:ascii="Times New Roman" w:eastAsia="Arial" w:hAnsi="Times New Roman" w:cs="Times New Roman"/>
        </w:rPr>
        <w:t xml:space="preserve">, C. y </w:t>
      </w:r>
      <w:proofErr w:type="spellStart"/>
      <w:r w:rsidRPr="0070030E">
        <w:rPr>
          <w:rFonts w:ascii="Times New Roman" w:eastAsia="Arial" w:hAnsi="Times New Roman" w:cs="Times New Roman"/>
        </w:rPr>
        <w:t>Dupriez</w:t>
      </w:r>
      <w:proofErr w:type="spellEnd"/>
      <w:r w:rsidRPr="0070030E">
        <w:rPr>
          <w:rFonts w:ascii="Times New Roman" w:eastAsia="Arial" w:hAnsi="Times New Roman" w:cs="Times New Roman"/>
        </w:rPr>
        <w:t xml:space="preserve">, V. (2000). La </w:t>
      </w:r>
      <w:proofErr w:type="spellStart"/>
      <w:r w:rsidRPr="0070030E">
        <w:rPr>
          <w:rFonts w:ascii="Times New Roman" w:eastAsia="Arial" w:hAnsi="Times New Roman" w:cs="Times New Roman"/>
        </w:rPr>
        <w:t>régulation</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dans</w:t>
      </w:r>
      <w:proofErr w:type="spellEnd"/>
      <w:r w:rsidRPr="0070030E">
        <w:rPr>
          <w:rFonts w:ascii="Times New Roman" w:eastAsia="Arial" w:hAnsi="Times New Roman" w:cs="Times New Roman"/>
        </w:rPr>
        <w:t xml:space="preserve"> les </w:t>
      </w:r>
      <w:proofErr w:type="spellStart"/>
      <w:r w:rsidRPr="0070030E">
        <w:rPr>
          <w:rFonts w:ascii="Times New Roman" w:eastAsia="Arial" w:hAnsi="Times New Roman" w:cs="Times New Roman"/>
        </w:rPr>
        <w:t>systèmes</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scolaires</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proposition</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théorique</w:t>
      </w:r>
      <w:proofErr w:type="spellEnd"/>
      <w:r w:rsidRPr="0070030E">
        <w:rPr>
          <w:rFonts w:ascii="Times New Roman" w:eastAsia="Arial" w:hAnsi="Times New Roman" w:cs="Times New Roman"/>
        </w:rPr>
        <w:t xml:space="preserve"> et </w:t>
      </w:r>
      <w:proofErr w:type="spellStart"/>
      <w:r w:rsidRPr="0070030E">
        <w:rPr>
          <w:rFonts w:ascii="Times New Roman" w:eastAsia="Arial" w:hAnsi="Times New Roman" w:cs="Times New Roman"/>
        </w:rPr>
        <w:t>analyse</w:t>
      </w:r>
      <w:proofErr w:type="spellEnd"/>
      <w:r w:rsidRPr="0070030E">
        <w:rPr>
          <w:rFonts w:ascii="Times New Roman" w:eastAsia="Arial" w:hAnsi="Times New Roman" w:cs="Times New Roman"/>
        </w:rPr>
        <w:t xml:space="preserve"> du cadre </w:t>
      </w:r>
      <w:proofErr w:type="spellStart"/>
      <w:r w:rsidRPr="0070030E">
        <w:rPr>
          <w:rFonts w:ascii="Times New Roman" w:eastAsia="Arial" w:hAnsi="Times New Roman" w:cs="Times New Roman"/>
        </w:rPr>
        <w:t>structurel</w:t>
      </w:r>
      <w:proofErr w:type="spellEnd"/>
      <w:r w:rsidRPr="0070030E">
        <w:rPr>
          <w:rFonts w:ascii="Times New Roman" w:eastAsia="Arial" w:hAnsi="Times New Roman" w:cs="Times New Roman"/>
        </w:rPr>
        <w:t xml:space="preserve"> en </w:t>
      </w:r>
      <w:proofErr w:type="spellStart"/>
      <w:r w:rsidRPr="0070030E">
        <w:rPr>
          <w:rFonts w:ascii="Times New Roman" w:eastAsia="Arial" w:hAnsi="Times New Roman" w:cs="Times New Roman"/>
        </w:rPr>
        <w:t>Belgique</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francophone</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i/>
          <w:iCs/>
        </w:rPr>
        <w:t>Revue</w:t>
      </w:r>
      <w:proofErr w:type="spellEnd"/>
      <w:r w:rsidRPr="0070030E">
        <w:rPr>
          <w:rFonts w:ascii="Times New Roman" w:eastAsia="Arial" w:hAnsi="Times New Roman" w:cs="Times New Roman"/>
          <w:i/>
          <w:iCs/>
        </w:rPr>
        <w:t xml:space="preserve"> </w:t>
      </w:r>
      <w:proofErr w:type="spellStart"/>
      <w:r w:rsidRPr="0070030E">
        <w:rPr>
          <w:rFonts w:ascii="Times New Roman" w:eastAsia="Arial" w:hAnsi="Times New Roman" w:cs="Times New Roman"/>
          <w:i/>
          <w:iCs/>
        </w:rPr>
        <w:t>française</w:t>
      </w:r>
      <w:proofErr w:type="spellEnd"/>
      <w:r w:rsidRPr="0070030E">
        <w:rPr>
          <w:rFonts w:ascii="Times New Roman" w:eastAsia="Arial" w:hAnsi="Times New Roman" w:cs="Times New Roman"/>
          <w:i/>
          <w:iCs/>
        </w:rPr>
        <w:t xml:space="preserve"> de </w:t>
      </w:r>
      <w:proofErr w:type="spellStart"/>
      <w:r w:rsidRPr="0070030E">
        <w:rPr>
          <w:rFonts w:ascii="Times New Roman" w:eastAsia="Arial" w:hAnsi="Times New Roman" w:cs="Times New Roman"/>
          <w:i/>
          <w:iCs/>
        </w:rPr>
        <w:t>pédagogie</w:t>
      </w:r>
      <w:proofErr w:type="spellEnd"/>
      <w:r w:rsidRPr="0070030E">
        <w:rPr>
          <w:rFonts w:ascii="Times New Roman" w:eastAsia="Arial" w:hAnsi="Times New Roman" w:cs="Times New Roman"/>
          <w:i/>
          <w:iCs/>
        </w:rPr>
        <w:t>,</w:t>
      </w:r>
      <w:r w:rsidRPr="0070030E">
        <w:rPr>
          <w:rFonts w:ascii="Times New Roman" w:eastAsia="Arial" w:hAnsi="Times New Roman" w:cs="Times New Roman"/>
        </w:rPr>
        <w:t xml:space="preserve"> (130), 73–87.</w:t>
      </w:r>
    </w:p>
    <w:p w14:paraId="543DB4D8"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60D257A5" w14:textId="77777777" w:rsidR="008F4B29" w:rsidRDefault="008F4B29" w:rsidP="000E7DEA">
      <w:pPr>
        <w:tabs>
          <w:tab w:val="left" w:pos="142"/>
        </w:tabs>
        <w:spacing w:after="0" w:line="240" w:lineRule="auto"/>
        <w:jc w:val="both"/>
        <w:rPr>
          <w:rFonts w:ascii="Times New Roman" w:eastAsia="Arial" w:hAnsi="Times New Roman" w:cs="Times New Roman"/>
        </w:rPr>
      </w:pPr>
      <w:r w:rsidRPr="00D32B92">
        <w:rPr>
          <w:rFonts w:ascii="Times New Roman" w:eastAsia="Arial" w:hAnsi="Times New Roman" w:cs="Times New Roman"/>
        </w:rPr>
        <w:t>Massetti, A. y Morales, D. (</w:t>
      </w:r>
      <w:proofErr w:type="spellStart"/>
      <w:r w:rsidRPr="00D32B92">
        <w:rPr>
          <w:rFonts w:ascii="Times New Roman" w:eastAsia="Arial" w:hAnsi="Times New Roman" w:cs="Times New Roman"/>
        </w:rPr>
        <w:t>comps</w:t>
      </w:r>
      <w:proofErr w:type="spellEnd"/>
      <w:r w:rsidRPr="00D32B92">
        <w:rPr>
          <w:rFonts w:ascii="Times New Roman" w:eastAsia="Arial" w:hAnsi="Times New Roman" w:cs="Times New Roman"/>
        </w:rPr>
        <w:t xml:space="preserve">.) (2023). “Las ventajas y desventajas del sistema de créditos en la universidad”, Observatorio de Educación Superior. Documento de Trabajo </w:t>
      </w:r>
      <w:proofErr w:type="spellStart"/>
      <w:r w:rsidRPr="00D32B92">
        <w:rPr>
          <w:rFonts w:ascii="Times New Roman" w:eastAsia="Arial" w:hAnsi="Times New Roman" w:cs="Times New Roman"/>
        </w:rPr>
        <w:t>Nº</w:t>
      </w:r>
      <w:proofErr w:type="spellEnd"/>
      <w:r w:rsidRPr="00D32B92">
        <w:rPr>
          <w:rFonts w:ascii="Times New Roman" w:eastAsia="Arial" w:hAnsi="Times New Roman" w:cs="Times New Roman"/>
        </w:rPr>
        <w:t xml:space="preserve"> 2. Florencio Varela: Universidad Nacional Arturo Jauretche. </w:t>
      </w:r>
      <w:hyperlink r:id="rId18" w:history="1">
        <w:r w:rsidRPr="00B74CFA">
          <w:rPr>
            <w:rStyle w:val="Hipervnculo"/>
            <w:rFonts w:ascii="Times New Roman" w:eastAsia="Arial" w:hAnsi="Times New Roman" w:cs="Times New Roman"/>
          </w:rPr>
          <w:t>https://observatorio-educacion-superior.unaj.edu.ar/documentode-trabajo-n2-las-ventajas-y-desventajas-del-sistema-de-creditos-en-la-universidad/</w:t>
        </w:r>
      </w:hyperlink>
    </w:p>
    <w:p w14:paraId="2DD08405" w14:textId="77777777" w:rsidR="000E7DEA" w:rsidRDefault="000E7DEA" w:rsidP="000E7DEA">
      <w:pPr>
        <w:tabs>
          <w:tab w:val="left" w:pos="142"/>
        </w:tabs>
        <w:spacing w:after="0" w:line="240" w:lineRule="auto"/>
        <w:jc w:val="both"/>
        <w:rPr>
          <w:rFonts w:ascii="Times New Roman" w:eastAsia="Arial" w:hAnsi="Times New Roman" w:cs="Times New Roman"/>
        </w:rPr>
      </w:pPr>
    </w:p>
    <w:p w14:paraId="007947E3" w14:textId="77777777" w:rsidR="008F4B29" w:rsidRDefault="008F4B29" w:rsidP="000E7DEA">
      <w:pPr>
        <w:tabs>
          <w:tab w:val="left" w:pos="142"/>
        </w:tabs>
        <w:spacing w:after="0" w:line="240" w:lineRule="auto"/>
        <w:jc w:val="both"/>
        <w:rPr>
          <w:rFonts w:ascii="Times New Roman" w:eastAsia="Arial" w:hAnsi="Times New Roman" w:cs="Times New Roman"/>
        </w:rPr>
      </w:pPr>
      <w:proofErr w:type="spellStart"/>
      <w:r w:rsidRPr="0070030E">
        <w:rPr>
          <w:rFonts w:ascii="Times New Roman" w:eastAsia="Arial" w:hAnsi="Times New Roman" w:cs="Times New Roman"/>
        </w:rPr>
        <w:t>Nosiglia</w:t>
      </w:r>
      <w:proofErr w:type="spellEnd"/>
      <w:r w:rsidRPr="0070030E">
        <w:rPr>
          <w:rFonts w:ascii="Times New Roman" w:eastAsia="Arial" w:hAnsi="Times New Roman" w:cs="Times New Roman"/>
        </w:rPr>
        <w:t xml:space="preserve">, M. C. (2004). Las transformaciones en el gobierno de la educación superior en Argentina: Los organismos de coordinación interinstitucional y su impacto en la autonomía institucional. </w:t>
      </w:r>
      <w:r w:rsidRPr="0070030E">
        <w:rPr>
          <w:rFonts w:ascii="Times New Roman" w:eastAsia="Arial" w:hAnsi="Times New Roman" w:cs="Times New Roman"/>
          <w:i/>
          <w:iCs/>
        </w:rPr>
        <w:t>Fundamentos de Humanidades, 5</w:t>
      </w:r>
      <w:r w:rsidRPr="0070030E">
        <w:rPr>
          <w:rFonts w:ascii="Times New Roman" w:eastAsia="Arial" w:hAnsi="Times New Roman" w:cs="Times New Roman"/>
        </w:rPr>
        <w:t>(9), 63–90.</w:t>
      </w:r>
    </w:p>
    <w:p w14:paraId="59E4189B"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47C77501" w14:textId="77777777" w:rsidR="008F4B29" w:rsidRPr="0070030E" w:rsidRDefault="008F4B29" w:rsidP="000E7DEA">
      <w:pPr>
        <w:tabs>
          <w:tab w:val="left" w:pos="142"/>
        </w:tabs>
        <w:spacing w:after="0" w:line="240" w:lineRule="auto"/>
        <w:jc w:val="both"/>
        <w:rPr>
          <w:rFonts w:ascii="Times New Roman" w:hAnsi="Times New Roman" w:cs="Times New Roman"/>
        </w:rPr>
      </w:pPr>
      <w:proofErr w:type="spellStart"/>
      <w:r w:rsidRPr="0070030E">
        <w:rPr>
          <w:rFonts w:ascii="Times New Roman" w:eastAsia="Arial" w:hAnsi="Times New Roman" w:cs="Times New Roman"/>
        </w:rPr>
        <w:t>Nosiglia</w:t>
      </w:r>
      <w:proofErr w:type="spellEnd"/>
      <w:r w:rsidRPr="0070030E">
        <w:rPr>
          <w:rFonts w:ascii="Times New Roman" w:eastAsia="Arial" w:hAnsi="Times New Roman" w:cs="Times New Roman"/>
        </w:rPr>
        <w:t xml:space="preserve">, M. C. y Fuksman, B. (2021). La regulación de la educación a distancia y la experiencia previa de los académicos argentinos para desarrollar su actividad docente en entornos virtuales antes de la irrupción de la pandemia. </w:t>
      </w:r>
      <w:r w:rsidRPr="0070030E">
        <w:rPr>
          <w:rFonts w:ascii="Times New Roman" w:eastAsia="Arial" w:hAnsi="Times New Roman" w:cs="Times New Roman"/>
          <w:i/>
          <w:iCs/>
        </w:rPr>
        <w:t>Educación Superior y Sociedad, 33</w:t>
      </w:r>
      <w:r w:rsidRPr="0070030E">
        <w:rPr>
          <w:rFonts w:ascii="Times New Roman" w:eastAsia="Arial" w:hAnsi="Times New Roman" w:cs="Times New Roman"/>
        </w:rPr>
        <w:t>(2), 321–350.</w:t>
      </w:r>
    </w:p>
    <w:p w14:paraId="38360E76"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44CC64E6" w14:textId="2D20080C" w:rsidR="008F4B29" w:rsidRDefault="008F4B29" w:rsidP="000E7DEA">
      <w:pPr>
        <w:tabs>
          <w:tab w:val="left" w:pos="142"/>
        </w:tabs>
        <w:spacing w:after="0" w:line="240" w:lineRule="auto"/>
        <w:jc w:val="both"/>
        <w:rPr>
          <w:rFonts w:ascii="Times New Roman" w:eastAsia="Arial" w:hAnsi="Times New Roman" w:cs="Times New Roman"/>
        </w:rPr>
      </w:pPr>
      <w:r w:rsidRPr="0070030E">
        <w:rPr>
          <w:rFonts w:ascii="Times New Roman" w:eastAsia="Arial" w:hAnsi="Times New Roman" w:cs="Times New Roman"/>
        </w:rPr>
        <w:lastRenderedPageBreak/>
        <w:t xml:space="preserve">Pierson, P. (2000). </w:t>
      </w:r>
      <w:proofErr w:type="spellStart"/>
      <w:r w:rsidRPr="0070030E">
        <w:rPr>
          <w:rFonts w:ascii="Times New Roman" w:eastAsia="Arial" w:hAnsi="Times New Roman" w:cs="Times New Roman"/>
        </w:rPr>
        <w:t>Increasing</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returns</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path</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dependence</w:t>
      </w:r>
      <w:proofErr w:type="spellEnd"/>
      <w:r w:rsidRPr="0070030E">
        <w:rPr>
          <w:rFonts w:ascii="Times New Roman" w:eastAsia="Arial" w:hAnsi="Times New Roman" w:cs="Times New Roman"/>
        </w:rPr>
        <w:t xml:space="preserve">, and </w:t>
      </w:r>
      <w:proofErr w:type="spellStart"/>
      <w:r w:rsidRPr="0070030E">
        <w:rPr>
          <w:rFonts w:ascii="Times New Roman" w:eastAsia="Arial" w:hAnsi="Times New Roman" w:cs="Times New Roman"/>
        </w:rPr>
        <w:t>the</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study</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of</w:t>
      </w:r>
      <w:proofErr w:type="spellEnd"/>
      <w:r w:rsidRPr="0070030E">
        <w:rPr>
          <w:rFonts w:ascii="Times New Roman" w:eastAsia="Arial" w:hAnsi="Times New Roman" w:cs="Times New Roman"/>
        </w:rPr>
        <w:t xml:space="preserve"> </w:t>
      </w:r>
      <w:proofErr w:type="spellStart"/>
      <w:r w:rsidRPr="0070030E">
        <w:rPr>
          <w:rFonts w:ascii="Times New Roman" w:eastAsia="Arial" w:hAnsi="Times New Roman" w:cs="Times New Roman"/>
        </w:rPr>
        <w:t>politics</w:t>
      </w:r>
      <w:proofErr w:type="spellEnd"/>
      <w:r w:rsidRPr="0070030E">
        <w:rPr>
          <w:rFonts w:ascii="Times New Roman" w:eastAsia="Arial" w:hAnsi="Times New Roman" w:cs="Times New Roman"/>
        </w:rPr>
        <w:t xml:space="preserve">. </w:t>
      </w:r>
      <w:r w:rsidRPr="0070030E">
        <w:rPr>
          <w:rFonts w:ascii="Times New Roman" w:eastAsia="Arial" w:hAnsi="Times New Roman" w:cs="Times New Roman"/>
          <w:i/>
          <w:iCs/>
        </w:rPr>
        <w:t xml:space="preserve">American </w:t>
      </w:r>
      <w:proofErr w:type="spellStart"/>
      <w:r w:rsidRPr="0070030E">
        <w:rPr>
          <w:rFonts w:ascii="Times New Roman" w:eastAsia="Arial" w:hAnsi="Times New Roman" w:cs="Times New Roman"/>
          <w:i/>
          <w:iCs/>
        </w:rPr>
        <w:t>Political</w:t>
      </w:r>
      <w:proofErr w:type="spellEnd"/>
      <w:r w:rsidRPr="0070030E">
        <w:rPr>
          <w:rFonts w:ascii="Times New Roman" w:eastAsia="Arial" w:hAnsi="Times New Roman" w:cs="Times New Roman"/>
          <w:i/>
          <w:iCs/>
        </w:rPr>
        <w:t xml:space="preserve"> </w:t>
      </w:r>
      <w:proofErr w:type="spellStart"/>
      <w:r w:rsidRPr="0070030E">
        <w:rPr>
          <w:rFonts w:ascii="Times New Roman" w:eastAsia="Arial" w:hAnsi="Times New Roman" w:cs="Times New Roman"/>
          <w:i/>
          <w:iCs/>
        </w:rPr>
        <w:t>Science</w:t>
      </w:r>
      <w:proofErr w:type="spellEnd"/>
      <w:r w:rsidRPr="0070030E">
        <w:rPr>
          <w:rFonts w:ascii="Times New Roman" w:eastAsia="Arial" w:hAnsi="Times New Roman" w:cs="Times New Roman"/>
          <w:i/>
          <w:iCs/>
        </w:rPr>
        <w:t xml:space="preserve"> </w:t>
      </w:r>
      <w:proofErr w:type="spellStart"/>
      <w:r w:rsidRPr="0070030E">
        <w:rPr>
          <w:rFonts w:ascii="Times New Roman" w:eastAsia="Arial" w:hAnsi="Times New Roman" w:cs="Times New Roman"/>
          <w:i/>
          <w:iCs/>
        </w:rPr>
        <w:t>Review</w:t>
      </w:r>
      <w:proofErr w:type="spellEnd"/>
      <w:r w:rsidRPr="0070030E">
        <w:rPr>
          <w:rFonts w:ascii="Times New Roman" w:eastAsia="Arial" w:hAnsi="Times New Roman" w:cs="Times New Roman"/>
          <w:i/>
          <w:iCs/>
        </w:rPr>
        <w:t>, 94</w:t>
      </w:r>
      <w:r w:rsidRPr="0070030E">
        <w:rPr>
          <w:rFonts w:ascii="Times New Roman" w:eastAsia="Arial" w:hAnsi="Times New Roman" w:cs="Times New Roman"/>
        </w:rPr>
        <w:t xml:space="preserve">(2), 251–267. </w:t>
      </w:r>
      <w:hyperlink r:id="rId19" w:history="1">
        <w:r w:rsidR="000E7DEA" w:rsidRPr="00B74CFA">
          <w:rPr>
            <w:rStyle w:val="Hipervnculo"/>
            <w:rFonts w:ascii="Times New Roman" w:eastAsia="Arial" w:hAnsi="Times New Roman" w:cs="Times New Roman"/>
          </w:rPr>
          <w:t>https://doi.org/10.2307/2586011</w:t>
        </w:r>
      </w:hyperlink>
    </w:p>
    <w:p w14:paraId="7BCBA530"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704798CE" w14:textId="77EBA61A" w:rsidR="008F4B29" w:rsidRDefault="008F4B29" w:rsidP="000E7DEA">
      <w:pPr>
        <w:tabs>
          <w:tab w:val="left" w:pos="142"/>
        </w:tabs>
        <w:spacing w:after="0" w:line="240" w:lineRule="auto"/>
        <w:jc w:val="both"/>
        <w:rPr>
          <w:rFonts w:ascii="Times New Roman" w:eastAsia="Arial" w:hAnsi="Times New Roman" w:cs="Times New Roman"/>
        </w:rPr>
      </w:pPr>
      <w:proofErr w:type="spellStart"/>
      <w:r w:rsidRPr="0070030E">
        <w:rPr>
          <w:rFonts w:ascii="Times New Roman" w:eastAsia="Arial" w:hAnsi="Times New Roman" w:cs="Times New Roman"/>
        </w:rPr>
        <w:t>Suasnábar</w:t>
      </w:r>
      <w:proofErr w:type="spellEnd"/>
      <w:r w:rsidRPr="0070030E">
        <w:rPr>
          <w:rFonts w:ascii="Times New Roman" w:eastAsia="Arial" w:hAnsi="Times New Roman" w:cs="Times New Roman"/>
        </w:rPr>
        <w:t xml:space="preserve">, C. (2023). Los escenarios futuros de la universidad argentina: entre los desafíos </w:t>
      </w:r>
      <w:proofErr w:type="spellStart"/>
      <w:r w:rsidRPr="0070030E">
        <w:rPr>
          <w:rFonts w:ascii="Times New Roman" w:eastAsia="Arial" w:hAnsi="Times New Roman" w:cs="Times New Roman"/>
        </w:rPr>
        <w:t>glonacales</w:t>
      </w:r>
      <w:proofErr w:type="spellEnd"/>
      <w:r w:rsidRPr="0070030E">
        <w:rPr>
          <w:rFonts w:ascii="Times New Roman" w:eastAsia="Arial" w:hAnsi="Times New Roman" w:cs="Times New Roman"/>
        </w:rPr>
        <w:t xml:space="preserve">, la inercia de las tendencias sistémicas y la larga ausencia de una agenda de política. </w:t>
      </w:r>
      <w:r w:rsidRPr="0070030E">
        <w:rPr>
          <w:rFonts w:ascii="Times New Roman" w:eastAsia="Arial" w:hAnsi="Times New Roman" w:cs="Times New Roman"/>
          <w:i/>
          <w:iCs/>
        </w:rPr>
        <w:t>Educación Superior y Sociedad, 35</w:t>
      </w:r>
      <w:r w:rsidRPr="0070030E">
        <w:rPr>
          <w:rFonts w:ascii="Times New Roman" w:eastAsia="Arial" w:hAnsi="Times New Roman" w:cs="Times New Roman"/>
        </w:rPr>
        <w:t xml:space="preserve">(1), 179–205. </w:t>
      </w:r>
      <w:hyperlink r:id="rId20" w:history="1">
        <w:r w:rsidR="000E7DEA" w:rsidRPr="00B74CFA">
          <w:rPr>
            <w:rStyle w:val="Hipervnculo"/>
            <w:rFonts w:ascii="Times New Roman" w:eastAsia="Arial" w:hAnsi="Times New Roman" w:cs="Times New Roman"/>
          </w:rPr>
          <w:t>https://doi.org/10.54674/ess.v35i1.736</w:t>
        </w:r>
      </w:hyperlink>
    </w:p>
    <w:p w14:paraId="39667885" w14:textId="77777777" w:rsidR="000E7DEA" w:rsidRPr="0070030E" w:rsidRDefault="000E7DEA" w:rsidP="000E7DEA">
      <w:pPr>
        <w:tabs>
          <w:tab w:val="left" w:pos="142"/>
        </w:tabs>
        <w:spacing w:after="0" w:line="240" w:lineRule="auto"/>
        <w:jc w:val="both"/>
        <w:rPr>
          <w:rFonts w:ascii="Times New Roman" w:hAnsi="Times New Roman" w:cs="Times New Roman"/>
        </w:rPr>
      </w:pPr>
    </w:p>
    <w:p w14:paraId="23CA62C6" w14:textId="64567CB1" w:rsidR="00C802F5" w:rsidRPr="00BA642E" w:rsidRDefault="008F4B29" w:rsidP="000E7DEA">
      <w:pPr>
        <w:tabs>
          <w:tab w:val="left" w:pos="142"/>
        </w:tabs>
        <w:spacing w:after="0" w:line="240" w:lineRule="auto"/>
        <w:jc w:val="both"/>
        <w:rPr>
          <w:rFonts w:ascii="Times New Roman" w:hAnsi="Times New Roman" w:cs="Times New Roman"/>
        </w:rPr>
      </w:pPr>
      <w:r w:rsidRPr="00D32B92">
        <w:rPr>
          <w:rFonts w:ascii="Times New Roman" w:eastAsia="Arial" w:hAnsi="Times New Roman" w:cs="Times New Roman"/>
        </w:rPr>
        <w:t xml:space="preserve">Viñas, M.; Secul Giusti, C. (2025). Reconfiguración pedagógica </w:t>
      </w:r>
      <w:proofErr w:type="spellStart"/>
      <w:r w:rsidRPr="00D32B92">
        <w:rPr>
          <w:rFonts w:ascii="Times New Roman" w:eastAsia="Arial" w:hAnsi="Times New Roman" w:cs="Times New Roman"/>
        </w:rPr>
        <w:t>pospandemia</w:t>
      </w:r>
      <w:proofErr w:type="spellEnd"/>
      <w:r w:rsidRPr="00D32B92">
        <w:rPr>
          <w:rFonts w:ascii="Times New Roman" w:eastAsia="Arial" w:hAnsi="Times New Roman" w:cs="Times New Roman"/>
        </w:rPr>
        <w:t>: exploración de la incidencia de la pandemia en métodos de enseñanza universitaria. DIDAC (85.), 39-48. https://www.memoria.fahce.unlp.edu.ar/art_revistas/pr.18559</w:t>
      </w:r>
    </w:p>
    <w:sectPr w:rsidR="00C802F5" w:rsidRPr="00BA642E" w:rsidSect="00701F64">
      <w:headerReference w:type="default" r:id="rId21"/>
      <w:footerReference w:type="default" r:id="rId2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0754F" w14:textId="77777777" w:rsidR="00D84371" w:rsidRPr="00BA642E" w:rsidRDefault="00D84371" w:rsidP="00C802F5">
      <w:pPr>
        <w:spacing w:after="0" w:line="240" w:lineRule="auto"/>
      </w:pPr>
      <w:r w:rsidRPr="00BA642E">
        <w:separator/>
      </w:r>
    </w:p>
  </w:endnote>
  <w:endnote w:type="continuationSeparator" w:id="0">
    <w:p w14:paraId="5C253303" w14:textId="77777777" w:rsidR="00D84371" w:rsidRPr="00BA642E" w:rsidRDefault="00D8437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1BE6A" w14:textId="77777777" w:rsidR="00D84371" w:rsidRPr="00BA642E" w:rsidRDefault="00D84371" w:rsidP="00C802F5">
      <w:pPr>
        <w:spacing w:after="0" w:line="240" w:lineRule="auto"/>
      </w:pPr>
      <w:r w:rsidRPr="00BA642E">
        <w:separator/>
      </w:r>
    </w:p>
  </w:footnote>
  <w:footnote w:type="continuationSeparator" w:id="0">
    <w:p w14:paraId="374A5B6D" w14:textId="77777777" w:rsidR="00D84371" w:rsidRPr="00BA642E" w:rsidRDefault="00D84371"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24CF6"/>
    <w:multiLevelType w:val="hybridMultilevel"/>
    <w:tmpl w:val="91A25992"/>
    <w:lvl w:ilvl="0" w:tplc="9F308C32">
      <w:start w:val="1"/>
      <w:numFmt w:val="bullet"/>
      <w:lvlText w:val="•"/>
      <w:lvlJc w:val="left"/>
      <w:pPr>
        <w:ind w:left="720" w:hanging="360"/>
      </w:pPr>
    </w:lvl>
    <w:lvl w:ilvl="1" w:tplc="E788DF32">
      <w:numFmt w:val="decimal"/>
      <w:lvlText w:val=""/>
      <w:lvlJc w:val="left"/>
    </w:lvl>
    <w:lvl w:ilvl="2" w:tplc="19DA17D2">
      <w:numFmt w:val="decimal"/>
      <w:lvlText w:val=""/>
      <w:lvlJc w:val="left"/>
    </w:lvl>
    <w:lvl w:ilvl="3" w:tplc="1E6C565E">
      <w:numFmt w:val="decimal"/>
      <w:lvlText w:val=""/>
      <w:lvlJc w:val="left"/>
    </w:lvl>
    <w:lvl w:ilvl="4" w:tplc="CC3EEB18">
      <w:numFmt w:val="decimal"/>
      <w:lvlText w:val=""/>
      <w:lvlJc w:val="left"/>
    </w:lvl>
    <w:lvl w:ilvl="5" w:tplc="79C85DD6">
      <w:numFmt w:val="decimal"/>
      <w:lvlText w:val=""/>
      <w:lvlJc w:val="left"/>
    </w:lvl>
    <w:lvl w:ilvl="6" w:tplc="506EF2A2">
      <w:numFmt w:val="decimal"/>
      <w:lvlText w:val=""/>
      <w:lvlJc w:val="left"/>
    </w:lvl>
    <w:lvl w:ilvl="7" w:tplc="EEAE22CA">
      <w:numFmt w:val="decimal"/>
      <w:lvlText w:val=""/>
      <w:lvlJc w:val="left"/>
    </w:lvl>
    <w:lvl w:ilvl="8" w:tplc="FE663F78">
      <w:numFmt w:val="decimal"/>
      <w:lvlText w:val=""/>
      <w:lvlJc w:val="left"/>
    </w:lvl>
  </w:abstractNum>
  <w:num w:numId="1" w16cid:durableId="14967288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E7DEA"/>
    <w:rsid w:val="001816D6"/>
    <w:rsid w:val="00185F5E"/>
    <w:rsid w:val="001923DC"/>
    <w:rsid w:val="002327C3"/>
    <w:rsid w:val="00312392"/>
    <w:rsid w:val="004040C0"/>
    <w:rsid w:val="00437E9C"/>
    <w:rsid w:val="00550766"/>
    <w:rsid w:val="005F3B2E"/>
    <w:rsid w:val="00701F64"/>
    <w:rsid w:val="00765DC0"/>
    <w:rsid w:val="007B5B5F"/>
    <w:rsid w:val="007D233B"/>
    <w:rsid w:val="0085070B"/>
    <w:rsid w:val="008F4B29"/>
    <w:rsid w:val="00A17247"/>
    <w:rsid w:val="00BA642E"/>
    <w:rsid w:val="00BC236F"/>
    <w:rsid w:val="00C802F5"/>
    <w:rsid w:val="00C96B2C"/>
    <w:rsid w:val="00CC04C1"/>
    <w:rsid w:val="00D8437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467-9299.2011.01955.x" TargetMode="External"/><Relationship Id="rId13" Type="http://schemas.openxmlformats.org/officeDocument/2006/relationships/hyperlink" Target="https://www.cin.edu.ar/archivo.php" TargetMode="External"/><Relationship Id="rId18" Type="http://schemas.openxmlformats.org/officeDocument/2006/relationships/hyperlink" Target="https://observatorio-educacion-superior.unaj.edu.ar/documentode-trabajo-n2-las-ventajas-y-desventajas-del-sistema-de-creditos-en-la-universidad/"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doi.org/10.1590/S0101-73302005000300002" TargetMode="External"/><Relationship Id="rId12" Type="http://schemas.openxmlformats.org/officeDocument/2006/relationships/hyperlink" Target="https://www.cin.edu.ar/archivo.php" TargetMode="External"/><Relationship Id="rId17" Type="http://schemas.openxmlformats.org/officeDocument/2006/relationships/hyperlink" Target="https://eprints.gla.ac.uk/view/author/31015.html" TargetMode="External"/><Relationship Id="rId2" Type="http://schemas.openxmlformats.org/officeDocument/2006/relationships/styles" Target="styles.xml"/><Relationship Id="rId16" Type="http://schemas.openxmlformats.org/officeDocument/2006/relationships/hyperlink" Target="https://doi.org/10.1057/hep.2013.16" TargetMode="External"/><Relationship Id="rId20" Type="http://schemas.openxmlformats.org/officeDocument/2006/relationships/hyperlink" Target="https://doi.org/10.54674/ess.v35i1.7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creditacion.unsl.edu.ar/wpcontent/uploads/documentos%20de%20interes/cin/Resol%20CE%20N_%201667-22.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16/S0952-8733(00)00010-6" TargetMode="External"/><Relationship Id="rId23" Type="http://schemas.openxmlformats.org/officeDocument/2006/relationships/fontTable" Target="fontTable.xml"/><Relationship Id="rId10" Type="http://schemas.openxmlformats.org/officeDocument/2006/relationships/hyperlink" Target="https://www.cin.edu.ar/download/universidades-argentinas-del-2030/" TargetMode="External"/><Relationship Id="rId19" Type="http://schemas.openxmlformats.org/officeDocument/2006/relationships/hyperlink" Target="https://doi.org/10.2307/2586011" TargetMode="External"/><Relationship Id="rId4" Type="http://schemas.openxmlformats.org/officeDocument/2006/relationships/webSettings" Target="webSettings.xml"/><Relationship Id="rId9" Type="http://schemas.openxmlformats.org/officeDocument/2006/relationships/hyperlink" Target="https://doi.org/10.1111/hequ.12178" TargetMode="External"/><Relationship Id="rId14" Type="http://schemas.openxmlformats.org/officeDocument/2006/relationships/hyperlink" Target="https://scuola.academia.edu/MiguelGonz%C3%A1lez"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7066</Words>
  <Characters>39362</Characters>
  <Application>Microsoft Office Word</Application>
  <DocSecurity>0</DocSecurity>
  <Lines>874</Lines>
  <Paragraphs>400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Stella Zaba</cp:lastModifiedBy>
  <cp:revision>3</cp:revision>
  <dcterms:created xsi:type="dcterms:W3CDTF">2026-06-23T15:57:00Z</dcterms:created>
  <dcterms:modified xsi:type="dcterms:W3CDTF">2026-06-23T16:01:00Z</dcterms:modified>
</cp:coreProperties>
</file>