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698D0D1E" w14:textId="77777777" w:rsidR="00B71428" w:rsidRDefault="00B71428" w:rsidP="00B71428">
      <w:pPr>
        <w:pStyle w:val="NormalWeb"/>
        <w:spacing w:before="0" w:beforeAutospacing="0" w:after="300" w:afterAutospacing="0"/>
        <w:jc w:val="center"/>
      </w:pPr>
      <w:r>
        <w:rPr>
          <w:b/>
          <w:bCs/>
          <w:color w:val="000000"/>
        </w:rPr>
        <w:t xml:space="preserve">El </w:t>
      </w:r>
      <w:proofErr w:type="spellStart"/>
      <w:r>
        <w:rPr>
          <w:b/>
          <w:bCs/>
          <w:color w:val="000000"/>
        </w:rPr>
        <w:t>curriculum</w:t>
      </w:r>
      <w:proofErr w:type="spellEnd"/>
      <w:r>
        <w:rPr>
          <w:b/>
          <w:bCs/>
          <w:color w:val="000000"/>
        </w:rPr>
        <w:t xml:space="preserve"> como puente para la internacionalización en la formación de docentes universitarios</w:t>
      </w:r>
    </w:p>
    <w:p w14:paraId="43C49479" w14:textId="77777777" w:rsidR="005F3B2E" w:rsidRPr="00B71428" w:rsidRDefault="005F3B2E" w:rsidP="001923DC">
      <w:pPr>
        <w:jc w:val="center"/>
        <w:rPr>
          <w:rFonts w:ascii="Times New Roman" w:hAnsi="Times New Roman" w:cs="Times New Roman"/>
          <w:lang w:val="es-AR"/>
        </w:rPr>
      </w:pPr>
    </w:p>
    <w:p w14:paraId="569CC1B5" w14:textId="77777777" w:rsidR="00B71428" w:rsidRPr="00B71428" w:rsidRDefault="00B71428" w:rsidP="00B71428">
      <w:pPr>
        <w:spacing w:after="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Alonso, Alejandra</w:t>
      </w:r>
    </w:p>
    <w:p w14:paraId="56C01B03" w14:textId="77777777" w:rsidR="00B71428" w:rsidRPr="00B71428" w:rsidRDefault="00B71428" w:rsidP="00B71428">
      <w:pPr>
        <w:spacing w:after="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Universidad Nacional de Avellaneda UNDAV</w:t>
      </w:r>
    </w:p>
    <w:p w14:paraId="22D92F43" w14:textId="77777777" w:rsidR="00B71428" w:rsidRPr="00B71428" w:rsidRDefault="00B71428" w:rsidP="00B71428">
      <w:pPr>
        <w:spacing w:after="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aalonso@undav.edu.ar</w:t>
      </w:r>
    </w:p>
    <w:p w14:paraId="00F6E9C5" w14:textId="77777777" w:rsidR="00B71428" w:rsidRPr="00B71428" w:rsidRDefault="00B71428" w:rsidP="00B71428">
      <w:pPr>
        <w:spacing w:after="0" w:line="240" w:lineRule="auto"/>
        <w:rPr>
          <w:rFonts w:ascii="Times New Roman" w:eastAsia="Times New Roman" w:hAnsi="Times New Roman" w:cs="Times New Roman"/>
          <w:kern w:val="0"/>
          <w:lang w:val="es-AR" w:eastAsia="es-AR"/>
          <w14:ligatures w14:val="none"/>
        </w:rPr>
      </w:pPr>
    </w:p>
    <w:p w14:paraId="1B72E889" w14:textId="77777777" w:rsidR="00B71428" w:rsidRPr="00B71428" w:rsidRDefault="00B71428" w:rsidP="00B71428">
      <w:pPr>
        <w:spacing w:after="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Marrone, Leticia</w:t>
      </w:r>
    </w:p>
    <w:p w14:paraId="224F8B91" w14:textId="77777777" w:rsidR="00B71428" w:rsidRPr="00B71428" w:rsidRDefault="00B71428" w:rsidP="00B71428">
      <w:pPr>
        <w:spacing w:after="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Universidad Nacional de Avellaneda UNDAV</w:t>
      </w:r>
    </w:p>
    <w:p w14:paraId="60A9F6B4" w14:textId="77777777" w:rsidR="00B71428" w:rsidRPr="00B71428" w:rsidRDefault="00B71428" w:rsidP="00B71428">
      <w:pPr>
        <w:spacing w:after="360" w:line="240" w:lineRule="auto"/>
        <w:jc w:val="right"/>
        <w:rPr>
          <w:rFonts w:ascii="Times New Roman" w:eastAsia="Times New Roman" w:hAnsi="Times New Roman" w:cs="Times New Roman"/>
          <w:kern w:val="0"/>
          <w:lang w:val="es-AR" w:eastAsia="es-AR"/>
          <w14:ligatures w14:val="none"/>
        </w:rPr>
      </w:pPr>
      <w:r w:rsidRPr="00B71428">
        <w:rPr>
          <w:rFonts w:ascii="Times New Roman" w:eastAsia="Times New Roman" w:hAnsi="Times New Roman" w:cs="Times New Roman"/>
          <w:color w:val="000000"/>
          <w:kern w:val="0"/>
          <w:lang w:val="es-AR" w:eastAsia="es-AR"/>
          <w14:ligatures w14:val="none"/>
        </w:rPr>
        <w:t>lmarrone@undav.edu.ar</w:t>
      </w:r>
    </w:p>
    <w:p w14:paraId="640847CC" w14:textId="77777777" w:rsidR="005F3B2E" w:rsidRPr="00B71428" w:rsidRDefault="005F3B2E" w:rsidP="005F3B2E">
      <w:pPr>
        <w:spacing w:after="0" w:line="240" w:lineRule="auto"/>
        <w:jc w:val="right"/>
        <w:rPr>
          <w:rFonts w:ascii="Times New Roman" w:hAnsi="Times New Roman" w:cs="Times New Roman"/>
          <w:lang w:val="es-AR"/>
        </w:rPr>
      </w:pPr>
    </w:p>
    <w:p w14:paraId="2AAC3FF9" w14:textId="16081D7C" w:rsidR="00472594" w:rsidRDefault="00472594" w:rsidP="00472594">
      <w:pPr>
        <w:pStyle w:val="NormalWeb"/>
        <w:spacing w:before="0" w:beforeAutospacing="0" w:after="200" w:afterAutospacing="0"/>
        <w:jc w:val="both"/>
      </w:pPr>
      <w:r>
        <w:rPr>
          <w:b/>
          <w:bCs/>
          <w:color w:val="000000"/>
        </w:rPr>
        <w:t>Resumen:</w:t>
      </w:r>
      <w:r>
        <w:rPr>
          <w:b/>
          <w:bCs/>
          <w:color w:val="000000"/>
        </w:rPr>
        <w:t xml:space="preserve"> </w:t>
      </w:r>
      <w:r>
        <w:rPr>
          <w:color w:val="000000"/>
        </w:rPr>
        <w:t xml:space="preserve">La internacionalización en el nivel superior ha dejado de ser una serie de acciones periféricas para transformarse en un eje estratégico y transversal que redefine la identidad institucional. A partir de la conjunción de experiencias y de la Declaración del Consejo Interuniversitario Nacional “Universidades argentinas del 2030” (CIN, 2021), que posiciona a la internacionalización como un proceso clave para potenciar la calidad de la enseñanza, iniciamos la articulación entre internacionalización y formación docente de posgrado. Bajo esta premisa, el currículum se erige como el puente fundamental donde las definiciones políticas y los marcos normativos se traducen en prácticas pedagógicas concretas en el aula universitaria. Sostenemos que la dimensión internacional es una variable imprescindible para la toma de decisiones en el campo del diseño curricular. En este entramado, las categorías de competencias, función docente y enseñanza convergen en la Internacionalización del Currículum (a partir de ahora </w:t>
      </w:r>
      <w:proofErr w:type="spellStart"/>
      <w:r>
        <w:rPr>
          <w:color w:val="000000"/>
        </w:rPr>
        <w:t>IdC</w:t>
      </w:r>
      <w:proofErr w:type="spellEnd"/>
      <w:r>
        <w:rPr>
          <w:color w:val="000000"/>
        </w:rPr>
        <w:t>). Partimos de la idea de que el docente internacionalizado es el actor clave del proceso: aquel que posee la intencionalidad pedagógica de integrar perspectivas globales e inclusivas en el aprendizaje de los/los futuros profesionales. Esto implica un giro en la formación de los/</w:t>
      </w:r>
      <w:proofErr w:type="gramStart"/>
      <w:r>
        <w:rPr>
          <w:color w:val="000000"/>
        </w:rPr>
        <w:t>las docentes universitarios</w:t>
      </w:r>
      <w:proofErr w:type="gramEnd"/>
      <w:r>
        <w:rPr>
          <w:color w:val="000000"/>
        </w:rPr>
        <w:t xml:space="preserve">, orientándose hacia el desarrollo de competencias que se enfrentan a los desafíos y límites de planes de estudio y programaciones tradicionales. La adopción de marcos de reconocimiento académico resulta vital para otorgar la flexibilidad necesaria a los trayectos formativos, actualmente un componente estratégico esencial en este proceso es la implementación de sistemas de créditos.  Estos sistemas no sólo facilitan la movilidad estudiantil y docente, sino que permiten una arquitectura curricular más flexible. Desde una mirada regional Sur-Sur, este trabajo reflexiona sobre las </w:t>
      </w:r>
      <w:proofErr w:type="spellStart"/>
      <w:r>
        <w:rPr>
          <w:color w:val="000000"/>
        </w:rPr>
        <w:t>reconceptualizaciones</w:t>
      </w:r>
      <w:proofErr w:type="spellEnd"/>
      <w:r>
        <w:rPr>
          <w:color w:val="000000"/>
        </w:rPr>
        <w:t xml:space="preserve"> necesarias para una enseñanza internacionalizada situada. No se trata de replicar modelos, sino de diseñar dispositivos de enseñanza que articulen de manera coherente: a) competencias, entendidas como la capacidad de actuar en entornos interculturales y complejos, sostenidas en el aprendizaje significativo; b) sistemas de créditos y reconocimiento, como herramientas de flexibilidad; y c) tecnologías de la información y la comunicación (TIC), como soporte para el aprendizaje significativo y el diseño de propuestas pedagógicas-curriculares internacionales (como los COIL, y aulas </w:t>
      </w:r>
      <w:r>
        <w:rPr>
          <w:color w:val="000000"/>
        </w:rPr>
        <w:lastRenderedPageBreak/>
        <w:t>espejo). En conclusión, nos centramos en el lugar del docente y su relación con la enseñanza y el aprendizaje. Pensamos la internacionalización del currículum, apoyada en una formación docente basada en competencias transversales, para garantizar una educación superior más flexible, inclusiva y comprometida con los desafíos de un mundo interconectado.</w:t>
      </w:r>
    </w:p>
    <w:p w14:paraId="2D1EEB21" w14:textId="77777777" w:rsidR="00472594" w:rsidRDefault="00472594" w:rsidP="00472594">
      <w:pPr>
        <w:pStyle w:val="NormalWeb"/>
        <w:spacing w:before="0" w:beforeAutospacing="0" w:after="200" w:afterAutospacing="0"/>
        <w:jc w:val="both"/>
      </w:pPr>
      <w:r>
        <w:rPr>
          <w:b/>
          <w:bCs/>
          <w:color w:val="000000"/>
        </w:rPr>
        <w:t>Palabras clave:</w:t>
      </w:r>
    </w:p>
    <w:p w14:paraId="162F2942" w14:textId="77777777" w:rsidR="00472594" w:rsidRDefault="00472594" w:rsidP="00472594">
      <w:pPr>
        <w:pStyle w:val="NormalWeb"/>
        <w:spacing w:before="0" w:beforeAutospacing="0" w:after="360" w:afterAutospacing="0"/>
        <w:jc w:val="both"/>
      </w:pPr>
      <w:r>
        <w:rPr>
          <w:color w:val="000000"/>
        </w:rPr>
        <w:t>INTERNACIONALIZACIÓN DEL CURRÍCULUM, FORMACIÓN DOCENTE, COMPETENCIAS, COOPERACIÓN SUR-SUR.</w:t>
      </w:r>
    </w:p>
    <w:p w14:paraId="6A5547A1" w14:textId="789A56D9" w:rsidR="00BA642E" w:rsidRPr="00472594" w:rsidRDefault="00BA642E" w:rsidP="007B5B5F">
      <w:pPr>
        <w:spacing w:line="240" w:lineRule="auto"/>
        <w:rPr>
          <w:rFonts w:ascii="Times New Roman" w:hAnsi="Times New Roman" w:cs="Times New Roman"/>
          <w:b/>
          <w:bCs/>
          <w:lang w:val="es-AR"/>
        </w:rPr>
      </w:pPr>
      <w:r w:rsidRPr="00472594">
        <w:rPr>
          <w:rFonts w:ascii="Times New Roman" w:hAnsi="Times New Roman" w:cs="Times New Roman"/>
          <w:b/>
          <w:bCs/>
          <w:lang w:val="es-AR"/>
        </w:rPr>
        <w:t>Introducción</w:t>
      </w:r>
    </w:p>
    <w:p w14:paraId="65D06849" w14:textId="77777777" w:rsidR="00472594" w:rsidRDefault="00472594" w:rsidP="00472594">
      <w:pPr>
        <w:pStyle w:val="NormalWeb"/>
        <w:spacing w:before="0" w:beforeAutospacing="0" w:after="200" w:afterAutospacing="0"/>
        <w:jc w:val="both"/>
      </w:pPr>
      <w:r>
        <w:rPr>
          <w:color w:val="000000"/>
        </w:rPr>
        <w:t>La internacionalización de la educación superior atraviesa, en la actualidad, un punto de inflexión conceptual. No se sostiene únicamente en la movilidad física/presencial, de estudiantes y docentes, sino que busca constituirse como un eje estratégico y transversal capaz de alcanzar a la totalidad de la comunidad universitaria. La Declaración del Consejo Interuniversitario Nacional “Universidades argentinas del 2030” (CIN, 2021) sintetiza este desplazamiento al posicionar a la internacionalización como un proceso clave para fortalecer la calidad de la enseñanza, la investigación y la extensión con pertinencia social, lo que exige pensarla no como un agregado, sino como una dimensión constitutiva del proyecto institucional.</w:t>
      </w:r>
    </w:p>
    <w:p w14:paraId="073D968F" w14:textId="77777777" w:rsidR="00472594" w:rsidRDefault="00472594" w:rsidP="00472594">
      <w:pPr>
        <w:pStyle w:val="NormalWeb"/>
        <w:spacing w:before="0" w:beforeAutospacing="0" w:after="200" w:afterAutospacing="0"/>
        <w:jc w:val="both"/>
      </w:pPr>
      <w:r>
        <w:rPr>
          <w:color w:val="000000"/>
        </w:rPr>
        <w:t>En este marco, el presente trabajo parte de una premisa central: el currículum es un puente donde las definiciones políticas y los marcos normativos sobre internacionalización se traducen —o no— en prácticas pedagógicas concretas. Una declaración de principios permanece en el plano discursivo si no logra materializarse en las estrategias de enseñanza y en la cotidianeidad del aula. Por ello, sostenemos (de Alba, 1991) que el currículum debe comprenderse como una síntesis de elementos culturales —conocimientos, valores, costumbres, creencias, hábitos— que conforma una propuesta político-educativa impulsada por grupos y sectores sociales cuyos intereses son diversos y, muchas veces, contradictorios. Pensar la internacionalización desde esta perspectiva implica reconocer que incorporar la dimensión internacional al diseño pedagógico no es un acto neutro ni meramente técnico, sino una decisión política que pone en juego qué saberes, qué culturas y qué actores resultan legitimados en la propuesta formativa.</w:t>
      </w:r>
    </w:p>
    <w:p w14:paraId="60C59DDA" w14:textId="77777777" w:rsidR="00472594" w:rsidRDefault="00472594" w:rsidP="00472594">
      <w:pPr>
        <w:pStyle w:val="NormalWeb"/>
        <w:spacing w:before="0" w:beforeAutospacing="0" w:after="200" w:afterAutospacing="0"/>
        <w:jc w:val="both"/>
      </w:pPr>
      <w:r>
        <w:rPr>
          <w:color w:val="000000"/>
        </w:rPr>
        <w:t>A partir de esta concepción, en el presente trabajo se articulan cuatro categorías teóricas que, entendemos, convergen en lo que la literatura especializada denomina Internacionalización del Currículum (IC): las competencias, la función docente, el sistema de créditos y las tecnologías de la información y la comunicación (TIC). Partimos de la idea de que el docente internacionalizado constituye el actor clave del proceso: aquel que posee la intencionalidad pedagógica de integrar perspectivas globales en la formación de los/</w:t>
      </w:r>
      <w:proofErr w:type="gramStart"/>
      <w:r>
        <w:rPr>
          <w:color w:val="000000"/>
        </w:rPr>
        <w:t>las futuros profesionales</w:t>
      </w:r>
      <w:proofErr w:type="gramEnd"/>
      <w:r>
        <w:rPr>
          <w:color w:val="000000"/>
        </w:rPr>
        <w:t xml:space="preserve">, y que para ello requiere desarrollar competencias que trasciendan las fronteras disciplinares tradicionales (Díaz-Barriga, 2011; </w:t>
      </w:r>
      <w:proofErr w:type="spellStart"/>
      <w:r>
        <w:rPr>
          <w:color w:val="000000"/>
        </w:rPr>
        <w:t>Perrenoud</w:t>
      </w:r>
      <w:proofErr w:type="spellEnd"/>
      <w:r>
        <w:rPr>
          <w:color w:val="000000"/>
        </w:rPr>
        <w:t>, 1999). </w:t>
      </w:r>
    </w:p>
    <w:p w14:paraId="18458CFD" w14:textId="77777777" w:rsidR="00472594" w:rsidRDefault="00472594" w:rsidP="00472594">
      <w:pPr>
        <w:pStyle w:val="NormalWeb"/>
        <w:spacing w:before="0" w:beforeAutospacing="0" w:after="200" w:afterAutospacing="0"/>
        <w:jc w:val="both"/>
      </w:pPr>
      <w:r>
        <w:rPr>
          <w:color w:val="000000"/>
        </w:rPr>
        <w:lastRenderedPageBreak/>
        <w:t>A su vez, sostenemos que ese giro en la función docente sólo resulta sostenible si se acompaña de dispositivos técnico-normativos —como el sistema de créditos académicos (Calzoni, 2021)— que otorguen flexibilidad a los trayectos formativos, y de estrategias concretas de internacionalización de la asignatura mediadas por tecnología (</w:t>
      </w:r>
      <w:proofErr w:type="spellStart"/>
      <w:r>
        <w:rPr>
          <w:color w:val="000000"/>
        </w:rPr>
        <w:t>Graichen</w:t>
      </w:r>
      <w:proofErr w:type="spellEnd"/>
      <w:r>
        <w:rPr>
          <w:color w:val="000000"/>
        </w:rPr>
        <w:t>, 2022) que permitan la colaboración internacional sin necesidad de movilidad física.</w:t>
      </w:r>
    </w:p>
    <w:p w14:paraId="3F3E82C1" w14:textId="77777777" w:rsidR="00472594" w:rsidRDefault="00472594" w:rsidP="00472594">
      <w:pPr>
        <w:pStyle w:val="NormalWeb"/>
        <w:spacing w:before="0" w:beforeAutospacing="0" w:after="200" w:afterAutospacing="0"/>
        <w:jc w:val="both"/>
      </w:pPr>
      <w:r>
        <w:rPr>
          <w:color w:val="000000"/>
        </w:rPr>
        <w:t xml:space="preserve">El objetivo de esta ponencia es, entonces, analizar de qué manera </w:t>
      </w:r>
      <w:proofErr w:type="gramStart"/>
      <w:r>
        <w:rPr>
          <w:color w:val="000000"/>
        </w:rPr>
        <w:t>estas  categorías</w:t>
      </w:r>
      <w:proofErr w:type="gramEnd"/>
      <w:r>
        <w:rPr>
          <w:color w:val="000000"/>
        </w:rPr>
        <w:t xml:space="preserve"> —competencias, función docente, sistema de créditos y TIC— se articulan en el diseño de una propuesta de internacionalización del currículum situada, pensada específicamente para la formación docente de posgrado en el contexto de una universidad pública latinoamericana, la Universidad Nacional de Avellaneda (a partir de ahora UNDAV). Sostenemos que esta articulación no debe realizarse replicando modelos hegemónicos, sino construyendo dispositivos pertinentes a nuestra región, capaces de dialogar con una perspectiva de cooperación Sur-Sur. El trabajo se organiza en seis apartados: en primer lugar, se desarrolla la noción de currículum como síntesis de elementos culturales y arena de poder; en segundo lugar, se aborda el debate conceptual sobre competencias y su relación con la función docente; en tercer lugar, se analizan las estrategias concretas de internacionalización de la asignatura; en cuarto lugar, se introduce el sistema de créditos académicos como herramienta de flexibilización curricular; en quinto lugar, se revisa el papel de las TIC y las modalidades de colaboración virtual internacional (COIL-aulas espejo) ; y, finalmente, se presenta una síntesis que integra las cuatro categorías desde una perspectiva Sur-Sur, traducida en un dispositivo de formación docente.</w:t>
      </w:r>
    </w:p>
    <w:p w14:paraId="2FD138AD" w14:textId="505FE707" w:rsidR="005F3B2E" w:rsidRPr="00472594" w:rsidRDefault="005F3B2E" w:rsidP="007B5B5F">
      <w:pPr>
        <w:spacing w:line="240" w:lineRule="auto"/>
        <w:rPr>
          <w:rFonts w:ascii="Times New Roman" w:hAnsi="Times New Roman" w:cs="Times New Roman"/>
          <w:b/>
          <w:bCs/>
          <w:lang w:val="es-AR"/>
        </w:rPr>
      </w:pPr>
      <w:r w:rsidRPr="00472594">
        <w:rPr>
          <w:rFonts w:ascii="Times New Roman" w:hAnsi="Times New Roman" w:cs="Times New Roman"/>
          <w:b/>
          <w:bCs/>
          <w:lang w:val="es-AR"/>
        </w:rPr>
        <w:t>Desarrollo</w:t>
      </w:r>
    </w:p>
    <w:p w14:paraId="317769F8" w14:textId="77777777" w:rsidR="00472594" w:rsidRDefault="00472594" w:rsidP="00472594">
      <w:pPr>
        <w:pStyle w:val="NormalWeb"/>
        <w:spacing w:before="0" w:beforeAutospacing="0" w:after="200" w:afterAutospacing="0"/>
        <w:jc w:val="both"/>
      </w:pPr>
      <w:r>
        <w:rPr>
          <w:b/>
          <w:bCs/>
          <w:color w:val="000000"/>
        </w:rPr>
        <w:t>1. El currículum como síntesis de elementos culturales y arena de poder</w:t>
      </w:r>
    </w:p>
    <w:p w14:paraId="4D2929AE" w14:textId="77777777" w:rsidR="00472594" w:rsidRDefault="00472594" w:rsidP="00472594">
      <w:pPr>
        <w:pStyle w:val="NormalWeb"/>
        <w:spacing w:before="0" w:beforeAutospacing="0" w:after="200" w:afterAutospacing="0"/>
        <w:jc w:val="both"/>
      </w:pPr>
      <w:r>
        <w:rPr>
          <w:color w:val="000000"/>
        </w:rPr>
        <w:t>Para comprender el alcance de la internacionalización curricular resulta indispensable partir de una concepción amplia de currículum. Alicia de Alba (1991) lo define como la síntesis de elementos culturales —conocimientos, valores, costumbres, creencias y hábitos— que conforman una propuesta político-educativa pensada e impulsada por diversos grupos y sectores sociales cuyos intereses son diversos y contradictorios, algunos de los cuales tienden a ser dominantes o hegemónicos, mientras que otros tienden a oponerse o resistir a tal dominación. Esta síntesis se alcanza mediante mecanismos de negociación, lucha e imposición social, y se despliega tanto en sus aspectos estructurales-formales —los planes y programas de estudio, la organización institucional, las normativas— como en sus aspectos procesales-prácticos, es decir, en las relaciones sociales cotidianas donde el currículum formal deviene práctica concreta en el aula.</w:t>
      </w:r>
    </w:p>
    <w:p w14:paraId="3F30E934" w14:textId="77777777" w:rsidR="00472594" w:rsidRDefault="00472594" w:rsidP="00472594">
      <w:pPr>
        <w:pStyle w:val="NormalWeb"/>
        <w:spacing w:before="0" w:beforeAutospacing="0" w:after="200" w:afterAutospacing="0"/>
        <w:jc w:val="both"/>
      </w:pPr>
      <w:r>
        <w:rPr>
          <w:color w:val="000000"/>
        </w:rPr>
        <w:t xml:space="preserve">Esta perspectiva resulta especialmente productiva para pensar la internacionalización, porque advierte que incorporar una dimensión internacional al currículum no puede reducirse a una operación técnica de agregado de contenidos. Siguiendo a de Alba, el currículum es, en un sentido profundo, un arbitrario cultural (Bourdieu, 1970, como se citó en de Alba, 1991): una selección de saberes que porta rasgos culturales hegemónicos pero que también puede portar, en distintos grados, elementos de resistencia. Trasladado al problema de la internacionalización, este planteo advierte sobre el riesgo de que los procesos de internacionalización curricular terminen reproduciendo acríticamente </w:t>
      </w:r>
      <w:r>
        <w:rPr>
          <w:color w:val="000000"/>
        </w:rPr>
        <w:lastRenderedPageBreak/>
        <w:t>modelos de conocimiento, de lengua y de circulación académica propios de los centros hegemónicos de producción científica, en detrimento de las epistemologías, problemáticas y trayectorias propias de América Latina y el Caribe.</w:t>
      </w:r>
    </w:p>
    <w:p w14:paraId="526F466F" w14:textId="77777777" w:rsidR="00472594" w:rsidRDefault="00472594" w:rsidP="00472594">
      <w:pPr>
        <w:pStyle w:val="NormalWeb"/>
        <w:spacing w:before="0" w:beforeAutospacing="0" w:after="200" w:afterAutospacing="0"/>
        <w:jc w:val="both"/>
      </w:pPr>
      <w:r>
        <w:rPr>
          <w:color w:val="000000"/>
        </w:rPr>
        <w:t>De allí que sostengamos, en sintonía con la Declaración del CIN (2021) y con una mirada Sur-Sur, que internacionalizar el currículum no equivale a replicar modelos hegemónicos, sino a diseñar dispositivos de enseñanza que articulen de manera coherente y situada las competencias interculturales, los sistemas de reconocimiento académico y las tecnologías digitales, reconociendo el carácter político y no neutro de toda decisión curricular. Esta dimensión política y social del currículum —toda propuesta educativa implica una práctica humana orientada hacia determinados fines sociales (de Alba, 1991)— es la que otorga sentido a la pregunta por quién decide qué se internacionaliza, con qué actores y desde qué lugar geopolítico se produce el conocimiento que circula en los intercambios académicos.</w:t>
      </w:r>
    </w:p>
    <w:p w14:paraId="11EDE24D" w14:textId="77777777" w:rsidR="00472594" w:rsidRDefault="00472594" w:rsidP="00472594">
      <w:pPr>
        <w:pStyle w:val="NormalWeb"/>
        <w:spacing w:before="0" w:beforeAutospacing="0" w:after="200" w:afterAutospacing="0"/>
        <w:jc w:val="both"/>
      </w:pPr>
      <w:r>
        <w:rPr>
          <w:b/>
          <w:bCs/>
          <w:color w:val="000000"/>
        </w:rPr>
        <w:t>2. Competencias y función docente: del debate conceptual a la formación de posgrado</w:t>
      </w:r>
    </w:p>
    <w:p w14:paraId="6E0F4C82" w14:textId="77777777" w:rsidR="00472594" w:rsidRDefault="00472594" w:rsidP="00472594">
      <w:pPr>
        <w:pStyle w:val="NormalWeb"/>
        <w:spacing w:before="0" w:beforeAutospacing="0" w:after="200" w:afterAutospacing="0"/>
        <w:jc w:val="both"/>
      </w:pPr>
      <w:r>
        <w:rPr>
          <w:color w:val="000000"/>
        </w:rPr>
        <w:t xml:space="preserve">El concepto de competencias constituye, según Díaz-Barriga (2011), un término relativamente joven en el campo educativo cuyo uso esconde múltiples sentidos que no siempre contribuyen a orientar el trabajo pedagógico. El autor identifica al menos tres grandes corrientes o escuelas de pensamiento en torno a las competencias: una de orientación conductual-laboral, centrada en el desempeño observable y en la descomposición de tareas; una segunda de raíz </w:t>
      </w:r>
      <w:proofErr w:type="spellStart"/>
      <w:r>
        <w:rPr>
          <w:color w:val="000000"/>
        </w:rPr>
        <w:t>socioconstructivista</w:t>
      </w:r>
      <w:proofErr w:type="spellEnd"/>
      <w:r>
        <w:rPr>
          <w:color w:val="000000"/>
        </w:rPr>
        <w:t>, que enfatiza el aprendizaje situado, la construcción del conocimiento a partir de saberes previos y la graduación de los procesos según la complejidad cognitiva; y una tercera de orientación pedagógico-didáctica, preocupada por superar el enciclopedismo escolar y vincular los saberes con la resolución de problemas reales. Como señala el propio Díaz-Barriga (2011), una competencia es más que conocimientos y destrezas, dado que involucra la capacidad de enfrentar demandas complejas movilizando recursos psicosociales —incluidos destrezas y actitudes— en un contexto particular.</w:t>
      </w:r>
    </w:p>
    <w:p w14:paraId="5BF6FB54" w14:textId="77777777" w:rsidR="00472594" w:rsidRDefault="00472594" w:rsidP="00472594">
      <w:pPr>
        <w:pStyle w:val="NormalWeb"/>
        <w:spacing w:before="0" w:beforeAutospacing="0" w:after="200" w:afterAutospacing="0"/>
        <w:jc w:val="both"/>
      </w:pPr>
      <w:r>
        <w:rPr>
          <w:color w:val="000000"/>
        </w:rPr>
        <w:t xml:space="preserve">Esta definición dialoga estrechamente con el planteo de </w:t>
      </w:r>
      <w:proofErr w:type="spellStart"/>
      <w:r>
        <w:rPr>
          <w:color w:val="000000"/>
        </w:rPr>
        <w:t>Perrenoud</w:t>
      </w:r>
      <w:proofErr w:type="spellEnd"/>
      <w:r>
        <w:rPr>
          <w:color w:val="000000"/>
        </w:rPr>
        <w:t xml:space="preserve"> (1999), quien concibe la competencia como la capacidad de movilizar de manera pertinente un conjunto de recursos cognitivos —saberes, capacidades, informaciones— para hacer frente con eficacia a una familia de situaciones complejas. Para </w:t>
      </w:r>
      <w:proofErr w:type="spellStart"/>
      <w:r>
        <w:rPr>
          <w:color w:val="000000"/>
        </w:rPr>
        <w:t>Perrenoud</w:t>
      </w:r>
      <w:proofErr w:type="spellEnd"/>
      <w:r>
        <w:rPr>
          <w:color w:val="000000"/>
        </w:rPr>
        <w:t>, formar en competencias exige un desplazamiento del trabajo escolar centrado en la transmisión de contenidos hacia un trabajo centrado en situaciones-problema que obliguen al estudiante a movilizar, articular y transferir saberes disciplinares a contextos inéditos. Ambos autores coinciden en un punto decisivo para nuestro análisis: no existe un único enfoque de competencias, y toda propuesta curricular que se apoye en esta categoría debe explicitar desde qué escuela de pensamiento la está utilizando, así como advertir el riesgo de reducir la formación en competencias a un listado de desempeños prescriptos, vaciado de su potencial transformador.</w:t>
      </w:r>
    </w:p>
    <w:p w14:paraId="2D14B922" w14:textId="77777777" w:rsidR="00472594" w:rsidRDefault="00472594" w:rsidP="00472594">
      <w:pPr>
        <w:pStyle w:val="NormalWeb"/>
        <w:spacing w:before="0" w:beforeAutospacing="0" w:after="200" w:afterAutospacing="0"/>
        <w:jc w:val="both"/>
      </w:pPr>
      <w:r>
        <w:rPr>
          <w:color w:val="000000"/>
        </w:rPr>
        <w:lastRenderedPageBreak/>
        <w:t xml:space="preserve">Trasladada al campo de la internacionalización, esta discusión adquiere una relevancia particular. </w:t>
      </w:r>
      <w:proofErr w:type="gramStart"/>
      <w:r>
        <w:rPr>
          <w:color w:val="000000"/>
        </w:rPr>
        <w:t>Cuando  se</w:t>
      </w:r>
      <w:proofErr w:type="gramEnd"/>
      <w:r>
        <w:rPr>
          <w:color w:val="000000"/>
        </w:rPr>
        <w:t xml:space="preserve"> sostiene que el docente internacionalizado es aquel que posee la intencionalidad pedagógica de integrar perspectivas globales y regionales en el aprendizaje de los futuros profesionales  está proponiendo una noción de competencia próxima al enfoque </w:t>
      </w:r>
      <w:proofErr w:type="spellStart"/>
      <w:r>
        <w:rPr>
          <w:color w:val="000000"/>
        </w:rPr>
        <w:t>socioconstructivista</w:t>
      </w:r>
      <w:proofErr w:type="spellEnd"/>
      <w:r>
        <w:rPr>
          <w:color w:val="000000"/>
        </w:rPr>
        <w:t xml:space="preserve"> y pedagógico-didáctico antes que al conductual: se trata de una disposición reflexiva y situada, y no de un listado cerrado de desempeños verificables. Ello implica que la formación docente de posgrado orientada a la internacionalización no puede limitarse a certificar el manejo de un segundo idioma o la participación en una experiencia de movilidad, sino que debe promover la capacidad del docente para diseñar, de manera intencional, situaciones de enseñanza que pongan a sus estudiantes en contacto con perspectivas, problemas y actores de otras culturas académicas.</w:t>
      </w:r>
    </w:p>
    <w:p w14:paraId="0F0F0B3F" w14:textId="77777777" w:rsidR="00472594" w:rsidRDefault="00472594" w:rsidP="00472594">
      <w:pPr>
        <w:pStyle w:val="NormalWeb"/>
        <w:spacing w:before="0" w:beforeAutospacing="0" w:after="200" w:afterAutospacing="0"/>
        <w:jc w:val="both"/>
      </w:pPr>
      <w:r>
        <w:rPr>
          <w:color w:val="000000"/>
        </w:rPr>
        <w:t xml:space="preserve">Esta </w:t>
      </w:r>
      <w:proofErr w:type="spellStart"/>
      <w:r>
        <w:rPr>
          <w:color w:val="000000"/>
        </w:rPr>
        <w:t>reconceptualización</w:t>
      </w:r>
      <w:proofErr w:type="spellEnd"/>
      <w:r>
        <w:rPr>
          <w:color w:val="000000"/>
        </w:rPr>
        <w:t xml:space="preserve"> de la función docente supone, siguiendo a Díaz-Barriga (2011), reconocer que el trabajo por competencias demanda otro tipo de perspectiva pedagógica en el trabajo docente y muchísimo más tiempo en la elaboración de la estrategia didáctica que el que exige la enseñanza tradicional centrada en contenidos. El docente deja de ser un transmisor de saberes disciplinares estancos para asumirse como diseñador de situaciones de aprendizaje complejas, capaces de articular la especificidad disciplinar con una perspectiva global. En ese sentido, no hay internacionalización del currículum sin un sujeto docente que la traduzca, con intencionalidad pedagógica explícita, en decisiones didácticas concretas.</w:t>
      </w:r>
    </w:p>
    <w:p w14:paraId="4F2F24B6" w14:textId="77777777" w:rsidR="00472594" w:rsidRDefault="00472594" w:rsidP="00472594">
      <w:pPr>
        <w:pStyle w:val="NormalWeb"/>
        <w:spacing w:before="0" w:beforeAutospacing="0" w:after="200" w:afterAutospacing="0"/>
        <w:jc w:val="both"/>
      </w:pPr>
      <w:r>
        <w:rPr>
          <w:b/>
          <w:bCs/>
          <w:color w:val="000000"/>
        </w:rPr>
        <w:t>3. Internacionalizar la asignatura: el papel clave del docente</w:t>
      </w:r>
    </w:p>
    <w:p w14:paraId="5EA03621" w14:textId="77777777" w:rsidR="00472594" w:rsidRDefault="00472594" w:rsidP="00472594">
      <w:pPr>
        <w:pStyle w:val="NormalWeb"/>
        <w:spacing w:before="0" w:beforeAutospacing="0" w:after="200" w:afterAutospacing="0"/>
        <w:jc w:val="both"/>
      </w:pPr>
      <w:r>
        <w:rPr>
          <w:color w:val="000000"/>
        </w:rPr>
        <w:t xml:space="preserve">Si la sección anterior permitió fundamentar por qué el docente constituye el actor clave de la internacionalización del currículum, corresponde ahora preguntarnos de qué manera concreta puede un docente internacionalizar su propia asignatura. </w:t>
      </w:r>
      <w:proofErr w:type="spellStart"/>
      <w:r>
        <w:rPr>
          <w:color w:val="000000"/>
        </w:rPr>
        <w:t>Graichen</w:t>
      </w:r>
      <w:proofErr w:type="spellEnd"/>
      <w:r>
        <w:rPr>
          <w:color w:val="000000"/>
        </w:rPr>
        <w:t xml:space="preserve"> (2022) aporta en este sentido un marco operativo sumamente pertinente. El autor define la internacionalización de la misma como un proceso mediante el cual se integran elementos internacionales en el contenido de la asignatura, se utilizan recursos internacionales en las lecturas y tareas del curso, y se implementan metodologías de instrucción apropiadas para una población estudiantil culturalmente diversa» (</w:t>
      </w:r>
      <w:proofErr w:type="spellStart"/>
      <w:r>
        <w:rPr>
          <w:color w:val="000000"/>
        </w:rPr>
        <w:t>Schuerholz-Lehr</w:t>
      </w:r>
      <w:proofErr w:type="spellEnd"/>
      <w:r>
        <w:rPr>
          <w:color w:val="000000"/>
        </w:rPr>
        <w:t xml:space="preserve"> et al., 2007, como se citó en </w:t>
      </w:r>
      <w:proofErr w:type="spellStart"/>
      <w:r>
        <w:rPr>
          <w:color w:val="000000"/>
        </w:rPr>
        <w:t>Graichen</w:t>
      </w:r>
      <w:proofErr w:type="spellEnd"/>
      <w:r>
        <w:rPr>
          <w:color w:val="000000"/>
        </w:rPr>
        <w:t>, 2022, p. 1). Esta definición desplaza el eje de la internacionalización desde la movilidad física o presencial hacia una micro-política del aula y de la planificación didáctica.</w:t>
      </w:r>
    </w:p>
    <w:p w14:paraId="43496BED" w14:textId="77777777" w:rsidR="00472594" w:rsidRDefault="00472594" w:rsidP="00472594">
      <w:pPr>
        <w:pStyle w:val="NormalWeb"/>
        <w:spacing w:before="0" w:beforeAutospacing="0" w:after="200" w:afterAutospacing="0"/>
        <w:jc w:val="both"/>
      </w:pPr>
      <w:proofErr w:type="spellStart"/>
      <w:r>
        <w:rPr>
          <w:color w:val="000000"/>
        </w:rPr>
        <w:t>Graichen</w:t>
      </w:r>
      <w:proofErr w:type="spellEnd"/>
      <w:r>
        <w:rPr>
          <w:color w:val="000000"/>
        </w:rPr>
        <w:t xml:space="preserve"> (2022) sostiene que, para lograrlo, resulta necesario un cambio de paradigma: el docente debe fortalecer la internacionalización desde el aula, a través de la asignatura que enseña y con apoyo de las TIC. Así como asumir un rol (institucionalizado) de asesoramiento pedagógico a los docentes en la internacionalización de sus enseñanzas. El autor propone que el docente parta de interrogantes concretos —¿cómo está conectada mi asignatura con un problema global?, ¿cómo puedo abordar los contenidos de mi disciplina desde una perspectiva global?, ¿cómo puedo incorporar prácticas profesionales de otros países o culturas?— y despliega, a partir de allí, un conjunto de estrategias entre las que se destacan: la ampliación de la red internacional de contactos docentes a través de </w:t>
      </w:r>
      <w:r>
        <w:rPr>
          <w:color w:val="000000"/>
        </w:rPr>
        <w:lastRenderedPageBreak/>
        <w:t>plataformas profesionales; la formulación de resultados de aprendizaje con componente internacional e intercultural explícito; la incorporación de contenidos, bibliografía y estudios de caso provenientes de distintas culturas y países; la invitación a docentes extranjeros para el desarrollo de clases virtuales sobre temas específicos; y el desarrollo de actividades de aprendizaje colaborativo con estudiantes de otras universidades. </w:t>
      </w:r>
    </w:p>
    <w:p w14:paraId="72BE3810" w14:textId="77777777" w:rsidR="00472594" w:rsidRDefault="00472594" w:rsidP="00472594">
      <w:pPr>
        <w:pStyle w:val="NormalWeb"/>
        <w:spacing w:before="0" w:beforeAutospacing="0" w:after="200" w:afterAutospacing="0"/>
        <w:jc w:val="both"/>
      </w:pPr>
      <w:r>
        <w:rPr>
          <w:b/>
          <w:bCs/>
          <w:color w:val="000000"/>
        </w:rPr>
        <w:t>4. El sistema de créditos académicos: flexibilidad  </w:t>
      </w:r>
    </w:p>
    <w:p w14:paraId="0679BD45" w14:textId="77777777" w:rsidR="00472594" w:rsidRDefault="00472594" w:rsidP="00472594">
      <w:pPr>
        <w:pStyle w:val="NormalWeb"/>
        <w:spacing w:before="0" w:beforeAutospacing="0" w:after="200" w:afterAutospacing="0"/>
        <w:jc w:val="both"/>
      </w:pPr>
      <w:r>
        <w:rPr>
          <w:color w:val="000000"/>
        </w:rPr>
        <w:t xml:space="preserve">Las estrategias de internacionalización en el sentido que lo venimos planteando, resultan más sostenibles, a nivel institucional, con una arquitectura curricular capaz de reconocer y validar administrativamente trayectos formativos diversos. En este punto adquiere centralidad el sistema de créditos académicos. En el caso de la UNDAV, se define al crédito como la unidad de valoración de las enseñanzas que componen un plan de estudio, cuya característica más significativa es que no valora solamente las horas de clase presencial, sino el esfuerzo efectivo que la o el estudiante debe realizar para aprobar la asignatura: horas de clase, trabajo de campo, lecturas, trabajo en equipo, uso de simuladores y horas de preparación y realización de evaluaciones, entre otras dimensiones (Calzoni, 2021). Esta concepción amplia del crédito académico —que excede la mera contabilización de horas áulicas— es la que habilita el reconocimiento de experiencias de aprendizaje no tradicionales, como las actividades internacionalizadas mediadas por TIC descriptas por </w:t>
      </w:r>
      <w:proofErr w:type="spellStart"/>
      <w:r>
        <w:rPr>
          <w:color w:val="000000"/>
        </w:rPr>
        <w:t>Graichen</w:t>
      </w:r>
      <w:proofErr w:type="spellEnd"/>
      <w:r>
        <w:rPr>
          <w:color w:val="000000"/>
        </w:rPr>
        <w:t xml:space="preserve"> (2022). Actualmente las nuevas normativas en torno a los SACAU, en nuevo Sistema Argentino de Créditos Académicos Universitarios</w:t>
      </w:r>
      <w:r>
        <w:rPr>
          <w:color w:val="000000"/>
          <w:sz w:val="14"/>
          <w:szCs w:val="14"/>
          <w:vertAlign w:val="superscript"/>
        </w:rPr>
        <w:t xml:space="preserve"> </w:t>
      </w:r>
      <w:r>
        <w:rPr>
          <w:color w:val="000000"/>
        </w:rPr>
        <w:t>invitan a una nueva reflexión y ponen en agenda este tema. Los créditos SACAU, son una unidad de medida para el esfuerzo total que le toma a un estudiante aprobar una materia, incluye las horas de clase (interacción pedagógica) y el trabajo autónomo fuera del aula, y facilita la movilidad e intercambio entre distintas carreras y universidades. </w:t>
      </w:r>
    </w:p>
    <w:p w14:paraId="075EB27F" w14:textId="77777777" w:rsidR="00472594" w:rsidRDefault="00472594" w:rsidP="00472594">
      <w:pPr>
        <w:pStyle w:val="NormalWeb"/>
        <w:spacing w:before="0" w:beforeAutospacing="0" w:after="200" w:afterAutospacing="0"/>
        <w:jc w:val="both"/>
      </w:pPr>
      <w:r>
        <w:rPr>
          <w:color w:val="000000"/>
        </w:rPr>
        <w:t>El caso de la UNDAV, con respecto a este tema, es presentado por Calzoni (2021), y resulta ilustrativo el modo en que un sistema de créditos bien diseñado potencia la flexibilidad curricular. Desde sus orígenes, la institución definió sus planes de estudio con una estructura de 240 créditos para las licenciaturas y 180 para las tecnicaturas, distribuidos en un 75% de asignaturas obligatorias y un 25% de asignaturas optativas, cuyos trayectos —señala el autor— pueden orientarse hacia los temas de las tesis de grado. Esta flexibilidad interna es la que, según Calzoni (2021), permite el fluido intercambio y la movilidad estudiantil dentro del país, la región y el mundo, dado que el o la estudiante puede cursar asignaturas en otros departamentos o casas de estudio y obtener su reconocimiento sin necesidad de reformular la totalidad de su plan de estudios.</w:t>
      </w:r>
    </w:p>
    <w:p w14:paraId="56F26EFA" w14:textId="77777777" w:rsidR="00472594" w:rsidRDefault="00472594" w:rsidP="00472594">
      <w:pPr>
        <w:pStyle w:val="NormalWeb"/>
        <w:spacing w:before="0" w:beforeAutospacing="0" w:after="200" w:afterAutospacing="0"/>
        <w:jc w:val="both"/>
      </w:pPr>
      <w:r>
        <w:rPr>
          <w:color w:val="000000"/>
        </w:rPr>
        <w:t xml:space="preserve">A nivel de política pública, Calzoni (2021) destaca la puesta en marcha, ya a fines de 2016, del Sistema Nacional de Reconocimiento Académico mediante la Resolución N.º 1870 del entonces Ministerio de Educación y Deportes de la Nación, al cual adhirieron 77 instituciones universitarias públicas y privadas, así como los acuerdos alcanzados por el Consejo de Universidades —a propuesta del Consejo Interuniversitario Nacional— para definir familias de carreras susceptibles de reconocimiento recíproco de créditos. En el plano regional, el autor menciona la experiencia piloto impulsada por la Unión de Universidades de América Latina y el Caribe (UDUALC) para el reconocimiento de </w:t>
      </w:r>
      <w:r>
        <w:rPr>
          <w:color w:val="000000"/>
        </w:rPr>
        <w:lastRenderedPageBreak/>
        <w:t>títulos entre diez instituciones de la región, entre ellas la UNDAV con su carrera de Enfermería, así como los acuerdos firmados en la Universidad Nacional Autónoma de México. Estos antecedentes muestran que el sistema de créditos no es únicamente un dispositivo técnico-administrativo, sino una herramienta estratégica de cooperación Sur-Sur, en la medida en que habilita el reconocimiento mutuo de trayectorias formativas entre instituciones latinoamericanas.</w:t>
      </w:r>
    </w:p>
    <w:p w14:paraId="2D98598B" w14:textId="77777777" w:rsidR="00472594" w:rsidRDefault="00472594" w:rsidP="00472594">
      <w:pPr>
        <w:pStyle w:val="NormalWeb"/>
        <w:spacing w:before="0" w:beforeAutospacing="0" w:after="200" w:afterAutospacing="0"/>
        <w:jc w:val="both"/>
      </w:pPr>
      <w:r>
        <w:rPr>
          <w:b/>
          <w:bCs/>
          <w:color w:val="000000"/>
        </w:rPr>
        <w:t>5. TIC, COIL y aulas espejo: internacionalización en casa</w:t>
      </w:r>
    </w:p>
    <w:p w14:paraId="48AFF27A" w14:textId="77777777" w:rsidR="00472594" w:rsidRDefault="00472594" w:rsidP="00472594">
      <w:pPr>
        <w:pStyle w:val="NormalWeb"/>
        <w:spacing w:before="0" w:beforeAutospacing="0" w:after="200" w:afterAutospacing="0"/>
        <w:jc w:val="both"/>
      </w:pPr>
      <w:r>
        <w:rPr>
          <w:color w:val="000000"/>
        </w:rPr>
        <w:t xml:space="preserve">Un porcentaje minoritario de estudiantes y docentes cuenta con la posibilidad efectiva de acceder a instancias de movilidad física internacional, ya sea por razones económicas, familiares o laborales. Tal como lo plantea </w:t>
      </w:r>
      <w:proofErr w:type="spellStart"/>
      <w:r>
        <w:rPr>
          <w:color w:val="000000"/>
        </w:rPr>
        <w:t>Beneitone</w:t>
      </w:r>
      <w:proofErr w:type="spellEnd"/>
      <w:r>
        <w:rPr>
          <w:color w:val="000000"/>
        </w:rPr>
        <w:t xml:space="preserve"> (2022) “[...] la baja cobertura que la internacionalización tenía en la etapa pre-pandémica para las universidades latinoamericanas se traduce en el reducido número de beneficiarios de estas acciones, que representan una élite dentro de las instituciones. Las ventajas de los esfuerzos realizados en la gestión institucional de la movilidad quedaban en su gran mayoría circunscriptos a los que accedían a esas posibilidades (a través de becas, subsidios, y muchas veces financiamiento de las familias) y que podía sintetizarse en una movilidad e internacionalización “para pocos”” (p.425).</w:t>
      </w:r>
    </w:p>
    <w:p w14:paraId="20F60904" w14:textId="77777777" w:rsidR="00472594" w:rsidRDefault="00472594" w:rsidP="00472594">
      <w:pPr>
        <w:pStyle w:val="NormalWeb"/>
        <w:spacing w:before="0" w:beforeAutospacing="0" w:after="200" w:afterAutospacing="0"/>
        <w:jc w:val="both"/>
      </w:pPr>
      <w:r>
        <w:rPr>
          <w:color w:val="000000"/>
        </w:rPr>
        <w:t>Frente a esta limitación estructural, las tecnologías de la información y la comunicación se constituyen en el soporte que permite extender la internacionalización a la totalidad de la comunidad académica, dando lugar a lo que la literatura especializada denomina «internacionalización en casa». Esa idea que en sus orígenes surge como un enfoque para promover el aprendizaje intercultural entre estudiantes nacionales e internacionales dentro de su propia institución educativa (</w:t>
      </w:r>
      <w:proofErr w:type="spellStart"/>
      <w:r>
        <w:rPr>
          <w:color w:val="000000"/>
        </w:rPr>
        <w:t>Nilsson</w:t>
      </w:r>
      <w:proofErr w:type="spellEnd"/>
      <w:r>
        <w:rPr>
          <w:color w:val="000000"/>
        </w:rPr>
        <w:t xml:space="preserve">, 1998) fue con el tiempo complejizando y enriqueciéndose por autores de diferentes latitudes. </w:t>
      </w:r>
      <w:proofErr w:type="spellStart"/>
      <w:r>
        <w:rPr>
          <w:color w:val="000000"/>
        </w:rPr>
        <w:t>Beelen</w:t>
      </w:r>
      <w:proofErr w:type="spellEnd"/>
      <w:r>
        <w:rPr>
          <w:color w:val="000000"/>
        </w:rPr>
        <w:t xml:space="preserve"> y Jones (2015) redefinieron la "Internacionalización en casa", enfatizando la necesidad de integrar dimensiones internacionales e interculturales en el currículo cotidiano. “La Internacionalización en Casa fue, en parte, una reacción pionera a la necesidad de internacionalizar el aprendizaje para la gran mayoría de los estudiantes que no participaban de una experiencia de movilidad” (</w:t>
      </w:r>
      <w:proofErr w:type="spellStart"/>
      <w:r>
        <w:rPr>
          <w:color w:val="000000"/>
        </w:rPr>
        <w:t>Beneitone</w:t>
      </w:r>
      <w:proofErr w:type="spellEnd"/>
      <w:r>
        <w:rPr>
          <w:color w:val="000000"/>
        </w:rPr>
        <w:t>, 2022)</w:t>
      </w:r>
    </w:p>
    <w:p w14:paraId="19C49800" w14:textId="77777777" w:rsidR="00472594" w:rsidRDefault="00472594" w:rsidP="00472594">
      <w:pPr>
        <w:pStyle w:val="NormalWeb"/>
        <w:spacing w:before="0" w:beforeAutospacing="0" w:after="200" w:afterAutospacing="0"/>
        <w:jc w:val="both"/>
      </w:pPr>
      <w:r>
        <w:rPr>
          <w:color w:val="000000"/>
        </w:rPr>
        <w:t xml:space="preserve">Citando a la ya clásica definición de </w:t>
      </w:r>
      <w:proofErr w:type="spellStart"/>
      <w:r>
        <w:rPr>
          <w:color w:val="000000"/>
        </w:rPr>
        <w:t>Leask</w:t>
      </w:r>
      <w:proofErr w:type="spellEnd"/>
      <w:r>
        <w:rPr>
          <w:color w:val="000000"/>
        </w:rPr>
        <w:t xml:space="preserve"> (2015) es podemos entender la Internacionalización del </w:t>
      </w:r>
      <w:proofErr w:type="spellStart"/>
      <w:r>
        <w:rPr>
          <w:color w:val="000000"/>
        </w:rPr>
        <w:t>Curriculum</w:t>
      </w:r>
      <w:proofErr w:type="spellEnd"/>
      <w:r>
        <w:rPr>
          <w:color w:val="000000"/>
        </w:rPr>
        <w:t xml:space="preserve"> en términos de</w:t>
      </w:r>
      <w:proofErr w:type="gramStart"/>
      <w:r>
        <w:rPr>
          <w:color w:val="000000"/>
        </w:rPr>
        <w:t>:  “</w:t>
      </w:r>
      <w:proofErr w:type="gramEnd"/>
      <w:r>
        <w:rPr>
          <w:color w:val="000000"/>
        </w:rPr>
        <w:t>La internacionalización del plan de estudios es la incorporación dimensiones internacionales, interculturales y/o globales en el contenido del currículo, así como los resultados de aprendizaje, tareas de evaluación, métodos de enseñanza y servicios de apoyo de un programa de estudio” (p.9).</w:t>
      </w:r>
    </w:p>
    <w:p w14:paraId="2607FEA9" w14:textId="77777777" w:rsidR="00472594" w:rsidRDefault="00472594" w:rsidP="00472594">
      <w:pPr>
        <w:pStyle w:val="NormalWeb"/>
        <w:spacing w:before="0" w:beforeAutospacing="0" w:after="200" w:afterAutospacing="0"/>
        <w:jc w:val="both"/>
      </w:pPr>
      <w:proofErr w:type="spellStart"/>
      <w:r>
        <w:rPr>
          <w:color w:val="000000"/>
        </w:rPr>
        <w:t>Graichen</w:t>
      </w:r>
      <w:proofErr w:type="spellEnd"/>
      <w:r>
        <w:rPr>
          <w:color w:val="000000"/>
        </w:rPr>
        <w:t xml:space="preserve"> (2022) nos ofrece ejemplos concretos de actividades de aprendizaje internacionalizadas que no requieren desplazamiento físico: el desarrollo de estudios de caso en los que estudiantes de la propia universidad colaboran de forma virtual —mediante correo electrónico, mensajería instantánea, </w:t>
      </w:r>
      <w:proofErr w:type="spellStart"/>
      <w:r>
        <w:rPr>
          <w:color w:val="000000"/>
        </w:rPr>
        <w:t>videollamadas</w:t>
      </w:r>
      <w:proofErr w:type="spellEnd"/>
      <w:r>
        <w:rPr>
          <w:color w:val="000000"/>
        </w:rPr>
        <w:t xml:space="preserve"> o herramientas de edición colaborativa de documentos— con pares de otro país; la organización de foros virtuales de discusión con estudiantes extranjeros sobre temas relevantes de la materia; y </w:t>
      </w:r>
      <w:r>
        <w:rPr>
          <w:color w:val="000000"/>
        </w:rPr>
        <w:lastRenderedPageBreak/>
        <w:t>la realización de investigaciones conjuntas sobre problemáticas comunes a ambos contextos.</w:t>
      </w:r>
    </w:p>
    <w:p w14:paraId="1BC157E3" w14:textId="77777777" w:rsidR="00472594" w:rsidRDefault="00472594" w:rsidP="00472594">
      <w:pPr>
        <w:pStyle w:val="NormalWeb"/>
        <w:spacing w:before="0" w:beforeAutospacing="0" w:after="200" w:afterAutospacing="0"/>
        <w:jc w:val="both"/>
      </w:pPr>
      <w:r>
        <w:rPr>
          <w:color w:val="000000"/>
        </w:rPr>
        <w:t>Estas modalidades se inscriben en lo que el campo de la internacionalización curricular reconoce como aprendizaje colaborativo internacional en línea (COIL, por sus siglas en inglés) y aulas espejo, dispositivos mencionados también en el resumen que orienta este trabajo como herramientas centrales para sostener la colaboración internacional sin necesidad de traslado. Mientras que la movilidad física suele estar condicionada por el capital económico, las actividades mediadas por TIC pueden incorporarse como parte del cursado regular de una asignatura, alcanzando a la totalidad del grupo. </w:t>
      </w:r>
    </w:p>
    <w:p w14:paraId="635565AC" w14:textId="77777777" w:rsidR="00472594" w:rsidRDefault="00472594" w:rsidP="00472594">
      <w:pPr>
        <w:pStyle w:val="NormalWeb"/>
        <w:spacing w:before="0" w:beforeAutospacing="0" w:after="200" w:afterAutospacing="0"/>
        <w:jc w:val="both"/>
      </w:pPr>
      <w:r>
        <w:rPr>
          <w:color w:val="000000"/>
        </w:rPr>
        <w:t>Entendemos que la incorporación de TIC no debe entenderse como un fin en sí mismo, sino como un medio al servicio del desarrollo de competencias interculturales complejas. Retomando la discusión conceptual, una actividad mediada por tecnología constituye una experiencia formativa significativa en la medida en que permite al estudiante poner en acto recursos cognitivos y actitudinales para resolver una situación de comunicación o de trabajo intercultural genuina (</w:t>
      </w:r>
      <w:proofErr w:type="spellStart"/>
      <w:r>
        <w:rPr>
          <w:color w:val="000000"/>
        </w:rPr>
        <w:t>Perrenoud</w:t>
      </w:r>
      <w:proofErr w:type="spellEnd"/>
      <w:r>
        <w:rPr>
          <w:color w:val="000000"/>
        </w:rPr>
        <w:t xml:space="preserve">, 1999), y no cuando se limita a un intercambio protocolar sin verdadera interacción académica. De allí la importancia, señalada por </w:t>
      </w:r>
      <w:proofErr w:type="spellStart"/>
      <w:r>
        <w:rPr>
          <w:color w:val="000000"/>
        </w:rPr>
        <w:t>Graichen</w:t>
      </w:r>
      <w:proofErr w:type="spellEnd"/>
      <w:r>
        <w:rPr>
          <w:color w:val="000000"/>
        </w:rPr>
        <w:t xml:space="preserve"> (2022), de evaluar específicamente el desarrollo de estas competencias y de que el docente diseñe con intencionalidad pedagógica las condiciones de esa colaboración virtual.</w:t>
      </w:r>
    </w:p>
    <w:p w14:paraId="5E2A58E4" w14:textId="77777777" w:rsidR="00472594" w:rsidRDefault="00472594" w:rsidP="00472594">
      <w:pPr>
        <w:pStyle w:val="NormalWeb"/>
        <w:spacing w:before="0" w:beforeAutospacing="0" w:after="200" w:afterAutospacing="0"/>
        <w:jc w:val="both"/>
      </w:pPr>
      <w:r>
        <w:rPr>
          <w:b/>
          <w:bCs/>
          <w:color w:val="000000"/>
        </w:rPr>
        <w:t>6. Hacia una Internacionalización del Currículum situada desde una perspectiva Sur-Sur</w:t>
      </w:r>
    </w:p>
    <w:p w14:paraId="19A101C4" w14:textId="77777777" w:rsidR="00472594" w:rsidRDefault="00472594" w:rsidP="00472594">
      <w:pPr>
        <w:pStyle w:val="NormalWeb"/>
        <w:spacing w:before="0" w:beforeAutospacing="0" w:after="200" w:afterAutospacing="0"/>
        <w:jc w:val="both"/>
      </w:pPr>
      <w:r>
        <w:rPr>
          <w:color w:val="000000"/>
        </w:rPr>
        <w:t xml:space="preserve">Los cinco apartados anteriores permiten reconstruir un entramado conceptual en el que ninguna de las categorías analizadas resulta suficiente por sí sola para explicar el proceso de internacionalización del currículum. El currículum, entendido como síntesis de elementos culturales y arena de poder (de Alba, 1991), aporta el marco político que advierte sobre los riesgos de reproducir modelos hegemónicos y que exige preguntarse, en cada decisión de internacionalización, qué actores y qué saberes resultan incluidos o excluidos. Las competencias y la función docente (Díaz-Barriga, 2011; </w:t>
      </w:r>
      <w:proofErr w:type="spellStart"/>
      <w:r>
        <w:rPr>
          <w:color w:val="000000"/>
        </w:rPr>
        <w:t>Perrenoud</w:t>
      </w:r>
      <w:proofErr w:type="spellEnd"/>
      <w:r>
        <w:rPr>
          <w:color w:val="000000"/>
        </w:rPr>
        <w:t>, 1999) aportan la dimensión pedagógica que explica por qué el docente —y no únicamente la normativa institucional— constituye el actor decisivo de este proceso, en tanto es quien traduce en situaciones de enseñanza concretas la intencionalidad de integrar perspectivas globales, regionales e interculturales. Las estrategias de internacionalización de la asignatura (</w:t>
      </w:r>
      <w:proofErr w:type="spellStart"/>
      <w:r>
        <w:rPr>
          <w:color w:val="000000"/>
        </w:rPr>
        <w:t>Graichen</w:t>
      </w:r>
      <w:proofErr w:type="spellEnd"/>
      <w:r>
        <w:rPr>
          <w:color w:val="000000"/>
        </w:rPr>
        <w:t>, 2022) aportan el nivel operativo, micro-curricular, en el que esa intencionalidad se materializa día a día en el aula. El sistema de créditos (Calzoni, 2021) aporta el dispositivo técnico-normativo que otorga sostenibilidad institucional a esas experiencias, reconociéndolas formalmente en la trayectoria del estudiante y habilitando la movilidad y el intercambio. Y las TIC, a través de modalidades como Cursos con metodología COIL y Aulas espejo, aportan la infraestructura que democratiza el acceso a la experiencia internacional más allá de la movilidad física.</w:t>
      </w:r>
    </w:p>
    <w:p w14:paraId="50CD7500" w14:textId="77777777" w:rsidR="00472594" w:rsidRDefault="00472594" w:rsidP="00472594">
      <w:pPr>
        <w:pStyle w:val="NormalWeb"/>
        <w:spacing w:before="0" w:beforeAutospacing="0" w:after="200" w:afterAutospacing="0"/>
        <w:jc w:val="both"/>
      </w:pPr>
      <w:r>
        <w:rPr>
          <w:color w:val="000000"/>
        </w:rPr>
        <w:t xml:space="preserve">La articulación coherente de estas cuatro categorías es, precisamente, lo que distingue a una Internacionalización del Currículum situada de la simple adopción de recetas </w:t>
      </w:r>
      <w:r>
        <w:rPr>
          <w:color w:val="000000"/>
        </w:rPr>
        <w:lastRenderedPageBreak/>
        <w:t xml:space="preserve">producidas en otros contextos. Desde una mirada regional Sur-Sur, esto implica, en primer lugar, priorizar el reconocimiento académico y la cooperación con instituciones latinoamericanas y caribeñas —como muestran los antecedentes de la UDUALC y del Sistema Nacional de Reconocimiento Académico sistematizados por Calzoni (2021)— sin subordinar dicha cooperación a los circuitos tradicionales de acreditación de los países centrales. En segundo lugar, supone que las competencias interculturales que se busca desarrollar no se definan de manera abstracta y universal, sino en diálogo con las problemáticas específicas de nuestra región, evitando el riesgo —advertido por Díaz-Barriga (2011) al analizar las competencias clave de la OCDE— de que una supuesta «nueva ciudadanía sin fronteras» termine </w:t>
      </w:r>
      <w:proofErr w:type="spellStart"/>
      <w:r>
        <w:rPr>
          <w:color w:val="000000"/>
        </w:rPr>
        <w:t>invisibilizando</w:t>
      </w:r>
      <w:proofErr w:type="spellEnd"/>
      <w:r>
        <w:rPr>
          <w:color w:val="000000"/>
        </w:rPr>
        <w:t xml:space="preserve"> las condiciones históricas, culturales y económicas particulares de las regiones. Y, en tercer lugar, requiere que la formación docente de posgrado incorpore de manera explícita el desarrollo de estas cuatro dimensiones, formando a los y las docentes no sólo como especialistas disciplinares, sino como diseñadores intencionales de dispositivos curriculares internacionalizados y situados.</w:t>
      </w:r>
    </w:p>
    <w:p w14:paraId="750E4EB3" w14:textId="77777777" w:rsidR="00472594" w:rsidRDefault="00472594" w:rsidP="00472594">
      <w:pPr>
        <w:pStyle w:val="NormalWeb"/>
        <w:spacing w:before="0" w:beforeAutospacing="0" w:after="200" w:afterAutospacing="0"/>
        <w:jc w:val="both"/>
      </w:pPr>
      <w:r>
        <w:rPr>
          <w:b/>
          <w:bCs/>
          <w:color w:val="000000"/>
        </w:rPr>
        <w:t>7. Implicancias para el diseño de dispositivos de formación docente de posgrado</w:t>
      </w:r>
    </w:p>
    <w:p w14:paraId="40EE10BA" w14:textId="77777777" w:rsidR="00472594" w:rsidRDefault="00472594" w:rsidP="00472594">
      <w:pPr>
        <w:pStyle w:val="NormalWeb"/>
        <w:spacing w:before="0" w:beforeAutospacing="0" w:after="200" w:afterAutospacing="0"/>
        <w:jc w:val="both"/>
      </w:pPr>
      <w:r>
        <w:rPr>
          <w:color w:val="000000"/>
        </w:rPr>
        <w:t>El recorrido conceptual precedente habilita, finalmente, algunas consideraciones de orden más aplicado sobre el diseño de dispositivos de formación docente de posgrado orientados a la internacionalización del currículum. En primer término, un programa de posgrado que asuma esta perspectiva no puede limitarse a incluir un módulo o seminario específico sobre internacionalización, entendido como contenido disciplinar entre otros, sino que debe atravesar de manera transversal el conjunto de la propuesta formativa, en consonancia con el carácter estratégico y no periférico que le asigna la Declaración del CIN (2021). Esto supone, siguiendo a Díaz-Barriga (2011), que el diseño curricular explicite desde qué escuela de pensamiento sobre competencias se posiciona, evitando la yuxtaposición acrítica de enfoques conductuales que el propio autor identifica como una de las principales debilidades de los planes de estudio contemporáneos organizados por competencias.</w:t>
      </w:r>
    </w:p>
    <w:p w14:paraId="08049866" w14:textId="77777777" w:rsidR="00472594" w:rsidRDefault="00472594" w:rsidP="00472594">
      <w:pPr>
        <w:pStyle w:val="NormalWeb"/>
        <w:spacing w:before="0" w:beforeAutospacing="0" w:after="200" w:afterAutospacing="0"/>
        <w:jc w:val="both"/>
      </w:pPr>
      <w:r>
        <w:rPr>
          <w:color w:val="000000"/>
        </w:rPr>
        <w:t>En segundo término, la formación de posgrado debiera ofrecer a los y las docentes cursantes experiencias formativas que ellos mismos puedan luego trasladar a sus propias asignaturas, siguiendo el principio de coherencia entre la forma y el contenido de la enseñanza. Esto implica que el propio trayecto de posgrado incorpore, como estrategia pedagógica y no sólo como objeto de estudio, actividades de colaboración internacional mediadas por TIC —foros virtuales con docentes de otras universidades de la región, estudios de caso compartidos, experiencias reales de colegas— de modo que la experiencia de internacionalización en casa (</w:t>
      </w:r>
      <w:proofErr w:type="spellStart"/>
      <w:r>
        <w:rPr>
          <w:color w:val="000000"/>
        </w:rPr>
        <w:t>Graichen</w:t>
      </w:r>
      <w:proofErr w:type="spellEnd"/>
      <w:r>
        <w:rPr>
          <w:color w:val="000000"/>
        </w:rPr>
        <w:t>, 2022) sea vivida en primera persona.</w:t>
      </w:r>
    </w:p>
    <w:p w14:paraId="335738F4" w14:textId="77777777" w:rsidR="00472594" w:rsidRDefault="00472594" w:rsidP="00472594">
      <w:pPr>
        <w:pStyle w:val="NormalWeb"/>
        <w:spacing w:before="0" w:beforeAutospacing="0" w:after="200" w:afterAutospacing="0"/>
        <w:jc w:val="both"/>
      </w:pPr>
      <w:r>
        <w:rPr>
          <w:b/>
          <w:bCs/>
          <w:color w:val="000000"/>
        </w:rPr>
        <w:t>Conclusiones</w:t>
      </w:r>
    </w:p>
    <w:p w14:paraId="3430AF73" w14:textId="77777777" w:rsidR="00472594" w:rsidRDefault="00472594" w:rsidP="00472594">
      <w:pPr>
        <w:pStyle w:val="NormalWeb"/>
        <w:spacing w:before="0" w:beforeAutospacing="0" w:after="200" w:afterAutospacing="0"/>
        <w:jc w:val="both"/>
      </w:pPr>
      <w:r>
        <w:rPr>
          <w:color w:val="000000"/>
        </w:rPr>
        <w:t xml:space="preserve">A lo largo de este trabajo hemos sostenido que el currículum constituye el puente indispensable entre las definiciones políticas sobre internacionalización —sintetizadas en la Declaración del CIN (2021)— y su traducción efectiva en prácticas pedagógicas </w:t>
      </w:r>
      <w:r>
        <w:rPr>
          <w:color w:val="000000"/>
        </w:rPr>
        <w:lastRenderedPageBreak/>
        <w:t>concretas. Esta afirmación, tiene consecuencias analíticas precisas: si el currículum es, como plantea de Alba (1991), una síntesis de elementos culturales atravesada por relaciones de poder. La internacionalización, en general, no puede pensarse como un proceso técnico y neutral (</w:t>
      </w:r>
      <w:proofErr w:type="spellStart"/>
      <w:r>
        <w:rPr>
          <w:color w:val="000000"/>
        </w:rPr>
        <w:t>Perrotta</w:t>
      </w:r>
      <w:proofErr w:type="spellEnd"/>
      <w:r>
        <w:rPr>
          <w:color w:val="000000"/>
        </w:rPr>
        <w:t xml:space="preserve">, 2016), la internacionalización del </w:t>
      </w:r>
      <w:proofErr w:type="spellStart"/>
      <w:r>
        <w:rPr>
          <w:color w:val="000000"/>
        </w:rPr>
        <w:t>curriculum</w:t>
      </w:r>
      <w:proofErr w:type="spellEnd"/>
      <w:r>
        <w:rPr>
          <w:color w:val="000000"/>
        </w:rPr>
        <w:t>, en particular, es una decisión política que debe explicitar desde qué lugar geopolítico se tomas y con qué actores se produce y se comparte el conocimiento.</w:t>
      </w:r>
    </w:p>
    <w:p w14:paraId="4AC79B34" w14:textId="77777777" w:rsidR="00472594" w:rsidRDefault="00472594" w:rsidP="00472594">
      <w:pPr>
        <w:pStyle w:val="NormalWeb"/>
        <w:spacing w:before="0" w:beforeAutospacing="0" w:after="200" w:afterAutospacing="0"/>
        <w:jc w:val="both"/>
      </w:pPr>
      <w:r>
        <w:rPr>
          <w:color w:val="000000"/>
        </w:rPr>
        <w:t xml:space="preserve">Hemos argumentado que el docente internacionalizado constituye el actor clave de este proceso. Recuperando el debate conceptual sobre competencias (Díaz-Barriga, 2011; </w:t>
      </w:r>
      <w:proofErr w:type="spellStart"/>
      <w:r>
        <w:rPr>
          <w:color w:val="000000"/>
        </w:rPr>
        <w:t>Perrenoud</w:t>
      </w:r>
      <w:proofErr w:type="spellEnd"/>
      <w:r>
        <w:rPr>
          <w:color w:val="000000"/>
        </w:rPr>
        <w:t xml:space="preserve">, 1999), sostuvimos que esta figura no puede reducirse a un conjunto de desempeños prescriptos y verificables, sino que remite a una disposición reflexiva capaz de diseñar, con intencionalidad pedagógica, situaciones de enseñanza. Las estrategias sistematizadas por </w:t>
      </w:r>
      <w:proofErr w:type="spellStart"/>
      <w:r>
        <w:rPr>
          <w:color w:val="000000"/>
        </w:rPr>
        <w:t>Graichen</w:t>
      </w:r>
      <w:proofErr w:type="spellEnd"/>
      <w:r>
        <w:rPr>
          <w:color w:val="000000"/>
        </w:rPr>
        <w:t xml:space="preserve"> (2022) muestran que esta intencionalidad puede y debe traducirse en decisiones concretas de planificación: resultados de aprendizaje con componente internacional, contenidos y bibliografía diversificados culturalmente, y actividades de colaboración virtual con pares de otras instituciones.</w:t>
      </w:r>
    </w:p>
    <w:p w14:paraId="6699FE38" w14:textId="77777777" w:rsidR="00472594" w:rsidRDefault="00472594" w:rsidP="00472594">
      <w:pPr>
        <w:pStyle w:val="NormalWeb"/>
        <w:spacing w:before="0" w:beforeAutospacing="0" w:after="200" w:afterAutospacing="0"/>
        <w:jc w:val="both"/>
      </w:pPr>
      <w:r>
        <w:rPr>
          <w:color w:val="000000"/>
        </w:rPr>
        <w:t xml:space="preserve">Ninguna de estas transformaciones pedagógicas resulta sostenible sin un correlato técnico-normativo que la respalde institucionalmente. El sistema de créditos académicos analizado a partir de la experiencia de la UNDAV (Calzoni, 2021) cumple esa función: al concebir el crédito como una unidad que valora el esfuerzo formativo integral y no sólo la </w:t>
      </w:r>
      <w:proofErr w:type="spellStart"/>
      <w:r>
        <w:rPr>
          <w:color w:val="000000"/>
        </w:rPr>
        <w:t>presencialidad</w:t>
      </w:r>
      <w:proofErr w:type="spellEnd"/>
      <w:r>
        <w:rPr>
          <w:color w:val="000000"/>
        </w:rPr>
        <w:t xml:space="preserve"> áulica, habilita el reconocimiento de trayectos flexibles, la movilidad estudiantil y docente, y la cooperación Sur-Sur entre instituciones de la región. Las tecnologías de la información y la comunicación, por su parte, a través de modalidades como Cursos con metodología COIL y las Aulas espejo, permiten extender esta experiencia internacional a la totalidad de la comunidad académica, democratizando un acceso que de otro modo quedaría reservado a quienes cuentan con los recursos para la movilidad física.</w:t>
      </w:r>
    </w:p>
    <w:p w14:paraId="3CBA8C80" w14:textId="77777777" w:rsidR="00472594" w:rsidRDefault="00472594" w:rsidP="00472594">
      <w:pPr>
        <w:pStyle w:val="NormalWeb"/>
        <w:spacing w:before="0" w:beforeAutospacing="0" w:after="200" w:afterAutospacing="0"/>
        <w:jc w:val="both"/>
      </w:pPr>
      <w:r>
        <w:rPr>
          <w:color w:val="000000"/>
        </w:rPr>
        <w:t>Finalmente, sostenemos que la Internacionalización del Currículum en la formación docente de posgrado exige la articulación simultánea y coherente de estas cuatro dimensiones —competencias, función docente, sistema de créditos y TIC—, evitando la fragmentación que suele caracterizar a las políticas institucionales de internacionalización, donde cada dimensión se gestiona de manera aislada por áreas administrativas distintas. Desde una perspectiva regional Sur-Sur, esta articulación debe perseguir la construcción de dispositivos de enseñanza situados, pertinentes a las problemáticas y a las condiciones institucionales de nuestras universidades públicas latinoamericanas. Queda como agenda pendiente de investigación profundizar en el diseño de programas de formación docente de posgrado que integren explícitamente estas cuatro categorías, así como en la construcción de instrumentos de evaluación que permitan verificar, más allá de la declaración de intenciones, el efectivo desarrollo de competencias interculturales en los y las estudiantes de nuestras instituciones.</w:t>
      </w:r>
    </w:p>
    <w:p w14:paraId="544B704F" w14:textId="77777777" w:rsidR="00BC236F" w:rsidRPr="00B71428" w:rsidRDefault="00BC236F" w:rsidP="007B5B5F">
      <w:pPr>
        <w:spacing w:line="240" w:lineRule="auto"/>
        <w:jc w:val="both"/>
        <w:rPr>
          <w:rFonts w:ascii="Times New Roman" w:hAnsi="Times New Roman" w:cs="Times New Roman"/>
          <w:lang w:val="en-GB"/>
        </w:rPr>
      </w:pPr>
    </w:p>
    <w:p w14:paraId="39B57161" w14:textId="6C146EBD"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472594">
        <w:rPr>
          <w:rFonts w:ascii="Times New Roman" w:hAnsi="Times New Roman" w:cs="Times New Roman"/>
          <w:b/>
          <w:bCs/>
        </w:rPr>
        <w:t>ferencias Bibliográficas</w:t>
      </w:r>
    </w:p>
    <w:p w14:paraId="2BAF2B92" w14:textId="77777777" w:rsidR="00822116" w:rsidRPr="00822116" w:rsidRDefault="00822116" w:rsidP="00822116">
      <w:pPr>
        <w:pStyle w:val="NormalWeb"/>
        <w:spacing w:before="0" w:beforeAutospacing="0" w:after="160" w:afterAutospacing="0"/>
        <w:jc w:val="both"/>
        <w:rPr>
          <w:lang w:val="en-GB"/>
        </w:rPr>
      </w:pPr>
      <w:bookmarkStart w:id="0" w:name="_GoBack"/>
      <w:bookmarkEnd w:id="0"/>
      <w:proofErr w:type="spellStart"/>
      <w:r w:rsidRPr="00822116">
        <w:rPr>
          <w:color w:val="000000"/>
          <w:lang w:val="en-GB"/>
        </w:rPr>
        <w:lastRenderedPageBreak/>
        <w:t>Beelen</w:t>
      </w:r>
      <w:proofErr w:type="spellEnd"/>
      <w:r w:rsidRPr="00822116">
        <w:rPr>
          <w:color w:val="000000"/>
          <w:lang w:val="en-GB"/>
        </w:rPr>
        <w:t xml:space="preserve">, J., &amp; Jones, E. (2015). Redefining internationalization at home. In A. </w:t>
      </w:r>
      <w:proofErr w:type="spellStart"/>
      <w:r w:rsidRPr="00822116">
        <w:rPr>
          <w:color w:val="000000"/>
          <w:lang w:val="en-GB"/>
        </w:rPr>
        <w:t>Curaj</w:t>
      </w:r>
      <w:proofErr w:type="spellEnd"/>
      <w:r w:rsidRPr="00822116">
        <w:rPr>
          <w:color w:val="000000"/>
          <w:lang w:val="en-GB"/>
        </w:rPr>
        <w:t xml:space="preserve">, L. </w:t>
      </w:r>
      <w:proofErr w:type="spellStart"/>
      <w:r w:rsidRPr="00822116">
        <w:rPr>
          <w:color w:val="000000"/>
          <w:lang w:val="en-GB"/>
        </w:rPr>
        <w:t>Matei</w:t>
      </w:r>
      <w:proofErr w:type="spellEnd"/>
      <w:r w:rsidRPr="00822116">
        <w:rPr>
          <w:color w:val="000000"/>
          <w:lang w:val="en-GB"/>
        </w:rPr>
        <w:t xml:space="preserve">, R. </w:t>
      </w:r>
      <w:proofErr w:type="spellStart"/>
      <w:r w:rsidRPr="00822116">
        <w:rPr>
          <w:color w:val="000000"/>
          <w:lang w:val="en-GB"/>
        </w:rPr>
        <w:t>Pricopie</w:t>
      </w:r>
      <w:proofErr w:type="spellEnd"/>
      <w:r w:rsidRPr="00822116">
        <w:rPr>
          <w:color w:val="000000"/>
          <w:lang w:val="en-GB"/>
        </w:rPr>
        <w:t xml:space="preserve">, J. </w:t>
      </w:r>
      <w:proofErr w:type="spellStart"/>
      <w:r w:rsidRPr="00822116">
        <w:rPr>
          <w:color w:val="000000"/>
          <w:lang w:val="en-GB"/>
        </w:rPr>
        <w:t>Salmi</w:t>
      </w:r>
      <w:proofErr w:type="spellEnd"/>
      <w:r w:rsidRPr="00822116">
        <w:rPr>
          <w:color w:val="000000"/>
          <w:lang w:val="en-GB"/>
        </w:rPr>
        <w:t xml:space="preserve">, &amp; P. Scott (Eds.), </w:t>
      </w:r>
      <w:r w:rsidRPr="00822116">
        <w:rPr>
          <w:i/>
          <w:iCs/>
          <w:color w:val="000000"/>
          <w:lang w:val="en-GB"/>
        </w:rPr>
        <w:t>The European higher education area: Between critical reflections and future policies</w:t>
      </w:r>
      <w:r w:rsidRPr="00822116">
        <w:rPr>
          <w:color w:val="000000"/>
          <w:lang w:val="en-GB"/>
        </w:rPr>
        <w:t xml:space="preserve"> (pp. 59-72).</w:t>
      </w:r>
    </w:p>
    <w:p w14:paraId="7A2745CB" w14:textId="77777777" w:rsidR="00822116" w:rsidRDefault="00822116" w:rsidP="00822116">
      <w:pPr>
        <w:pStyle w:val="NormalWeb"/>
        <w:spacing w:before="0" w:beforeAutospacing="0" w:after="200" w:afterAutospacing="0"/>
        <w:jc w:val="both"/>
      </w:pPr>
      <w:proofErr w:type="spellStart"/>
      <w:r>
        <w:rPr>
          <w:color w:val="000000"/>
          <w:shd w:val="clear" w:color="auto" w:fill="FFFFFF"/>
        </w:rPr>
        <w:t>Beneitone</w:t>
      </w:r>
      <w:proofErr w:type="spellEnd"/>
      <w:r>
        <w:rPr>
          <w:color w:val="000000"/>
          <w:shd w:val="clear" w:color="auto" w:fill="FFFFFF"/>
        </w:rPr>
        <w:t xml:space="preserve">, P. (2022). Internacionalización del currículo: una respuesta democratizadora a las desigualdades resultantes de la movilidad académica elitista. Revista Educación Superior y Sociedad (ESS), 34(1), 422-444. </w:t>
      </w:r>
      <w:r>
        <w:rPr>
          <w:color w:val="000000"/>
        </w:rPr>
        <w:t> </w:t>
      </w:r>
    </w:p>
    <w:p w14:paraId="4FAD8112" w14:textId="77777777" w:rsidR="00822116" w:rsidRDefault="00822116" w:rsidP="00822116">
      <w:pPr>
        <w:pStyle w:val="NormalWeb"/>
        <w:spacing w:before="0" w:beforeAutospacing="0" w:after="200" w:afterAutospacing="0"/>
        <w:jc w:val="both"/>
      </w:pPr>
      <w:r>
        <w:rPr>
          <w:color w:val="000000"/>
        </w:rPr>
        <w:t xml:space="preserve">Bourdieu, P., &amp; </w:t>
      </w:r>
      <w:proofErr w:type="spellStart"/>
      <w:r>
        <w:rPr>
          <w:color w:val="000000"/>
        </w:rPr>
        <w:t>Passeron</w:t>
      </w:r>
      <w:proofErr w:type="spellEnd"/>
      <w:r>
        <w:rPr>
          <w:color w:val="000000"/>
        </w:rPr>
        <w:t xml:space="preserve">, J. (2018). </w:t>
      </w:r>
      <w:r>
        <w:rPr>
          <w:i/>
          <w:iCs/>
          <w:color w:val="000000"/>
        </w:rPr>
        <w:t xml:space="preserve">La reproducción: Elementos para una teoría del sistema de enseñanza </w:t>
      </w:r>
      <w:r>
        <w:rPr>
          <w:color w:val="000000"/>
        </w:rPr>
        <w:t>(1a ed.). Siglo XX Editores. (Obra original publicada en 1970).</w:t>
      </w:r>
    </w:p>
    <w:p w14:paraId="4E3D60FC" w14:textId="77777777" w:rsidR="00822116" w:rsidRDefault="00822116" w:rsidP="00822116">
      <w:pPr>
        <w:pStyle w:val="NormalWeb"/>
        <w:spacing w:before="0" w:beforeAutospacing="0" w:after="160" w:afterAutospacing="0"/>
        <w:jc w:val="both"/>
      </w:pPr>
      <w:r>
        <w:rPr>
          <w:color w:val="000000"/>
        </w:rPr>
        <w:t xml:space="preserve">Calzoni, J. (2021). Enseñar y aprender. En </w:t>
      </w:r>
      <w:proofErr w:type="spellStart"/>
      <w:r>
        <w:rPr>
          <w:i/>
          <w:iCs/>
          <w:color w:val="000000"/>
        </w:rPr>
        <w:t>Cepunia</w:t>
      </w:r>
      <w:proofErr w:type="spellEnd"/>
      <w:r>
        <w:rPr>
          <w:i/>
          <w:iCs/>
          <w:color w:val="000000"/>
        </w:rPr>
        <w:t xml:space="preserve"> 2</w:t>
      </w:r>
      <w:r>
        <w:rPr>
          <w:color w:val="000000"/>
        </w:rPr>
        <w:t xml:space="preserve"> (pp. 59–64). Universidad Nacional de Avellaneda (UNDAV).</w:t>
      </w:r>
    </w:p>
    <w:p w14:paraId="23BE8E66" w14:textId="77777777" w:rsidR="00822116" w:rsidRDefault="00822116" w:rsidP="00822116">
      <w:pPr>
        <w:pStyle w:val="NormalWeb"/>
        <w:spacing w:before="0" w:beforeAutospacing="0" w:after="160" w:afterAutospacing="0"/>
        <w:jc w:val="both"/>
      </w:pPr>
      <w:r>
        <w:rPr>
          <w:color w:val="000000"/>
        </w:rPr>
        <w:t xml:space="preserve">Consejo Interuniversitario Nacional. (2021). </w:t>
      </w:r>
      <w:r>
        <w:rPr>
          <w:i/>
          <w:iCs/>
          <w:color w:val="000000"/>
        </w:rPr>
        <w:t xml:space="preserve">Universidades argentinas del 2030 - Declaración del Consejo Interuniversitario Nacional - 14 de diciembre de 2021. </w:t>
      </w:r>
      <w:r>
        <w:rPr>
          <w:color w:val="000000"/>
        </w:rPr>
        <w:t>https://www.cin.edu.ar/declaracion-ministerio-de-educacion-cin-14-de-diciembre-de-2021/</w:t>
      </w:r>
    </w:p>
    <w:p w14:paraId="60699347" w14:textId="77777777" w:rsidR="00822116" w:rsidRDefault="00822116" w:rsidP="00822116">
      <w:pPr>
        <w:pStyle w:val="NormalWeb"/>
        <w:spacing w:before="0" w:beforeAutospacing="0" w:after="160" w:afterAutospacing="0"/>
        <w:jc w:val="both"/>
      </w:pPr>
      <w:r>
        <w:rPr>
          <w:color w:val="000000"/>
        </w:rPr>
        <w:t xml:space="preserve">de Alba, A. (1991). </w:t>
      </w:r>
      <w:r>
        <w:rPr>
          <w:i/>
          <w:iCs/>
          <w:color w:val="000000"/>
        </w:rPr>
        <w:t>Currículum: crisis, mito y perspectivas</w:t>
      </w:r>
      <w:r>
        <w:rPr>
          <w:color w:val="000000"/>
        </w:rPr>
        <w:t xml:space="preserve"> (Cap. 3). Centro de Estudios sobre la Universidad, Universidad Nacional Autónoma de México.</w:t>
      </w:r>
    </w:p>
    <w:p w14:paraId="4D43FBC9" w14:textId="77777777" w:rsidR="00822116" w:rsidRDefault="00822116" w:rsidP="00822116">
      <w:pPr>
        <w:pStyle w:val="NormalWeb"/>
        <w:spacing w:before="0" w:beforeAutospacing="0" w:after="160" w:afterAutospacing="0"/>
        <w:jc w:val="both"/>
      </w:pPr>
      <w:r>
        <w:rPr>
          <w:color w:val="000000"/>
        </w:rPr>
        <w:t xml:space="preserve">Díaz-Barriga, Á. (2011). Competencias en educación. Corrientes de pensamiento e implicaciones para el currículo y el trabajo en el aula. </w:t>
      </w:r>
      <w:r>
        <w:rPr>
          <w:i/>
          <w:iCs/>
          <w:color w:val="000000"/>
        </w:rPr>
        <w:t>Revista Iberoamericana de Educación Superior, 2</w:t>
      </w:r>
      <w:r>
        <w:rPr>
          <w:color w:val="000000"/>
        </w:rPr>
        <w:t>(5), 3–24.</w:t>
      </w:r>
    </w:p>
    <w:p w14:paraId="441F2490" w14:textId="77777777" w:rsidR="00822116" w:rsidRPr="00822116" w:rsidRDefault="00822116" w:rsidP="00822116">
      <w:pPr>
        <w:pStyle w:val="NormalWeb"/>
        <w:spacing w:before="0" w:beforeAutospacing="0" w:after="160" w:afterAutospacing="0"/>
        <w:jc w:val="both"/>
        <w:rPr>
          <w:lang w:val="en-GB"/>
        </w:rPr>
      </w:pPr>
      <w:proofErr w:type="spellStart"/>
      <w:r>
        <w:rPr>
          <w:color w:val="000000"/>
        </w:rPr>
        <w:t>Graichen</w:t>
      </w:r>
      <w:proofErr w:type="spellEnd"/>
      <w:r>
        <w:rPr>
          <w:color w:val="000000"/>
        </w:rPr>
        <w:t xml:space="preserve">, R. K. (2022, 10 de enero). </w:t>
      </w:r>
      <w:r>
        <w:rPr>
          <w:i/>
          <w:iCs/>
          <w:color w:val="000000"/>
        </w:rPr>
        <w:t>Internacionalizar la asignatura. Papel clave del docente</w:t>
      </w:r>
      <w:r>
        <w:rPr>
          <w:color w:val="000000"/>
        </w:rPr>
        <w:t xml:space="preserve">. </w:t>
      </w:r>
      <w:proofErr w:type="spellStart"/>
      <w:r w:rsidRPr="00822116">
        <w:rPr>
          <w:color w:val="000000"/>
          <w:lang w:val="en-GB"/>
        </w:rPr>
        <w:t>ThinkingLab</w:t>
      </w:r>
      <w:proofErr w:type="spellEnd"/>
      <w:r w:rsidRPr="00822116">
        <w:rPr>
          <w:color w:val="000000"/>
          <w:lang w:val="en-GB"/>
        </w:rPr>
        <w:t xml:space="preserve">. </w:t>
      </w:r>
      <w:hyperlink r:id="rId7" w:history="1">
        <w:r w:rsidRPr="00822116">
          <w:rPr>
            <w:rStyle w:val="Hipervnculo"/>
            <w:rFonts w:eastAsiaTheme="majorEastAsia"/>
            <w:color w:val="1155CC"/>
            <w:lang w:val="en-GB"/>
          </w:rPr>
          <w:t>https://thinkinglab.com.co/blog/internacionalizar-la-asignatura-papel-clave-del-docente.html</w:t>
        </w:r>
      </w:hyperlink>
    </w:p>
    <w:p w14:paraId="79CA7A48" w14:textId="77777777" w:rsidR="00822116" w:rsidRDefault="00822116" w:rsidP="00822116">
      <w:pPr>
        <w:pStyle w:val="NormalWeb"/>
        <w:spacing w:before="0" w:beforeAutospacing="0" w:after="160" w:afterAutospacing="0"/>
        <w:jc w:val="both"/>
      </w:pPr>
      <w:proofErr w:type="spellStart"/>
      <w:r w:rsidRPr="00822116">
        <w:rPr>
          <w:color w:val="000000"/>
          <w:lang w:val="en-GB"/>
        </w:rPr>
        <w:t>Leask</w:t>
      </w:r>
      <w:proofErr w:type="spellEnd"/>
      <w:r w:rsidRPr="00822116">
        <w:rPr>
          <w:color w:val="000000"/>
          <w:lang w:val="en-GB"/>
        </w:rPr>
        <w:t xml:space="preserve">, B. (2015). </w:t>
      </w:r>
      <w:r w:rsidRPr="00822116">
        <w:rPr>
          <w:i/>
          <w:iCs/>
          <w:color w:val="000000"/>
          <w:lang w:val="en-GB"/>
        </w:rPr>
        <w:t>Internationalising the curriculum</w:t>
      </w:r>
      <w:r w:rsidRPr="00822116">
        <w:rPr>
          <w:color w:val="000000"/>
          <w:lang w:val="en-GB"/>
        </w:rPr>
        <w:t xml:space="preserve">. </w:t>
      </w:r>
      <w:proofErr w:type="spellStart"/>
      <w:r>
        <w:rPr>
          <w:color w:val="000000"/>
        </w:rPr>
        <w:t>Routledge</w:t>
      </w:r>
      <w:proofErr w:type="spellEnd"/>
      <w:r>
        <w:rPr>
          <w:color w:val="000000"/>
        </w:rPr>
        <w:t>.</w:t>
      </w:r>
    </w:p>
    <w:p w14:paraId="67C2116B" w14:textId="77777777" w:rsidR="00822116" w:rsidRDefault="00822116" w:rsidP="00822116">
      <w:pPr>
        <w:pStyle w:val="NormalWeb"/>
        <w:spacing w:before="0" w:beforeAutospacing="0" w:after="160" w:afterAutospacing="0"/>
        <w:jc w:val="both"/>
      </w:pPr>
      <w:r w:rsidRPr="00822116">
        <w:rPr>
          <w:color w:val="000000"/>
          <w:lang w:val="en-GB"/>
        </w:rPr>
        <w:t xml:space="preserve">Nilsson, B. (1998). </w:t>
      </w:r>
      <w:r w:rsidRPr="00822116">
        <w:rPr>
          <w:i/>
          <w:iCs/>
          <w:color w:val="000000"/>
          <w:lang w:val="en-GB"/>
        </w:rPr>
        <w:t>Internationalization at Home: A Framework for Global Learning</w:t>
      </w:r>
      <w:r w:rsidRPr="00822116">
        <w:rPr>
          <w:color w:val="000000"/>
          <w:lang w:val="en-GB"/>
        </w:rPr>
        <w:t xml:space="preserve">. </w:t>
      </w:r>
      <w:r>
        <w:rPr>
          <w:color w:val="000000"/>
        </w:rPr>
        <w:t xml:space="preserve">Malmö </w:t>
      </w:r>
      <w:proofErr w:type="spellStart"/>
      <w:r>
        <w:rPr>
          <w:color w:val="000000"/>
        </w:rPr>
        <w:t>University</w:t>
      </w:r>
      <w:proofErr w:type="spellEnd"/>
      <w:r>
        <w:rPr>
          <w:color w:val="000000"/>
        </w:rPr>
        <w:t>.</w:t>
      </w:r>
    </w:p>
    <w:p w14:paraId="1B231A0E" w14:textId="77777777" w:rsidR="00822116" w:rsidRDefault="00822116" w:rsidP="00822116">
      <w:pPr>
        <w:pStyle w:val="NormalWeb"/>
        <w:spacing w:before="0" w:beforeAutospacing="0" w:after="160" w:afterAutospacing="0"/>
        <w:jc w:val="both"/>
      </w:pPr>
      <w:proofErr w:type="spellStart"/>
      <w:r>
        <w:rPr>
          <w:color w:val="000000"/>
        </w:rPr>
        <w:t>Perrenoud</w:t>
      </w:r>
      <w:proofErr w:type="spellEnd"/>
      <w:r>
        <w:rPr>
          <w:color w:val="000000"/>
        </w:rPr>
        <w:t xml:space="preserve">, P. (1999). </w:t>
      </w:r>
      <w:r>
        <w:rPr>
          <w:i/>
          <w:iCs/>
          <w:color w:val="000000"/>
        </w:rPr>
        <w:t>Construir competencias desde la escuela</w:t>
      </w:r>
      <w:r>
        <w:rPr>
          <w:color w:val="000000"/>
        </w:rPr>
        <w:t>. Dolmen Ediciones.</w:t>
      </w:r>
    </w:p>
    <w:p w14:paraId="2CAB38F2" w14:textId="77777777" w:rsidR="00822116" w:rsidRDefault="00822116" w:rsidP="00822116">
      <w:pPr>
        <w:pStyle w:val="NormalWeb"/>
        <w:spacing w:before="0" w:beforeAutospacing="0" w:after="160" w:afterAutospacing="0"/>
        <w:jc w:val="both"/>
      </w:pPr>
      <w:proofErr w:type="spellStart"/>
      <w:r>
        <w:rPr>
          <w:color w:val="000000"/>
          <w:shd w:val="clear" w:color="auto" w:fill="FFFFFF"/>
        </w:rPr>
        <w:t>Perrotta</w:t>
      </w:r>
      <w:proofErr w:type="spellEnd"/>
      <w:r>
        <w:rPr>
          <w:color w:val="000000"/>
          <w:shd w:val="clear" w:color="auto" w:fill="FFFFFF"/>
        </w:rPr>
        <w:t>, D. (2016), La internacionalización de la universidad: Debates globales, acciones regionales, Buenos Aires: IEC-CONADU; Universidad Nacional de General Sarmiento.</w:t>
      </w:r>
      <w:r>
        <w:rPr>
          <w:color w:val="000000"/>
        </w:rPr>
        <w:t> </w:t>
      </w:r>
    </w:p>
    <w:p w14:paraId="3FB455AF" w14:textId="77777777" w:rsidR="00822116" w:rsidRPr="00822116" w:rsidRDefault="00822116" w:rsidP="00822116">
      <w:pPr>
        <w:pStyle w:val="NormalWeb"/>
        <w:spacing w:before="0" w:beforeAutospacing="0" w:after="160" w:afterAutospacing="0"/>
        <w:jc w:val="both"/>
        <w:rPr>
          <w:lang w:val="en-GB"/>
        </w:rPr>
      </w:pPr>
      <w:proofErr w:type="spellStart"/>
      <w:r w:rsidRPr="00822116">
        <w:rPr>
          <w:color w:val="000000"/>
          <w:lang w:val="en-GB"/>
        </w:rPr>
        <w:t>Schuerholz</w:t>
      </w:r>
      <w:proofErr w:type="spellEnd"/>
      <w:r w:rsidRPr="00822116">
        <w:rPr>
          <w:color w:val="000000"/>
          <w:lang w:val="en-GB"/>
        </w:rPr>
        <w:t xml:space="preserve">-Lehr, S., Caws, C., Van </w:t>
      </w:r>
      <w:proofErr w:type="spellStart"/>
      <w:r w:rsidRPr="00822116">
        <w:rPr>
          <w:color w:val="000000"/>
          <w:lang w:val="en-GB"/>
        </w:rPr>
        <w:t>Gyn</w:t>
      </w:r>
      <w:proofErr w:type="spellEnd"/>
      <w:r w:rsidRPr="00822116">
        <w:rPr>
          <w:color w:val="000000"/>
          <w:lang w:val="en-GB"/>
        </w:rPr>
        <w:t xml:space="preserve">, G., &amp; </w:t>
      </w:r>
      <w:proofErr w:type="spellStart"/>
      <w:r w:rsidRPr="00822116">
        <w:rPr>
          <w:color w:val="000000"/>
          <w:lang w:val="en-GB"/>
        </w:rPr>
        <w:t>Preece</w:t>
      </w:r>
      <w:proofErr w:type="spellEnd"/>
      <w:r w:rsidRPr="00822116">
        <w:rPr>
          <w:color w:val="000000"/>
          <w:lang w:val="en-GB"/>
        </w:rPr>
        <w:t xml:space="preserve">, A. (2007). Internationalizing the higher education curriculum: An emerging model for transforming faculty perspectives. </w:t>
      </w:r>
      <w:r w:rsidRPr="00822116">
        <w:rPr>
          <w:i/>
          <w:iCs/>
          <w:color w:val="000000"/>
          <w:lang w:val="en-GB"/>
        </w:rPr>
        <w:t>Canadian Journal of Higher Education, 37</w:t>
      </w:r>
      <w:r w:rsidRPr="00822116">
        <w:rPr>
          <w:color w:val="000000"/>
          <w:lang w:val="en-GB"/>
        </w:rPr>
        <w:t xml:space="preserve">(1), 67–94. (Como se </w:t>
      </w:r>
      <w:proofErr w:type="spellStart"/>
      <w:r w:rsidRPr="00822116">
        <w:rPr>
          <w:color w:val="000000"/>
          <w:lang w:val="en-GB"/>
        </w:rPr>
        <w:t>citó</w:t>
      </w:r>
      <w:proofErr w:type="spellEnd"/>
      <w:r w:rsidRPr="00822116">
        <w:rPr>
          <w:color w:val="000000"/>
          <w:lang w:val="en-GB"/>
        </w:rPr>
        <w:t xml:space="preserve"> </w:t>
      </w:r>
      <w:proofErr w:type="spellStart"/>
      <w:r w:rsidRPr="00822116">
        <w:rPr>
          <w:color w:val="000000"/>
          <w:lang w:val="en-GB"/>
        </w:rPr>
        <w:t>en</w:t>
      </w:r>
      <w:proofErr w:type="spellEnd"/>
      <w:r w:rsidRPr="00822116">
        <w:rPr>
          <w:color w:val="000000"/>
          <w:lang w:val="en-GB"/>
        </w:rPr>
        <w:t xml:space="preserve"> </w:t>
      </w:r>
      <w:proofErr w:type="spellStart"/>
      <w:r w:rsidRPr="00822116">
        <w:rPr>
          <w:color w:val="000000"/>
          <w:lang w:val="en-GB"/>
        </w:rPr>
        <w:t>Graichen</w:t>
      </w:r>
      <w:proofErr w:type="spellEnd"/>
      <w:r w:rsidRPr="00822116">
        <w:rPr>
          <w:color w:val="000000"/>
          <w:lang w:val="en-GB"/>
        </w:rPr>
        <w:t>, 2022).</w:t>
      </w:r>
    </w:p>
    <w:p w14:paraId="7E83515B" w14:textId="648EA76C" w:rsidR="001923DC" w:rsidRPr="00822116" w:rsidRDefault="001923DC" w:rsidP="00472594">
      <w:pPr>
        <w:spacing w:line="240" w:lineRule="auto"/>
        <w:rPr>
          <w:rFonts w:ascii="Times New Roman" w:hAnsi="Times New Roman" w:cs="Times New Roman"/>
          <w:lang w:val="en-GB"/>
        </w:rPr>
      </w:pPr>
    </w:p>
    <w:sectPr w:rsidR="001923DC" w:rsidRPr="00822116"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42774" w14:textId="77777777" w:rsidR="001C36B2" w:rsidRPr="00BA642E" w:rsidRDefault="001C36B2" w:rsidP="00C802F5">
      <w:pPr>
        <w:spacing w:after="0" w:line="240" w:lineRule="auto"/>
      </w:pPr>
      <w:r w:rsidRPr="00BA642E">
        <w:separator/>
      </w:r>
    </w:p>
  </w:endnote>
  <w:endnote w:type="continuationSeparator" w:id="0">
    <w:p w14:paraId="57F9682A" w14:textId="77777777" w:rsidR="001C36B2" w:rsidRPr="00BA642E" w:rsidRDefault="001C36B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F4A27" w14:textId="77777777" w:rsidR="001C36B2" w:rsidRPr="00BA642E" w:rsidRDefault="001C36B2" w:rsidP="00C802F5">
      <w:pPr>
        <w:spacing w:after="0" w:line="240" w:lineRule="auto"/>
      </w:pPr>
      <w:r w:rsidRPr="00BA642E">
        <w:separator/>
      </w:r>
    </w:p>
  </w:footnote>
  <w:footnote w:type="continuationSeparator" w:id="0">
    <w:p w14:paraId="54B79070" w14:textId="77777777" w:rsidR="001C36B2" w:rsidRPr="00BA642E" w:rsidRDefault="001C36B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1C36B2"/>
    <w:rsid w:val="002327C3"/>
    <w:rsid w:val="00312392"/>
    <w:rsid w:val="004040C0"/>
    <w:rsid w:val="00437E9C"/>
    <w:rsid w:val="00472594"/>
    <w:rsid w:val="00550766"/>
    <w:rsid w:val="005F3B2E"/>
    <w:rsid w:val="00701F64"/>
    <w:rsid w:val="007B5B5F"/>
    <w:rsid w:val="007D233B"/>
    <w:rsid w:val="00822116"/>
    <w:rsid w:val="0085070B"/>
    <w:rsid w:val="00A17247"/>
    <w:rsid w:val="00B71428"/>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B71428"/>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0809">
      <w:bodyDiv w:val="1"/>
      <w:marLeft w:val="0"/>
      <w:marRight w:val="0"/>
      <w:marTop w:val="0"/>
      <w:marBottom w:val="0"/>
      <w:divBdr>
        <w:top w:val="none" w:sz="0" w:space="0" w:color="auto"/>
        <w:left w:val="none" w:sz="0" w:space="0" w:color="auto"/>
        <w:bottom w:val="none" w:sz="0" w:space="0" w:color="auto"/>
        <w:right w:val="none" w:sz="0" w:space="0" w:color="auto"/>
      </w:divBdr>
    </w:div>
    <w:div w:id="213079467">
      <w:bodyDiv w:val="1"/>
      <w:marLeft w:val="0"/>
      <w:marRight w:val="0"/>
      <w:marTop w:val="0"/>
      <w:marBottom w:val="0"/>
      <w:divBdr>
        <w:top w:val="none" w:sz="0" w:space="0" w:color="auto"/>
        <w:left w:val="none" w:sz="0" w:space="0" w:color="auto"/>
        <w:bottom w:val="none" w:sz="0" w:space="0" w:color="auto"/>
        <w:right w:val="none" w:sz="0" w:space="0" w:color="auto"/>
      </w:divBdr>
    </w:div>
    <w:div w:id="344526520">
      <w:bodyDiv w:val="1"/>
      <w:marLeft w:val="0"/>
      <w:marRight w:val="0"/>
      <w:marTop w:val="0"/>
      <w:marBottom w:val="0"/>
      <w:divBdr>
        <w:top w:val="none" w:sz="0" w:space="0" w:color="auto"/>
        <w:left w:val="none" w:sz="0" w:space="0" w:color="auto"/>
        <w:bottom w:val="none" w:sz="0" w:space="0" w:color="auto"/>
        <w:right w:val="none" w:sz="0" w:space="0" w:color="auto"/>
      </w:divBdr>
    </w:div>
    <w:div w:id="364211694">
      <w:bodyDiv w:val="1"/>
      <w:marLeft w:val="0"/>
      <w:marRight w:val="0"/>
      <w:marTop w:val="0"/>
      <w:marBottom w:val="0"/>
      <w:divBdr>
        <w:top w:val="none" w:sz="0" w:space="0" w:color="auto"/>
        <w:left w:val="none" w:sz="0" w:space="0" w:color="auto"/>
        <w:bottom w:val="none" w:sz="0" w:space="0" w:color="auto"/>
        <w:right w:val="none" w:sz="0" w:space="0" w:color="auto"/>
      </w:divBdr>
    </w:div>
    <w:div w:id="1038892456">
      <w:bodyDiv w:val="1"/>
      <w:marLeft w:val="0"/>
      <w:marRight w:val="0"/>
      <w:marTop w:val="0"/>
      <w:marBottom w:val="0"/>
      <w:divBdr>
        <w:top w:val="none" w:sz="0" w:space="0" w:color="auto"/>
        <w:left w:val="none" w:sz="0" w:space="0" w:color="auto"/>
        <w:bottom w:val="none" w:sz="0" w:space="0" w:color="auto"/>
        <w:right w:val="none" w:sz="0" w:space="0" w:color="auto"/>
      </w:divBdr>
    </w:div>
    <w:div w:id="1076247465">
      <w:bodyDiv w:val="1"/>
      <w:marLeft w:val="0"/>
      <w:marRight w:val="0"/>
      <w:marTop w:val="0"/>
      <w:marBottom w:val="0"/>
      <w:divBdr>
        <w:top w:val="none" w:sz="0" w:space="0" w:color="auto"/>
        <w:left w:val="none" w:sz="0" w:space="0" w:color="auto"/>
        <w:bottom w:val="none" w:sz="0" w:space="0" w:color="auto"/>
        <w:right w:val="none" w:sz="0" w:space="0" w:color="auto"/>
      </w:divBdr>
    </w:div>
    <w:div w:id="176587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inkinglab.com.co/blog/internacionalizar-la-asignatura-papel-clave-del-docent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577E8-DD4F-48E6-B7B8-1A70A01E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5332</Words>
  <Characters>29327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Leticia Marrone</cp:lastModifiedBy>
  <cp:revision>6</cp:revision>
  <dcterms:created xsi:type="dcterms:W3CDTF">2026-03-14T03:50:00Z</dcterms:created>
  <dcterms:modified xsi:type="dcterms:W3CDTF">2026-07-12T22:52:00Z</dcterms:modified>
</cp:coreProperties>
</file>