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43C49479" w14:textId="5FEBFDE3" w:rsidR="005F3B2E" w:rsidRPr="00BA642E" w:rsidRDefault="00A4562C" w:rsidP="001923DC">
      <w:pPr>
        <w:jc w:val="center"/>
        <w:rPr>
          <w:rFonts w:ascii="Times New Roman" w:hAnsi="Times New Roman" w:cs="Times New Roman"/>
        </w:rPr>
      </w:pPr>
      <w:r w:rsidRPr="00A4562C">
        <w:rPr>
          <w:rFonts w:ascii="Times New Roman" w:hAnsi="Times New Roman" w:cs="Times New Roman"/>
          <w:b/>
          <w:bCs/>
        </w:rPr>
        <w:t>El “qué”, el “cómo” y el “por qué” de la perspectiva de género(s) en el currículum universitario: propuesta de un modelo analítico para la investigación educativa</w:t>
      </w:r>
    </w:p>
    <w:p w14:paraId="4E738780" w14:textId="6F0EC00E" w:rsidR="005F3B2E" w:rsidRPr="00BA642E" w:rsidRDefault="00A4562C" w:rsidP="005F3B2E">
      <w:pPr>
        <w:spacing w:after="0" w:line="240" w:lineRule="auto"/>
        <w:jc w:val="right"/>
        <w:rPr>
          <w:rFonts w:ascii="Times New Roman" w:hAnsi="Times New Roman" w:cs="Times New Roman"/>
        </w:rPr>
      </w:pPr>
      <w:r>
        <w:rPr>
          <w:rFonts w:ascii="Times New Roman" w:hAnsi="Times New Roman" w:cs="Times New Roman"/>
        </w:rPr>
        <w:t xml:space="preserve">Gaba, Mariana Raquel </w:t>
      </w:r>
    </w:p>
    <w:p w14:paraId="6C2AECCA" w14:textId="45F3415F" w:rsidR="005F3B2E" w:rsidRPr="00BA642E" w:rsidRDefault="00A4562C" w:rsidP="005F3B2E">
      <w:pPr>
        <w:spacing w:after="0" w:line="240" w:lineRule="auto"/>
        <w:jc w:val="right"/>
        <w:rPr>
          <w:rFonts w:ascii="Times New Roman" w:hAnsi="Times New Roman" w:cs="Times New Roman"/>
        </w:rPr>
      </w:pPr>
      <w:r>
        <w:rPr>
          <w:rFonts w:ascii="Times New Roman" w:hAnsi="Times New Roman" w:cs="Times New Roman"/>
        </w:rPr>
        <w:t>Universidad Diego Portales</w:t>
      </w:r>
    </w:p>
    <w:p w14:paraId="7D0026CD" w14:textId="377A8F00" w:rsidR="005F3B2E" w:rsidRPr="00BA642E" w:rsidRDefault="00A4562C" w:rsidP="005F3B2E">
      <w:pPr>
        <w:spacing w:after="0" w:line="240" w:lineRule="auto"/>
        <w:jc w:val="right"/>
        <w:rPr>
          <w:rFonts w:ascii="Times New Roman" w:hAnsi="Times New Roman" w:cs="Times New Roman"/>
        </w:rPr>
      </w:pPr>
      <w:r>
        <w:rPr>
          <w:rFonts w:ascii="Times New Roman" w:hAnsi="Times New Roman" w:cs="Times New Roman"/>
        </w:rPr>
        <w:t>mariana.gaba@udp.cl</w:t>
      </w:r>
    </w:p>
    <w:p w14:paraId="1FA0F857" w14:textId="77777777" w:rsidR="005F3B2E" w:rsidRPr="00BA642E" w:rsidRDefault="005F3B2E" w:rsidP="005F3B2E">
      <w:pPr>
        <w:rPr>
          <w:rFonts w:ascii="Times New Roman" w:hAnsi="Times New Roman" w:cs="Times New Roman"/>
        </w:rPr>
      </w:pPr>
    </w:p>
    <w:p w14:paraId="40718227" w14:textId="7B3D4CA4" w:rsidR="00EA5BEA" w:rsidRPr="00FC1887" w:rsidRDefault="00BA642E" w:rsidP="00EA5BEA">
      <w:pPr>
        <w:spacing w:line="240" w:lineRule="auto"/>
        <w:jc w:val="both"/>
        <w:rPr>
          <w:rFonts w:ascii="Times New Roman" w:hAnsi="Times New Roman" w:cs="Times New Roman"/>
          <w:lang w:val="es-CL"/>
        </w:rPr>
      </w:pPr>
      <w:r w:rsidRPr="00EA5BEA">
        <w:rPr>
          <w:rFonts w:ascii="Times New Roman" w:hAnsi="Times New Roman" w:cs="Times New Roman"/>
          <w:b/>
          <w:bCs/>
          <w:lang w:val="es-CL"/>
        </w:rPr>
        <w:t>Resumen:</w:t>
      </w:r>
      <w:r w:rsidR="007B5B5F" w:rsidRPr="00EA5BEA">
        <w:rPr>
          <w:rFonts w:ascii="Times New Roman" w:hAnsi="Times New Roman" w:cs="Times New Roman"/>
          <w:b/>
          <w:bCs/>
          <w:lang w:val="es-CL"/>
        </w:rPr>
        <w:t xml:space="preserve"> </w:t>
      </w:r>
      <w:r w:rsidR="00FC1887" w:rsidRPr="00FC1887">
        <w:rPr>
          <w:rFonts w:ascii="Times New Roman" w:hAnsi="Times New Roman" w:cs="Times New Roman"/>
          <w:lang w:val="es-CL"/>
        </w:rPr>
        <w:t>La agenda de igualdad de género en las universidades chilenas ha avanzado significativamente a nivel normativo tras las movilizaciones</w:t>
      </w:r>
      <w:r w:rsidR="00626B28">
        <w:rPr>
          <w:rFonts w:ascii="Times New Roman" w:hAnsi="Times New Roman" w:cs="Times New Roman"/>
          <w:lang w:val="es-CL"/>
        </w:rPr>
        <w:t xml:space="preserve"> feministas</w:t>
      </w:r>
      <w:r w:rsidR="00FC1887" w:rsidRPr="00FC1887">
        <w:rPr>
          <w:rFonts w:ascii="Times New Roman" w:hAnsi="Times New Roman" w:cs="Times New Roman"/>
          <w:lang w:val="es-CL"/>
        </w:rPr>
        <w:t xml:space="preserve"> de 2018</w:t>
      </w:r>
      <w:r w:rsidR="003833A9">
        <w:rPr>
          <w:rFonts w:ascii="Times New Roman" w:hAnsi="Times New Roman" w:cs="Times New Roman"/>
          <w:lang w:val="es-CL"/>
        </w:rPr>
        <w:t xml:space="preserve"> </w:t>
      </w:r>
      <w:r w:rsidR="003833A9" w:rsidRPr="002B01C7">
        <w:rPr>
          <w:rFonts w:ascii="Times New Roman" w:hAnsi="Times New Roman" w:cs="Times New Roman"/>
          <w:lang w:val="es-CL"/>
        </w:rPr>
        <w:t>(Hiner y López Dietz, 2021)</w:t>
      </w:r>
      <w:r w:rsidR="00FC1887" w:rsidRPr="00FC1887">
        <w:rPr>
          <w:rFonts w:ascii="Times New Roman" w:hAnsi="Times New Roman" w:cs="Times New Roman"/>
          <w:lang w:val="es-CL"/>
        </w:rPr>
        <w:t xml:space="preserve"> y la promulgación de la Ley N° 21.369. Sin embargo, la institucionalización de este enfoque se ha concentrado de forma casi exclusiva en la prevención y sanción de la violencia de género, relegando la transformación de los procesos formativos y evidenciando un descuido crítico en el ámbito curricular. Ante esta brecha, este artículo propone </w:t>
      </w:r>
      <w:r w:rsidR="00DC1B06">
        <w:rPr>
          <w:rFonts w:ascii="Times New Roman" w:hAnsi="Times New Roman" w:cs="Times New Roman"/>
          <w:lang w:val="es-CL"/>
        </w:rPr>
        <w:t xml:space="preserve">un modelo </w:t>
      </w:r>
      <w:r w:rsidR="00FC1887" w:rsidRPr="00FC1887">
        <w:rPr>
          <w:rFonts w:ascii="Times New Roman" w:hAnsi="Times New Roman" w:cs="Times New Roman"/>
          <w:lang w:val="es-CL"/>
        </w:rPr>
        <w:t>heurístic</w:t>
      </w:r>
      <w:r w:rsidR="00DC1B06">
        <w:rPr>
          <w:rFonts w:ascii="Times New Roman" w:hAnsi="Times New Roman" w:cs="Times New Roman"/>
          <w:lang w:val="es-CL"/>
        </w:rPr>
        <w:t>o</w:t>
      </w:r>
      <w:r w:rsidR="00FC1887" w:rsidRPr="00FC1887">
        <w:rPr>
          <w:rFonts w:ascii="Times New Roman" w:hAnsi="Times New Roman" w:cs="Times New Roman"/>
          <w:lang w:val="es-CL"/>
        </w:rPr>
        <w:t xml:space="preserve"> y teóric</w:t>
      </w:r>
      <w:r w:rsidR="00DC1B06">
        <w:rPr>
          <w:rFonts w:ascii="Times New Roman" w:hAnsi="Times New Roman" w:cs="Times New Roman"/>
          <w:lang w:val="es-CL"/>
        </w:rPr>
        <w:t>o</w:t>
      </w:r>
      <w:r w:rsidR="00FC1887" w:rsidRPr="00FC1887">
        <w:rPr>
          <w:rFonts w:ascii="Times New Roman" w:hAnsi="Times New Roman" w:cs="Times New Roman"/>
          <w:lang w:val="es-CL"/>
        </w:rPr>
        <w:t xml:space="preserve"> tridimensional basad</w:t>
      </w:r>
      <w:r w:rsidR="00DC1B06">
        <w:rPr>
          <w:rFonts w:ascii="Times New Roman" w:hAnsi="Times New Roman" w:cs="Times New Roman"/>
          <w:lang w:val="es-CL"/>
        </w:rPr>
        <w:t>o</w:t>
      </w:r>
      <w:r w:rsidR="00FC1887" w:rsidRPr="00FC1887">
        <w:rPr>
          <w:rFonts w:ascii="Times New Roman" w:hAnsi="Times New Roman" w:cs="Times New Roman"/>
          <w:lang w:val="es-CL"/>
        </w:rPr>
        <w:t xml:space="preserve"> en el "qué", el "cómo" y el "por qué" para analizar la incorporación de la perspectiva de género(s) (PGs) en el currículum de las carreras de pregrado en Chile.  El andamiaje conceptual se sustenta en la sociología de Basil Bernstein</w:t>
      </w:r>
      <w:r w:rsidR="003833A9">
        <w:rPr>
          <w:rFonts w:ascii="Times New Roman" w:hAnsi="Times New Roman" w:cs="Times New Roman"/>
          <w:lang w:val="es-CL"/>
        </w:rPr>
        <w:t xml:space="preserve"> (1990, 1999)</w:t>
      </w:r>
      <w:r w:rsidR="00FC1887" w:rsidRPr="00FC1887">
        <w:rPr>
          <w:rFonts w:ascii="Times New Roman" w:hAnsi="Times New Roman" w:cs="Times New Roman"/>
          <w:lang w:val="es-CL"/>
        </w:rPr>
        <w:t xml:space="preserve">, específicamente en sus nociones de dispositivo pedagógico, códigos, reglas de recontextualización y la distinción entre discursos instruccionales y reguladores. </w:t>
      </w:r>
      <w:r w:rsidR="008A6EC3">
        <w:rPr>
          <w:rFonts w:ascii="Times New Roman" w:hAnsi="Times New Roman" w:cs="Times New Roman"/>
          <w:lang w:val="es-CL"/>
        </w:rPr>
        <w:t>La propuesta presentada</w:t>
      </w:r>
      <w:r w:rsidR="00FC1887" w:rsidRPr="00FC1887">
        <w:rPr>
          <w:rFonts w:ascii="Times New Roman" w:hAnsi="Times New Roman" w:cs="Times New Roman"/>
          <w:lang w:val="es-CL"/>
        </w:rPr>
        <w:t xml:space="preserve"> constituye un avance teórico que guiará una posterior investigación empírica cualitativa basada en la revisión documental y entrevistas en profundidad a actorías clave.  </w:t>
      </w:r>
      <w:r w:rsidR="00E32D03">
        <w:rPr>
          <w:rFonts w:ascii="Times New Roman" w:hAnsi="Times New Roman" w:cs="Times New Roman"/>
          <w:lang w:val="es-CL"/>
        </w:rPr>
        <w:t>Respecto del modelo propuesto, l</w:t>
      </w:r>
      <w:r w:rsidR="00FC1887" w:rsidRPr="00FC1887">
        <w:rPr>
          <w:rFonts w:ascii="Times New Roman" w:hAnsi="Times New Roman" w:cs="Times New Roman"/>
          <w:lang w:val="es-CL"/>
        </w:rPr>
        <w:t xml:space="preserve">a dimensión del "qué" examina el conocimiento y devela una brecha de justicia epistémica entre las áreas </w:t>
      </w:r>
      <w:r w:rsidR="003833A9" w:rsidRPr="00FC1887">
        <w:rPr>
          <w:rFonts w:ascii="Times New Roman" w:hAnsi="Times New Roman" w:cs="Times New Roman"/>
          <w:lang w:val="es-CL"/>
        </w:rPr>
        <w:t>STEM y</w:t>
      </w:r>
      <w:r w:rsidR="00FC1887" w:rsidRPr="00FC1887">
        <w:rPr>
          <w:rFonts w:ascii="Times New Roman" w:hAnsi="Times New Roman" w:cs="Times New Roman"/>
          <w:lang w:val="es-CL"/>
        </w:rPr>
        <w:t xml:space="preserve"> las ciencias sociales. El "cómo" aborda la gestión organizacional en el campo de la recontextualización pedagógica, visibilizando las tensiones en el "Tercer Espacio" </w:t>
      </w:r>
      <w:r w:rsidR="003833A9">
        <w:rPr>
          <w:rFonts w:ascii="Times New Roman" w:hAnsi="Times New Roman" w:cs="Times New Roman"/>
          <w:lang w:val="es-CL"/>
        </w:rPr>
        <w:t xml:space="preserve">(Whitchurch, 2012) </w:t>
      </w:r>
      <w:r w:rsidR="00FC1887" w:rsidRPr="00FC1887">
        <w:rPr>
          <w:rFonts w:ascii="Times New Roman" w:hAnsi="Times New Roman" w:cs="Times New Roman"/>
          <w:lang w:val="es-CL"/>
        </w:rPr>
        <w:t xml:space="preserve">entre el cuerpo académico tradicional y las profesionales de las unidades de género, consideradas activistas institucionalizadas. Finalmente, el "por qué" indaga en los marcos interpretativos de las actorías y en el discurso regulador (el ethos institucional), sugiriendo que la </w:t>
      </w:r>
      <w:r w:rsidR="000B16A0" w:rsidRPr="00FC1887">
        <w:rPr>
          <w:rFonts w:ascii="Times New Roman" w:hAnsi="Times New Roman" w:cs="Times New Roman"/>
          <w:lang w:val="es-CL"/>
        </w:rPr>
        <w:t>asimilación de</w:t>
      </w:r>
      <w:r w:rsidR="00FC1887" w:rsidRPr="00FC1887">
        <w:rPr>
          <w:rFonts w:ascii="Times New Roman" w:hAnsi="Times New Roman" w:cs="Times New Roman"/>
          <w:lang w:val="es-CL"/>
        </w:rPr>
        <w:t xml:space="preserve"> contenidos de violencia o derechos humanos p</w:t>
      </w:r>
      <w:r w:rsidR="00103ED8">
        <w:rPr>
          <w:rFonts w:ascii="Times New Roman" w:hAnsi="Times New Roman" w:cs="Times New Roman"/>
          <w:lang w:val="es-CL"/>
        </w:rPr>
        <w:t>odría</w:t>
      </w:r>
      <w:r w:rsidR="00FC1887" w:rsidRPr="00FC1887">
        <w:rPr>
          <w:rFonts w:ascii="Times New Roman" w:hAnsi="Times New Roman" w:cs="Times New Roman"/>
          <w:lang w:val="es-CL"/>
        </w:rPr>
        <w:t xml:space="preserve"> operar como un mecanismo de legitimidad formal que deja</w:t>
      </w:r>
      <w:r w:rsidR="00103ED8">
        <w:rPr>
          <w:rFonts w:ascii="Times New Roman" w:hAnsi="Times New Roman" w:cs="Times New Roman"/>
          <w:lang w:val="es-CL"/>
        </w:rPr>
        <w:t>ría</w:t>
      </w:r>
      <w:r w:rsidR="00FC1887" w:rsidRPr="00FC1887">
        <w:rPr>
          <w:rFonts w:ascii="Times New Roman" w:hAnsi="Times New Roman" w:cs="Times New Roman"/>
          <w:lang w:val="es-CL"/>
        </w:rPr>
        <w:t xml:space="preserve"> inalterada la matriz moral de la ciencia y la identidad profesional.  Se concluye que una transformación curricular efectiva no depende de la sumatoria técnica de </w:t>
      </w:r>
      <w:r w:rsidR="000B16A0">
        <w:rPr>
          <w:rFonts w:ascii="Times New Roman" w:hAnsi="Times New Roman" w:cs="Times New Roman"/>
          <w:lang w:val="es-CL"/>
        </w:rPr>
        <w:t xml:space="preserve">contenidos o </w:t>
      </w:r>
      <w:r w:rsidR="00FC1887" w:rsidRPr="00FC1887">
        <w:rPr>
          <w:rFonts w:ascii="Times New Roman" w:hAnsi="Times New Roman" w:cs="Times New Roman"/>
          <w:lang w:val="es-CL"/>
        </w:rPr>
        <w:t>asignaturas, sino de la capacidad de permeabilizar el discurso regulador de las instituciones.</w:t>
      </w:r>
    </w:p>
    <w:p w14:paraId="5C024F0C" w14:textId="77777777" w:rsidR="00EA5BEA" w:rsidRPr="00FC1887" w:rsidRDefault="00BA642E" w:rsidP="00EA5BEA">
      <w:pPr>
        <w:spacing w:line="240" w:lineRule="auto"/>
        <w:jc w:val="both"/>
        <w:rPr>
          <w:rFonts w:ascii="Times New Roman" w:hAnsi="Times New Roman" w:cs="Times New Roman"/>
          <w:b/>
          <w:bCs/>
          <w:lang w:val="es-CL"/>
        </w:rPr>
      </w:pPr>
      <w:r w:rsidRPr="00EA5BEA">
        <w:rPr>
          <w:rFonts w:ascii="Times New Roman" w:hAnsi="Times New Roman" w:cs="Times New Roman"/>
          <w:b/>
          <w:bCs/>
          <w:lang w:val="es-CL"/>
        </w:rPr>
        <w:t xml:space="preserve">Palabras clave: </w:t>
      </w:r>
      <w:r w:rsidR="00EA5BEA" w:rsidRPr="00FC1887">
        <w:rPr>
          <w:rFonts w:ascii="Times New Roman" w:hAnsi="Times New Roman" w:cs="Times New Roman"/>
          <w:lang w:val="es-CL"/>
        </w:rPr>
        <w:t>género, currículum, universidad</w:t>
      </w:r>
    </w:p>
    <w:p w14:paraId="6A5547A1" w14:textId="36B7FAC2" w:rsidR="00BA642E" w:rsidRPr="00DC1B06" w:rsidRDefault="00BA642E" w:rsidP="007B5B5F">
      <w:pPr>
        <w:spacing w:line="240" w:lineRule="auto"/>
        <w:rPr>
          <w:rFonts w:ascii="Times New Roman" w:hAnsi="Times New Roman" w:cs="Times New Roman"/>
          <w:b/>
          <w:bCs/>
          <w:lang w:val="es-CL"/>
        </w:rPr>
      </w:pPr>
      <w:r w:rsidRPr="00DC1B06">
        <w:rPr>
          <w:rFonts w:ascii="Times New Roman" w:hAnsi="Times New Roman" w:cs="Times New Roman"/>
          <w:b/>
          <w:bCs/>
          <w:lang w:val="es-CL"/>
        </w:rPr>
        <w:t>Introducción</w:t>
      </w:r>
    </w:p>
    <w:p w14:paraId="3CCB704B" w14:textId="79B22E94" w:rsidR="002B01C7" w:rsidRPr="002B01C7" w:rsidRDefault="002B01C7" w:rsidP="002B01C7">
      <w:pPr>
        <w:spacing w:line="240" w:lineRule="auto"/>
        <w:jc w:val="both"/>
        <w:rPr>
          <w:rFonts w:ascii="Times New Roman" w:hAnsi="Times New Roman" w:cs="Times New Roman"/>
          <w:lang w:val="es-CL"/>
        </w:rPr>
      </w:pPr>
      <w:r w:rsidRPr="002B01C7">
        <w:rPr>
          <w:rFonts w:ascii="Times New Roman" w:hAnsi="Times New Roman" w:cs="Times New Roman"/>
          <w:lang w:val="es-CL"/>
        </w:rPr>
        <w:t>La agenda por la igualdad de género en las universidades chilenas ha experimentado una transformación significativa a partir del Mayo Feminista o Tsunami Feminista del 2018 (Hiner y López Dietz, 2021). Si bien el fenómeno, que consistió en movilizaciones estudiantiles y ocupación de recintos universitarios en señal de protesta</w:t>
      </w:r>
      <w:r w:rsidR="00103ED8">
        <w:rPr>
          <w:rFonts w:ascii="Times New Roman" w:hAnsi="Times New Roman" w:cs="Times New Roman"/>
          <w:lang w:val="es-CL"/>
        </w:rPr>
        <w:t>,</w:t>
      </w:r>
      <w:r w:rsidRPr="002B01C7">
        <w:rPr>
          <w:rFonts w:ascii="Times New Roman" w:hAnsi="Times New Roman" w:cs="Times New Roman"/>
          <w:lang w:val="es-CL"/>
        </w:rPr>
        <w:t xml:space="preserve"> tuvo como catalizador situaciones de acoso sexual y violencia en los contextos universitarios, los petitorios de las asambleas no se limitaron a este ámbito, sino que avanzaron en otras </w:t>
      </w:r>
      <w:r w:rsidRPr="002B01C7">
        <w:rPr>
          <w:rFonts w:ascii="Times New Roman" w:hAnsi="Times New Roman" w:cs="Times New Roman"/>
          <w:lang w:val="es-CL"/>
        </w:rPr>
        <w:lastRenderedPageBreak/>
        <w:t>demandas, entre ellas la educación no sexista. Este impulso se ha materializado en un marco legislativo, destacando la Ley N° 21.369 (2021) que regula el acoso sexual, la violencia y la discriminación de género en el ámbito de la educación superior, así como la actualización de los criterios de acreditación de la Comisión Nacional de Acreditación (CNA) en 2023, que sitúa la equidad de género como un estándar de calidad obligatoria para el sistema universitario chileno.</w:t>
      </w:r>
    </w:p>
    <w:p w14:paraId="639FBA45" w14:textId="4A3BE334" w:rsidR="002B01C7" w:rsidRPr="002B01C7" w:rsidRDefault="002B01C7" w:rsidP="002B01C7">
      <w:pPr>
        <w:spacing w:line="240" w:lineRule="auto"/>
        <w:jc w:val="both"/>
        <w:rPr>
          <w:rFonts w:ascii="Times New Roman" w:hAnsi="Times New Roman" w:cs="Times New Roman"/>
          <w:lang w:val="es-CL"/>
        </w:rPr>
      </w:pPr>
      <w:r w:rsidRPr="002B01C7">
        <w:rPr>
          <w:rFonts w:ascii="Times New Roman" w:hAnsi="Times New Roman" w:cs="Times New Roman"/>
          <w:lang w:val="es-CL"/>
        </w:rPr>
        <w:t>No obstante, a pesar de este avance normativo, persiste una paradoja fundamental respecto de la resistencia de las instituciones académicas a integrar sus propios desarrollos científicos, en este caso los conocimientos feministas, en sus procesos formativos</w:t>
      </w:r>
      <w:r w:rsidR="00EB429A">
        <w:rPr>
          <w:rFonts w:ascii="Times New Roman" w:hAnsi="Times New Roman" w:cs="Times New Roman"/>
          <w:lang w:val="es-CL"/>
        </w:rPr>
        <w:t xml:space="preserve"> (</w:t>
      </w:r>
      <w:r w:rsidR="00EB429A" w:rsidRPr="002B01C7">
        <w:rPr>
          <w:rFonts w:ascii="Times New Roman" w:hAnsi="Times New Roman" w:cs="Times New Roman"/>
          <w:lang w:val="es-CL"/>
        </w:rPr>
        <w:t>Benschop y Brouns</w:t>
      </w:r>
      <w:r w:rsidR="00EB429A">
        <w:rPr>
          <w:rFonts w:ascii="Times New Roman" w:hAnsi="Times New Roman" w:cs="Times New Roman"/>
          <w:lang w:val="es-CL"/>
        </w:rPr>
        <w:t xml:space="preserve">, </w:t>
      </w:r>
      <w:r w:rsidR="00EB429A" w:rsidRPr="002B01C7">
        <w:rPr>
          <w:rFonts w:ascii="Times New Roman" w:hAnsi="Times New Roman" w:cs="Times New Roman"/>
          <w:lang w:val="es-CL"/>
        </w:rPr>
        <w:t>2003)</w:t>
      </w:r>
      <w:r w:rsidR="00EB429A">
        <w:rPr>
          <w:rFonts w:ascii="Times New Roman" w:hAnsi="Times New Roman" w:cs="Times New Roman"/>
          <w:lang w:val="es-CL"/>
        </w:rPr>
        <w:t xml:space="preserve">. </w:t>
      </w:r>
      <w:r w:rsidRPr="002B01C7">
        <w:rPr>
          <w:rFonts w:ascii="Times New Roman" w:hAnsi="Times New Roman" w:cs="Times New Roman"/>
          <w:lang w:val="es-CL"/>
        </w:rPr>
        <w:t>La mayor visibilidad y protagonismo del abordaje de las violencias de género ha</w:t>
      </w:r>
      <w:r w:rsidR="002B6FDA">
        <w:rPr>
          <w:rFonts w:ascii="Times New Roman" w:hAnsi="Times New Roman" w:cs="Times New Roman"/>
          <w:lang w:val="es-CL"/>
        </w:rPr>
        <w:t>bría</w:t>
      </w:r>
      <w:r w:rsidRPr="002B01C7">
        <w:rPr>
          <w:rFonts w:ascii="Times New Roman" w:hAnsi="Times New Roman" w:cs="Times New Roman"/>
          <w:lang w:val="es-CL"/>
        </w:rPr>
        <w:t xml:space="preserve"> soslayado el abordaje de la igualdad de género en el proyecto formativo (Calquin Donoso, 2020; Ferrada Hurtado y Simburger, 2025). Investigaciones recientes (Ascencio Cortés et al., 2025) indican que el abordaje del currículum y los procesos formativos es una de las áreas más descuidadas en la institucionalización de la igualdad de género en las universidades</w:t>
      </w:r>
      <w:r w:rsidR="00EC3AFB">
        <w:rPr>
          <w:rFonts w:ascii="Times New Roman" w:hAnsi="Times New Roman" w:cs="Times New Roman"/>
          <w:lang w:val="es-CL"/>
        </w:rPr>
        <w:t>.</w:t>
      </w:r>
    </w:p>
    <w:p w14:paraId="474E84A7" w14:textId="6F0BF801" w:rsidR="002B01C7" w:rsidRDefault="002B01C7" w:rsidP="002B01C7">
      <w:pPr>
        <w:spacing w:line="240" w:lineRule="auto"/>
        <w:jc w:val="both"/>
        <w:rPr>
          <w:rFonts w:ascii="Times New Roman" w:hAnsi="Times New Roman" w:cs="Times New Roman"/>
          <w:lang w:val="es-CL"/>
        </w:rPr>
      </w:pPr>
      <w:r w:rsidRPr="002B01C7">
        <w:rPr>
          <w:rFonts w:ascii="Times New Roman" w:hAnsi="Times New Roman" w:cs="Times New Roman"/>
          <w:lang w:val="es-CL"/>
        </w:rPr>
        <w:t>Ante este escenario, en este artículo se propone una arquitectura analítica tridimensional: el “qué”, el “cómo” y el “por qué” de la perspectiva de género(s)</w:t>
      </w:r>
      <w:r w:rsidR="007354A6">
        <w:rPr>
          <w:rStyle w:val="Refdenotaalpie"/>
          <w:rFonts w:ascii="Times New Roman" w:hAnsi="Times New Roman" w:cs="Times New Roman"/>
          <w:lang w:val="es-CL"/>
        </w:rPr>
        <w:footnoteReference w:id="1"/>
      </w:r>
      <w:r w:rsidRPr="002B01C7">
        <w:rPr>
          <w:rFonts w:ascii="Times New Roman" w:hAnsi="Times New Roman" w:cs="Times New Roman"/>
          <w:lang w:val="es-CL"/>
        </w:rPr>
        <w:t xml:space="preserve"> (PGs) en el currículum de las carreras de pregrado en universidades chilenas. Las reflexiones que estructuran este artículo se sitúan en el marco de una investigación doctoral en </w:t>
      </w:r>
      <w:r w:rsidR="00EC3AFB">
        <w:rPr>
          <w:rFonts w:ascii="Times New Roman" w:hAnsi="Times New Roman" w:cs="Times New Roman"/>
          <w:lang w:val="es-CL"/>
        </w:rPr>
        <w:t>e</w:t>
      </w:r>
      <w:r w:rsidRPr="002B01C7">
        <w:rPr>
          <w:rFonts w:ascii="Times New Roman" w:hAnsi="Times New Roman" w:cs="Times New Roman"/>
          <w:lang w:val="es-CL"/>
        </w:rPr>
        <w:t xml:space="preserve">ducación </w:t>
      </w:r>
      <w:r w:rsidR="00EC3AFB">
        <w:rPr>
          <w:rFonts w:ascii="Times New Roman" w:hAnsi="Times New Roman" w:cs="Times New Roman"/>
          <w:lang w:val="es-CL"/>
        </w:rPr>
        <w:t>s</w:t>
      </w:r>
      <w:r w:rsidRPr="002B01C7">
        <w:rPr>
          <w:rFonts w:ascii="Times New Roman" w:hAnsi="Times New Roman" w:cs="Times New Roman"/>
          <w:lang w:val="es-CL"/>
        </w:rPr>
        <w:t>uperior actualmente en curso</w:t>
      </w:r>
      <w:r w:rsidR="00044D3C">
        <w:rPr>
          <w:rStyle w:val="Refdenotaalpie"/>
          <w:rFonts w:ascii="Times New Roman" w:hAnsi="Times New Roman" w:cs="Times New Roman"/>
          <w:lang w:val="es-CL"/>
        </w:rPr>
        <w:footnoteReference w:id="2"/>
      </w:r>
      <w:r w:rsidRPr="002B01C7">
        <w:rPr>
          <w:rFonts w:ascii="Times New Roman" w:hAnsi="Times New Roman" w:cs="Times New Roman"/>
          <w:lang w:val="es-CL"/>
        </w:rPr>
        <w:t>, cuyo propósito central es analizar cómo se configura la incorporación de la PGs en el currículum de pregrado de las universidades chilenas. El presente texto constituye un avance derivado de la fase de revisión de literatura y elaboración del marco conceptual, por lo que las líneas reflexivas aquí planteadas guiará</w:t>
      </w:r>
      <w:r w:rsidR="00A80968">
        <w:rPr>
          <w:rFonts w:ascii="Times New Roman" w:hAnsi="Times New Roman" w:cs="Times New Roman"/>
          <w:lang w:val="es-CL"/>
        </w:rPr>
        <w:t>n</w:t>
      </w:r>
      <w:r w:rsidRPr="002B01C7">
        <w:rPr>
          <w:rFonts w:ascii="Times New Roman" w:hAnsi="Times New Roman" w:cs="Times New Roman"/>
          <w:lang w:val="es-CL"/>
        </w:rPr>
        <w:t xml:space="preserve"> el posterior trabajo de campo. La etapa de trabajo empírico consistirá en la revisión de documentos institucionales (planificaciones estratégicas, modelos educativos, políticas de igualdad de género) y la realización de entrevistas en profundidad a actorías clave, incluyendo directivos/as y profesionales para indagar en las lógicas que facilitan o resisten el cambio organizacional en esta materia.</w:t>
      </w:r>
    </w:p>
    <w:p w14:paraId="2FD138AD" w14:textId="43FB3DDB" w:rsidR="005F3B2E" w:rsidRPr="002B01C7" w:rsidRDefault="002B01C7" w:rsidP="002B01C7">
      <w:pPr>
        <w:spacing w:line="240" w:lineRule="auto"/>
        <w:jc w:val="both"/>
        <w:rPr>
          <w:rFonts w:ascii="Times New Roman" w:hAnsi="Times New Roman" w:cs="Times New Roman"/>
          <w:b/>
          <w:bCs/>
          <w:lang w:val="es-CL"/>
        </w:rPr>
      </w:pPr>
      <w:r>
        <w:rPr>
          <w:rFonts w:ascii="Times New Roman" w:hAnsi="Times New Roman" w:cs="Times New Roman"/>
          <w:b/>
          <w:bCs/>
          <w:lang w:val="es-CL"/>
        </w:rPr>
        <w:t>Antecedentes</w:t>
      </w:r>
    </w:p>
    <w:p w14:paraId="1978BDDA" w14:textId="680528A9" w:rsidR="00BB2DC5" w:rsidRPr="00BB2DC5" w:rsidRDefault="00BB2DC5" w:rsidP="00BB2DC5">
      <w:pPr>
        <w:spacing w:line="240" w:lineRule="auto"/>
        <w:jc w:val="both"/>
        <w:rPr>
          <w:rFonts w:ascii="Times New Roman" w:hAnsi="Times New Roman" w:cs="Times New Roman"/>
          <w:lang w:val="es-CL"/>
        </w:rPr>
      </w:pPr>
      <w:r w:rsidRPr="00BB2DC5">
        <w:rPr>
          <w:rFonts w:ascii="Times New Roman" w:hAnsi="Times New Roman" w:cs="Times New Roman"/>
          <w:lang w:val="es-CL"/>
        </w:rPr>
        <w:t>El avance del marco legislativo y normativo mencionado anteriormente ha desarrollado respuestas institucionales frente a los fenómenos del acoso sexual y la violencia de género en los contextos universitarios en Chile</w:t>
      </w:r>
      <w:r w:rsidR="000A1516">
        <w:rPr>
          <w:rFonts w:ascii="Times New Roman" w:hAnsi="Times New Roman" w:cs="Times New Roman"/>
          <w:lang w:val="es-CL"/>
        </w:rPr>
        <w:t>. L</w:t>
      </w:r>
      <w:r w:rsidRPr="00BB2DC5">
        <w:rPr>
          <w:rFonts w:ascii="Times New Roman" w:hAnsi="Times New Roman" w:cs="Times New Roman"/>
          <w:lang w:val="es-CL"/>
        </w:rPr>
        <w:t xml:space="preserve">os marcos normativos han circunscrito el abordaje a la violencia de género y la convivencia, y esto ha tenido efectos en el ámbito curricular. La ya mencionada Ley N° 21.369 (2021) indica específicamente el deber de </w:t>
      </w:r>
      <w:r w:rsidRPr="00BB2DC5">
        <w:rPr>
          <w:rFonts w:ascii="Times New Roman" w:hAnsi="Times New Roman" w:cs="Times New Roman"/>
          <w:lang w:val="es-CL"/>
        </w:rPr>
        <w:lastRenderedPageBreak/>
        <w:t xml:space="preserve">incorporar contenidos de derechos humanos, violencia y discriminación de género en el currículum en el marco de distintas acciones de prevención. Asimismo, la Ley N° 21.675 (2024), que estatuye medidas para prevenir, sancionar y erradicar la violencia en contra de las mujeres </w:t>
      </w:r>
      <w:proofErr w:type="gramStart"/>
      <w:r w:rsidRPr="00BB2DC5">
        <w:rPr>
          <w:rFonts w:ascii="Times New Roman" w:hAnsi="Times New Roman" w:cs="Times New Roman"/>
          <w:lang w:val="es-CL"/>
        </w:rPr>
        <w:t>en razón de</w:t>
      </w:r>
      <w:proofErr w:type="gramEnd"/>
      <w:r w:rsidRPr="00BB2DC5">
        <w:rPr>
          <w:rFonts w:ascii="Times New Roman" w:hAnsi="Times New Roman" w:cs="Times New Roman"/>
          <w:lang w:val="es-CL"/>
        </w:rPr>
        <w:t xml:space="preserve"> su género, desarrolla en su artículo doce las medidas de prevención de la violencia de género específicas del ámbito de la educación. Allí indica que los establecimientos de educación reconocidos por el Estado </w:t>
      </w:r>
      <w:r w:rsidR="007D79CE">
        <w:rPr>
          <w:rFonts w:ascii="Times New Roman" w:hAnsi="Times New Roman" w:cs="Times New Roman"/>
          <w:lang w:val="es-CL"/>
        </w:rPr>
        <w:t>c</w:t>
      </w:r>
      <w:r w:rsidRPr="00BB2DC5">
        <w:rPr>
          <w:rFonts w:ascii="Times New Roman" w:hAnsi="Times New Roman" w:cs="Times New Roman"/>
          <w:lang w:val="es-CL"/>
        </w:rPr>
        <w:t>hileno deberán promover una educación no sexista y con igualdad de género, para luego agregar el deber de cumplimiento de la ley 21.369.</w:t>
      </w:r>
      <w:r w:rsidR="000A1516">
        <w:rPr>
          <w:rFonts w:ascii="Times New Roman" w:hAnsi="Times New Roman" w:cs="Times New Roman"/>
          <w:lang w:val="es-CL"/>
        </w:rPr>
        <w:t xml:space="preserve"> Es decir que la</w:t>
      </w:r>
      <w:r w:rsidRPr="00BB2DC5">
        <w:rPr>
          <w:rFonts w:ascii="Times New Roman" w:hAnsi="Times New Roman" w:cs="Times New Roman"/>
          <w:lang w:val="es-CL"/>
        </w:rPr>
        <w:t xml:space="preserve">s orientaciones normativas que sí existen en torno a género en el currículum provienen de dos leyes específicas del ámbito de la violencia. </w:t>
      </w:r>
      <w:r w:rsidR="000A1516">
        <w:rPr>
          <w:rFonts w:ascii="Times New Roman" w:hAnsi="Times New Roman" w:cs="Times New Roman"/>
          <w:lang w:val="es-CL"/>
        </w:rPr>
        <w:t>A</w:t>
      </w:r>
      <w:r w:rsidRPr="00BB2DC5">
        <w:rPr>
          <w:rFonts w:ascii="Times New Roman" w:hAnsi="Times New Roman" w:cs="Times New Roman"/>
          <w:lang w:val="es-CL"/>
        </w:rPr>
        <w:t xml:space="preserve"> nivel de los criterios de calidad institucionales y los procesos de acreditación, la igualdad de género se asocia con el criterio 7, titulado “Gestión de la convivencia, equidad de género, diversidad e inclusión”</w:t>
      </w:r>
      <w:r w:rsidR="00050B38">
        <w:rPr>
          <w:rFonts w:ascii="Times New Roman" w:hAnsi="Times New Roman" w:cs="Times New Roman"/>
          <w:lang w:val="es-CL"/>
        </w:rPr>
        <w:t xml:space="preserve"> (CNA, 2023)</w:t>
      </w:r>
      <w:r w:rsidRPr="00BB2DC5">
        <w:rPr>
          <w:rFonts w:ascii="Times New Roman" w:hAnsi="Times New Roman" w:cs="Times New Roman"/>
          <w:lang w:val="es-CL"/>
        </w:rPr>
        <w:t xml:space="preserve">. Como dos caras de la misma moneda, las referencias normativas apuntan a la sana convivencia y la erradicación de las conductas y prácticas de discriminación y/o violencia de género. </w:t>
      </w:r>
    </w:p>
    <w:p w14:paraId="48181229" w14:textId="0F9D590E" w:rsidR="00BB2DC5" w:rsidRPr="00BB2DC5" w:rsidRDefault="00BB2DC5" w:rsidP="00BB2DC5">
      <w:pPr>
        <w:spacing w:line="240" w:lineRule="auto"/>
        <w:jc w:val="both"/>
        <w:rPr>
          <w:rFonts w:ascii="Times New Roman" w:hAnsi="Times New Roman" w:cs="Times New Roman"/>
          <w:lang w:val="es-CL"/>
        </w:rPr>
      </w:pPr>
      <w:r w:rsidRPr="00BB2DC5">
        <w:rPr>
          <w:rFonts w:ascii="Times New Roman" w:hAnsi="Times New Roman" w:cs="Times New Roman"/>
          <w:lang w:val="es-CL"/>
        </w:rPr>
        <w:t xml:space="preserve">Un fenómeno similar puede observarse en el ámbito de las investigaciones en torno a la institucionalización de la igualdad de género en las universidades como objeto de estudio. Un conjunto de investigaciones chilenas ha sistematizado protocolos relacionados con discriminación y/o violencia de género (Muñoz-García et al., 2018), ha examinado discursos de víctimas (Ramírez Raunigg y Trujillo Cristoffanini, 2019), ha realizado estudios diagnósticos (Lizama Lefno y Hurtado Quiñones, 2019), o ha analizado percepciones sobre la Ley 21.369 (López Dietz, 2024). </w:t>
      </w:r>
    </w:p>
    <w:p w14:paraId="5E7D910D" w14:textId="541F3B90" w:rsidR="00BB2DC5" w:rsidRPr="00BB2DC5" w:rsidRDefault="00BB2DC5" w:rsidP="00BB2DC5">
      <w:pPr>
        <w:spacing w:line="240" w:lineRule="auto"/>
        <w:jc w:val="both"/>
        <w:rPr>
          <w:rFonts w:ascii="Times New Roman" w:hAnsi="Times New Roman" w:cs="Times New Roman"/>
          <w:lang w:val="es-CL"/>
        </w:rPr>
      </w:pPr>
      <w:r w:rsidRPr="00BB2DC5">
        <w:rPr>
          <w:rFonts w:ascii="Times New Roman" w:hAnsi="Times New Roman" w:cs="Times New Roman"/>
          <w:lang w:val="es-CL"/>
        </w:rPr>
        <w:t xml:space="preserve">Por el otro lado, </w:t>
      </w:r>
      <w:r w:rsidR="000A1516">
        <w:rPr>
          <w:rFonts w:ascii="Times New Roman" w:hAnsi="Times New Roman" w:cs="Times New Roman"/>
          <w:lang w:val="es-CL"/>
        </w:rPr>
        <w:t>se</w:t>
      </w:r>
      <w:r w:rsidRPr="00BB2DC5">
        <w:rPr>
          <w:rFonts w:ascii="Times New Roman" w:hAnsi="Times New Roman" w:cs="Times New Roman"/>
          <w:lang w:val="es-CL"/>
        </w:rPr>
        <w:t xml:space="preserve"> ha buscado analizar programas, políticas y/o acciones que las universidades despliegan de manera amplia en materia de igualdad de género. Y aunque su foco a priori no es la violencia de género, en sus hallazgos se evidencia que gran parte del trabajo institucional se ha centrado, en efecto, en violencia de género. Un tercer conjunto de investigaciones ha abordado el proceso de institucionalización de las unidades o áreas de género, en los cuales se ha revisado el tipo de unidades, su dependencia y la existencia de diagnósticos o planes de igualdad de género en las universidades (Trujillo Cristoffanini y Pastor Gosalbez, 2023), pero sin encontrar referencias significativas a la formación, el currículum y la igualdad de género en sus resultados.</w:t>
      </w:r>
    </w:p>
    <w:p w14:paraId="1232779E" w14:textId="5B4F1240" w:rsidR="00BB2DC5" w:rsidRPr="00BB2DC5" w:rsidRDefault="00BB2DC5" w:rsidP="00BB2DC5">
      <w:pPr>
        <w:spacing w:line="240" w:lineRule="auto"/>
        <w:jc w:val="both"/>
        <w:rPr>
          <w:rFonts w:ascii="Times New Roman" w:hAnsi="Times New Roman" w:cs="Times New Roman"/>
          <w:lang w:val="es-CL"/>
        </w:rPr>
      </w:pPr>
      <w:r w:rsidRPr="00BB2DC5">
        <w:rPr>
          <w:rFonts w:ascii="Times New Roman" w:hAnsi="Times New Roman" w:cs="Times New Roman"/>
          <w:lang w:val="es-CL"/>
        </w:rPr>
        <w:t xml:space="preserve">Una revisión de 711 documentos relacionados con políticas de género en las 30 universidades más prestigiosas en </w:t>
      </w:r>
      <w:r w:rsidR="00C421B8" w:rsidRPr="00BB2DC5">
        <w:rPr>
          <w:rFonts w:ascii="Times New Roman" w:hAnsi="Times New Roman" w:cs="Times New Roman"/>
          <w:lang w:val="es-CL"/>
        </w:rPr>
        <w:t>Chile</w:t>
      </w:r>
      <w:r w:rsidRPr="00BB2DC5">
        <w:rPr>
          <w:rFonts w:ascii="Times New Roman" w:hAnsi="Times New Roman" w:cs="Times New Roman"/>
          <w:lang w:val="es-CL"/>
        </w:rPr>
        <w:t xml:space="preserve"> concluye que el foco principal ha estado en la violencia y se destaca la ausencia del abordaje de los procesos formativos (Vergara et al., 2024). Otra revisión sistemática utilizando el modelo PRISMA, que seleccionó literatura científica publicada entre 2019 y 2023, disponible en Web of Science, Scopus y Google Scholar en distintos países, para identificar dimensiones del cambio institucional de género en educación superior (Ascencio Cortés et al., 2025), arrojó que las temáticas de ‘transformación curricular’, ‘reformas curriculares de género’ y ‘género en los planes de estudio’ acumulan solo el 1,62% de la frecuencia de estudios identificados. La evidencia parece señalar entonces que se ha avanzado más en investigar sobre violencia de género y acoso sexual en contextos universitarios, pero menos en cómo la PGs ha sido incorporada (o no) en el currículum de pregrado en las universidades chilenas. </w:t>
      </w:r>
    </w:p>
    <w:p w14:paraId="35239E59" w14:textId="3598E44E" w:rsidR="00BB2DC5" w:rsidRPr="00BB2DC5" w:rsidRDefault="00BB2DC5" w:rsidP="00BB2DC5">
      <w:pPr>
        <w:spacing w:line="240" w:lineRule="auto"/>
        <w:jc w:val="both"/>
        <w:rPr>
          <w:rFonts w:ascii="Times New Roman" w:hAnsi="Times New Roman" w:cs="Times New Roman"/>
          <w:lang w:val="es-CL"/>
        </w:rPr>
      </w:pPr>
      <w:r w:rsidRPr="00BB2DC5">
        <w:rPr>
          <w:rFonts w:ascii="Times New Roman" w:hAnsi="Times New Roman" w:cs="Times New Roman"/>
          <w:lang w:val="es-CL"/>
        </w:rPr>
        <w:lastRenderedPageBreak/>
        <w:t xml:space="preserve">Comprender esta brecha </w:t>
      </w:r>
      <w:r w:rsidR="007F7377">
        <w:rPr>
          <w:rFonts w:ascii="Times New Roman" w:hAnsi="Times New Roman" w:cs="Times New Roman"/>
          <w:lang w:val="es-CL"/>
        </w:rPr>
        <w:t xml:space="preserve">de la PGs en lo </w:t>
      </w:r>
      <w:r w:rsidRPr="00BB2DC5">
        <w:rPr>
          <w:rFonts w:ascii="Times New Roman" w:hAnsi="Times New Roman" w:cs="Times New Roman"/>
          <w:lang w:val="es-CL"/>
        </w:rPr>
        <w:t>curricular en las universidades requiere desplazar la mirada desde una visión tecnocrática del currículum hacia una que lo reconozca como un territorio de disputa social e ideológica (Tadeu Da Silva, 1999). En este sentido, el currículum universitario no constituye un conjunto de contenidos neutrales o técnicos, sino que opera como un dispositivo de selección y distribución de poder que define qué conocimientos son considerados legítimos y cuáles son silenciados. El currículum se conceptualiza como una síntesis de elementos culturales donde convergen intereses contradictorios de diversos grupos sociales donde algunos tienden a ser hegemónicos y otros a resistir dicha dominación. Bajo esta premisa, el currículum es una propuesta político-educativa donde la "tradición selectiva" responde a la pregunta crítica sobre de quién es el conocimiento que se enseña y por qué se organiza de ese modo (Apple, 1979; de Alba, 1995).</w:t>
      </w:r>
    </w:p>
    <w:p w14:paraId="327E8DC8" w14:textId="3BDA5999" w:rsidR="00BB2DC5" w:rsidRPr="00BB2DC5" w:rsidRDefault="00BB2DC5" w:rsidP="00BB2DC5">
      <w:pPr>
        <w:spacing w:line="240" w:lineRule="auto"/>
        <w:jc w:val="both"/>
        <w:rPr>
          <w:rFonts w:ascii="Times New Roman" w:hAnsi="Times New Roman" w:cs="Times New Roman"/>
          <w:lang w:val="es-CL"/>
        </w:rPr>
      </w:pPr>
      <w:r w:rsidRPr="00BB2DC5">
        <w:rPr>
          <w:rFonts w:ascii="Times New Roman" w:hAnsi="Times New Roman" w:cs="Times New Roman"/>
          <w:lang w:val="es-CL"/>
        </w:rPr>
        <w:t xml:space="preserve">Esta naturaleza política del artefacto curricular implica que </w:t>
      </w:r>
      <w:r w:rsidR="00A433AF">
        <w:rPr>
          <w:rFonts w:ascii="Times New Roman" w:hAnsi="Times New Roman" w:cs="Times New Roman"/>
          <w:lang w:val="es-CL"/>
        </w:rPr>
        <w:t>el</w:t>
      </w:r>
      <w:r w:rsidRPr="00BB2DC5">
        <w:rPr>
          <w:rFonts w:ascii="Times New Roman" w:hAnsi="Times New Roman" w:cs="Times New Roman"/>
          <w:lang w:val="es-CL"/>
        </w:rPr>
        <w:t xml:space="preserve"> intento por incorporar la PGs constituye una intervención en las dinámicas de poder institucionales que sostienen las jerarquías de saber. Al interpelar el currículum formal, se abre interrogación respecto de quién sería el sujeto tácito del conocimiento y cómo las relaciones de desigualdad social se cruzarían con la organización y distribución de los saberes académicos, tal como sugiere Connell (1993) al vincular el currículum con la justicia social. Desde una dimensión ética y política, la disputa por una educación no sexista en el contexto chileno trascendería la simple adición de contenidos temáticos, se trataría de una disputa por la justicia curricular que implica problematizar quiénes definirían lo que es verdadero, reconociendo, que el currículum es un espacio donde la universidad decide qué versión del mundo desea reproducir o transformar. Por lo tanto, la incorporación de la PGs podría entenderse como una forma de vigilancia epistemológica (Bonder, 1984) que desafía las lógicas binarias y jerárquicas que han saturado históricamente el conocimiento académico.</w:t>
      </w:r>
    </w:p>
    <w:p w14:paraId="3C11F624" w14:textId="4BA77009" w:rsidR="00BB2DC5" w:rsidRPr="00BB2DC5" w:rsidRDefault="00BB2DC5" w:rsidP="00BB2DC5">
      <w:pPr>
        <w:spacing w:line="240" w:lineRule="auto"/>
        <w:jc w:val="both"/>
        <w:rPr>
          <w:rFonts w:ascii="Times New Roman" w:hAnsi="Times New Roman" w:cs="Times New Roman"/>
          <w:lang w:val="es-CL"/>
        </w:rPr>
      </w:pPr>
      <w:r w:rsidRPr="00BB2DC5">
        <w:rPr>
          <w:rFonts w:ascii="Times New Roman" w:hAnsi="Times New Roman" w:cs="Times New Roman"/>
          <w:lang w:val="es-CL"/>
        </w:rPr>
        <w:t xml:space="preserve">Es importante señalar que como investigadora no asumo de antemano la forma, profundidad ni los efectos de la incorporación de la PGs en el currículum de pregrado de las universidades chilenas. Sino que me sitúo en una posición analítica que buscaría examinar cómo dicha incorporación, promovida crecientemente a nivel normativo y discursivo sería interpretada, negociada, incorporada o resistida por las diversas actorías institucionales y mediante cuáles procesos institucionales. De este modo, el foco no recae en la validación de un ideal normativo, sino en la comprensión de las disputas de sentido y las lógicas organizacionales que mediarían la traducción de estos mandatos en el currículum formal de pregrado. </w:t>
      </w:r>
    </w:p>
    <w:p w14:paraId="181C9DAB" w14:textId="5710A7E2" w:rsidR="00BB2DC5" w:rsidRPr="00BB2DC5" w:rsidRDefault="00BB2DC5" w:rsidP="00BB2DC5">
      <w:pPr>
        <w:spacing w:line="240" w:lineRule="auto"/>
        <w:jc w:val="both"/>
        <w:rPr>
          <w:rFonts w:ascii="Times New Roman" w:hAnsi="Times New Roman" w:cs="Times New Roman"/>
          <w:lang w:val="es-CL"/>
        </w:rPr>
      </w:pPr>
      <w:r w:rsidRPr="00BB2DC5">
        <w:rPr>
          <w:rFonts w:ascii="Times New Roman" w:hAnsi="Times New Roman" w:cs="Times New Roman"/>
          <w:lang w:val="es-CL"/>
        </w:rPr>
        <w:t xml:space="preserve">Para profundizar en estas dinámicas de incorporación de la PGs en el currículum de las universidades, la sociología de Basil Bernstein (1990, 1990a, 1999) provee una lente analítica de especial relevancia. </w:t>
      </w:r>
      <w:r w:rsidR="00296D2B">
        <w:rPr>
          <w:rFonts w:ascii="Times New Roman" w:hAnsi="Times New Roman" w:cs="Times New Roman"/>
          <w:lang w:val="es-CL"/>
        </w:rPr>
        <w:t>Este s</w:t>
      </w:r>
      <w:r w:rsidRPr="00BB2DC5">
        <w:rPr>
          <w:rFonts w:ascii="Times New Roman" w:hAnsi="Times New Roman" w:cs="Times New Roman"/>
          <w:lang w:val="es-CL"/>
        </w:rPr>
        <w:t xml:space="preserve">ociólogo y lingüista británico buscó revisar con mayor profundidad los procesos mismos de (re)producción de la desigualdad dentro del contexto escolar. Desarrolló un modelo, el del dispositivo pedagógico, con el cual buscó entender cómo el conocimiento oficial se convierte en conocimiento </w:t>
      </w:r>
      <w:r w:rsidR="006E30C0">
        <w:rPr>
          <w:rFonts w:ascii="Times New Roman" w:hAnsi="Times New Roman" w:cs="Times New Roman"/>
          <w:lang w:val="es-CL"/>
        </w:rPr>
        <w:t>educativo</w:t>
      </w:r>
      <w:r w:rsidRPr="00BB2DC5">
        <w:rPr>
          <w:rFonts w:ascii="Times New Roman" w:hAnsi="Times New Roman" w:cs="Times New Roman"/>
          <w:lang w:val="es-CL"/>
        </w:rPr>
        <w:t xml:space="preserve">, incluyendo una reflexión en torno a las dinámicas de poder y control social que determinan qué se enseña, quién tiene acceso a ese conocimiento y cómo se transmite. </w:t>
      </w:r>
      <w:r w:rsidRPr="00BB2DC5">
        <w:rPr>
          <w:rFonts w:ascii="Times New Roman" w:hAnsi="Times New Roman" w:cs="Times New Roman"/>
          <w:lang w:val="es-CL"/>
        </w:rPr>
        <w:lastRenderedPageBreak/>
        <w:t>Aunque Bernstein no profundizó explícitamente en el abordaje de las relaciones de género, su propuesta ha sido recuperada por investigaciones con perspectiva feminista (Singh et al., 2016; Ivinson, 2007), demostrando el potencial crítico de sus categorías para analizar la transmisión cultural y las desigualdades generadas en los sistemas educativos desde una mirada que incorpore las relaciones de género.</w:t>
      </w:r>
    </w:p>
    <w:p w14:paraId="1CD973C1" w14:textId="46D93180" w:rsidR="00BB2DC5" w:rsidRPr="00BB2DC5" w:rsidRDefault="00BB2DC5" w:rsidP="00BB2DC5">
      <w:pPr>
        <w:spacing w:line="240" w:lineRule="auto"/>
        <w:jc w:val="both"/>
        <w:rPr>
          <w:rFonts w:ascii="Times New Roman" w:hAnsi="Times New Roman" w:cs="Times New Roman"/>
          <w:lang w:val="es-CL"/>
        </w:rPr>
      </w:pPr>
      <w:r w:rsidRPr="00BB2DC5">
        <w:rPr>
          <w:rFonts w:ascii="Times New Roman" w:hAnsi="Times New Roman" w:cs="Times New Roman"/>
          <w:lang w:val="es-CL"/>
        </w:rPr>
        <w:t xml:space="preserve">Frente a las teorías de la reproducción cultural de su época, Bernstein (1990a) </w:t>
      </w:r>
      <w:r w:rsidR="00D170AD">
        <w:rPr>
          <w:rFonts w:ascii="Times New Roman" w:hAnsi="Times New Roman" w:cs="Times New Roman"/>
          <w:lang w:val="es-CL"/>
        </w:rPr>
        <w:t>se pregunta</w:t>
      </w:r>
      <w:r w:rsidRPr="00BB2DC5">
        <w:rPr>
          <w:rFonts w:ascii="Times New Roman" w:hAnsi="Times New Roman" w:cs="Times New Roman"/>
          <w:lang w:val="es-CL"/>
        </w:rPr>
        <w:t xml:space="preserve"> si la educación funcionaría como un simple transmisor de relaciones externas, principalmente de relaciones de clase aunque reconociendo la intersección con las relaciones de género, o si poseería una estructura de comunicación interna propia. Esta indagación lo llevó a formular la teoría del dispositivo pedagógico como la gramática que regula la comunicación educativa a través de tres reglas fundamentales: distributivas, de recontextualización y de evaluación (Bernstein, 1990). Así, el dispositivo pedagógico opera tanto en la constitución de la identidad y la conciencia del sujeto que aprende, como en la regulación de los funcionamientos institucionales que actúan como guardianes de la hegemonía o como facilitadores del cambio. </w:t>
      </w:r>
    </w:p>
    <w:p w14:paraId="5D3A634A" w14:textId="350679DF" w:rsidR="00BB2DC5" w:rsidRPr="00BB2DC5" w:rsidRDefault="00BB2DC5" w:rsidP="00BB2DC5">
      <w:pPr>
        <w:spacing w:line="240" w:lineRule="auto"/>
        <w:jc w:val="both"/>
        <w:rPr>
          <w:rFonts w:ascii="Times New Roman" w:hAnsi="Times New Roman" w:cs="Times New Roman"/>
          <w:lang w:val="es-CL"/>
        </w:rPr>
      </w:pPr>
      <w:r w:rsidRPr="00BB2DC5">
        <w:rPr>
          <w:rFonts w:ascii="Times New Roman" w:hAnsi="Times New Roman" w:cs="Times New Roman"/>
          <w:lang w:val="es-CL"/>
        </w:rPr>
        <w:t xml:space="preserve">El núcleo explicativo de esta transmisión radica en el concepto de código, entendido como un principio regulador que orienta la forma en que las personas seleccionan e integran los significados y sus contextos (Bernstein, 1990). Este código puede ser elaborado o restringido. El código elaborado es de tipo universalista y orienta a las personas hacia la producción de significados explícitos y con menor dependencia del contexto. Es el tipo de código que predomina en </w:t>
      </w:r>
      <w:r w:rsidR="00D46451">
        <w:rPr>
          <w:rFonts w:ascii="Times New Roman" w:hAnsi="Times New Roman" w:cs="Times New Roman"/>
          <w:lang w:val="es-CL"/>
        </w:rPr>
        <w:t xml:space="preserve">las universidades, </w:t>
      </w:r>
      <w:r w:rsidRPr="00BB2DC5">
        <w:rPr>
          <w:rFonts w:ascii="Times New Roman" w:hAnsi="Times New Roman" w:cs="Times New Roman"/>
          <w:lang w:val="es-CL"/>
        </w:rPr>
        <w:t xml:space="preserve">vinculados con la producción, distribución y reproducción de los saberes especializados. Por otro lado, el código restringido orienta a las personas hacia significados particularistas, </w:t>
      </w:r>
      <w:r w:rsidR="00D46451">
        <w:rPr>
          <w:rFonts w:ascii="Times New Roman" w:hAnsi="Times New Roman" w:cs="Times New Roman"/>
          <w:lang w:val="es-CL"/>
        </w:rPr>
        <w:t xml:space="preserve">más </w:t>
      </w:r>
      <w:r w:rsidRPr="00BB2DC5">
        <w:rPr>
          <w:rFonts w:ascii="Times New Roman" w:hAnsi="Times New Roman" w:cs="Times New Roman"/>
          <w:lang w:val="es-CL"/>
        </w:rPr>
        <w:t>dependientes del contexto inmediato e implícitos, dado que existe una red de supuestos e historias en común, mediada por lazos comunitarios e interpersonales más característicos de las familias, los grupos de pares y los movimientos de base.</w:t>
      </w:r>
    </w:p>
    <w:p w14:paraId="24000638" w14:textId="77777777" w:rsidR="00BB2DC5" w:rsidRPr="00BB2DC5" w:rsidRDefault="00BB2DC5" w:rsidP="00BB2DC5">
      <w:pPr>
        <w:spacing w:line="240" w:lineRule="auto"/>
        <w:jc w:val="both"/>
        <w:rPr>
          <w:rFonts w:ascii="Times New Roman" w:hAnsi="Times New Roman" w:cs="Times New Roman"/>
          <w:lang w:val="es-CL"/>
        </w:rPr>
      </w:pPr>
      <w:r w:rsidRPr="00BB2DC5">
        <w:rPr>
          <w:rFonts w:ascii="Times New Roman" w:hAnsi="Times New Roman" w:cs="Times New Roman"/>
          <w:lang w:val="es-CL"/>
        </w:rPr>
        <w:t xml:space="preserve">El código asimismo tiene mecanismos de clasificación y de enmarcamiento.  La clasificación se refiere al grado de aislamiento entre categorías o contenidos. Es un mecanismo de poder, que establece la estructura y las fronteras del conocimiento, donde una clasificación fuerte genera límites nítidos, por ejemplo contenidos o asignaturas que no se cruzan y están en compartimentos claros y separados, o una clasificación débil que los desdibuja, por ejemplo en trabajos por proyectos o interdisciplinares. Por su parte el enmarcamiento regula las formas de comunicación dentro de la relación pedagógica, es un mecanismo de control. En la relación docentes/estudiantes, un enmarcamiento fuerte implica un control centrando en el/la docente, y uno débil otorga mayor libertad al/la estudiante. </w:t>
      </w:r>
    </w:p>
    <w:p w14:paraId="2FFB613F" w14:textId="3B0C5D37" w:rsidR="00BB2DC5" w:rsidRPr="00BB2DC5" w:rsidRDefault="00BB2DC5" w:rsidP="00BB2DC5">
      <w:pPr>
        <w:spacing w:line="240" w:lineRule="auto"/>
        <w:jc w:val="both"/>
        <w:rPr>
          <w:rFonts w:ascii="Times New Roman" w:hAnsi="Times New Roman" w:cs="Times New Roman"/>
          <w:lang w:val="es-CL"/>
        </w:rPr>
      </w:pPr>
      <w:r w:rsidRPr="00BB2DC5">
        <w:rPr>
          <w:rFonts w:ascii="Times New Roman" w:hAnsi="Times New Roman" w:cs="Times New Roman"/>
          <w:lang w:val="es-CL"/>
        </w:rPr>
        <w:t xml:space="preserve">Para comprender cómo estos códigos se encarnan institucionalmente, Bernstein postula que el dispositivo pedagógico está regulado por las ya mencionadas tres </w:t>
      </w:r>
      <w:r w:rsidR="001D0451" w:rsidRPr="00BB2DC5">
        <w:rPr>
          <w:rFonts w:ascii="Times New Roman" w:hAnsi="Times New Roman" w:cs="Times New Roman"/>
          <w:lang w:val="es-CL"/>
        </w:rPr>
        <w:t>reglas</w:t>
      </w:r>
      <w:r w:rsidR="001D0451">
        <w:rPr>
          <w:rFonts w:ascii="Times New Roman" w:hAnsi="Times New Roman" w:cs="Times New Roman"/>
          <w:lang w:val="es-CL"/>
        </w:rPr>
        <w:t xml:space="preserve"> </w:t>
      </w:r>
      <w:r w:rsidR="001D0451" w:rsidRPr="00BB2DC5">
        <w:rPr>
          <w:rFonts w:ascii="Times New Roman" w:hAnsi="Times New Roman" w:cs="Times New Roman"/>
          <w:lang w:val="es-CL"/>
        </w:rPr>
        <w:t>interconectadas</w:t>
      </w:r>
      <w:r w:rsidRPr="00BB2DC5">
        <w:rPr>
          <w:rFonts w:ascii="Times New Roman" w:hAnsi="Times New Roman" w:cs="Times New Roman"/>
          <w:lang w:val="es-CL"/>
        </w:rPr>
        <w:t xml:space="preserve"> que actúan como el motor de transmisión cultural. En primer lugar, la regla distributiva establece los límites entre lo pensable y lo impensable, definiendo quién transmite qué a quiénes. En segundo lugar, la regla de recontextualización opera en la construcción del currículum, tomando discursos de sus contextos originales de producción (como la ciencia o la teoría social) y transformándolos en discursos </w:t>
      </w:r>
      <w:r w:rsidRPr="00BB2DC5">
        <w:rPr>
          <w:rFonts w:ascii="Times New Roman" w:hAnsi="Times New Roman" w:cs="Times New Roman"/>
          <w:lang w:val="es-CL"/>
        </w:rPr>
        <w:lastRenderedPageBreak/>
        <w:t xml:space="preserve">pedagógicos, en operaciones donde se disputan, seleccionan y legitiman ciertos saberes por sobre otros para ingresar al currículum. Finalmente, la regla de evaluación traduce esta selección en la práctica concreta del aula, fijando los criterios explícitos o implícitos de evaluación. </w:t>
      </w:r>
    </w:p>
    <w:p w14:paraId="16F0ECED" w14:textId="1A0DB661" w:rsidR="00BB2DC5" w:rsidRPr="00BB2DC5" w:rsidRDefault="00BB2DC5" w:rsidP="00BB2DC5">
      <w:pPr>
        <w:spacing w:line="240" w:lineRule="auto"/>
        <w:jc w:val="both"/>
        <w:rPr>
          <w:rFonts w:ascii="Times New Roman" w:hAnsi="Times New Roman" w:cs="Times New Roman"/>
          <w:lang w:val="es-CL"/>
        </w:rPr>
      </w:pPr>
      <w:r w:rsidRPr="00BB2DC5">
        <w:rPr>
          <w:rFonts w:ascii="Times New Roman" w:hAnsi="Times New Roman" w:cs="Times New Roman"/>
          <w:lang w:val="es-CL"/>
        </w:rPr>
        <w:t>En lo que sigue se profundizará la articulación de las nociones de la sociología de Bernstein con las tres dimensiones del “qué”, el “cómo” y el “por qué”, con el objetivo de proponer un modelo analítico para la incorporación de la PGs en el curriculum</w:t>
      </w:r>
    </w:p>
    <w:p w14:paraId="105468FB" w14:textId="6E88FE87" w:rsidR="00C70C68" w:rsidRPr="001D0451" w:rsidRDefault="008E7458" w:rsidP="001D0451">
      <w:pPr>
        <w:spacing w:line="240" w:lineRule="auto"/>
        <w:rPr>
          <w:rFonts w:ascii="Times New Roman" w:hAnsi="Times New Roman" w:cs="Times New Roman"/>
          <w:b/>
          <w:bCs/>
          <w:lang w:val="es-CL"/>
        </w:rPr>
      </w:pPr>
      <w:r w:rsidRPr="001D0451">
        <w:rPr>
          <w:rFonts w:ascii="Times New Roman" w:hAnsi="Times New Roman" w:cs="Times New Roman"/>
          <w:b/>
          <w:bCs/>
          <w:lang w:val="es-CL"/>
        </w:rPr>
        <w:t>La dimensión del "qué": conocimiento, estructuras disciplinarias y justicia epistémica</w:t>
      </w:r>
    </w:p>
    <w:p w14:paraId="4BBECC60" w14:textId="6134E1F1" w:rsidR="00E0270F" w:rsidRPr="00E0270F" w:rsidRDefault="00E0270F" w:rsidP="00E0270F">
      <w:pPr>
        <w:spacing w:line="240" w:lineRule="auto"/>
        <w:jc w:val="both"/>
        <w:rPr>
          <w:rFonts w:ascii="Times New Roman" w:hAnsi="Times New Roman" w:cs="Times New Roman"/>
          <w:lang w:val="es-CL"/>
        </w:rPr>
      </w:pPr>
      <w:r w:rsidRPr="00E0270F">
        <w:rPr>
          <w:rFonts w:ascii="Times New Roman" w:hAnsi="Times New Roman" w:cs="Times New Roman"/>
          <w:lang w:val="es-CL"/>
        </w:rPr>
        <w:t xml:space="preserve">¿Qué se sabe respecto de la incorporación de la PGs en el currículum formal de las carreras de pregrado en las universidades? En Europa del Este, la PGs parece quedar segregada en las humanidades, focalizada en cursos optativos y dependería, en gran medida, de voluntades de académicos/as individuales más que de definiciones institucionales (Grünberg, 2011). Esta tendencia es similar a la destacada por van der Heide et al. (2017), quienes identificaron que una amplia mayoría de las buenas prácticas en la Unión Europea (71%) se presentarían como cursos electivos, con una presencia casi nula en áreas STEM. </w:t>
      </w:r>
    </w:p>
    <w:p w14:paraId="71B35BA2" w14:textId="77777777" w:rsidR="00E0270F" w:rsidRPr="00E0270F" w:rsidRDefault="00E0270F" w:rsidP="00E0270F">
      <w:pPr>
        <w:spacing w:line="240" w:lineRule="auto"/>
        <w:jc w:val="both"/>
        <w:rPr>
          <w:rFonts w:ascii="Times New Roman" w:hAnsi="Times New Roman" w:cs="Times New Roman"/>
          <w:lang w:val="es-CL"/>
        </w:rPr>
      </w:pPr>
      <w:r w:rsidRPr="00E0270F">
        <w:rPr>
          <w:rFonts w:ascii="Times New Roman" w:hAnsi="Times New Roman" w:cs="Times New Roman"/>
          <w:lang w:val="es-CL"/>
        </w:rPr>
        <w:t>Ya en Iberoamérica, la UNAM (2024) reporta un conjunto de catorce asignaturas en sus distintas carreras (que no cuentan con créditos asociados), mientras que la Red Xarxa Vives en Europa sugiere una baja presencia en mallas obligatorias (16%), lo que indicaría una posible dificultad para alcanzar la transversalización efectiva (Rodríguez Jaumey y Gil González, 2021). En Chile, los diagnósticos de planes de estudio y/o programas de asignatura reforzarían la percepción de esta brecha: solo 5 de 19 planes de estudio incorporan esta perspectiva en una universidad pedagógica (Veloso Chacón, 2020), mientras que en otra universidad de tipo privada, la presencia de abordaje de género se situaría cerca de un 9% en promedio, con una brecha que podría considerarse crítica en STEM con un 1%, versus un 19% en las humanidades (Gaba, Gajardo y Murillo, 2024). Asimismo, se observaría una invisibilización sostenida de autorías femeninas en las bibliografías (Menéndez Baena, 2018). En formación docente, la urgencia declarada no parecería traducirse aún en una oferta académica real (Cordero-Aliaga y Romero-López, 2025) y persistiría un vacío en estudios sobre diversidad sexual en Latinoamérica y currículum (Barrientos-Saavedra, 2026; López Orozco et al., 2022). Pareciera confirmarse entonces que las universidades habrían priorizado políticas sobre violencia de género (Alvarado Urizar et al., 2022), más que reformas curriculares (Aranda Fritz y Pautassi, 2024).</w:t>
      </w:r>
    </w:p>
    <w:p w14:paraId="08CF511D" w14:textId="77777777" w:rsidR="00E0270F" w:rsidRPr="00E0270F" w:rsidRDefault="00E0270F" w:rsidP="00E0270F">
      <w:pPr>
        <w:spacing w:line="240" w:lineRule="auto"/>
        <w:jc w:val="both"/>
        <w:rPr>
          <w:rFonts w:ascii="Times New Roman" w:hAnsi="Times New Roman" w:cs="Times New Roman"/>
          <w:lang w:val="es-CL"/>
        </w:rPr>
      </w:pPr>
      <w:r w:rsidRPr="00E0270F">
        <w:rPr>
          <w:rFonts w:ascii="Times New Roman" w:hAnsi="Times New Roman" w:cs="Times New Roman"/>
          <w:lang w:val="es-CL"/>
        </w:rPr>
        <w:t xml:space="preserve">Más allá de los porcentajes de incorporación, es importante profundizar en cómo se aborda conceptualmente y qué se entiende por PGs. Distintos estudios elevan algunas cautelas: se observaría la tendencia a subsumir la noción de género en la categoría amplia de "diversidad" (Matus e Infante, 2011), a vincularlo a temas de mujeres y/o a reducirlo a una dimensión ética del perfil de egreso (Gaba, Gajardo y Murillo, 2023), lo cual, según Lombardo y Mergaert (2013) podría limitar el potencial transformador atribuido </w:t>
      </w:r>
      <w:r w:rsidRPr="00E0270F">
        <w:rPr>
          <w:rFonts w:ascii="Times New Roman" w:hAnsi="Times New Roman" w:cs="Times New Roman"/>
          <w:lang w:val="es-CL"/>
        </w:rPr>
        <w:lastRenderedPageBreak/>
        <w:t xml:space="preserve">teóricamente a la transversalización de la PGs, al mantener inalterado el núcleo conceptual disciplinar. </w:t>
      </w:r>
    </w:p>
    <w:p w14:paraId="1467715F" w14:textId="77777777" w:rsidR="00E0270F" w:rsidRPr="00E0270F" w:rsidRDefault="00E0270F" w:rsidP="00E0270F">
      <w:pPr>
        <w:spacing w:line="240" w:lineRule="auto"/>
        <w:jc w:val="both"/>
        <w:rPr>
          <w:rFonts w:ascii="Times New Roman" w:hAnsi="Times New Roman" w:cs="Times New Roman"/>
          <w:lang w:val="es-CL"/>
        </w:rPr>
      </w:pPr>
      <w:r w:rsidRPr="00E0270F">
        <w:rPr>
          <w:rFonts w:ascii="Times New Roman" w:hAnsi="Times New Roman" w:cs="Times New Roman"/>
          <w:lang w:val="es-CL"/>
        </w:rPr>
        <w:t>Estas disparidades del "qué" pueden ser problematizadas mediante las nociones bernsteinianas de discurso vertical y discurso horizontal como formas diferenciadas de conocimiento (Bernstein, 1999). El discurso horizontal se caracteriza por ser de carácter oral, local, dependiente del contexto y organizado de manera segmental, vinculándose directamente con los contextos familiares y las interacciones comunitarias. Por el contrario, el discurso vertical constituye una estructura explícita, abstracta y coherentemente organizada, con criterios específicos para producir sus textos y con reglas distributivas fuertes que regulan su acceso, transmisión y evaluación, como el conocimiento especializado transaccionado en las universidades, motivo por el cual será el foco de análisis en lo que sigue. Los aportes feministas en los distintos campos disciplinares (sociología feminista, filosofía feminista, salud feminista, etc.) son formas de discurso vertical. Sin embargo, en el campo de las relaciones de hegemonía de los saberes en la academia, hay disputas en torno al estatus de cientificidad, siendo algunos saberes ‘más científicos’ que otros. Algunas precisiones de Bernstein permiten profundizar en ello.</w:t>
      </w:r>
    </w:p>
    <w:p w14:paraId="5F7506F4" w14:textId="071D5733" w:rsidR="00E0270F" w:rsidRPr="00E0270F" w:rsidRDefault="00E0270F" w:rsidP="00E0270F">
      <w:pPr>
        <w:spacing w:line="240" w:lineRule="auto"/>
        <w:jc w:val="both"/>
        <w:rPr>
          <w:rFonts w:ascii="Times New Roman" w:hAnsi="Times New Roman" w:cs="Times New Roman"/>
          <w:lang w:val="es-CL"/>
        </w:rPr>
      </w:pPr>
      <w:r w:rsidRPr="00E0270F">
        <w:rPr>
          <w:rFonts w:ascii="Times New Roman" w:hAnsi="Times New Roman" w:cs="Times New Roman"/>
          <w:lang w:val="es-CL"/>
        </w:rPr>
        <w:t xml:space="preserve">Dentro del discurso vertical, existen dos estructuras de conocimiento: las jerárquicas y las horizontales (Bernstein, 1999). Las estructuras jerárquicas del discurso vertical se refieren a aquellas que integran teorías y niveles de abstracción, donde el avance del campo se produce por una integración y síntesis progresiva y acumulativa, características de las ciencias naturales y exactas. Estos serán los conocimientos validados como más científicos dentro del campo académico. Por su parte, las estructuras de conocimiento horizontales del discurso vertical no operan mediante una integración piramidal, sino que acumulan un conjunto de lenguajes especializados y paralelos que coexisten simultáneamente de manera seriada, tal como ocurre en las artes, las humanidades y las ciencias sociales. En estas estructuras horizontales, el avance no se genera por la unificación abstracta, sino por la introducción de un nuevo lenguaje especializado que disputa la legitimidad del campo, estableciendo sus propios criterios internos de validez, por ejemplo, tal como se observa en la coexistencia de enfoques contrapuestos dentro de la sociología (Bernstein, 1999). </w:t>
      </w:r>
    </w:p>
    <w:p w14:paraId="4F4AD7C9" w14:textId="27989662" w:rsidR="008E7458" w:rsidRPr="008E7458" w:rsidRDefault="00E0270F" w:rsidP="00E0270F">
      <w:pPr>
        <w:spacing w:line="240" w:lineRule="auto"/>
        <w:jc w:val="both"/>
        <w:rPr>
          <w:rFonts w:ascii="Times New Roman" w:hAnsi="Times New Roman" w:cs="Times New Roman"/>
          <w:lang w:val="es-CL"/>
        </w:rPr>
      </w:pPr>
      <w:r w:rsidRPr="00E0270F">
        <w:rPr>
          <w:rFonts w:ascii="Times New Roman" w:hAnsi="Times New Roman" w:cs="Times New Roman"/>
          <w:lang w:val="es-CL"/>
        </w:rPr>
        <w:t>Podría plantearse, desde esta propuesta Bernsteniana, que los estudios de la mujer, de género, de las masculinidades, etc., se configurarían como discursos verticales con estructuras de conocimiento de carácter horizontal. Los desafíos de incorporación en las estructuras de conocimiento horizontales (ciencias sociales y humanidades) están presentes, dado los distintos lenguajes especializados de los diversos campos y las disputas que desde esa perspectiva se puede dar respecto de la legitimidad. Siendo este desafío mayor en los campos de las disciplinas STEM, dada su estructuración jerárquica dentro del discurso vertical.</w:t>
      </w:r>
    </w:p>
    <w:p w14:paraId="3EA780C8" w14:textId="77777777" w:rsidR="00F573E4" w:rsidRDefault="00F573E4" w:rsidP="00F573E4">
      <w:pPr>
        <w:spacing w:line="240" w:lineRule="auto"/>
        <w:rPr>
          <w:rFonts w:ascii="Times New Roman" w:hAnsi="Times New Roman" w:cs="Times New Roman"/>
          <w:b/>
          <w:bCs/>
          <w:lang w:val="es-CL"/>
        </w:rPr>
      </w:pPr>
    </w:p>
    <w:p w14:paraId="2FBB255D" w14:textId="77777777" w:rsidR="00F573E4" w:rsidRDefault="00F573E4" w:rsidP="00F573E4">
      <w:pPr>
        <w:spacing w:line="240" w:lineRule="auto"/>
        <w:rPr>
          <w:rFonts w:ascii="Times New Roman" w:hAnsi="Times New Roman" w:cs="Times New Roman"/>
          <w:b/>
          <w:bCs/>
          <w:lang w:val="es-CL"/>
        </w:rPr>
      </w:pPr>
    </w:p>
    <w:p w14:paraId="4DBA8D2F" w14:textId="3B045199" w:rsidR="00BB2DC5" w:rsidRPr="00F573E4" w:rsidRDefault="009643E9" w:rsidP="00F573E4">
      <w:pPr>
        <w:spacing w:line="240" w:lineRule="auto"/>
        <w:rPr>
          <w:rFonts w:ascii="Times New Roman" w:hAnsi="Times New Roman" w:cs="Times New Roman"/>
          <w:b/>
          <w:bCs/>
          <w:lang w:val="es-CL"/>
        </w:rPr>
      </w:pPr>
      <w:r w:rsidRPr="00F573E4">
        <w:rPr>
          <w:rFonts w:ascii="Times New Roman" w:hAnsi="Times New Roman" w:cs="Times New Roman"/>
          <w:b/>
          <w:bCs/>
          <w:lang w:val="es-CL"/>
        </w:rPr>
        <w:lastRenderedPageBreak/>
        <w:t>La dimensión del "cómo": gestión organizacional, recontextualización y control curricular</w:t>
      </w:r>
    </w:p>
    <w:p w14:paraId="76879984" w14:textId="53BC52C1" w:rsidR="00C46F0A" w:rsidRPr="00C46F0A" w:rsidRDefault="00C46F0A" w:rsidP="00C46F0A">
      <w:pPr>
        <w:spacing w:line="240" w:lineRule="auto"/>
        <w:jc w:val="both"/>
        <w:rPr>
          <w:rFonts w:ascii="Times New Roman" w:hAnsi="Times New Roman" w:cs="Times New Roman"/>
          <w:lang w:val="es-CL"/>
        </w:rPr>
      </w:pPr>
      <w:r w:rsidRPr="00C46F0A">
        <w:rPr>
          <w:rFonts w:ascii="Times New Roman" w:hAnsi="Times New Roman" w:cs="Times New Roman"/>
          <w:lang w:val="es-CL"/>
        </w:rPr>
        <w:t>La dimensión del "cómo" constituye un nudo crítico referido a la gestión organizacional de los procesos curriculares y respondería a la pregunta de cómo estarían las universidades organizando sus procesos curriculares para incorporar (o no) PGs</w:t>
      </w:r>
      <w:r w:rsidR="00365AB3">
        <w:rPr>
          <w:rFonts w:ascii="Times New Roman" w:hAnsi="Times New Roman" w:cs="Times New Roman"/>
          <w:lang w:val="es-CL"/>
        </w:rPr>
        <w:t xml:space="preserve">. </w:t>
      </w:r>
      <w:r w:rsidRPr="00C46F0A">
        <w:rPr>
          <w:rFonts w:ascii="Times New Roman" w:hAnsi="Times New Roman" w:cs="Times New Roman"/>
          <w:lang w:val="es-CL"/>
        </w:rPr>
        <w:t>Sobre estos procesos curriculares, específicamente por la pregunta de la PGs en ellos, no se han encontrado investigaciones en Chile que lo hayan abordado de manera específica. Por ende, las preguntas por si estos procesos existen, cómo están diseñados, en qué medida están formalizados en documentos, qué roles cumplen distintas unidades (de currículum, de género, académicas y otras) y qué interacciones tienen como agentes recontextualizadores (Bernstein, 1990) siguen abiertas.</w:t>
      </w:r>
    </w:p>
    <w:p w14:paraId="4B194ED8" w14:textId="1DDBFC5D" w:rsidR="00C46F0A" w:rsidRPr="00C46F0A" w:rsidRDefault="00C46F0A" w:rsidP="00C46F0A">
      <w:pPr>
        <w:spacing w:line="240" w:lineRule="auto"/>
        <w:jc w:val="both"/>
        <w:rPr>
          <w:rFonts w:ascii="Times New Roman" w:hAnsi="Times New Roman" w:cs="Times New Roman"/>
          <w:lang w:val="es-CL"/>
        </w:rPr>
      </w:pPr>
      <w:r w:rsidRPr="00C46F0A">
        <w:rPr>
          <w:rFonts w:ascii="Times New Roman" w:hAnsi="Times New Roman" w:cs="Times New Roman"/>
          <w:lang w:val="es-CL"/>
        </w:rPr>
        <w:t xml:space="preserve">Algunos documentos institucionales sistematizan otros aspectos relacionados. Un documento del CRUCH (2012) aborda las innovaciones curriculares en las universidades </w:t>
      </w:r>
      <w:r w:rsidR="00C858CE">
        <w:rPr>
          <w:rFonts w:ascii="Times New Roman" w:hAnsi="Times New Roman" w:cs="Times New Roman"/>
          <w:lang w:val="es-CL"/>
        </w:rPr>
        <w:t xml:space="preserve">chilenas </w:t>
      </w:r>
      <w:r w:rsidRPr="00C46F0A">
        <w:rPr>
          <w:rFonts w:ascii="Times New Roman" w:hAnsi="Times New Roman" w:cs="Times New Roman"/>
          <w:lang w:val="es-CL"/>
        </w:rPr>
        <w:t>integrantes de este consorcio, situando un marco de referencia de las características de estos procesos que será de relevancia, por ejemplo con la implementación de modelos por competencias (genéricas y específicas) y delineando distintos modelos de conducción de los procesos de innovación curricular. Estas variables serían de importancia a la hora de pensar cómo la PGs se logra incorporar, dado que no es lo mismo si la gobernanza de las innovaciones curriculares es de conducción centralizada con liderazgo de alta autoridad, o una conducción compartida, por nombrar dos de los cuatro modelos identificados (CRUCH, 2012). Más recientemente, el Consorcio de Universidades Estatales Chilenas (CUECH, 2022) realizó un análisis comparado de los modelos educativos de las 18 universidades estatales chilenas, y aunque no se consideró como dimensión central un análisis desde PGs, se señala que solo una de las universidades incorporaba la igualdad de género y la no discriminación a nivel de sus principios en el modelo educativo.</w:t>
      </w:r>
    </w:p>
    <w:p w14:paraId="24F291E8" w14:textId="6FC6212B" w:rsidR="00C46F0A" w:rsidRPr="00C46F0A" w:rsidRDefault="00C46F0A" w:rsidP="00C46F0A">
      <w:pPr>
        <w:spacing w:line="240" w:lineRule="auto"/>
        <w:jc w:val="both"/>
        <w:rPr>
          <w:rFonts w:ascii="Times New Roman" w:hAnsi="Times New Roman" w:cs="Times New Roman"/>
          <w:lang w:val="es-CL"/>
        </w:rPr>
      </w:pPr>
      <w:r w:rsidRPr="00C46F0A">
        <w:rPr>
          <w:rFonts w:ascii="Times New Roman" w:hAnsi="Times New Roman" w:cs="Times New Roman"/>
          <w:lang w:val="es-CL"/>
        </w:rPr>
        <w:t>Para que estos saberes se materialicen en la enseñanza, el tránsito del conocimiento desde su campo de producción hasta el contexto secundario de reproducción no es directo, sino que se encuentra mediado por el campo de recontextualización (Bernstein, 1990). Este campo constituye el nudo crítico de esta investigación, ya que en él diversos agentes operan una selección, descolocación y transformación sobre el texto original. Según Bernstein, todo traslado discursivo implica un principio de descontextualización donde el saber se desubica y se transforma en otro, mediante un proceso inherentemente ideológico, y también burocrático, donde el discurso puede ser simplificado, condensado o higienizado para ajustarse a las estructuras receptoras (Díaz Villa, 2000).</w:t>
      </w:r>
    </w:p>
    <w:p w14:paraId="08D4382B" w14:textId="77777777" w:rsidR="00C46F0A" w:rsidRPr="00C46F0A" w:rsidRDefault="00C46F0A" w:rsidP="00C46F0A">
      <w:pPr>
        <w:spacing w:line="240" w:lineRule="auto"/>
        <w:jc w:val="both"/>
        <w:rPr>
          <w:rFonts w:ascii="Times New Roman" w:hAnsi="Times New Roman" w:cs="Times New Roman"/>
          <w:lang w:val="es-CL"/>
        </w:rPr>
      </w:pPr>
      <w:r w:rsidRPr="00C46F0A">
        <w:rPr>
          <w:rFonts w:ascii="Times New Roman" w:hAnsi="Times New Roman" w:cs="Times New Roman"/>
          <w:lang w:val="es-CL"/>
        </w:rPr>
        <w:t xml:space="preserve">En este campo de la recontextualización coexisten dos subcampos en constante tensión: el Campo Recontextualizador Oficial (CRO), representado por el Estado y los marcos normativos y administrativos y el Campo Recontextualizador Pedagógico (CRP), compuesto por las propias universidades, facultades, departamentos disciplinares, cuerpos docentes y equipos profesionales de apoyo curricular. El grado de autonomía del CRP es particularmente alto en el contexto universitario (a diferencia del nivel escolar), lo cual permitiría disputar estos significados y sentaría las bases para el foco de esta propuesta de investigación. </w:t>
      </w:r>
    </w:p>
    <w:p w14:paraId="507B76A7" w14:textId="77777777" w:rsidR="00C46F0A" w:rsidRPr="00C46F0A" w:rsidRDefault="00C46F0A" w:rsidP="00C46F0A">
      <w:pPr>
        <w:spacing w:line="240" w:lineRule="auto"/>
        <w:jc w:val="both"/>
        <w:rPr>
          <w:rFonts w:ascii="Times New Roman" w:hAnsi="Times New Roman" w:cs="Times New Roman"/>
          <w:lang w:val="es-CL"/>
        </w:rPr>
      </w:pPr>
      <w:r w:rsidRPr="00C46F0A">
        <w:rPr>
          <w:rFonts w:ascii="Times New Roman" w:hAnsi="Times New Roman" w:cs="Times New Roman"/>
          <w:lang w:val="es-CL"/>
        </w:rPr>
        <w:lastRenderedPageBreak/>
        <w:t xml:space="preserve">En términos de Bernstein, la incorporación de la PGs en el currículum de pregrado de las universidades chilenas se configuraría como un proceso de recontextualización pedagógica de las teorías feministas en el currículum de las diversas disciplinas, bajo demandas específicas del campo de recontextualización oficial que proporciona el encuadre legal y administrativo (Bernstein y Díaz, 1985), pero con amplio margen para que los contextos locales en las distintas universidades (públicas, privadas, confesionales, laicas, de la región metropolitana, de otras regiones) incidan en las particulares características de esta recontextualización. </w:t>
      </w:r>
    </w:p>
    <w:p w14:paraId="2B83C4E1" w14:textId="77777777" w:rsidR="00C46F0A" w:rsidRPr="00C46F0A" w:rsidRDefault="00C46F0A" w:rsidP="00C46F0A">
      <w:pPr>
        <w:spacing w:line="240" w:lineRule="auto"/>
        <w:jc w:val="both"/>
        <w:rPr>
          <w:rFonts w:ascii="Times New Roman" w:hAnsi="Times New Roman" w:cs="Times New Roman"/>
          <w:lang w:val="es-CL"/>
        </w:rPr>
      </w:pPr>
      <w:r w:rsidRPr="00C46F0A">
        <w:rPr>
          <w:rFonts w:ascii="Times New Roman" w:hAnsi="Times New Roman" w:cs="Times New Roman"/>
          <w:lang w:val="es-CL"/>
        </w:rPr>
        <w:t xml:space="preserve">La comprensión de esta dinámica recontextualizadora en el escenario universitario chileno contemporáneo requiere desplazar la mirada y considerar los modos de gobernanza interna y el surgimiento de nuevos roles profesionales encargados de tramitar estas demandas. En las últimas décadas, la educación superior ha experimentado cambios sistémicos profundos impulsados por una agenda global de productividad, aseguramiento de la calidad y gestión por objetivos, donde enfoques gerenciales de la Nueva Gestión Pública (NGP) se han instalado en el corazón de la vida universitaria (Santin et al., 2022). Según Marquina y Reznik (2024), este tránsito denotaría una transferencia de autoridad que, en América Latina y particularmente en Chile, se tradujo en un esquema híbrido donde predomina la regulación del Estado, la competencia y el gobierno gerencial, debilitando la influencia histórica de las oligarquías académicas (Brunner y Alarcón, 2023).  </w:t>
      </w:r>
    </w:p>
    <w:p w14:paraId="7924A7E7" w14:textId="31CFAB28" w:rsidR="00C46F0A" w:rsidRPr="00C46F0A" w:rsidRDefault="00C46F0A" w:rsidP="00C46F0A">
      <w:pPr>
        <w:spacing w:line="240" w:lineRule="auto"/>
        <w:jc w:val="both"/>
        <w:rPr>
          <w:rFonts w:ascii="Times New Roman" w:hAnsi="Times New Roman" w:cs="Times New Roman"/>
          <w:lang w:val="es-CL"/>
        </w:rPr>
      </w:pPr>
      <w:r w:rsidRPr="00C46F0A">
        <w:rPr>
          <w:rFonts w:ascii="Times New Roman" w:hAnsi="Times New Roman" w:cs="Times New Roman"/>
          <w:lang w:val="es-CL"/>
        </w:rPr>
        <w:t xml:space="preserve">La gobernanza gerencial ha allanado el camino para el crecimiento de roles especialistas encargados de gestionar, entre otros asuntos, las agendas de igualdad de género. El aumento del poder institucional de estas nuevas actorías radicaría en que su rol proporciona conocimientos clave para la acreditación, la obtención de recursos y la competitividad (Marquina y Reznik, 2024), en lo que concierne a género y currículum, en el cumplimiento de la ley 21.369.  </w:t>
      </w:r>
    </w:p>
    <w:p w14:paraId="0E4A43A7" w14:textId="5801F080" w:rsidR="00C46F0A" w:rsidRPr="00C46F0A" w:rsidRDefault="00C46F0A" w:rsidP="00C46F0A">
      <w:pPr>
        <w:spacing w:line="240" w:lineRule="auto"/>
        <w:jc w:val="both"/>
        <w:rPr>
          <w:rFonts w:ascii="Times New Roman" w:hAnsi="Times New Roman" w:cs="Times New Roman"/>
          <w:lang w:val="es-CL"/>
        </w:rPr>
      </w:pPr>
      <w:r w:rsidRPr="00C46F0A">
        <w:rPr>
          <w:rFonts w:ascii="Times New Roman" w:hAnsi="Times New Roman" w:cs="Times New Roman"/>
          <w:lang w:val="es-CL"/>
        </w:rPr>
        <w:t>La literatura ha conceptualizado a estos agentes de distintas maneras. Por un lado, se describen como profesionales de la educación superior o HEPRO (Higher Education Professionals), un grupo heterogéneo que utiliza su conocimiento experto para satisfacer demandas de gestión, liberando al personal académico de ciertas tareas administrativas</w:t>
      </w:r>
      <w:r w:rsidR="007B41FD">
        <w:rPr>
          <w:rFonts w:ascii="Times New Roman" w:hAnsi="Times New Roman" w:cs="Times New Roman"/>
          <w:lang w:val="es-CL"/>
        </w:rPr>
        <w:t xml:space="preserve"> </w:t>
      </w:r>
      <w:r w:rsidRPr="00C46F0A">
        <w:rPr>
          <w:rFonts w:ascii="Times New Roman" w:hAnsi="Times New Roman" w:cs="Times New Roman"/>
          <w:lang w:val="es-CL"/>
        </w:rPr>
        <w:t xml:space="preserve">(Klumpp y Teichler, 2008). Por otro lado, se les ha denominado como para-académicos/as (MacFarlane, 2011), describiéndoles como producto de la desagregación de la vida académica, incluyendo a profesionales de apoyo sobrecalificados/as y con cercanía a la actividad universitaria. Finalmente, la propuesta del Tercer Espacio (Whitchurch, 2012) que identifica un ámbito en la intersección entre las esferas académica y profesional, habitado por sujetos con credenciales de postgrado (magíster o doctorado) bajo contratos administrativos que se mueven a través de los límites institucionales para construir capacidad, categoría en la cual Enders y Naidoo (2022) incluyen específicamente a los/as profesionales relacionados con temas curriculares.  </w:t>
      </w:r>
    </w:p>
    <w:p w14:paraId="1D3666F0" w14:textId="219DD315" w:rsidR="00C46F0A" w:rsidRPr="00C46F0A" w:rsidRDefault="00C46F0A" w:rsidP="00C46F0A">
      <w:pPr>
        <w:spacing w:line="240" w:lineRule="auto"/>
        <w:jc w:val="both"/>
        <w:rPr>
          <w:rFonts w:ascii="Times New Roman" w:hAnsi="Times New Roman" w:cs="Times New Roman"/>
          <w:lang w:val="es-CL"/>
        </w:rPr>
      </w:pPr>
      <w:r w:rsidRPr="00C46F0A">
        <w:rPr>
          <w:rFonts w:ascii="Times New Roman" w:hAnsi="Times New Roman" w:cs="Times New Roman"/>
          <w:lang w:val="es-CL"/>
        </w:rPr>
        <w:t xml:space="preserve">Sin embargo, el análisis del </w:t>
      </w:r>
      <w:r w:rsidR="00A328B5">
        <w:rPr>
          <w:rFonts w:ascii="Times New Roman" w:hAnsi="Times New Roman" w:cs="Times New Roman"/>
          <w:lang w:val="es-CL"/>
        </w:rPr>
        <w:t xml:space="preserve">rol </w:t>
      </w:r>
      <w:r w:rsidRPr="00C46F0A">
        <w:rPr>
          <w:rFonts w:ascii="Times New Roman" w:hAnsi="Times New Roman" w:cs="Times New Roman"/>
          <w:lang w:val="es-CL"/>
        </w:rPr>
        <w:t xml:space="preserve">de quienes integran específicamente las unidades de género en las universidades chilenas requiere considerar dimensiones que exceden la hibridez técnica. A diferencia de otros cuadros orientados a la optimización de procesos, las/os profesionales de género operarían bajo una lógica ético-política vinculada a los </w:t>
      </w:r>
      <w:r w:rsidRPr="00C46F0A">
        <w:rPr>
          <w:rFonts w:ascii="Times New Roman" w:hAnsi="Times New Roman" w:cs="Times New Roman"/>
          <w:lang w:val="es-CL"/>
        </w:rPr>
        <w:lastRenderedPageBreak/>
        <w:t>derechos humanos, configurando su rol en la convergencia entre el desempeño profesional, el conocimiento académico y el compromiso activista, lo que constituiría un activismo institucionalizado provisto de una triple inscripción: académica, profesional y activista, conceptualización que ha sido propuesta en trabajos anteriores (Gaba, 2021, 2025). Su objetivo no sería tan solo la optimización de lo existente, sino la transformación de las estructuras de poder que sostienen las desigualdades de género.</w:t>
      </w:r>
      <w:r w:rsidR="005E54AF">
        <w:rPr>
          <w:rFonts w:ascii="Times New Roman" w:hAnsi="Times New Roman" w:cs="Times New Roman"/>
          <w:lang w:val="es-CL"/>
        </w:rPr>
        <w:t xml:space="preserve"> L</w:t>
      </w:r>
      <w:r w:rsidRPr="00C46F0A">
        <w:rPr>
          <w:rFonts w:ascii="Times New Roman" w:hAnsi="Times New Roman" w:cs="Times New Roman"/>
          <w:lang w:val="es-CL"/>
        </w:rPr>
        <w:t xml:space="preserve">a introducción de la PGs aborda necesariamente una conversación en torno al contenido disciplinar. Es en esta intersección donde podría tensionarse la gobernanza universitaria, manifestada como el rechazo del cuerpo académico frente a lo que visualizan como una intromisión de personal no académico en las definiciones de materias propiamente académicas. </w:t>
      </w:r>
    </w:p>
    <w:p w14:paraId="4B17D62F" w14:textId="77777777" w:rsidR="00C46F0A" w:rsidRPr="00C46F0A" w:rsidRDefault="00C46F0A" w:rsidP="00C46F0A">
      <w:pPr>
        <w:spacing w:line="240" w:lineRule="auto"/>
        <w:jc w:val="both"/>
        <w:rPr>
          <w:rFonts w:ascii="Times New Roman" w:hAnsi="Times New Roman" w:cs="Times New Roman"/>
          <w:lang w:val="es-CL"/>
        </w:rPr>
      </w:pPr>
      <w:r w:rsidRPr="00C46F0A">
        <w:rPr>
          <w:rFonts w:ascii="Times New Roman" w:hAnsi="Times New Roman" w:cs="Times New Roman"/>
          <w:lang w:val="es-CL"/>
        </w:rPr>
        <w:t xml:space="preserve">Desde la propuesta de Bernstein esto podría ser leído como un cierre por parte de las estructuras colegiadas tradicionales de sus fronteras disciplinares, amparadas en una clasificación fuerte (Bernstein, 1990), deslegitimando en distintos grados la experticia de las profesionales de género bajo el argumento de proteger la autonomía académica, frente a discursos que codifican como ajenos.  A esta posible forma de resistencia de la academia se suman las tensiones políticas desde los propios sectores feministas y activistas, quienes a menudo catalogan a estas profesionales como figuras burocráticas o "femócratas" (Eisenstein, 1995), advirtiendo que la profesionalización y la adopción de enfoques técnicos conllevan el peligro de despolitizar la labor activista original (Prügl, 2013). </w:t>
      </w:r>
    </w:p>
    <w:p w14:paraId="6C80B079" w14:textId="3C9DA4F8" w:rsidR="00C46F0A" w:rsidRPr="00C46F0A" w:rsidRDefault="00C46F0A" w:rsidP="00C46F0A">
      <w:pPr>
        <w:spacing w:line="240" w:lineRule="auto"/>
        <w:jc w:val="both"/>
        <w:rPr>
          <w:rFonts w:ascii="Times New Roman" w:hAnsi="Times New Roman" w:cs="Times New Roman"/>
          <w:lang w:val="es-CL"/>
        </w:rPr>
      </w:pPr>
      <w:r w:rsidRPr="00C46F0A">
        <w:rPr>
          <w:rFonts w:ascii="Times New Roman" w:hAnsi="Times New Roman" w:cs="Times New Roman"/>
          <w:lang w:val="es-CL"/>
        </w:rPr>
        <w:t>En Chile, se ha alertado que la instauración de estas unidades especializadas corre el riesgo de convertirse en una estrategia para “decretar” el género de manera institucionalizada (Mandiola Cotroneo et al., 2022), señalando una falta de poder real, la carencia de autoridad institucional suficiente para impulsar transformaciones estructurales, una crisis de representatividad ante los movimientos sociales (Kunz y Prügl, 2019).  No obstante, interpretar la experticia en género(s) únicamente bajo la lente de la despolitización gerencial asumiría</w:t>
      </w:r>
      <w:r w:rsidR="008E055C">
        <w:rPr>
          <w:rFonts w:ascii="Times New Roman" w:hAnsi="Times New Roman" w:cs="Times New Roman"/>
          <w:lang w:val="es-CL"/>
        </w:rPr>
        <w:t xml:space="preserve"> </w:t>
      </w:r>
      <w:r w:rsidRPr="00C46F0A">
        <w:rPr>
          <w:rFonts w:ascii="Times New Roman" w:hAnsi="Times New Roman" w:cs="Times New Roman"/>
          <w:lang w:val="es-CL"/>
        </w:rPr>
        <w:t xml:space="preserve">que existe una sola vertiente feminista y una forma única de desarrollar su labor. Si se acepta que todo conocimiento posee una carga política inherente, resulta contradictorio excluir el trabajo de estas expertas de dicha dimensión (Gaba, 2023). </w:t>
      </w:r>
    </w:p>
    <w:p w14:paraId="62355474" w14:textId="14135320" w:rsidR="009643E9" w:rsidRPr="009643E9" w:rsidRDefault="00C46F0A" w:rsidP="00C46F0A">
      <w:pPr>
        <w:spacing w:line="240" w:lineRule="auto"/>
        <w:jc w:val="both"/>
        <w:rPr>
          <w:rFonts w:ascii="Times New Roman" w:hAnsi="Times New Roman" w:cs="Times New Roman"/>
          <w:lang w:val="es-CL"/>
        </w:rPr>
      </w:pPr>
      <w:r w:rsidRPr="00C46F0A">
        <w:rPr>
          <w:rFonts w:ascii="Times New Roman" w:hAnsi="Times New Roman" w:cs="Times New Roman"/>
          <w:lang w:val="es-CL"/>
        </w:rPr>
        <w:t xml:space="preserve">En síntesis, el análisis del “cómo” en los procesos de recontextualización curricular de la PGs no debiera agotarse en la denuncia de la burocratización, sino en investigar cómo </w:t>
      </w:r>
      <w:r w:rsidR="003E1567">
        <w:rPr>
          <w:rFonts w:ascii="Times New Roman" w:hAnsi="Times New Roman" w:cs="Times New Roman"/>
          <w:lang w:val="es-CL"/>
        </w:rPr>
        <w:t xml:space="preserve">ésta </w:t>
      </w:r>
      <w:r w:rsidRPr="00C46F0A">
        <w:rPr>
          <w:rFonts w:ascii="Times New Roman" w:hAnsi="Times New Roman" w:cs="Times New Roman"/>
          <w:lang w:val="es-CL"/>
        </w:rPr>
        <w:t>se reconfigura en las prácticas concretas de la experticia de género, reconociendo que estas profesionales actúan como traductoras en el Tercer Espacio (Whitchurch, 2012), mediando entre el saber especializado del feminismo y la normativa universitaria.</w:t>
      </w:r>
    </w:p>
    <w:p w14:paraId="79931F5C" w14:textId="4AF3E54D" w:rsidR="00C46F0A" w:rsidRPr="008E055C" w:rsidRDefault="003736FE" w:rsidP="008E055C">
      <w:pPr>
        <w:spacing w:line="240" w:lineRule="auto"/>
        <w:rPr>
          <w:rFonts w:ascii="Times New Roman" w:hAnsi="Times New Roman" w:cs="Times New Roman"/>
          <w:b/>
          <w:bCs/>
          <w:lang w:val="es-CL"/>
        </w:rPr>
      </w:pPr>
      <w:r w:rsidRPr="008E055C">
        <w:rPr>
          <w:rFonts w:ascii="Times New Roman" w:hAnsi="Times New Roman" w:cs="Times New Roman"/>
          <w:b/>
          <w:bCs/>
          <w:lang w:val="es-CL"/>
        </w:rPr>
        <w:t>La dimensión del "por qué": marcos interpretativos, bases de legitimidad y cambio organizacional</w:t>
      </w:r>
    </w:p>
    <w:p w14:paraId="4CD0E00A" w14:textId="77777777" w:rsidR="00FD42A6" w:rsidRPr="00FD42A6" w:rsidRDefault="00FD42A6" w:rsidP="00FD42A6">
      <w:pPr>
        <w:spacing w:line="240" w:lineRule="auto"/>
        <w:jc w:val="both"/>
        <w:rPr>
          <w:rFonts w:ascii="Times New Roman" w:hAnsi="Times New Roman" w:cs="Times New Roman"/>
          <w:lang w:val="es-CL"/>
        </w:rPr>
      </w:pPr>
      <w:r w:rsidRPr="00FD42A6">
        <w:rPr>
          <w:rFonts w:ascii="Times New Roman" w:hAnsi="Times New Roman" w:cs="Times New Roman"/>
          <w:lang w:val="es-CL"/>
        </w:rPr>
        <w:t xml:space="preserve">Finalmente, la dimensión del "por qué" busca abordar los marcos interpretativos y las bases de legitimidad que sostienen o resisten la incorporación de PGs en el currículum. Es decir, las creencias y los conocimientos que distintas actorías clave tienen en relación con qué es género, qué implica incorporar PGs, y en qué medida esto es importante (o no) en la dimensión curricular. Los marcos interpretativos podrían tener incidencia en las oportunidades de incorporación, dado que “las prácticas educativas, y el currículum es un </w:t>
      </w:r>
      <w:r w:rsidRPr="00FD42A6">
        <w:rPr>
          <w:rFonts w:ascii="Times New Roman" w:hAnsi="Times New Roman" w:cs="Times New Roman"/>
          <w:lang w:val="es-CL"/>
        </w:rPr>
        <w:lastRenderedPageBreak/>
        <w:t xml:space="preserve">conjunto de ellas, no existen aparte de ciertas creencias sobre las personas y sobre la forma en que interactúan y deben hacerlo en el mundo” (Grundy, 1987, p.13). </w:t>
      </w:r>
    </w:p>
    <w:p w14:paraId="042FC5FD" w14:textId="77777777" w:rsidR="00FD42A6" w:rsidRPr="00FD42A6" w:rsidRDefault="00FD42A6" w:rsidP="00FD42A6">
      <w:pPr>
        <w:spacing w:line="240" w:lineRule="auto"/>
        <w:jc w:val="both"/>
        <w:rPr>
          <w:rFonts w:ascii="Times New Roman" w:hAnsi="Times New Roman" w:cs="Times New Roman"/>
          <w:lang w:val="es-CL"/>
        </w:rPr>
      </w:pPr>
      <w:r w:rsidRPr="00FD42A6">
        <w:rPr>
          <w:rFonts w:ascii="Times New Roman" w:hAnsi="Times New Roman" w:cs="Times New Roman"/>
          <w:lang w:val="es-CL"/>
        </w:rPr>
        <w:t xml:space="preserve">La literatura internacional sugiere que ciertas creencias podrían incidir en la implementación. En Suecia, Powell et al. (2017) identificaron que estudiantes y académicos/as persisten en explicar las brechas de género como decisiones individuales, cuestionando la relevancia del conocimiento feminista y evidenciando contradicciones entre los discursos formales e informales. En Argentina, Gili Diez et al. (2020) hallaron cuatro sentidos principales entre directivos/as universitarios: el género como determinismo biológico, como un "tercero" indefinido, como autopercepción y asociado exclusivamente a lo flamenco o femenino. Por su parte, Montes de Oca (2019) concluye en México que el escaso conocimiento teórico de tomadores/as de decisiones en materias de género incide tanto en el currículum explícito como en el oculto, haciendo urgente que quienes gestionan la formación conozcan los fundamentos de la teoría de género. En el contexto chileno, la disputa parecería centrarse en los sentidos que adoptaría la noción de educación no sexista (Vera Gajardo et al., 2025). Se advierte sobre el riesgo de una "poda" superficial que podría obviar la necesidad de una reestructuración antisexista más profunda (Troncoso, Follegati y Stuzin, 2019). </w:t>
      </w:r>
    </w:p>
    <w:p w14:paraId="37CB3308" w14:textId="77777777" w:rsidR="00FD42A6" w:rsidRPr="00FD42A6" w:rsidRDefault="00FD42A6" w:rsidP="00FD42A6">
      <w:pPr>
        <w:spacing w:line="240" w:lineRule="auto"/>
        <w:jc w:val="both"/>
        <w:rPr>
          <w:rFonts w:ascii="Times New Roman" w:hAnsi="Times New Roman" w:cs="Times New Roman"/>
          <w:lang w:val="es-CL"/>
        </w:rPr>
      </w:pPr>
      <w:r w:rsidRPr="00FD42A6">
        <w:rPr>
          <w:rFonts w:ascii="Times New Roman" w:hAnsi="Times New Roman" w:cs="Times New Roman"/>
          <w:lang w:val="es-CL"/>
        </w:rPr>
        <w:t xml:space="preserve">Para profundizar en esta disputa, es de utilidad recuperar la distinción bernsteiniana entre el discurso instruccional, orientado a la transmisión de competencias especializadas, habilidades técnicas y contenidos conceptuales, y el discurso regulador, definido como el conjunto de reglas que crea el orden social, la conducta, el carácter, los valores, las creencias y la identidad dentro del contexto pedagógico (Bernstein, 1990). Bajo esta matriz teórica, el discurso instruccional se encuentra siempre inserto y subordinado al discurso regulativo, siendo este último el componente dominante y rector de la transmisión educativa. </w:t>
      </w:r>
    </w:p>
    <w:p w14:paraId="0971959F" w14:textId="658F608B" w:rsidR="00FD42A6" w:rsidRPr="00FD42A6" w:rsidRDefault="00FD42A6" w:rsidP="00FD42A6">
      <w:pPr>
        <w:spacing w:line="240" w:lineRule="auto"/>
        <w:jc w:val="both"/>
        <w:rPr>
          <w:rFonts w:ascii="Times New Roman" w:hAnsi="Times New Roman" w:cs="Times New Roman"/>
          <w:lang w:val="es-CL"/>
        </w:rPr>
      </w:pPr>
      <w:r w:rsidRPr="00FD42A6">
        <w:rPr>
          <w:rFonts w:ascii="Times New Roman" w:hAnsi="Times New Roman" w:cs="Times New Roman"/>
          <w:lang w:val="es-CL"/>
        </w:rPr>
        <w:t>El discurso instruccional, en este caso el “que” de la PGs se subsume al “por qué”, es decir al discurso regulador. La pregunta del “por qué” de la PGs en la formación profesional y disciplinar de estudiantes universitarios, apunta entonces a entender el modelo de profesional que cada universidad se forma.</w:t>
      </w:r>
    </w:p>
    <w:p w14:paraId="6585B4D3" w14:textId="5DCEE81A" w:rsidR="00FD42A6" w:rsidRPr="00FD42A6" w:rsidRDefault="00FD42A6" w:rsidP="00FD42A6">
      <w:pPr>
        <w:spacing w:line="240" w:lineRule="auto"/>
        <w:jc w:val="both"/>
        <w:rPr>
          <w:rFonts w:ascii="Times New Roman" w:hAnsi="Times New Roman" w:cs="Times New Roman"/>
          <w:lang w:val="es-CL"/>
        </w:rPr>
      </w:pPr>
      <w:r w:rsidRPr="00FD42A6">
        <w:rPr>
          <w:rFonts w:ascii="Times New Roman" w:hAnsi="Times New Roman" w:cs="Times New Roman"/>
          <w:lang w:val="es-CL"/>
        </w:rPr>
        <w:t xml:space="preserve">Por este motivo la pregunta central es en qué medida la </w:t>
      </w:r>
      <w:proofErr w:type="spellStart"/>
      <w:r w:rsidRPr="00FD42A6">
        <w:rPr>
          <w:rFonts w:ascii="Times New Roman" w:hAnsi="Times New Roman" w:cs="Times New Roman"/>
          <w:lang w:val="es-CL"/>
        </w:rPr>
        <w:t>PGs</w:t>
      </w:r>
      <w:proofErr w:type="spellEnd"/>
      <w:r w:rsidRPr="00FD42A6">
        <w:rPr>
          <w:rFonts w:ascii="Times New Roman" w:hAnsi="Times New Roman" w:cs="Times New Roman"/>
          <w:lang w:val="es-CL"/>
        </w:rPr>
        <w:t xml:space="preserve"> incide</w:t>
      </w:r>
      <w:r w:rsidR="009B1AC8">
        <w:rPr>
          <w:rFonts w:ascii="Times New Roman" w:hAnsi="Times New Roman" w:cs="Times New Roman"/>
          <w:lang w:val="es-CL"/>
        </w:rPr>
        <w:t xml:space="preserve"> o no</w:t>
      </w:r>
      <w:r w:rsidRPr="00FD42A6">
        <w:rPr>
          <w:rFonts w:ascii="Times New Roman" w:hAnsi="Times New Roman" w:cs="Times New Roman"/>
          <w:lang w:val="es-CL"/>
        </w:rPr>
        <w:t xml:space="preserve"> en el discurso regulador.</w:t>
      </w:r>
      <w:r w:rsidR="009B1AC8">
        <w:rPr>
          <w:rFonts w:ascii="Times New Roman" w:hAnsi="Times New Roman" w:cs="Times New Roman"/>
          <w:lang w:val="es-CL"/>
        </w:rPr>
        <w:t xml:space="preserve"> </w:t>
      </w:r>
      <w:r w:rsidRPr="00FD42A6">
        <w:rPr>
          <w:rFonts w:ascii="Times New Roman" w:hAnsi="Times New Roman" w:cs="Times New Roman"/>
          <w:lang w:val="es-CL"/>
        </w:rPr>
        <w:t xml:space="preserve">¿Qué recontextualización de los saberes feministas </w:t>
      </w:r>
      <w:r w:rsidR="001C3721">
        <w:rPr>
          <w:rFonts w:ascii="Times New Roman" w:hAnsi="Times New Roman" w:cs="Times New Roman"/>
          <w:lang w:val="es-CL"/>
        </w:rPr>
        <w:t>puede ocurrir</w:t>
      </w:r>
      <w:r w:rsidRPr="00FD42A6">
        <w:rPr>
          <w:rFonts w:ascii="Times New Roman" w:hAnsi="Times New Roman" w:cs="Times New Roman"/>
          <w:lang w:val="es-CL"/>
        </w:rPr>
        <w:t xml:space="preserve"> para </w:t>
      </w:r>
      <w:r w:rsidR="001C3721">
        <w:rPr>
          <w:rFonts w:ascii="Times New Roman" w:hAnsi="Times New Roman" w:cs="Times New Roman"/>
          <w:lang w:val="es-CL"/>
        </w:rPr>
        <w:t xml:space="preserve">que </w:t>
      </w:r>
      <w:r w:rsidRPr="00FD42A6">
        <w:rPr>
          <w:rFonts w:ascii="Times New Roman" w:hAnsi="Times New Roman" w:cs="Times New Roman"/>
          <w:lang w:val="es-CL"/>
        </w:rPr>
        <w:t xml:space="preserve">su ingreso al discurso instruccional </w:t>
      </w:r>
      <w:r w:rsidR="001C3721">
        <w:rPr>
          <w:rFonts w:ascii="Times New Roman" w:hAnsi="Times New Roman" w:cs="Times New Roman"/>
          <w:lang w:val="es-CL"/>
        </w:rPr>
        <w:t xml:space="preserve">no impacte </w:t>
      </w:r>
      <w:r w:rsidRPr="00FD42A6">
        <w:rPr>
          <w:rFonts w:ascii="Times New Roman" w:hAnsi="Times New Roman" w:cs="Times New Roman"/>
          <w:lang w:val="es-CL"/>
        </w:rPr>
        <w:t>el discurso regulador?  Algunas posibles respuestas ya han sido identificadas en la literatura revisada: como incorporación de autorías de mujeres, como incorporación de contenidos específicos (sin impacto en el canon), como una dimensión ético-valórica del perfil de egreso, etc. Estas opciones son distintas formas del “qué” del discurso instruccional con directa relación con el “por qué” del discurso regulador. En este escenario, podría confirmarse el riesgo anteriormente señalado de una recontextualización que al descolocar y recolocar los saberes feministas, les despoja de su capacidad transformadora del campo disciplinar.</w:t>
      </w:r>
    </w:p>
    <w:p w14:paraId="5576E81B" w14:textId="77777777" w:rsidR="00FD42A6" w:rsidRPr="00FD42A6" w:rsidRDefault="00FD42A6" w:rsidP="00FD42A6">
      <w:pPr>
        <w:spacing w:line="240" w:lineRule="auto"/>
        <w:jc w:val="both"/>
        <w:rPr>
          <w:rFonts w:ascii="Times New Roman" w:hAnsi="Times New Roman" w:cs="Times New Roman"/>
          <w:lang w:val="es-CL"/>
        </w:rPr>
      </w:pPr>
      <w:r w:rsidRPr="00FD42A6">
        <w:rPr>
          <w:rFonts w:ascii="Times New Roman" w:hAnsi="Times New Roman" w:cs="Times New Roman"/>
          <w:lang w:val="es-CL"/>
        </w:rPr>
        <w:t xml:space="preserve">En el contexto actual chileno, con las distintas normativas empujando particularmente las materias relacionadas con violencia de género en el currículum, se podría plantear la hipótesis de que la recontextualización de los saberes feministas bajo las categorías de </w:t>
      </w:r>
      <w:r w:rsidRPr="00FD42A6">
        <w:rPr>
          <w:rFonts w:ascii="Times New Roman" w:hAnsi="Times New Roman" w:cs="Times New Roman"/>
          <w:lang w:val="es-CL"/>
        </w:rPr>
        <w:lastRenderedPageBreak/>
        <w:t xml:space="preserve">discriminación, violencia y derechos humanos, así propuestas en la ley 21.369, resulta más viable en su incorporación en el discurso instruccional para las universidades en tanto no confrontan directamente la matriz moral de 'buena ciencia' ni la noción de 'buen profesional' arraigadas en el discurso regulador. En esta recontextualización, la PGs se traduciría en un componente actitudinal en la formación, sin generar transformaciones específicamente disciplinares y epistémicas. </w:t>
      </w:r>
    </w:p>
    <w:p w14:paraId="4DB32B66" w14:textId="77777777" w:rsidR="00FD42A6" w:rsidRPr="00FD42A6" w:rsidRDefault="00FD42A6" w:rsidP="00FD42A6">
      <w:pPr>
        <w:spacing w:line="240" w:lineRule="auto"/>
        <w:jc w:val="both"/>
        <w:rPr>
          <w:rFonts w:ascii="Times New Roman" w:hAnsi="Times New Roman" w:cs="Times New Roman"/>
          <w:lang w:val="es-CL"/>
        </w:rPr>
      </w:pPr>
      <w:r w:rsidRPr="00FD42A6">
        <w:rPr>
          <w:rFonts w:ascii="Times New Roman" w:hAnsi="Times New Roman" w:cs="Times New Roman"/>
          <w:lang w:val="es-CL"/>
        </w:rPr>
        <w:t>Es esta distinción teórica, entre discurso instruccional y discurso regulador, que justificaría metodológicamente la decisión de orientar el futuro trabajo empírico de esta investigación doctoral hacia los marcos interpretativos de las actorías clave y hacia el discurso regulativo, en lugar de centrarse en revisiones exhaustivas de planes de estudio y/o programas de asignatura, más relacionados con el discurso instruccional, esfuerzos que ya han sido realizados como ha sido identificado en la revisión de la literatura y que han arrojado resultados sistemáticos de baja y aislada incorporación de la PGs.</w:t>
      </w:r>
    </w:p>
    <w:p w14:paraId="57FEAD93" w14:textId="2E0801EE" w:rsidR="003736FE" w:rsidRPr="003736FE" w:rsidRDefault="00FD42A6" w:rsidP="00FD42A6">
      <w:pPr>
        <w:spacing w:line="240" w:lineRule="auto"/>
        <w:jc w:val="both"/>
        <w:rPr>
          <w:rFonts w:ascii="Times New Roman" w:hAnsi="Times New Roman" w:cs="Times New Roman"/>
          <w:lang w:val="es-CL"/>
        </w:rPr>
      </w:pPr>
      <w:r w:rsidRPr="00FD42A6">
        <w:rPr>
          <w:rFonts w:ascii="Times New Roman" w:hAnsi="Times New Roman" w:cs="Times New Roman"/>
          <w:lang w:val="es-CL"/>
        </w:rPr>
        <w:t xml:space="preserve">La pregunta en torno al “por qué” de la PGs en el currículum, buscaría profundizar entonces en los marcos interpretativos específicos y situados en cada contexto institucional. Se parte de la premisa que las universidades como organizaciones no se limitarían a replicar modelos externos por inercia, o cumplir linealmente con requisitos normativos (Mampey, 2016). Las distintas actorías clave actuarían como agentes que traducen el mandato externo al lenguaje interno de la organización, así como de las disciplinas. Se trata de </w:t>
      </w:r>
      <w:r w:rsidR="00DB3335" w:rsidRPr="00FD42A6">
        <w:rPr>
          <w:rFonts w:ascii="Times New Roman" w:hAnsi="Times New Roman" w:cs="Times New Roman"/>
          <w:lang w:val="es-CL"/>
        </w:rPr>
        <w:t>la puesta</w:t>
      </w:r>
      <w:r w:rsidRPr="00FD42A6">
        <w:rPr>
          <w:rFonts w:ascii="Times New Roman" w:hAnsi="Times New Roman" w:cs="Times New Roman"/>
          <w:lang w:val="es-CL"/>
        </w:rPr>
        <w:t xml:space="preserve"> en práctica de las políticas educativas (Ball, 1993), dado que las instituciones educativas no implementan marcos normativos y administrativos de manera lineal, sino que las interpretan y las traducen según sus propios contextos.</w:t>
      </w:r>
    </w:p>
    <w:p w14:paraId="12CE0BCB" w14:textId="75B3460C" w:rsidR="005F3B2E" w:rsidRPr="00C70C68" w:rsidRDefault="005F3B2E" w:rsidP="00BB2DC5">
      <w:pPr>
        <w:spacing w:line="240" w:lineRule="auto"/>
        <w:rPr>
          <w:rFonts w:ascii="Times New Roman" w:hAnsi="Times New Roman" w:cs="Times New Roman"/>
          <w:b/>
          <w:bCs/>
          <w:lang w:val="es-CL"/>
        </w:rPr>
      </w:pPr>
      <w:r w:rsidRPr="00C70C68">
        <w:rPr>
          <w:rFonts w:ascii="Times New Roman" w:hAnsi="Times New Roman" w:cs="Times New Roman"/>
          <w:b/>
          <w:bCs/>
          <w:lang w:val="es-CL"/>
        </w:rPr>
        <w:t>Conclusiones</w:t>
      </w:r>
    </w:p>
    <w:p w14:paraId="23339818" w14:textId="77777777" w:rsidR="00620C70" w:rsidRPr="00620C70" w:rsidRDefault="00620C70" w:rsidP="00620C70">
      <w:pPr>
        <w:spacing w:line="240" w:lineRule="auto"/>
        <w:jc w:val="both"/>
        <w:rPr>
          <w:rFonts w:ascii="Times New Roman" w:hAnsi="Times New Roman" w:cs="Times New Roman"/>
          <w:lang w:val="es-CL"/>
        </w:rPr>
      </w:pPr>
      <w:r w:rsidRPr="00620C70">
        <w:rPr>
          <w:rFonts w:ascii="Times New Roman" w:hAnsi="Times New Roman" w:cs="Times New Roman"/>
          <w:lang w:val="es-CL"/>
        </w:rPr>
        <w:t>La arquitectura heurística tridimensional propuesta, operacionalizada mediante el “qué”, “cómo” y “por qué”, permite formular un modelo de reconfiguración epistémico-organizacional para incorporar la perspectiva de género(s) en el currículum universitario. Este modelo trasciende la mirada tecnocrática de la PGs hacia una comprensión de las dimensiones epistemológicas, políticas y organizacionales del currículum. Articulando la sociología de Basil Bernstein, se evidenciaría que la recontextualización de las teorías feministas no opera como una transferencia técnica lineal, sino como un territorio de disputa en contextos institucionales situados.</w:t>
      </w:r>
    </w:p>
    <w:p w14:paraId="0D5E877F" w14:textId="77777777" w:rsidR="00620C70" w:rsidRPr="00620C70" w:rsidRDefault="00620C70" w:rsidP="00620C70">
      <w:pPr>
        <w:spacing w:line="240" w:lineRule="auto"/>
        <w:jc w:val="both"/>
        <w:rPr>
          <w:rFonts w:ascii="Times New Roman" w:hAnsi="Times New Roman" w:cs="Times New Roman"/>
          <w:lang w:val="es-CL"/>
        </w:rPr>
      </w:pPr>
      <w:r w:rsidRPr="00620C70">
        <w:rPr>
          <w:rFonts w:ascii="Times New Roman" w:hAnsi="Times New Roman" w:cs="Times New Roman"/>
          <w:lang w:val="es-CL"/>
        </w:rPr>
        <w:t>La dimensión del “qué” devela una brecha de justicia epistémica en el sistema universitario chileno. Las disparidades entre campos de conocimiento de estructura horizontal (humanidades y ciencias sociales) y jerárquica (áreas STEM) demuestran que el conocimiento feminista opera como un discurso vertical con estructura horizontal, dificultando su incorporación en los cánones científicos tradicionales.</w:t>
      </w:r>
    </w:p>
    <w:p w14:paraId="2C0B7553" w14:textId="7200E30E" w:rsidR="00620C70" w:rsidRPr="00620C70" w:rsidRDefault="00620C70" w:rsidP="00620C70">
      <w:pPr>
        <w:spacing w:line="240" w:lineRule="auto"/>
        <w:jc w:val="both"/>
        <w:rPr>
          <w:rFonts w:ascii="Times New Roman" w:hAnsi="Times New Roman" w:cs="Times New Roman"/>
          <w:lang w:val="es-CL"/>
        </w:rPr>
      </w:pPr>
      <w:r w:rsidRPr="00620C70">
        <w:rPr>
          <w:rFonts w:ascii="Times New Roman" w:hAnsi="Times New Roman" w:cs="Times New Roman"/>
          <w:lang w:val="es-CL"/>
        </w:rPr>
        <w:t xml:space="preserve">La dimensión del “cómo” devela que las trayectorias de institucionalización del género están mediadas por dinámicas de poder y control expresadas en relaciones de clasificación y enmarcamiento. Bajo </w:t>
      </w:r>
      <w:r w:rsidR="00F92429">
        <w:rPr>
          <w:rFonts w:ascii="Times New Roman" w:hAnsi="Times New Roman" w:cs="Times New Roman"/>
          <w:lang w:val="es-CL"/>
        </w:rPr>
        <w:t xml:space="preserve">las directrices </w:t>
      </w:r>
      <w:r w:rsidRPr="00620C70">
        <w:rPr>
          <w:rFonts w:ascii="Times New Roman" w:hAnsi="Times New Roman" w:cs="Times New Roman"/>
          <w:lang w:val="es-CL"/>
        </w:rPr>
        <w:t xml:space="preserve">de la Ley </w:t>
      </w:r>
      <w:proofErr w:type="spellStart"/>
      <w:r w:rsidRPr="00620C70">
        <w:rPr>
          <w:rFonts w:ascii="Times New Roman" w:hAnsi="Times New Roman" w:cs="Times New Roman"/>
          <w:lang w:val="es-CL"/>
        </w:rPr>
        <w:t>N°</w:t>
      </w:r>
      <w:proofErr w:type="spellEnd"/>
      <w:r w:rsidRPr="00620C70">
        <w:rPr>
          <w:rFonts w:ascii="Times New Roman" w:hAnsi="Times New Roman" w:cs="Times New Roman"/>
          <w:lang w:val="es-CL"/>
        </w:rPr>
        <w:t xml:space="preserve"> 21.369 y</w:t>
      </w:r>
      <w:r w:rsidR="00F92429">
        <w:rPr>
          <w:rFonts w:ascii="Times New Roman" w:hAnsi="Times New Roman" w:cs="Times New Roman"/>
          <w:lang w:val="es-CL"/>
        </w:rPr>
        <w:t xml:space="preserve"> de</w:t>
      </w:r>
      <w:r w:rsidRPr="00620C70">
        <w:rPr>
          <w:rFonts w:ascii="Times New Roman" w:hAnsi="Times New Roman" w:cs="Times New Roman"/>
          <w:lang w:val="es-CL"/>
        </w:rPr>
        <w:t xml:space="preserve"> l</w:t>
      </w:r>
      <w:r w:rsidR="000428D0">
        <w:rPr>
          <w:rFonts w:ascii="Times New Roman" w:hAnsi="Times New Roman" w:cs="Times New Roman"/>
          <w:lang w:val="es-CL"/>
        </w:rPr>
        <w:t>os criterios de acreditación institucionales</w:t>
      </w:r>
      <w:r w:rsidRPr="00620C70">
        <w:rPr>
          <w:rFonts w:ascii="Times New Roman" w:hAnsi="Times New Roman" w:cs="Times New Roman"/>
          <w:lang w:val="es-CL"/>
        </w:rPr>
        <w:t xml:space="preserve">, el Campo Recontextualizador Oficial ha constreñido las transformaciones formativas a la convivencia y prevención de la violencia. Ante esto, el Campo Recontextualizador Pedagógico, específicamente las unidades de género como </w:t>
      </w:r>
      <w:r w:rsidRPr="00620C70">
        <w:rPr>
          <w:rFonts w:ascii="Times New Roman" w:hAnsi="Times New Roman" w:cs="Times New Roman"/>
          <w:lang w:val="es-CL"/>
        </w:rPr>
        <w:lastRenderedPageBreak/>
        <w:t xml:space="preserve">agentes estratégicos (Gaba, 2023), enfrentan el desafío de disputar los límites de una clasificación fuerte que aísla los saberes feministas en </w:t>
      </w:r>
      <w:r w:rsidR="00F92429">
        <w:rPr>
          <w:rFonts w:ascii="Times New Roman" w:hAnsi="Times New Roman" w:cs="Times New Roman"/>
          <w:lang w:val="es-CL"/>
        </w:rPr>
        <w:t xml:space="preserve">contenidos puntuales y/o en </w:t>
      </w:r>
      <w:r w:rsidRPr="00620C70">
        <w:rPr>
          <w:rFonts w:ascii="Times New Roman" w:hAnsi="Times New Roman" w:cs="Times New Roman"/>
          <w:lang w:val="es-CL"/>
        </w:rPr>
        <w:t>módulos electivos.</w:t>
      </w:r>
    </w:p>
    <w:p w14:paraId="4EA0A993" w14:textId="16CEC239" w:rsidR="00620C70" w:rsidRPr="00620C70" w:rsidRDefault="00620C70" w:rsidP="00620C70">
      <w:pPr>
        <w:spacing w:line="240" w:lineRule="auto"/>
        <w:jc w:val="both"/>
        <w:rPr>
          <w:rFonts w:ascii="Times New Roman" w:hAnsi="Times New Roman" w:cs="Times New Roman"/>
          <w:lang w:val="es-CL"/>
        </w:rPr>
      </w:pPr>
      <w:r w:rsidRPr="00620C70">
        <w:rPr>
          <w:rFonts w:ascii="Times New Roman" w:hAnsi="Times New Roman" w:cs="Times New Roman"/>
          <w:lang w:val="es-CL"/>
        </w:rPr>
        <w:t>La dimensión del “por qué” sitúa el núcleo explicativo de las resistencias y cambios, justificando orientar el trabajo de campo hacia el discurso regulador y los marcos interpretativos de actorías clave. La distinción bernsteiniana muestra que asimilar formalmente contenidos sobre derechos humanos o violencia en el diseño instruccional puede ser un mecanismo de legitimidad que mantiene inalterado el discurso regulador (el ethos institucional).</w:t>
      </w:r>
    </w:p>
    <w:p w14:paraId="544B704F" w14:textId="04963DA1" w:rsidR="00BC236F" w:rsidRPr="00620C70" w:rsidRDefault="00620C70" w:rsidP="00620C70">
      <w:pPr>
        <w:spacing w:line="240" w:lineRule="auto"/>
        <w:jc w:val="both"/>
        <w:rPr>
          <w:rFonts w:ascii="Times New Roman" w:hAnsi="Times New Roman" w:cs="Times New Roman"/>
          <w:lang w:val="es-CL"/>
        </w:rPr>
      </w:pPr>
      <w:r w:rsidRPr="00620C70">
        <w:rPr>
          <w:rFonts w:ascii="Times New Roman" w:hAnsi="Times New Roman" w:cs="Times New Roman"/>
          <w:lang w:val="es-CL"/>
        </w:rPr>
        <w:t>La transformación curricular no dependería de la sumatoria de asignaturas, sino de la capacidad de los/as agentes de recontextualización para permeabilizar el discurso regulador dominante, donde se define la matriz moral de la ciencia y la identidad profesional. Así, esta matriz tridimensional se consolida como un modelo analítico para explorar cómo las universidades chilenas traducen, negocian y disputan localmente el sentido de la igualdad de género(s) en sus culturas organizacionales, disciplinares y en lo curricular.</w:t>
      </w:r>
    </w:p>
    <w:p w14:paraId="39B57161" w14:textId="7703EE1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0AA8F419" w14:textId="77777777" w:rsidR="0078635F" w:rsidRPr="001B6A57" w:rsidRDefault="0078635F" w:rsidP="0078635F">
      <w:pPr>
        <w:jc w:val="both"/>
        <w:rPr>
          <w:rFonts w:ascii="Times New Roman" w:hAnsi="Times New Roman" w:cs="Times New Roman"/>
        </w:rPr>
      </w:pPr>
      <w:r w:rsidRPr="001B6A57">
        <w:rPr>
          <w:rFonts w:ascii="Times New Roman" w:hAnsi="Times New Roman" w:cs="Times New Roman"/>
        </w:rPr>
        <w:t xml:space="preserve">Alvarado Urízar, Agustina, Rivera Müller, Francisco y Suazo Guacte, Fabián (2022) Protocolos de género y Ley N°21.369. Hacia una “educación feminista” en las universidades chilenas. </w:t>
      </w:r>
      <w:r w:rsidRPr="001B6A57">
        <w:rPr>
          <w:rFonts w:ascii="Times New Roman" w:hAnsi="Times New Roman" w:cs="Times New Roman"/>
          <w:i/>
          <w:iCs/>
        </w:rPr>
        <w:t>Revista de Derecho</w:t>
      </w:r>
      <w:r w:rsidRPr="001B6A57">
        <w:rPr>
          <w:rFonts w:ascii="Times New Roman" w:hAnsi="Times New Roman" w:cs="Times New Roman"/>
        </w:rPr>
        <w:t xml:space="preserve"> (Valparaíso) (58), 241-267.</w:t>
      </w:r>
      <w:hyperlink r:id="rId8" w:history="1">
        <w:r w:rsidRPr="001B6A57">
          <w:rPr>
            <w:rStyle w:val="Hipervnculo"/>
            <w:rFonts w:ascii="Times New Roman" w:hAnsi="Times New Roman" w:cs="Times New Roman"/>
          </w:rPr>
          <w:t xml:space="preserve"> HTTPS://DX.DOI.ORG/10.4067/S0718-68512022000100241</w:t>
        </w:r>
      </w:hyperlink>
    </w:p>
    <w:p w14:paraId="0EA91B48" w14:textId="77777777" w:rsidR="0078635F" w:rsidRPr="001B6A57" w:rsidRDefault="0078635F" w:rsidP="0078635F">
      <w:pPr>
        <w:jc w:val="both"/>
        <w:rPr>
          <w:rFonts w:ascii="Times New Roman" w:hAnsi="Times New Roman" w:cs="Times New Roman"/>
          <w:lang w:val="es-CL"/>
        </w:rPr>
      </w:pPr>
      <w:r w:rsidRPr="001B6A57">
        <w:rPr>
          <w:rFonts w:ascii="Times New Roman" w:hAnsi="Times New Roman" w:cs="Times New Roman"/>
          <w:lang w:val="es-CL"/>
        </w:rPr>
        <w:t xml:space="preserve">Apple, Michael (1979) </w:t>
      </w:r>
      <w:r w:rsidRPr="001B6A57">
        <w:rPr>
          <w:rFonts w:ascii="Times New Roman" w:hAnsi="Times New Roman" w:cs="Times New Roman"/>
          <w:i/>
          <w:iCs/>
          <w:lang w:val="es-CL"/>
        </w:rPr>
        <w:t xml:space="preserve">Ideología y </w:t>
      </w:r>
      <w:proofErr w:type="spellStart"/>
      <w:r w:rsidRPr="001B6A57">
        <w:rPr>
          <w:rFonts w:ascii="Times New Roman" w:hAnsi="Times New Roman" w:cs="Times New Roman"/>
          <w:i/>
          <w:iCs/>
          <w:lang w:val="es-CL"/>
        </w:rPr>
        <w:t>curriculo</w:t>
      </w:r>
      <w:proofErr w:type="spellEnd"/>
      <w:r w:rsidRPr="001B6A57">
        <w:rPr>
          <w:rFonts w:ascii="Times New Roman" w:hAnsi="Times New Roman" w:cs="Times New Roman"/>
          <w:lang w:val="es-CL"/>
        </w:rPr>
        <w:t>. Ediciones Akal 2008.</w:t>
      </w:r>
    </w:p>
    <w:p w14:paraId="0888557A" w14:textId="77777777" w:rsidR="0078635F" w:rsidRPr="001B6A57" w:rsidRDefault="0078635F" w:rsidP="0078635F">
      <w:pPr>
        <w:jc w:val="both"/>
        <w:rPr>
          <w:rFonts w:ascii="Times New Roman" w:hAnsi="Times New Roman" w:cs="Times New Roman"/>
        </w:rPr>
      </w:pPr>
      <w:r w:rsidRPr="001B6A57">
        <w:rPr>
          <w:rFonts w:ascii="Times New Roman" w:hAnsi="Times New Roman" w:cs="Times New Roman"/>
        </w:rPr>
        <w:t xml:space="preserve">Aranda Fritz, Verónica y Pautassi, Laura (2022) De la protesta a la acción. La agenda de prevención de violencias en las universidades en Argentina y Chile. </w:t>
      </w:r>
      <w:r w:rsidRPr="001B6A57">
        <w:rPr>
          <w:rFonts w:ascii="Times New Roman" w:hAnsi="Times New Roman" w:cs="Times New Roman"/>
          <w:i/>
          <w:iCs/>
        </w:rPr>
        <w:t xml:space="preserve">Autoctonía. Revista de Ciencias Sociales e Historia </w:t>
      </w:r>
      <w:r w:rsidRPr="001B6A57">
        <w:rPr>
          <w:rFonts w:ascii="Times New Roman" w:hAnsi="Times New Roman" w:cs="Times New Roman"/>
        </w:rPr>
        <w:t xml:space="preserve">Vol. VIII, </w:t>
      </w:r>
      <w:proofErr w:type="spellStart"/>
      <w:r w:rsidRPr="001B6A57">
        <w:rPr>
          <w:rFonts w:ascii="Times New Roman" w:hAnsi="Times New Roman" w:cs="Times New Roman"/>
        </w:rPr>
        <w:t>NºEspecial</w:t>
      </w:r>
      <w:proofErr w:type="spellEnd"/>
      <w:r w:rsidRPr="001B6A57">
        <w:rPr>
          <w:rFonts w:ascii="Times New Roman" w:hAnsi="Times New Roman" w:cs="Times New Roman"/>
        </w:rPr>
        <w:t xml:space="preserve">, 2024, 59-90 ISSN 0719-8213 DOI: </w:t>
      </w:r>
      <w:hyperlink r:id="rId9" w:history="1">
        <w:r w:rsidRPr="001B6A57">
          <w:rPr>
            <w:rStyle w:val="Hipervnculo"/>
            <w:rFonts w:ascii="Times New Roman" w:hAnsi="Times New Roman" w:cs="Times New Roman"/>
          </w:rPr>
          <w:t>http://dx.doi.org/10.23854/autoc.v8i3.520</w:t>
        </w:r>
      </w:hyperlink>
    </w:p>
    <w:p w14:paraId="7143E543" w14:textId="77777777" w:rsidR="0078635F" w:rsidRPr="0078635F" w:rsidRDefault="0078635F" w:rsidP="0078635F">
      <w:pPr>
        <w:jc w:val="both"/>
        <w:rPr>
          <w:rFonts w:ascii="Times New Roman" w:hAnsi="Times New Roman" w:cs="Times New Roman"/>
          <w:lang w:val="en-US"/>
        </w:rPr>
      </w:pPr>
      <w:r w:rsidRPr="001B6A57">
        <w:rPr>
          <w:rFonts w:ascii="Times New Roman" w:hAnsi="Times New Roman" w:cs="Times New Roman"/>
        </w:rPr>
        <w:t xml:space="preserve">Ascencio Cortes, María Soledad; Anabalón </w:t>
      </w:r>
      <w:proofErr w:type="spellStart"/>
      <w:r w:rsidRPr="001B6A57">
        <w:rPr>
          <w:rFonts w:ascii="Times New Roman" w:hAnsi="Times New Roman" w:cs="Times New Roman"/>
        </w:rPr>
        <w:t>Anabalón</w:t>
      </w:r>
      <w:proofErr w:type="spellEnd"/>
      <w:r w:rsidRPr="001B6A57">
        <w:rPr>
          <w:rFonts w:ascii="Times New Roman" w:hAnsi="Times New Roman" w:cs="Times New Roman"/>
        </w:rPr>
        <w:t xml:space="preserve">, Yasna. y Vega-Román, Emmanuel (2025) ¿Cambio institucional de género en Educación Superior? Resistencias y perspectivas desde una revisión sistemática de la literatura científica. </w:t>
      </w:r>
      <w:r w:rsidRPr="0078635F">
        <w:rPr>
          <w:rFonts w:ascii="Times New Roman" w:hAnsi="Times New Roman" w:cs="Times New Roman"/>
          <w:i/>
          <w:iCs/>
          <w:lang w:val="en-US"/>
        </w:rPr>
        <w:t>Revista Fuentes</w:t>
      </w:r>
      <w:r w:rsidRPr="0078635F">
        <w:rPr>
          <w:rFonts w:ascii="Times New Roman" w:hAnsi="Times New Roman" w:cs="Times New Roman"/>
          <w:lang w:val="en-US"/>
        </w:rPr>
        <w:t xml:space="preserve"> 2025, 27(1), 15-30</w:t>
      </w:r>
      <w:hyperlink r:id="rId10" w:history="1">
        <w:r w:rsidRPr="0078635F">
          <w:rPr>
            <w:rStyle w:val="Hipervnculo"/>
            <w:rFonts w:ascii="Times New Roman" w:hAnsi="Times New Roman" w:cs="Times New Roman"/>
            <w:lang w:val="en-US"/>
          </w:rPr>
          <w:t xml:space="preserve"> https://doi.org/10.12795/revistafuentes.2025.26525</w:t>
        </w:r>
      </w:hyperlink>
    </w:p>
    <w:p w14:paraId="54BF212B" w14:textId="77777777" w:rsidR="0078635F" w:rsidRPr="001B6A57" w:rsidRDefault="0078635F" w:rsidP="0078635F">
      <w:pPr>
        <w:jc w:val="both"/>
        <w:rPr>
          <w:rFonts w:ascii="Times New Roman" w:hAnsi="Times New Roman" w:cs="Times New Roman"/>
          <w:lang w:val="en-US"/>
        </w:rPr>
      </w:pPr>
      <w:r w:rsidRPr="001B6A57">
        <w:rPr>
          <w:rFonts w:ascii="Times New Roman" w:hAnsi="Times New Roman" w:cs="Times New Roman"/>
          <w:lang w:val="en-US"/>
        </w:rPr>
        <w:t xml:space="preserve">Ball, Stephen J.  (1993) </w:t>
      </w:r>
      <w:r>
        <w:rPr>
          <w:rFonts w:ascii="Times New Roman" w:hAnsi="Times New Roman" w:cs="Times New Roman"/>
          <w:lang w:val="en-US"/>
        </w:rPr>
        <w:t>What is policy? Texts, trajectories and toolboxes</w:t>
      </w:r>
      <w:r w:rsidRPr="001B6A57">
        <w:rPr>
          <w:rFonts w:ascii="Times New Roman" w:hAnsi="Times New Roman" w:cs="Times New Roman"/>
          <w:lang w:val="en-US"/>
        </w:rPr>
        <w:t xml:space="preserve">, </w:t>
      </w:r>
      <w:r w:rsidRPr="00616F64">
        <w:rPr>
          <w:rFonts w:ascii="Times New Roman" w:hAnsi="Times New Roman" w:cs="Times New Roman"/>
          <w:i/>
          <w:iCs/>
          <w:lang w:val="en-US"/>
        </w:rPr>
        <w:t>Discourse: Studies in the Cultural Politics of Education</w:t>
      </w:r>
      <w:r w:rsidRPr="001B6A57">
        <w:rPr>
          <w:rFonts w:ascii="Times New Roman" w:hAnsi="Times New Roman" w:cs="Times New Roman"/>
          <w:lang w:val="en-US"/>
        </w:rPr>
        <w:t>, 13:2, 10-17, DOI: 10.1080/0159630930130203</w:t>
      </w:r>
    </w:p>
    <w:p w14:paraId="436842C4" w14:textId="77777777" w:rsidR="0078635F" w:rsidRPr="001B6A57" w:rsidRDefault="0078635F" w:rsidP="0078635F">
      <w:pPr>
        <w:jc w:val="both"/>
        <w:rPr>
          <w:rFonts w:ascii="Times New Roman" w:hAnsi="Times New Roman" w:cs="Times New Roman"/>
          <w:lang w:val="en-US"/>
        </w:rPr>
      </w:pPr>
      <w:r w:rsidRPr="001B6A57">
        <w:rPr>
          <w:rFonts w:ascii="Times New Roman" w:hAnsi="Times New Roman" w:cs="Times New Roman"/>
          <w:lang w:val="en-US"/>
        </w:rPr>
        <w:t xml:space="preserve">Barrientos-Saavedra, Pablo (2026). Gender mainstreaming and LGBTIQ+ inclusion in elementary teacher education programs in Chile: Insights from two case studies. </w:t>
      </w:r>
      <w:r w:rsidRPr="001B6A57">
        <w:rPr>
          <w:rFonts w:ascii="Times New Roman" w:hAnsi="Times New Roman" w:cs="Times New Roman"/>
          <w:i/>
          <w:iCs/>
          <w:lang w:val="en-US"/>
        </w:rPr>
        <w:t>Education Policy Analysis Archives</w:t>
      </w:r>
      <w:r w:rsidRPr="001B6A57">
        <w:rPr>
          <w:rFonts w:ascii="Times New Roman" w:hAnsi="Times New Roman" w:cs="Times New Roman"/>
          <w:lang w:val="en-US"/>
        </w:rPr>
        <w:t xml:space="preserve">, 34(21). </w:t>
      </w:r>
      <w:hyperlink r:id="rId11" w:history="1">
        <w:r w:rsidRPr="001B6A57">
          <w:rPr>
            <w:rStyle w:val="Hipervnculo"/>
            <w:rFonts w:ascii="Times New Roman" w:hAnsi="Times New Roman" w:cs="Times New Roman"/>
            <w:lang w:val="en-US"/>
          </w:rPr>
          <w:t>https://doi.org/10.14507/epaa.34.8958</w:t>
        </w:r>
      </w:hyperlink>
    </w:p>
    <w:p w14:paraId="11D6325F" w14:textId="77777777" w:rsidR="0078635F" w:rsidRPr="0078635F" w:rsidRDefault="0078635F" w:rsidP="0078635F">
      <w:pPr>
        <w:jc w:val="both"/>
        <w:rPr>
          <w:rFonts w:ascii="Times New Roman" w:hAnsi="Times New Roman" w:cs="Times New Roman"/>
          <w:lang w:val="es-CL"/>
        </w:rPr>
      </w:pPr>
      <w:r w:rsidRPr="001B6A57">
        <w:rPr>
          <w:rFonts w:ascii="Times New Roman" w:hAnsi="Times New Roman" w:cs="Times New Roman"/>
          <w:lang w:val="en-US"/>
        </w:rPr>
        <w:lastRenderedPageBreak/>
        <w:t xml:space="preserve">Benschop, Yvonne &amp; </w:t>
      </w:r>
      <w:proofErr w:type="spellStart"/>
      <w:r w:rsidRPr="001B6A57">
        <w:rPr>
          <w:rFonts w:ascii="Times New Roman" w:hAnsi="Times New Roman" w:cs="Times New Roman"/>
          <w:lang w:val="en-US"/>
        </w:rPr>
        <w:t>Brouns</w:t>
      </w:r>
      <w:proofErr w:type="spellEnd"/>
      <w:r w:rsidRPr="001B6A57">
        <w:rPr>
          <w:rFonts w:ascii="Times New Roman" w:hAnsi="Times New Roman" w:cs="Times New Roman"/>
          <w:lang w:val="en-US"/>
        </w:rPr>
        <w:t xml:space="preserve">, Margo. (2003), Crumbling Ivory Towers: Academic Organizing and its Gender Effects. </w:t>
      </w:r>
      <w:r w:rsidRPr="0078635F">
        <w:rPr>
          <w:rFonts w:ascii="Times New Roman" w:hAnsi="Times New Roman" w:cs="Times New Roman"/>
          <w:i/>
          <w:iCs/>
          <w:lang w:val="es-CL"/>
        </w:rPr>
        <w:t xml:space="preserve">Gender, Work &amp; </w:t>
      </w:r>
      <w:proofErr w:type="spellStart"/>
      <w:r w:rsidRPr="0078635F">
        <w:rPr>
          <w:rFonts w:ascii="Times New Roman" w:hAnsi="Times New Roman" w:cs="Times New Roman"/>
          <w:i/>
          <w:iCs/>
          <w:lang w:val="es-CL"/>
        </w:rPr>
        <w:t>Organization</w:t>
      </w:r>
      <w:proofErr w:type="spellEnd"/>
      <w:r w:rsidRPr="0078635F">
        <w:rPr>
          <w:rFonts w:ascii="Times New Roman" w:hAnsi="Times New Roman" w:cs="Times New Roman"/>
          <w:lang w:val="es-CL"/>
        </w:rPr>
        <w:t>, 10: 194-212.</w:t>
      </w:r>
      <w:hyperlink r:id="rId12" w:history="1">
        <w:r w:rsidRPr="0078635F">
          <w:rPr>
            <w:rStyle w:val="Hipervnculo"/>
            <w:rFonts w:ascii="Times New Roman" w:hAnsi="Times New Roman" w:cs="Times New Roman"/>
            <w:lang w:val="es-CL"/>
          </w:rPr>
          <w:t xml:space="preserve"> https://doi.org/10.1111/1468-0432.t01-1-00011</w:t>
        </w:r>
      </w:hyperlink>
    </w:p>
    <w:p w14:paraId="61571FD5" w14:textId="77777777" w:rsidR="0078635F" w:rsidRPr="001B6A57" w:rsidRDefault="0078635F" w:rsidP="0078635F">
      <w:pPr>
        <w:jc w:val="both"/>
        <w:rPr>
          <w:rFonts w:ascii="Times New Roman" w:hAnsi="Times New Roman" w:cs="Times New Roman"/>
          <w:lang w:val="es-CL"/>
        </w:rPr>
      </w:pPr>
      <w:r w:rsidRPr="001B6A57">
        <w:rPr>
          <w:rFonts w:ascii="Times New Roman" w:hAnsi="Times New Roman" w:cs="Times New Roman"/>
        </w:rPr>
        <w:t>Bernstein, Basil &amp; Díaz, Mario (1985) Hacia una teoría del discurso pedagógico. </w:t>
      </w:r>
      <w:r w:rsidRPr="001B6A57">
        <w:rPr>
          <w:rFonts w:ascii="Times New Roman" w:hAnsi="Times New Roman" w:cs="Times New Roman"/>
          <w:i/>
          <w:iCs/>
        </w:rPr>
        <w:t>Revista Colombiana De Educación</w:t>
      </w:r>
      <w:r w:rsidRPr="001B6A57">
        <w:rPr>
          <w:rFonts w:ascii="Times New Roman" w:hAnsi="Times New Roman" w:cs="Times New Roman"/>
        </w:rPr>
        <w:t xml:space="preserve">, (15). </w:t>
      </w:r>
      <w:hyperlink r:id="rId13" w:history="1">
        <w:r w:rsidRPr="001B6A57">
          <w:rPr>
            <w:rStyle w:val="Hipervnculo"/>
            <w:rFonts w:ascii="Times New Roman" w:hAnsi="Times New Roman" w:cs="Times New Roman"/>
            <w:lang w:val="es-CL"/>
          </w:rPr>
          <w:t>https://doi.org/10.17227/01203916.5120</w:t>
        </w:r>
      </w:hyperlink>
    </w:p>
    <w:p w14:paraId="666D067E" w14:textId="77777777" w:rsidR="0078635F" w:rsidRPr="001B6A57" w:rsidRDefault="0078635F" w:rsidP="0078635F">
      <w:pPr>
        <w:jc w:val="both"/>
        <w:rPr>
          <w:rFonts w:ascii="Times New Roman" w:hAnsi="Times New Roman" w:cs="Times New Roman"/>
        </w:rPr>
      </w:pPr>
      <w:r w:rsidRPr="001B6A57">
        <w:rPr>
          <w:rFonts w:ascii="Times New Roman" w:hAnsi="Times New Roman" w:cs="Times New Roman"/>
        </w:rPr>
        <w:t xml:space="preserve">Bernstein, Basil (1990) </w:t>
      </w:r>
      <w:r w:rsidRPr="001B6A57">
        <w:rPr>
          <w:rFonts w:ascii="Times New Roman" w:hAnsi="Times New Roman" w:cs="Times New Roman"/>
          <w:i/>
          <w:iCs/>
        </w:rPr>
        <w:t>La estructura del discurso pedagógico</w:t>
      </w:r>
      <w:r w:rsidRPr="001B6A57">
        <w:rPr>
          <w:rFonts w:ascii="Times New Roman" w:hAnsi="Times New Roman" w:cs="Times New Roman"/>
        </w:rPr>
        <w:t>. Volumen IV. Ediciones Morata.</w:t>
      </w:r>
    </w:p>
    <w:p w14:paraId="7F9F00FD" w14:textId="77777777" w:rsidR="0078635F" w:rsidRPr="001B6A57" w:rsidRDefault="0078635F" w:rsidP="0078635F">
      <w:pPr>
        <w:jc w:val="both"/>
        <w:rPr>
          <w:rFonts w:ascii="Times New Roman" w:hAnsi="Times New Roman" w:cs="Times New Roman"/>
          <w:lang w:val="en-US"/>
        </w:rPr>
      </w:pPr>
      <w:r w:rsidRPr="001B6A57">
        <w:rPr>
          <w:rFonts w:ascii="Times New Roman" w:hAnsi="Times New Roman" w:cs="Times New Roman"/>
        </w:rPr>
        <w:t xml:space="preserve">Bernstein, Basil (1990a) </w:t>
      </w:r>
      <w:r w:rsidRPr="001B6A57">
        <w:rPr>
          <w:rFonts w:ascii="Times New Roman" w:hAnsi="Times New Roman" w:cs="Times New Roman"/>
          <w:i/>
          <w:iCs/>
        </w:rPr>
        <w:t>Poder, educación y conciencia. Sociología de la transmisión cultural</w:t>
      </w:r>
      <w:r w:rsidRPr="001B6A57">
        <w:rPr>
          <w:rFonts w:ascii="Times New Roman" w:hAnsi="Times New Roman" w:cs="Times New Roman"/>
        </w:rPr>
        <w:t xml:space="preserve">. </w:t>
      </w:r>
      <w:r w:rsidRPr="001B6A57">
        <w:rPr>
          <w:rFonts w:ascii="Times New Roman" w:hAnsi="Times New Roman" w:cs="Times New Roman"/>
          <w:lang w:val="en-US"/>
        </w:rPr>
        <w:t>El Roure Editorial, Barcelona.</w:t>
      </w:r>
    </w:p>
    <w:p w14:paraId="11F5D55C" w14:textId="77777777" w:rsidR="0078635F" w:rsidRPr="001B6A57" w:rsidRDefault="0078635F" w:rsidP="0078635F">
      <w:pPr>
        <w:jc w:val="both"/>
        <w:rPr>
          <w:rFonts w:ascii="Times New Roman" w:hAnsi="Times New Roman" w:cs="Times New Roman"/>
          <w:lang w:val="en-US"/>
        </w:rPr>
      </w:pPr>
      <w:r w:rsidRPr="001B6A57">
        <w:rPr>
          <w:rFonts w:ascii="Times New Roman" w:hAnsi="Times New Roman" w:cs="Times New Roman"/>
          <w:lang w:val="en-US"/>
        </w:rPr>
        <w:t xml:space="preserve">Bernstein, Basil (1999) Vertical and horizontal discourse: an essay. </w:t>
      </w:r>
      <w:r w:rsidRPr="001B6A57">
        <w:rPr>
          <w:rFonts w:ascii="Times New Roman" w:hAnsi="Times New Roman" w:cs="Times New Roman"/>
          <w:i/>
          <w:iCs/>
          <w:lang w:val="en-US"/>
        </w:rPr>
        <w:t>British Journal of Education</w:t>
      </w:r>
      <w:r w:rsidRPr="001B6A57">
        <w:rPr>
          <w:rFonts w:ascii="Times New Roman" w:hAnsi="Times New Roman" w:cs="Times New Roman"/>
          <w:lang w:val="en-US"/>
        </w:rPr>
        <w:t>, Vol. 20, No 2</w:t>
      </w:r>
    </w:p>
    <w:p w14:paraId="1F06F02F" w14:textId="77777777" w:rsidR="0078635F" w:rsidRDefault="0078635F" w:rsidP="0078635F">
      <w:pPr>
        <w:jc w:val="both"/>
        <w:rPr>
          <w:rFonts w:ascii="Times New Roman" w:hAnsi="Times New Roman" w:cs="Times New Roman"/>
        </w:rPr>
      </w:pPr>
      <w:r w:rsidRPr="00866543">
        <w:rPr>
          <w:rFonts w:ascii="Times New Roman" w:hAnsi="Times New Roman" w:cs="Times New Roman"/>
        </w:rPr>
        <w:t xml:space="preserve">Bonder, Gloria. (1984). Los Estudios de la Mujer y la Crítica Epistemológica a los Paradigmas de las Ciencias Humanas. </w:t>
      </w:r>
      <w:r w:rsidRPr="00866543">
        <w:rPr>
          <w:rFonts w:ascii="Times New Roman" w:hAnsi="Times New Roman" w:cs="Times New Roman"/>
          <w:i/>
          <w:iCs/>
        </w:rPr>
        <w:t>Desarrollo Y Sociedad,</w:t>
      </w:r>
      <w:r w:rsidRPr="00866543">
        <w:rPr>
          <w:rFonts w:ascii="Times New Roman" w:hAnsi="Times New Roman" w:cs="Times New Roman"/>
        </w:rPr>
        <w:t xml:space="preserve"> 1(13), 27-38. </w:t>
      </w:r>
      <w:hyperlink r:id="rId14" w:history="1">
        <w:r w:rsidRPr="00D574F2">
          <w:rPr>
            <w:rStyle w:val="Hipervnculo"/>
            <w:rFonts w:ascii="Times New Roman" w:hAnsi="Times New Roman" w:cs="Times New Roman"/>
          </w:rPr>
          <w:t>https://doi.org/10.13043/dys.13.1</w:t>
        </w:r>
      </w:hyperlink>
    </w:p>
    <w:p w14:paraId="6838F2AB" w14:textId="77777777" w:rsidR="0078635F" w:rsidRPr="001B6A57" w:rsidRDefault="0078635F" w:rsidP="0078635F">
      <w:pPr>
        <w:jc w:val="both"/>
        <w:rPr>
          <w:rFonts w:ascii="Times New Roman" w:hAnsi="Times New Roman" w:cs="Times New Roman"/>
        </w:rPr>
      </w:pPr>
      <w:r w:rsidRPr="001B6A57">
        <w:rPr>
          <w:rFonts w:ascii="Times New Roman" w:hAnsi="Times New Roman" w:cs="Times New Roman"/>
        </w:rPr>
        <w:t xml:space="preserve">Brunner, </w:t>
      </w:r>
      <w:proofErr w:type="spellStart"/>
      <w:r w:rsidRPr="001B6A57">
        <w:rPr>
          <w:rFonts w:ascii="Times New Roman" w:hAnsi="Times New Roman" w:cs="Times New Roman"/>
        </w:rPr>
        <w:t>Jose</w:t>
      </w:r>
      <w:proofErr w:type="spellEnd"/>
      <w:r w:rsidRPr="001B6A57">
        <w:rPr>
          <w:rFonts w:ascii="Times New Roman" w:hAnsi="Times New Roman" w:cs="Times New Roman"/>
        </w:rPr>
        <w:t xml:space="preserve"> &amp; Alarcón, Mario. (2023). Evolución de la educación superior chilena desde la perspectiva del ecualizador de gobernanza. </w:t>
      </w:r>
      <w:proofErr w:type="spellStart"/>
      <w:r w:rsidRPr="001B6A57">
        <w:rPr>
          <w:rFonts w:ascii="Times New Roman" w:hAnsi="Times New Roman" w:cs="Times New Roman"/>
          <w:i/>
          <w:iCs/>
        </w:rPr>
        <w:t>Education</w:t>
      </w:r>
      <w:proofErr w:type="spellEnd"/>
      <w:r w:rsidRPr="001B6A57">
        <w:rPr>
          <w:rFonts w:ascii="Times New Roman" w:hAnsi="Times New Roman" w:cs="Times New Roman"/>
          <w:i/>
          <w:iCs/>
        </w:rPr>
        <w:t xml:space="preserve"> Policy </w:t>
      </w:r>
      <w:proofErr w:type="spellStart"/>
      <w:r w:rsidRPr="001B6A57">
        <w:rPr>
          <w:rFonts w:ascii="Times New Roman" w:hAnsi="Times New Roman" w:cs="Times New Roman"/>
          <w:i/>
          <w:iCs/>
        </w:rPr>
        <w:t>Analysis</w:t>
      </w:r>
      <w:proofErr w:type="spellEnd"/>
      <w:r w:rsidRPr="001B6A57">
        <w:rPr>
          <w:rFonts w:ascii="Times New Roman" w:hAnsi="Times New Roman" w:cs="Times New Roman"/>
          <w:i/>
          <w:iCs/>
        </w:rPr>
        <w:t xml:space="preserve"> Archives</w:t>
      </w:r>
      <w:r w:rsidRPr="001B6A57">
        <w:rPr>
          <w:rFonts w:ascii="Times New Roman" w:hAnsi="Times New Roman" w:cs="Times New Roman"/>
        </w:rPr>
        <w:t>. 31. 10.14507/epaa.31.8271.</w:t>
      </w:r>
    </w:p>
    <w:p w14:paraId="6BC281C7" w14:textId="77777777" w:rsidR="0078635F" w:rsidRPr="00866543" w:rsidRDefault="0078635F" w:rsidP="0078635F">
      <w:pPr>
        <w:jc w:val="both"/>
        <w:rPr>
          <w:rFonts w:ascii="Times New Roman" w:hAnsi="Times New Roman" w:cs="Times New Roman"/>
        </w:rPr>
      </w:pPr>
      <w:r w:rsidRPr="00866543">
        <w:rPr>
          <w:rFonts w:ascii="Times New Roman" w:hAnsi="Times New Roman" w:cs="Times New Roman"/>
        </w:rPr>
        <w:t xml:space="preserve">Calquín Donoso, Claudia (2020). “Queríamos Cambiar el Mundo, pero el Mundo nos Cambió a Nosotras”: Performatividad y Poder Regulador en Protocolos de Género Universitarios. </w:t>
      </w:r>
      <w:r w:rsidRPr="00866543">
        <w:rPr>
          <w:rFonts w:ascii="Times New Roman" w:hAnsi="Times New Roman" w:cs="Times New Roman"/>
          <w:i/>
          <w:iCs/>
        </w:rPr>
        <w:t>Revista latinoamericana de educación inclusiva,</w:t>
      </w:r>
      <w:r w:rsidRPr="00866543">
        <w:rPr>
          <w:rFonts w:ascii="Times New Roman" w:hAnsi="Times New Roman" w:cs="Times New Roman"/>
        </w:rPr>
        <w:t xml:space="preserve"> 14(2), 39-57. https://dx.doi.org/10.4067/s0718-73782020000200039</w:t>
      </w:r>
    </w:p>
    <w:p w14:paraId="1FF9B292" w14:textId="77777777" w:rsidR="0078635F" w:rsidRDefault="0078635F" w:rsidP="0078635F">
      <w:pPr>
        <w:jc w:val="both"/>
        <w:rPr>
          <w:rFonts w:ascii="Times New Roman" w:hAnsi="Times New Roman" w:cs="Times New Roman"/>
        </w:rPr>
      </w:pPr>
      <w:r w:rsidRPr="00866543">
        <w:rPr>
          <w:rFonts w:ascii="Times New Roman" w:hAnsi="Times New Roman" w:cs="Times New Roman"/>
        </w:rPr>
        <w:t xml:space="preserve">Comisión Nacional de Acreditación (2023) </w:t>
      </w:r>
      <w:r w:rsidRPr="00866543">
        <w:rPr>
          <w:rFonts w:ascii="Times New Roman" w:hAnsi="Times New Roman" w:cs="Times New Roman"/>
          <w:i/>
          <w:iCs/>
        </w:rPr>
        <w:t>Criterios y Estándares de Calidad para la Acreditación Institucional del Subsistema Universitario</w:t>
      </w:r>
      <w:r w:rsidRPr="00866543">
        <w:rPr>
          <w:rFonts w:ascii="Times New Roman" w:hAnsi="Times New Roman" w:cs="Times New Roman"/>
        </w:rPr>
        <w:t xml:space="preserve">. Recuperado de </w:t>
      </w:r>
      <w:hyperlink r:id="rId15" w:history="1">
        <w:r w:rsidRPr="00D574F2">
          <w:rPr>
            <w:rStyle w:val="Hipervnculo"/>
            <w:rFonts w:ascii="Times New Roman" w:hAnsi="Times New Roman" w:cs="Times New Roman"/>
          </w:rPr>
          <w:t>https://www.cnachile.cl/noticias/SiteAssets/Paginas/Forms/AllItems/CyE%20INSTITUCIONAL%20SUBSISTEMA%20UNIVERSITARIO.pdfConnell</w:t>
        </w:r>
      </w:hyperlink>
      <w:r w:rsidRPr="00866543">
        <w:rPr>
          <w:rFonts w:ascii="Times New Roman" w:hAnsi="Times New Roman" w:cs="Times New Roman"/>
        </w:rPr>
        <w:t xml:space="preserve">, </w:t>
      </w:r>
    </w:p>
    <w:p w14:paraId="49444782" w14:textId="77777777" w:rsidR="0078635F" w:rsidRPr="001B6A57" w:rsidRDefault="0078635F" w:rsidP="0078635F">
      <w:pPr>
        <w:jc w:val="both"/>
        <w:rPr>
          <w:rFonts w:ascii="Times New Roman" w:hAnsi="Times New Roman" w:cs="Times New Roman"/>
          <w:lang w:val="es-CL"/>
        </w:rPr>
      </w:pPr>
      <w:r w:rsidRPr="00866543">
        <w:rPr>
          <w:rFonts w:ascii="Times New Roman" w:hAnsi="Times New Roman" w:cs="Times New Roman"/>
        </w:rPr>
        <w:t xml:space="preserve">Raewyn (1993) Escuelas y Justicia Social. Ediciones Morata </w:t>
      </w:r>
      <w:proofErr w:type="gramStart"/>
      <w:r w:rsidRPr="00866543">
        <w:rPr>
          <w:rFonts w:ascii="Times New Roman" w:hAnsi="Times New Roman" w:cs="Times New Roman"/>
        </w:rPr>
        <w:t>S.L</w:t>
      </w:r>
      <w:proofErr w:type="gramEnd"/>
      <w:r w:rsidRPr="00866543">
        <w:rPr>
          <w:rFonts w:ascii="Times New Roman" w:hAnsi="Times New Roman" w:cs="Times New Roman"/>
        </w:rPr>
        <w:t>, Madrid.</w:t>
      </w:r>
      <w:r w:rsidRPr="001B6A57">
        <w:rPr>
          <w:rFonts w:ascii="Times New Roman" w:hAnsi="Times New Roman" w:cs="Times New Roman"/>
          <w:lang w:val="es-CL"/>
        </w:rPr>
        <w:t xml:space="preserve">Consejo de Rectores (2012) </w:t>
      </w:r>
      <w:r w:rsidRPr="001B6A57">
        <w:rPr>
          <w:rFonts w:ascii="Times New Roman" w:hAnsi="Times New Roman" w:cs="Times New Roman"/>
          <w:i/>
          <w:iCs/>
          <w:lang w:val="es-CL"/>
        </w:rPr>
        <w:t>Innovación Curricular en las Universidades del Consejo de Rectores.</w:t>
      </w:r>
      <w:r w:rsidRPr="001B6A57">
        <w:rPr>
          <w:rFonts w:ascii="Times New Roman" w:hAnsi="Times New Roman" w:cs="Times New Roman"/>
          <w:lang w:val="es-CL"/>
        </w:rPr>
        <w:t xml:space="preserve"> Consejo de Rectores de las Universidades Chilenas, CRUCH. ISBN: 978-956-7581-03-0</w:t>
      </w:r>
    </w:p>
    <w:p w14:paraId="5B78101B" w14:textId="77777777" w:rsidR="0078635F" w:rsidRPr="001B6A57" w:rsidRDefault="0078635F" w:rsidP="0078635F">
      <w:pPr>
        <w:jc w:val="both"/>
        <w:rPr>
          <w:rFonts w:ascii="Times New Roman" w:hAnsi="Times New Roman" w:cs="Times New Roman"/>
          <w:lang w:val="es-CL"/>
        </w:rPr>
      </w:pPr>
      <w:r w:rsidRPr="001B6A57">
        <w:rPr>
          <w:rFonts w:ascii="Times New Roman" w:hAnsi="Times New Roman" w:cs="Times New Roman"/>
          <w:lang w:val="es-CL"/>
        </w:rPr>
        <w:t xml:space="preserve">Consejo de Universidades Estatales de Chile (CUECH) (2022) Análisis comparado de los modelos educativos y/o pedagógicos de las universidades estatales. Recuperado de: </w:t>
      </w:r>
      <w:hyperlink r:id="rId16" w:history="1">
        <w:r w:rsidRPr="001B6A57">
          <w:rPr>
            <w:rStyle w:val="Hipervnculo"/>
            <w:rFonts w:ascii="Times New Roman" w:hAnsi="Times New Roman" w:cs="Times New Roman"/>
            <w:lang w:val="es-CL"/>
          </w:rPr>
          <w:t>https://ethos.uestatales.cl/wp-content/uploads/dlm_uploads/2024/04/Informe-Ejecutivo-Modelos-Educativos-UE-1.pdf</w:t>
        </w:r>
      </w:hyperlink>
    </w:p>
    <w:p w14:paraId="280EB965" w14:textId="77777777" w:rsidR="0078635F" w:rsidRPr="001B6A57" w:rsidRDefault="0078635F" w:rsidP="0078635F">
      <w:pPr>
        <w:jc w:val="both"/>
        <w:rPr>
          <w:rFonts w:ascii="Times New Roman" w:hAnsi="Times New Roman" w:cs="Times New Roman"/>
        </w:rPr>
      </w:pPr>
      <w:r w:rsidRPr="001B6A57">
        <w:rPr>
          <w:rFonts w:ascii="Times New Roman" w:hAnsi="Times New Roman" w:cs="Times New Roman"/>
        </w:rPr>
        <w:lastRenderedPageBreak/>
        <w:t xml:space="preserve">Cordero-Aliaga, Stefany y Romero-López María Asunción (2025). Perspectiva de género en la formación docente. Una revisión sistemática. </w:t>
      </w:r>
      <w:r w:rsidRPr="001B6A57">
        <w:rPr>
          <w:rFonts w:ascii="Times New Roman" w:hAnsi="Times New Roman" w:cs="Times New Roman"/>
          <w:i/>
          <w:iCs/>
        </w:rPr>
        <w:t>Revista Complutense de Educación</w:t>
      </w:r>
      <w:r w:rsidRPr="001B6A57">
        <w:rPr>
          <w:rFonts w:ascii="Times New Roman" w:hAnsi="Times New Roman" w:cs="Times New Roman"/>
        </w:rPr>
        <w:t>, 36(1), 69-82.</w:t>
      </w:r>
      <w:hyperlink r:id="rId17" w:history="1">
        <w:r w:rsidRPr="001B6A57">
          <w:rPr>
            <w:rStyle w:val="Hipervnculo"/>
            <w:rFonts w:ascii="Times New Roman" w:hAnsi="Times New Roman" w:cs="Times New Roman"/>
          </w:rPr>
          <w:t xml:space="preserve"> https://doi.org/10.5209/rced.93115</w:t>
        </w:r>
      </w:hyperlink>
    </w:p>
    <w:p w14:paraId="57EB2C82" w14:textId="77777777" w:rsidR="0078635F" w:rsidRDefault="0078635F" w:rsidP="0078635F">
      <w:pPr>
        <w:jc w:val="both"/>
        <w:rPr>
          <w:rFonts w:ascii="Times New Roman" w:hAnsi="Times New Roman" w:cs="Times New Roman"/>
        </w:rPr>
      </w:pPr>
      <w:r w:rsidRPr="00866543">
        <w:rPr>
          <w:rFonts w:ascii="Times New Roman" w:hAnsi="Times New Roman" w:cs="Times New Roman"/>
        </w:rPr>
        <w:t xml:space="preserve">de Alba, Alicia (1995) </w:t>
      </w:r>
      <w:proofErr w:type="spellStart"/>
      <w:r w:rsidRPr="00866543">
        <w:rPr>
          <w:rFonts w:ascii="Times New Roman" w:hAnsi="Times New Roman" w:cs="Times New Roman"/>
          <w:i/>
          <w:iCs/>
        </w:rPr>
        <w:t>Curriculum</w:t>
      </w:r>
      <w:proofErr w:type="spellEnd"/>
      <w:r w:rsidRPr="00866543">
        <w:rPr>
          <w:rFonts w:ascii="Times New Roman" w:hAnsi="Times New Roman" w:cs="Times New Roman"/>
          <w:i/>
          <w:iCs/>
        </w:rPr>
        <w:t xml:space="preserve">: crisis, mitos, perspectivas. </w:t>
      </w:r>
      <w:r w:rsidRPr="00866543">
        <w:rPr>
          <w:rFonts w:ascii="Times New Roman" w:hAnsi="Times New Roman" w:cs="Times New Roman"/>
        </w:rPr>
        <w:t>Miño y Dávila Editores, Buenos Aires.</w:t>
      </w:r>
    </w:p>
    <w:p w14:paraId="741768BD" w14:textId="77777777" w:rsidR="0078635F" w:rsidRPr="001B6A57" w:rsidRDefault="0078635F" w:rsidP="0078635F">
      <w:pPr>
        <w:jc w:val="both"/>
        <w:rPr>
          <w:rFonts w:ascii="Times New Roman" w:hAnsi="Times New Roman" w:cs="Times New Roman"/>
          <w:lang w:val="es-CL"/>
        </w:rPr>
      </w:pPr>
      <w:r w:rsidRPr="00C501D9">
        <w:rPr>
          <w:rFonts w:ascii="Times New Roman" w:hAnsi="Times New Roman" w:cs="Times New Roman"/>
        </w:rPr>
        <w:t xml:space="preserve">Diaz Villa, Mario (2000) Aproximación Inicial. Bernstein y la pedagogía. En </w:t>
      </w:r>
      <w:r w:rsidRPr="00C501D9">
        <w:rPr>
          <w:rFonts w:ascii="Times New Roman" w:hAnsi="Times New Roman" w:cs="Times New Roman"/>
          <w:i/>
          <w:iCs/>
        </w:rPr>
        <w:t>Hacia una sociología del discurso pedagógico</w:t>
      </w:r>
      <w:r w:rsidRPr="00C501D9">
        <w:rPr>
          <w:rFonts w:ascii="Times New Roman" w:hAnsi="Times New Roman" w:cs="Times New Roman"/>
        </w:rPr>
        <w:t>. Diaz Villa, M. y López Jímenez, N. (</w:t>
      </w:r>
      <w:proofErr w:type="spellStart"/>
      <w:r w:rsidRPr="00C501D9">
        <w:rPr>
          <w:rFonts w:ascii="Times New Roman" w:hAnsi="Times New Roman" w:cs="Times New Roman"/>
        </w:rPr>
        <w:t>eds</w:t>
      </w:r>
      <w:proofErr w:type="spellEnd"/>
      <w:r w:rsidRPr="00C501D9">
        <w:rPr>
          <w:rFonts w:ascii="Times New Roman" w:hAnsi="Times New Roman" w:cs="Times New Roman"/>
        </w:rPr>
        <w:t>). Cooperativa Editorial Magisterio</w:t>
      </w:r>
    </w:p>
    <w:p w14:paraId="411A21FB" w14:textId="77777777" w:rsidR="0078635F" w:rsidRPr="001B6A57" w:rsidRDefault="0078635F" w:rsidP="0078635F">
      <w:pPr>
        <w:jc w:val="both"/>
        <w:rPr>
          <w:rFonts w:ascii="Times New Roman" w:hAnsi="Times New Roman" w:cs="Times New Roman"/>
          <w:lang w:val="en-US"/>
        </w:rPr>
      </w:pPr>
      <w:r w:rsidRPr="001B6A57">
        <w:rPr>
          <w:rFonts w:ascii="Times New Roman" w:hAnsi="Times New Roman" w:cs="Times New Roman"/>
          <w:lang w:val="en-US"/>
        </w:rPr>
        <w:t xml:space="preserve">Eisenstein, Hester (1995). The Australian femocratic experiment: A feminist case for bureaucracy. En M. M. Ferree &amp; P. Y. Martin (Eds.), </w:t>
      </w:r>
      <w:r w:rsidRPr="001B6A57">
        <w:rPr>
          <w:rFonts w:ascii="Times New Roman" w:hAnsi="Times New Roman" w:cs="Times New Roman"/>
          <w:i/>
          <w:iCs/>
          <w:lang w:val="en-US"/>
        </w:rPr>
        <w:t xml:space="preserve">Feminist organizations: Harvest of the New </w:t>
      </w:r>
      <w:proofErr w:type="spellStart"/>
      <w:r w:rsidRPr="001B6A57">
        <w:rPr>
          <w:rFonts w:ascii="Times New Roman" w:hAnsi="Times New Roman" w:cs="Times New Roman"/>
          <w:i/>
          <w:iCs/>
          <w:lang w:val="en-US"/>
        </w:rPr>
        <w:t>Women»s</w:t>
      </w:r>
      <w:proofErr w:type="spellEnd"/>
      <w:r w:rsidRPr="001B6A57">
        <w:rPr>
          <w:rFonts w:ascii="Times New Roman" w:hAnsi="Times New Roman" w:cs="Times New Roman"/>
          <w:i/>
          <w:iCs/>
          <w:lang w:val="en-US"/>
        </w:rPr>
        <w:t xml:space="preserve"> Movement</w:t>
      </w:r>
      <w:r w:rsidRPr="001B6A57">
        <w:rPr>
          <w:rFonts w:ascii="Times New Roman" w:hAnsi="Times New Roman" w:cs="Times New Roman"/>
          <w:lang w:val="en-US"/>
        </w:rPr>
        <w:t xml:space="preserve"> (pp. 69-83). Philadelphia Temple University Press.</w:t>
      </w:r>
    </w:p>
    <w:p w14:paraId="229675D3" w14:textId="77777777" w:rsidR="0078635F" w:rsidRPr="0078635F" w:rsidRDefault="0078635F" w:rsidP="0078635F">
      <w:pPr>
        <w:jc w:val="both"/>
        <w:rPr>
          <w:rFonts w:ascii="Times New Roman" w:hAnsi="Times New Roman" w:cs="Times New Roman"/>
          <w:lang w:val="en-US"/>
        </w:rPr>
      </w:pPr>
      <w:r w:rsidRPr="001B6A57">
        <w:rPr>
          <w:rFonts w:ascii="Times New Roman" w:hAnsi="Times New Roman" w:cs="Times New Roman"/>
          <w:lang w:val="en-US"/>
        </w:rPr>
        <w:t xml:space="preserve">Enders, Jürgens &amp; Naidoo, Rajani (2022) The rise and work of new professionals in higher education. In </w:t>
      </w:r>
      <w:proofErr w:type="spellStart"/>
      <w:r w:rsidRPr="001B6A57">
        <w:rPr>
          <w:rFonts w:ascii="Times New Roman" w:hAnsi="Times New Roman" w:cs="Times New Roman"/>
          <w:lang w:val="en-US"/>
        </w:rPr>
        <w:t>Sarrico</w:t>
      </w:r>
      <w:proofErr w:type="spellEnd"/>
      <w:r w:rsidRPr="001B6A57">
        <w:rPr>
          <w:rFonts w:ascii="Times New Roman" w:hAnsi="Times New Roman" w:cs="Times New Roman"/>
          <w:lang w:val="en-US"/>
        </w:rPr>
        <w:t xml:space="preserve"> &amp; Carvalho (eds) </w:t>
      </w:r>
      <w:r w:rsidRPr="001B6A57">
        <w:rPr>
          <w:rFonts w:ascii="Times New Roman" w:hAnsi="Times New Roman" w:cs="Times New Roman"/>
          <w:i/>
          <w:iCs/>
          <w:lang w:val="en-US"/>
        </w:rPr>
        <w:t>Research Handbook on Academic Careers and Managing Academics</w:t>
      </w:r>
      <w:r w:rsidRPr="001B6A57">
        <w:rPr>
          <w:rFonts w:ascii="Times New Roman" w:hAnsi="Times New Roman" w:cs="Times New Roman"/>
          <w:lang w:val="en-US"/>
        </w:rPr>
        <w:t xml:space="preserve">. </w:t>
      </w:r>
      <w:r w:rsidRPr="0078635F">
        <w:rPr>
          <w:rFonts w:ascii="Times New Roman" w:hAnsi="Times New Roman" w:cs="Times New Roman"/>
          <w:lang w:val="en-US"/>
        </w:rPr>
        <w:t xml:space="preserve">(89-98) Elgar Handbooks in Education. </w:t>
      </w:r>
      <w:hyperlink r:id="rId18" w:history="1">
        <w:r w:rsidRPr="0078635F">
          <w:rPr>
            <w:rStyle w:val="Hipervnculo"/>
            <w:rFonts w:ascii="Times New Roman" w:hAnsi="Times New Roman" w:cs="Times New Roman"/>
            <w:lang w:val="en-US"/>
          </w:rPr>
          <w:t>https://doi.org/10.4337/9781839102639</w:t>
        </w:r>
      </w:hyperlink>
    </w:p>
    <w:p w14:paraId="0132D8C0" w14:textId="77777777" w:rsidR="0078635F" w:rsidRDefault="0078635F" w:rsidP="0078635F">
      <w:pPr>
        <w:jc w:val="both"/>
        <w:rPr>
          <w:rFonts w:ascii="Times New Roman" w:hAnsi="Times New Roman" w:cs="Times New Roman"/>
        </w:rPr>
      </w:pPr>
      <w:r w:rsidRPr="0078635F">
        <w:rPr>
          <w:rFonts w:ascii="Times New Roman" w:hAnsi="Times New Roman" w:cs="Times New Roman"/>
          <w:lang w:val="en-US"/>
        </w:rPr>
        <w:t xml:space="preserve">Ferrada-Hurtado, Rocío &amp; </w:t>
      </w:r>
      <w:proofErr w:type="spellStart"/>
      <w:r w:rsidRPr="0078635F">
        <w:rPr>
          <w:rFonts w:ascii="Times New Roman" w:hAnsi="Times New Roman" w:cs="Times New Roman"/>
          <w:lang w:val="en-US"/>
        </w:rPr>
        <w:t>Simbürger</w:t>
      </w:r>
      <w:proofErr w:type="spellEnd"/>
      <w:r w:rsidRPr="0078635F">
        <w:rPr>
          <w:rFonts w:ascii="Times New Roman" w:hAnsi="Times New Roman" w:cs="Times New Roman"/>
          <w:lang w:val="en-US"/>
        </w:rPr>
        <w:t xml:space="preserve">, Elisabeth (2025). </w:t>
      </w:r>
      <w:r w:rsidRPr="00866543">
        <w:rPr>
          <w:rFonts w:ascii="Times New Roman" w:hAnsi="Times New Roman" w:cs="Times New Roman"/>
          <w:lang w:val="es-CL"/>
        </w:rPr>
        <w:t xml:space="preserve">Formas de institucionalizar el enfoque de género en universidades chilenas. </w:t>
      </w:r>
      <w:r w:rsidRPr="00866543">
        <w:rPr>
          <w:rFonts w:ascii="Times New Roman" w:hAnsi="Times New Roman" w:cs="Times New Roman"/>
          <w:i/>
          <w:iCs/>
          <w:lang w:val="es-CL"/>
        </w:rPr>
        <w:t xml:space="preserve">Revista Iberoamericana De Educación Superior, </w:t>
      </w:r>
      <w:r w:rsidRPr="00866543">
        <w:rPr>
          <w:rFonts w:ascii="Times New Roman" w:hAnsi="Times New Roman" w:cs="Times New Roman"/>
          <w:lang w:val="es-CL"/>
        </w:rPr>
        <w:t xml:space="preserve">16(47), 25–40. </w:t>
      </w:r>
      <w:hyperlink r:id="rId19" w:history="1">
        <w:r w:rsidRPr="00D574F2">
          <w:rPr>
            <w:rStyle w:val="Hipervnculo"/>
            <w:rFonts w:ascii="Times New Roman" w:hAnsi="Times New Roman" w:cs="Times New Roman"/>
            <w:lang w:val="es-CL"/>
          </w:rPr>
          <w:t>https://doi.org/10.22201/iisue.20072872e.2025.47.1817</w:t>
        </w:r>
      </w:hyperlink>
    </w:p>
    <w:p w14:paraId="45DBB496" w14:textId="77777777" w:rsidR="0078635F" w:rsidRPr="00866543" w:rsidRDefault="0078635F" w:rsidP="0078635F">
      <w:pPr>
        <w:jc w:val="both"/>
        <w:rPr>
          <w:rFonts w:ascii="Times New Roman" w:hAnsi="Times New Roman" w:cs="Times New Roman"/>
          <w:lang w:val="es-CL"/>
        </w:rPr>
      </w:pPr>
      <w:r w:rsidRPr="00866543">
        <w:rPr>
          <w:rFonts w:ascii="Times New Roman" w:hAnsi="Times New Roman" w:cs="Times New Roman"/>
          <w:lang w:val="es-CL"/>
        </w:rPr>
        <w:t>Gaba, Mariana (2021). «</w:t>
      </w:r>
      <w:r w:rsidRPr="00866543">
        <w:rPr>
          <w:rFonts w:ascii="Times New Roman" w:hAnsi="Times New Roman" w:cs="Times New Roman"/>
          <w:i/>
          <w:iCs/>
          <w:lang w:val="es-CL"/>
        </w:rPr>
        <w:t>Haciendo género» en las universidades chilenas. Hacia una sistematización de los discursos y prácticas de las expertas de las áreas de género(s) en su trabajo de transformación institucional.</w:t>
      </w:r>
      <w:r w:rsidRPr="00866543">
        <w:rPr>
          <w:rFonts w:ascii="Times New Roman" w:hAnsi="Times New Roman" w:cs="Times New Roman"/>
          <w:lang w:val="es-CL"/>
        </w:rPr>
        <w:t xml:space="preserve"> Tesis de magíster, Programa Regional de Formación en Género y Políticas Públicas (</w:t>
      </w:r>
      <w:proofErr w:type="spellStart"/>
      <w:r w:rsidRPr="00866543">
        <w:rPr>
          <w:rFonts w:ascii="Times New Roman" w:hAnsi="Times New Roman" w:cs="Times New Roman"/>
          <w:lang w:val="es-CL"/>
        </w:rPr>
        <w:t>prigepp</w:t>
      </w:r>
      <w:proofErr w:type="spellEnd"/>
      <w:r w:rsidRPr="00866543">
        <w:rPr>
          <w:rFonts w:ascii="Times New Roman" w:hAnsi="Times New Roman" w:cs="Times New Roman"/>
          <w:lang w:val="es-CL"/>
        </w:rPr>
        <w:t>), Facultad Latinoamericana de Ciencias Sociales (</w:t>
      </w:r>
      <w:proofErr w:type="spellStart"/>
      <w:r w:rsidRPr="00866543">
        <w:rPr>
          <w:rFonts w:ascii="Times New Roman" w:hAnsi="Times New Roman" w:cs="Times New Roman"/>
          <w:lang w:val="es-CL"/>
        </w:rPr>
        <w:t>flacso</w:t>
      </w:r>
      <w:proofErr w:type="spellEnd"/>
      <w:r w:rsidRPr="00866543">
        <w:rPr>
          <w:rFonts w:ascii="Times New Roman" w:hAnsi="Times New Roman" w:cs="Times New Roman"/>
          <w:lang w:val="es-CL"/>
        </w:rPr>
        <w:t>), Argentina. Recuperado de https:// repositorio.flacsoandes.edu.ec/</w:t>
      </w:r>
      <w:proofErr w:type="spellStart"/>
      <w:r w:rsidRPr="00866543">
        <w:rPr>
          <w:rFonts w:ascii="Times New Roman" w:hAnsi="Times New Roman" w:cs="Times New Roman"/>
          <w:lang w:val="es-CL"/>
        </w:rPr>
        <w:t>handle</w:t>
      </w:r>
      <w:proofErr w:type="spellEnd"/>
      <w:r w:rsidRPr="00866543">
        <w:rPr>
          <w:rFonts w:ascii="Times New Roman" w:hAnsi="Times New Roman" w:cs="Times New Roman"/>
          <w:lang w:val="es-CL"/>
        </w:rPr>
        <w:t>/10469/17884</w:t>
      </w:r>
    </w:p>
    <w:p w14:paraId="18ABADF5" w14:textId="77777777" w:rsidR="0078635F" w:rsidRPr="00866543" w:rsidRDefault="0078635F" w:rsidP="0078635F">
      <w:pPr>
        <w:jc w:val="both"/>
        <w:rPr>
          <w:rFonts w:ascii="Times New Roman" w:hAnsi="Times New Roman" w:cs="Times New Roman"/>
        </w:rPr>
      </w:pPr>
      <w:r w:rsidRPr="00866543">
        <w:rPr>
          <w:rFonts w:ascii="Times New Roman" w:hAnsi="Times New Roman" w:cs="Times New Roman"/>
        </w:rPr>
        <w:t xml:space="preserve">Gaba, Mariana (2023) </w:t>
      </w:r>
      <w:r w:rsidRPr="00866543">
        <w:rPr>
          <w:rFonts w:ascii="Times New Roman" w:hAnsi="Times New Roman" w:cs="Times New Roman"/>
          <w:i/>
          <w:iCs/>
        </w:rPr>
        <w:t>Cruces entre géneros, feminismos y organizaciones. De las teorías a las prácticas.</w:t>
      </w:r>
      <w:r w:rsidRPr="00866543">
        <w:rPr>
          <w:rFonts w:ascii="Times New Roman" w:hAnsi="Times New Roman" w:cs="Times New Roman"/>
        </w:rPr>
        <w:t xml:space="preserve"> Santiago: </w:t>
      </w:r>
      <w:proofErr w:type="spellStart"/>
      <w:r w:rsidRPr="00866543">
        <w:rPr>
          <w:rFonts w:ascii="Times New Roman" w:hAnsi="Times New Roman" w:cs="Times New Roman"/>
        </w:rPr>
        <w:t>Ril</w:t>
      </w:r>
      <w:proofErr w:type="spellEnd"/>
      <w:r w:rsidRPr="00866543">
        <w:rPr>
          <w:rFonts w:ascii="Times New Roman" w:hAnsi="Times New Roman" w:cs="Times New Roman"/>
        </w:rPr>
        <w:t xml:space="preserve"> Editores.</w:t>
      </w:r>
    </w:p>
    <w:p w14:paraId="0D3D4881" w14:textId="77777777" w:rsidR="0078635F" w:rsidRDefault="0078635F" w:rsidP="0078635F">
      <w:pPr>
        <w:jc w:val="both"/>
        <w:rPr>
          <w:rFonts w:ascii="Times New Roman" w:hAnsi="Times New Roman" w:cs="Times New Roman"/>
        </w:rPr>
      </w:pPr>
      <w:r w:rsidRPr="00866543">
        <w:rPr>
          <w:rFonts w:ascii="Times New Roman" w:hAnsi="Times New Roman" w:cs="Times New Roman"/>
        </w:rPr>
        <w:t xml:space="preserve">Gaba, Mariana (2025). Género(s) y organizaciones: entre estigmas y transformaciones. </w:t>
      </w:r>
      <w:r w:rsidRPr="00866543">
        <w:rPr>
          <w:rFonts w:ascii="Times New Roman" w:hAnsi="Times New Roman" w:cs="Times New Roman"/>
          <w:i/>
          <w:iCs/>
        </w:rPr>
        <w:t>Cuestiones de Sociología</w:t>
      </w:r>
      <w:r w:rsidRPr="00866543">
        <w:rPr>
          <w:rFonts w:ascii="Times New Roman" w:hAnsi="Times New Roman" w:cs="Times New Roman"/>
        </w:rPr>
        <w:t xml:space="preserve"> (32), Artículo e192. https://www.memoria.fahce.unlp.edu.ar/art_revistas/pr.19549/pr.19549.pdf</w:t>
      </w:r>
    </w:p>
    <w:p w14:paraId="03132EB2" w14:textId="77777777" w:rsidR="0078635F" w:rsidRPr="001B6A57" w:rsidRDefault="0078635F" w:rsidP="0078635F">
      <w:pPr>
        <w:jc w:val="both"/>
        <w:rPr>
          <w:rFonts w:ascii="Times New Roman" w:hAnsi="Times New Roman" w:cs="Times New Roman"/>
          <w:lang w:val="es-CL"/>
        </w:rPr>
      </w:pPr>
      <w:r w:rsidRPr="001B6A57">
        <w:rPr>
          <w:rFonts w:ascii="Times New Roman" w:hAnsi="Times New Roman" w:cs="Times New Roman"/>
          <w:lang w:val="es-CL"/>
        </w:rPr>
        <w:t xml:space="preserve">Gaba, Mariana, Gajardo, Carla y Murillo, Nicole. </w:t>
      </w:r>
      <w:r w:rsidRPr="001B6A57">
        <w:rPr>
          <w:rFonts w:ascii="Times New Roman" w:hAnsi="Times New Roman" w:cs="Times New Roman"/>
          <w:lang w:val="en-US"/>
        </w:rPr>
        <w:t xml:space="preserve">(2023). From theories to </w:t>
      </w:r>
      <w:proofErr w:type="gramStart"/>
      <w:r w:rsidRPr="001B6A57">
        <w:rPr>
          <w:rFonts w:ascii="Times New Roman" w:hAnsi="Times New Roman" w:cs="Times New Roman"/>
          <w:lang w:val="en-US"/>
        </w:rPr>
        <w:t>practices</w:t>
      </w:r>
      <w:proofErr w:type="gramEnd"/>
      <w:r w:rsidRPr="001B6A57">
        <w:rPr>
          <w:rFonts w:ascii="Times New Roman" w:hAnsi="Times New Roman" w:cs="Times New Roman"/>
          <w:lang w:val="en-US"/>
        </w:rPr>
        <w:t xml:space="preserve">: advances and challenges in the incorporation of a gender perspective in the curricular and teaching development of undergraduate programs. </w:t>
      </w:r>
      <w:r w:rsidRPr="001B6A57">
        <w:rPr>
          <w:rFonts w:ascii="Times New Roman" w:hAnsi="Times New Roman" w:cs="Times New Roman"/>
          <w:i/>
          <w:iCs/>
          <w:lang w:val="es-CL"/>
        </w:rPr>
        <w:t xml:space="preserve">Congreso De Docencia En Educación Superior CODES, 5 </w:t>
      </w:r>
      <w:hyperlink r:id="rId20" w:history="1">
        <w:r w:rsidRPr="001B6A57">
          <w:rPr>
            <w:rStyle w:val="Hipervnculo"/>
            <w:rFonts w:ascii="Times New Roman" w:hAnsi="Times New Roman" w:cs="Times New Roman"/>
            <w:i/>
            <w:iCs/>
            <w:lang w:val="es-CL"/>
          </w:rPr>
          <w:t>https://doi.org/10.15443/codes1998</w:t>
        </w:r>
      </w:hyperlink>
    </w:p>
    <w:p w14:paraId="11F30E20" w14:textId="77777777" w:rsidR="0078635F" w:rsidRDefault="0078635F" w:rsidP="0078635F">
      <w:pPr>
        <w:jc w:val="both"/>
        <w:rPr>
          <w:rFonts w:ascii="Times New Roman" w:hAnsi="Times New Roman" w:cs="Times New Roman"/>
        </w:rPr>
      </w:pPr>
      <w:r w:rsidRPr="00866543">
        <w:rPr>
          <w:rFonts w:ascii="Times New Roman" w:hAnsi="Times New Roman" w:cs="Times New Roman"/>
        </w:rPr>
        <w:lastRenderedPageBreak/>
        <w:t xml:space="preserve">Gaba, Mariana, Gajardo, Carla. y Murillo, Nicole. (2024) Avances y desafíos de la transversalización de la perspectiva de género(s) en el desarrollo curricular y docente de carreras de pregrado de la Universidad Diego Portales.  En </w:t>
      </w:r>
      <w:r w:rsidRPr="00866543">
        <w:rPr>
          <w:rFonts w:ascii="Times New Roman" w:hAnsi="Times New Roman" w:cs="Times New Roman"/>
          <w:i/>
          <w:iCs/>
        </w:rPr>
        <w:t>Educación No Sexista: Debates, desafíos y proyecciones en la Educación Superior.</w:t>
      </w:r>
      <w:r w:rsidRPr="00866543">
        <w:rPr>
          <w:rFonts w:ascii="Times New Roman" w:hAnsi="Times New Roman" w:cs="Times New Roman"/>
        </w:rPr>
        <w:t xml:space="preserve"> Editorial Tirant lo Blanch y Universidad Central. ISBN: 978-84-1197-904-7</w:t>
      </w:r>
    </w:p>
    <w:p w14:paraId="3471A297" w14:textId="77777777" w:rsidR="0078635F" w:rsidRPr="0078635F" w:rsidRDefault="0078635F" w:rsidP="0078635F">
      <w:pPr>
        <w:jc w:val="both"/>
        <w:rPr>
          <w:rFonts w:ascii="Times New Roman" w:hAnsi="Times New Roman" w:cs="Times New Roman"/>
          <w:lang w:val="en-US"/>
        </w:rPr>
      </w:pPr>
      <w:r w:rsidRPr="001B6A57">
        <w:rPr>
          <w:rFonts w:ascii="Times New Roman" w:hAnsi="Times New Roman" w:cs="Times New Roman"/>
          <w:lang w:val="es-CL"/>
        </w:rPr>
        <w:t xml:space="preserve">Gili Diez, Valeria, Barboza Piran, Franco, y Guerra Pérez, Mariana (2020). Las representaciones sociales sobre el concepto de género en personas que ejercen cargos de gestión en la Facultad de Filosofía Humanidades y Arte y la Facultad de Ingeniería de la Universidad Nacional de San Juan. </w:t>
      </w:r>
      <w:proofErr w:type="spellStart"/>
      <w:r w:rsidRPr="0078635F">
        <w:rPr>
          <w:rFonts w:ascii="Times New Roman" w:hAnsi="Times New Roman" w:cs="Times New Roman"/>
          <w:i/>
          <w:iCs/>
          <w:lang w:val="en-US"/>
        </w:rPr>
        <w:t>Universidades</w:t>
      </w:r>
      <w:proofErr w:type="spellEnd"/>
      <w:r w:rsidRPr="0078635F">
        <w:rPr>
          <w:rFonts w:ascii="Times New Roman" w:hAnsi="Times New Roman" w:cs="Times New Roman"/>
          <w:i/>
          <w:iCs/>
          <w:lang w:val="en-US"/>
        </w:rPr>
        <w:t>,</w:t>
      </w:r>
      <w:r w:rsidRPr="0078635F">
        <w:rPr>
          <w:rFonts w:ascii="Times New Roman" w:hAnsi="Times New Roman" w:cs="Times New Roman"/>
          <w:lang w:val="en-US"/>
        </w:rPr>
        <w:t xml:space="preserve"> 69(77), 17-29.</w:t>
      </w:r>
      <w:hyperlink r:id="rId21" w:history="1">
        <w:r w:rsidRPr="0078635F">
          <w:rPr>
            <w:rStyle w:val="Hipervnculo"/>
            <w:rFonts w:ascii="Times New Roman" w:hAnsi="Times New Roman" w:cs="Times New Roman"/>
            <w:lang w:val="en-US"/>
          </w:rPr>
          <w:t xml:space="preserve"> https://doi.org/10.36888/udual.universidades.2018.77.174</w:t>
        </w:r>
      </w:hyperlink>
    </w:p>
    <w:p w14:paraId="067757D8" w14:textId="77777777" w:rsidR="0078635F" w:rsidRPr="001B6A57" w:rsidRDefault="0078635F" w:rsidP="0078635F">
      <w:pPr>
        <w:jc w:val="both"/>
        <w:rPr>
          <w:rFonts w:ascii="Times New Roman" w:hAnsi="Times New Roman" w:cs="Times New Roman"/>
          <w:lang w:val="en-US"/>
        </w:rPr>
      </w:pPr>
      <w:r w:rsidRPr="001B6A57">
        <w:rPr>
          <w:rFonts w:ascii="Times New Roman" w:hAnsi="Times New Roman" w:cs="Times New Roman"/>
          <w:lang w:val="en-US"/>
        </w:rPr>
        <w:t xml:space="preserve">Grünberg, Laura (2011) </w:t>
      </w:r>
      <w:r w:rsidRPr="001B6A57">
        <w:rPr>
          <w:rFonts w:ascii="Times New Roman" w:hAnsi="Times New Roman" w:cs="Times New Roman"/>
          <w:i/>
          <w:iCs/>
          <w:lang w:val="en-US"/>
        </w:rPr>
        <w:t>From gender studies to gender IN studies: case studies on gender-inclusive curriculum in higher education</w:t>
      </w:r>
      <w:r w:rsidRPr="001B6A57">
        <w:rPr>
          <w:rFonts w:ascii="Times New Roman" w:hAnsi="Times New Roman" w:cs="Times New Roman"/>
          <w:lang w:val="en-US"/>
        </w:rPr>
        <w:t xml:space="preserve">. </w:t>
      </w:r>
      <w:proofErr w:type="spellStart"/>
      <w:r w:rsidRPr="001B6A57">
        <w:rPr>
          <w:rFonts w:ascii="Times New Roman" w:hAnsi="Times New Roman" w:cs="Times New Roman"/>
          <w:lang w:val="en-US"/>
        </w:rPr>
        <w:t>Grünber</w:t>
      </w:r>
      <w:proofErr w:type="spellEnd"/>
      <w:r w:rsidRPr="001B6A57">
        <w:rPr>
          <w:rFonts w:ascii="Times New Roman" w:hAnsi="Times New Roman" w:cs="Times New Roman"/>
          <w:lang w:val="en-US"/>
        </w:rPr>
        <w:t>, l (ed). UNESCO-CEPES Studies on Higher Education.</w:t>
      </w:r>
    </w:p>
    <w:p w14:paraId="2B71BCE8" w14:textId="77777777" w:rsidR="0078635F" w:rsidRPr="0078635F" w:rsidRDefault="0078635F" w:rsidP="0078635F">
      <w:pPr>
        <w:jc w:val="both"/>
        <w:rPr>
          <w:rFonts w:ascii="Times New Roman" w:hAnsi="Times New Roman" w:cs="Times New Roman"/>
          <w:lang w:val="es-CL"/>
        </w:rPr>
      </w:pPr>
      <w:r w:rsidRPr="001B6A57">
        <w:rPr>
          <w:rFonts w:ascii="Times New Roman" w:hAnsi="Times New Roman" w:cs="Times New Roman"/>
          <w:lang w:val="en-US"/>
        </w:rPr>
        <w:t xml:space="preserve">Grundy, Shirley (1987) </w:t>
      </w:r>
      <w:proofErr w:type="spellStart"/>
      <w:r w:rsidRPr="001B6A57">
        <w:rPr>
          <w:rFonts w:ascii="Times New Roman" w:hAnsi="Times New Roman" w:cs="Times New Roman"/>
          <w:i/>
          <w:iCs/>
          <w:lang w:val="en-US"/>
        </w:rPr>
        <w:t>Producto</w:t>
      </w:r>
      <w:proofErr w:type="spellEnd"/>
      <w:r w:rsidRPr="001B6A57">
        <w:rPr>
          <w:rFonts w:ascii="Times New Roman" w:hAnsi="Times New Roman" w:cs="Times New Roman"/>
          <w:i/>
          <w:iCs/>
          <w:lang w:val="en-US"/>
        </w:rPr>
        <w:t xml:space="preserve"> o praxis del curriculum. </w:t>
      </w:r>
      <w:r w:rsidRPr="0078635F">
        <w:rPr>
          <w:rFonts w:ascii="Times New Roman" w:hAnsi="Times New Roman" w:cs="Times New Roman"/>
          <w:lang w:val="es-CL"/>
        </w:rPr>
        <w:t>Ediciones Morata.</w:t>
      </w:r>
    </w:p>
    <w:p w14:paraId="4568D60A" w14:textId="77777777" w:rsidR="0078635F" w:rsidRDefault="0078635F" w:rsidP="0078635F">
      <w:pPr>
        <w:jc w:val="both"/>
        <w:rPr>
          <w:rFonts w:ascii="Times New Roman" w:hAnsi="Times New Roman" w:cs="Times New Roman"/>
          <w:lang w:val="en-US"/>
        </w:rPr>
      </w:pPr>
      <w:r w:rsidRPr="00866543">
        <w:rPr>
          <w:rFonts w:ascii="Times New Roman" w:hAnsi="Times New Roman" w:cs="Times New Roman"/>
          <w:lang w:val="es-CL"/>
        </w:rPr>
        <w:t xml:space="preserve">Hiner, Hillary y López Diez, Ana (2021) ¡Nunca más solas! Acoso sexual, tsunami feminista y nuevas coaliciones dentro y fuera de las universidades chilenas. </w:t>
      </w:r>
      <w:r w:rsidRPr="00866543">
        <w:rPr>
          <w:rFonts w:ascii="Times New Roman" w:hAnsi="Times New Roman" w:cs="Times New Roman"/>
          <w:i/>
          <w:iCs/>
          <w:lang w:val="en-US"/>
        </w:rPr>
        <w:t>Polis</w:t>
      </w:r>
      <w:r w:rsidRPr="00866543">
        <w:rPr>
          <w:rFonts w:ascii="Times New Roman" w:hAnsi="Times New Roman" w:cs="Times New Roman"/>
          <w:lang w:val="en-US"/>
        </w:rPr>
        <w:t xml:space="preserve">, Vol. 20, n.59, pp. 122-146. ISSN 0718-6568.  </w:t>
      </w:r>
      <w:hyperlink r:id="rId22" w:history="1">
        <w:r w:rsidRPr="00D574F2">
          <w:rPr>
            <w:rStyle w:val="Hipervnculo"/>
            <w:rFonts w:ascii="Times New Roman" w:hAnsi="Times New Roman" w:cs="Times New Roman"/>
            <w:lang w:val="en-US"/>
          </w:rPr>
          <w:t>http://dx.doi.org/10.32735/s0718-6568/2021-n59-1590</w:t>
        </w:r>
      </w:hyperlink>
      <w:r w:rsidRPr="00866543">
        <w:rPr>
          <w:rFonts w:ascii="Times New Roman" w:hAnsi="Times New Roman" w:cs="Times New Roman"/>
          <w:lang w:val="en-US"/>
        </w:rPr>
        <w:t>.</w:t>
      </w:r>
    </w:p>
    <w:p w14:paraId="61E81B97" w14:textId="77777777" w:rsidR="0078635F" w:rsidRPr="001B6A57" w:rsidRDefault="0078635F" w:rsidP="0078635F">
      <w:pPr>
        <w:jc w:val="both"/>
        <w:rPr>
          <w:rFonts w:ascii="Times New Roman" w:hAnsi="Times New Roman" w:cs="Times New Roman"/>
          <w:lang w:val="en-US"/>
        </w:rPr>
      </w:pPr>
      <w:r w:rsidRPr="001B6A57">
        <w:rPr>
          <w:rFonts w:ascii="Times New Roman" w:hAnsi="Times New Roman" w:cs="Times New Roman"/>
          <w:lang w:val="en-US"/>
        </w:rPr>
        <w:t xml:space="preserve">Ivinson, Gabrielle (2007) Pedagogic discourse and sex education: myths, science and subversion, </w:t>
      </w:r>
      <w:r w:rsidRPr="00296FE3">
        <w:rPr>
          <w:rFonts w:ascii="Times New Roman" w:hAnsi="Times New Roman" w:cs="Times New Roman"/>
          <w:i/>
          <w:iCs/>
          <w:lang w:val="en-US"/>
        </w:rPr>
        <w:t>Sex Education: Sexuality, Society and Learning,</w:t>
      </w:r>
      <w:r w:rsidRPr="001B6A57">
        <w:rPr>
          <w:rFonts w:ascii="Times New Roman" w:hAnsi="Times New Roman" w:cs="Times New Roman"/>
          <w:lang w:val="en-US"/>
        </w:rPr>
        <w:t xml:space="preserve"> 7:2, 201-216, DOI: 10.1080/14681810701264615</w:t>
      </w:r>
    </w:p>
    <w:p w14:paraId="20776785" w14:textId="77777777" w:rsidR="0078635F" w:rsidRPr="001B6A57" w:rsidRDefault="0078635F" w:rsidP="0078635F">
      <w:pPr>
        <w:jc w:val="both"/>
        <w:rPr>
          <w:rFonts w:ascii="Times New Roman" w:hAnsi="Times New Roman" w:cs="Times New Roman"/>
          <w:lang w:val="en-US"/>
        </w:rPr>
      </w:pPr>
      <w:r w:rsidRPr="001B6A57">
        <w:rPr>
          <w:rFonts w:ascii="Times New Roman" w:hAnsi="Times New Roman" w:cs="Times New Roman"/>
          <w:lang w:val="en-US"/>
        </w:rPr>
        <w:t xml:space="preserve">Klumpp, Mathias. y </w:t>
      </w:r>
      <w:proofErr w:type="spellStart"/>
      <w:r w:rsidRPr="001B6A57">
        <w:rPr>
          <w:rFonts w:ascii="Times New Roman" w:hAnsi="Times New Roman" w:cs="Times New Roman"/>
          <w:lang w:val="en-US"/>
        </w:rPr>
        <w:t>Teichler</w:t>
      </w:r>
      <w:proofErr w:type="spellEnd"/>
      <w:r w:rsidRPr="001B6A57">
        <w:rPr>
          <w:rFonts w:ascii="Times New Roman" w:hAnsi="Times New Roman" w:cs="Times New Roman"/>
          <w:lang w:val="en-US"/>
        </w:rPr>
        <w:t xml:space="preserve">, Ulrich (2008) Between over-diversification and over-homogenization: five decades of search for a creative fabric of higher education.  Kehm, B. y </w:t>
      </w:r>
      <w:proofErr w:type="spellStart"/>
      <w:r w:rsidRPr="001B6A57">
        <w:rPr>
          <w:rFonts w:ascii="Times New Roman" w:hAnsi="Times New Roman" w:cs="Times New Roman"/>
          <w:lang w:val="en-US"/>
        </w:rPr>
        <w:t>Stensaker</w:t>
      </w:r>
      <w:proofErr w:type="spellEnd"/>
      <w:r w:rsidRPr="001B6A57">
        <w:rPr>
          <w:rFonts w:ascii="Times New Roman" w:hAnsi="Times New Roman" w:cs="Times New Roman"/>
          <w:lang w:val="en-US"/>
        </w:rPr>
        <w:t xml:space="preserve">, B. (Eds), </w:t>
      </w:r>
      <w:r w:rsidRPr="001B6A57">
        <w:rPr>
          <w:rFonts w:ascii="Times New Roman" w:hAnsi="Times New Roman" w:cs="Times New Roman"/>
          <w:i/>
          <w:iCs/>
          <w:lang w:val="en-US"/>
        </w:rPr>
        <w:t>University, Rankings, and Diversity, and the New Landscape of Higher Education,</w:t>
      </w:r>
      <w:r w:rsidRPr="001B6A57">
        <w:rPr>
          <w:rFonts w:ascii="Times New Roman" w:hAnsi="Times New Roman" w:cs="Times New Roman"/>
          <w:lang w:val="en-US"/>
        </w:rPr>
        <w:t xml:space="preserve"> Sense Publishers, Rotterdam, pp. 151-181.</w:t>
      </w:r>
    </w:p>
    <w:p w14:paraId="1FCB0FDE" w14:textId="77777777" w:rsidR="0078635F" w:rsidRPr="001B6A57" w:rsidRDefault="0078635F" w:rsidP="0078635F">
      <w:pPr>
        <w:jc w:val="both"/>
        <w:rPr>
          <w:rFonts w:ascii="Times New Roman" w:hAnsi="Times New Roman" w:cs="Times New Roman"/>
          <w:lang w:val="en-US"/>
        </w:rPr>
      </w:pPr>
      <w:r w:rsidRPr="001B6A57">
        <w:rPr>
          <w:rFonts w:ascii="Times New Roman" w:hAnsi="Times New Roman" w:cs="Times New Roman"/>
          <w:lang w:val="en-US"/>
        </w:rPr>
        <w:t xml:space="preserve">Kunz, </w:t>
      </w:r>
      <w:proofErr w:type="spellStart"/>
      <w:r w:rsidRPr="001B6A57">
        <w:rPr>
          <w:rFonts w:ascii="Times New Roman" w:hAnsi="Times New Roman" w:cs="Times New Roman"/>
          <w:lang w:val="en-US"/>
        </w:rPr>
        <w:t>Rahek</w:t>
      </w:r>
      <w:proofErr w:type="spellEnd"/>
      <w:r w:rsidRPr="001B6A57">
        <w:rPr>
          <w:rFonts w:ascii="Times New Roman" w:hAnsi="Times New Roman" w:cs="Times New Roman"/>
          <w:lang w:val="en-US"/>
        </w:rPr>
        <w:t xml:space="preserve"> &amp; </w:t>
      </w:r>
      <w:proofErr w:type="spellStart"/>
      <w:r w:rsidRPr="001B6A57">
        <w:rPr>
          <w:rFonts w:ascii="Times New Roman" w:hAnsi="Times New Roman" w:cs="Times New Roman"/>
          <w:lang w:val="en-US"/>
        </w:rPr>
        <w:t>Prügl</w:t>
      </w:r>
      <w:proofErr w:type="spellEnd"/>
      <w:r w:rsidRPr="001B6A57">
        <w:rPr>
          <w:rFonts w:ascii="Times New Roman" w:hAnsi="Times New Roman" w:cs="Times New Roman"/>
          <w:lang w:val="en-US"/>
        </w:rPr>
        <w:t xml:space="preserve">, Elisabeth (2019). Introduction: gender experts and gender expertise. </w:t>
      </w:r>
      <w:r w:rsidRPr="001B6A57">
        <w:rPr>
          <w:rFonts w:ascii="Times New Roman" w:hAnsi="Times New Roman" w:cs="Times New Roman"/>
          <w:i/>
          <w:iCs/>
          <w:lang w:val="en-US"/>
        </w:rPr>
        <w:t>European Journal of Politics and Gender</w:t>
      </w:r>
      <w:r w:rsidRPr="001B6A57">
        <w:rPr>
          <w:rFonts w:ascii="Times New Roman" w:hAnsi="Times New Roman" w:cs="Times New Roman"/>
          <w:lang w:val="en-US"/>
        </w:rPr>
        <w:t>, 2(1), 3-21.</w:t>
      </w:r>
      <w:hyperlink r:id="rId23" w:history="1">
        <w:r w:rsidRPr="001B6A57">
          <w:rPr>
            <w:rStyle w:val="Hipervnculo"/>
            <w:rFonts w:ascii="Times New Roman" w:hAnsi="Times New Roman" w:cs="Times New Roman"/>
            <w:lang w:val="en-US"/>
          </w:rPr>
          <w:t xml:space="preserve"> https://doi.org/10.1332/251510819X15471289106077</w:t>
        </w:r>
      </w:hyperlink>
    </w:p>
    <w:p w14:paraId="4C2C741D" w14:textId="77777777" w:rsidR="0078635F" w:rsidRPr="001B6A57" w:rsidRDefault="0078635F" w:rsidP="0078635F">
      <w:pPr>
        <w:jc w:val="both"/>
        <w:rPr>
          <w:rFonts w:ascii="Times New Roman" w:hAnsi="Times New Roman" w:cs="Times New Roman"/>
          <w:lang w:val="es-CL"/>
        </w:rPr>
      </w:pPr>
      <w:r w:rsidRPr="00103ED8">
        <w:rPr>
          <w:rFonts w:ascii="Times New Roman" w:hAnsi="Times New Roman" w:cs="Times New Roman"/>
          <w:lang w:val="es-CL"/>
        </w:rPr>
        <w:t xml:space="preserve">Ley N°21.369. </w:t>
      </w:r>
      <w:r w:rsidRPr="00296FE3">
        <w:rPr>
          <w:rFonts w:ascii="Times New Roman" w:hAnsi="Times New Roman" w:cs="Times New Roman"/>
          <w:i/>
          <w:iCs/>
          <w:lang w:val="es-CL"/>
        </w:rPr>
        <w:t xml:space="preserve">Regula el acoso sexual, la violencia y la discriminación de género en el ámbito de la educación superior </w:t>
      </w:r>
      <w:r w:rsidRPr="001B6A57">
        <w:rPr>
          <w:rFonts w:ascii="Times New Roman" w:hAnsi="Times New Roman" w:cs="Times New Roman"/>
          <w:lang w:val="es-CL"/>
        </w:rPr>
        <w:t>(13 de septiembre, 2021) Diario Oficial de la República de Chile, 1-6.</w:t>
      </w:r>
    </w:p>
    <w:p w14:paraId="606F6CC7" w14:textId="77777777" w:rsidR="0078635F" w:rsidRPr="001B6A57" w:rsidRDefault="0078635F" w:rsidP="0078635F">
      <w:pPr>
        <w:jc w:val="both"/>
        <w:rPr>
          <w:rFonts w:ascii="Times New Roman" w:hAnsi="Times New Roman" w:cs="Times New Roman"/>
          <w:lang w:val="es-CL"/>
        </w:rPr>
      </w:pPr>
      <w:r w:rsidRPr="001B6A57">
        <w:rPr>
          <w:rFonts w:ascii="Times New Roman" w:hAnsi="Times New Roman" w:cs="Times New Roman"/>
          <w:lang w:val="es-CL"/>
        </w:rPr>
        <w:t xml:space="preserve">Ley </w:t>
      </w:r>
      <w:proofErr w:type="spellStart"/>
      <w:r w:rsidRPr="001B6A57">
        <w:rPr>
          <w:rFonts w:ascii="Times New Roman" w:hAnsi="Times New Roman" w:cs="Times New Roman"/>
          <w:lang w:val="es-CL"/>
        </w:rPr>
        <w:t>N°</w:t>
      </w:r>
      <w:proofErr w:type="spellEnd"/>
      <w:r w:rsidRPr="001B6A57">
        <w:rPr>
          <w:rFonts w:ascii="Times New Roman" w:hAnsi="Times New Roman" w:cs="Times New Roman"/>
          <w:lang w:val="es-CL"/>
        </w:rPr>
        <w:t xml:space="preserve"> 21.675. </w:t>
      </w:r>
      <w:r w:rsidRPr="00F722FD">
        <w:rPr>
          <w:rFonts w:ascii="Times New Roman" w:hAnsi="Times New Roman" w:cs="Times New Roman"/>
          <w:i/>
          <w:iCs/>
        </w:rPr>
        <w:t>E</w:t>
      </w:r>
      <w:r>
        <w:rPr>
          <w:rFonts w:ascii="Times New Roman" w:hAnsi="Times New Roman" w:cs="Times New Roman"/>
          <w:i/>
          <w:iCs/>
        </w:rPr>
        <w:t xml:space="preserve">statuye medidas para prevenir, sancionar y erradicar la violencia en contra de las mujeres, </w:t>
      </w:r>
      <w:proofErr w:type="gramStart"/>
      <w:r>
        <w:rPr>
          <w:rFonts w:ascii="Times New Roman" w:hAnsi="Times New Roman" w:cs="Times New Roman"/>
          <w:i/>
          <w:iCs/>
        </w:rPr>
        <w:t>en razón de</w:t>
      </w:r>
      <w:proofErr w:type="gramEnd"/>
      <w:r>
        <w:rPr>
          <w:rFonts w:ascii="Times New Roman" w:hAnsi="Times New Roman" w:cs="Times New Roman"/>
          <w:i/>
          <w:iCs/>
        </w:rPr>
        <w:t xml:space="preserve"> su género. </w:t>
      </w:r>
      <w:r w:rsidRPr="001B6A57">
        <w:rPr>
          <w:rFonts w:ascii="Times New Roman" w:hAnsi="Times New Roman" w:cs="Times New Roman"/>
          <w:lang w:val="es-CL"/>
        </w:rPr>
        <w:t>(19 de marzo de 2024). Diario Oficial de la República de Chile. https://www.bcn.cl/leychile/navegar?idNorma=1202868 Ley 21.675 – BCN</w:t>
      </w:r>
    </w:p>
    <w:p w14:paraId="2DACEBE1" w14:textId="77777777" w:rsidR="0078635F" w:rsidRPr="001B6A57" w:rsidRDefault="0078635F" w:rsidP="0078635F">
      <w:pPr>
        <w:jc w:val="both"/>
        <w:rPr>
          <w:rFonts w:ascii="Times New Roman" w:hAnsi="Times New Roman" w:cs="Times New Roman"/>
          <w:lang w:val="en-US"/>
        </w:rPr>
      </w:pPr>
      <w:r w:rsidRPr="001B6A57">
        <w:rPr>
          <w:rFonts w:ascii="Times New Roman" w:hAnsi="Times New Roman" w:cs="Times New Roman"/>
        </w:rPr>
        <w:lastRenderedPageBreak/>
        <w:t xml:space="preserve">Lizama Lefno, Andrea y Hurtado Quiñones, Andrea (2019) Acoso sexual en el contexto universitario: estudio Diagnóstico proyectivo de la situación de género en la Universidad de Santiago de Chile. </w:t>
      </w:r>
      <w:r w:rsidRPr="001B6A57">
        <w:rPr>
          <w:rFonts w:ascii="Times New Roman" w:hAnsi="Times New Roman" w:cs="Times New Roman"/>
          <w:i/>
          <w:iCs/>
          <w:lang w:val="en-US"/>
        </w:rPr>
        <w:t xml:space="preserve">Pensamiento </w:t>
      </w:r>
      <w:proofErr w:type="spellStart"/>
      <w:r w:rsidRPr="001B6A57">
        <w:rPr>
          <w:rFonts w:ascii="Times New Roman" w:hAnsi="Times New Roman" w:cs="Times New Roman"/>
          <w:i/>
          <w:iCs/>
          <w:lang w:val="en-US"/>
        </w:rPr>
        <w:t>Educativo</w:t>
      </w:r>
      <w:proofErr w:type="spellEnd"/>
      <w:r w:rsidRPr="001B6A57">
        <w:rPr>
          <w:rFonts w:ascii="Times New Roman" w:hAnsi="Times New Roman" w:cs="Times New Roman"/>
          <w:lang w:val="en-US"/>
        </w:rPr>
        <w:t xml:space="preserve">, 56(1), 1-14. </w:t>
      </w:r>
      <w:hyperlink r:id="rId24" w:history="1">
        <w:r w:rsidRPr="001B6A57">
          <w:rPr>
            <w:rStyle w:val="Hipervnculo"/>
            <w:rFonts w:ascii="Times New Roman" w:hAnsi="Times New Roman" w:cs="Times New Roman"/>
            <w:lang w:val="en-US"/>
          </w:rPr>
          <w:t>https://doi.org/10.7764/PEL.56.1.2019.8</w:t>
        </w:r>
      </w:hyperlink>
    </w:p>
    <w:p w14:paraId="5DE1EB8E" w14:textId="77777777" w:rsidR="0078635F" w:rsidRPr="001B6A57" w:rsidRDefault="0078635F" w:rsidP="0078635F">
      <w:pPr>
        <w:jc w:val="both"/>
        <w:rPr>
          <w:rFonts w:ascii="Times New Roman" w:hAnsi="Times New Roman" w:cs="Times New Roman"/>
          <w:lang w:val="en-US"/>
        </w:rPr>
      </w:pPr>
      <w:r w:rsidRPr="001B6A57">
        <w:rPr>
          <w:rFonts w:ascii="Times New Roman" w:hAnsi="Times New Roman" w:cs="Times New Roman"/>
          <w:lang w:val="en-US"/>
        </w:rPr>
        <w:t xml:space="preserve">Lombardo, Emanuela &amp; </w:t>
      </w:r>
      <w:proofErr w:type="spellStart"/>
      <w:r w:rsidRPr="001B6A57">
        <w:rPr>
          <w:rFonts w:ascii="Times New Roman" w:hAnsi="Times New Roman" w:cs="Times New Roman"/>
          <w:lang w:val="en-US"/>
        </w:rPr>
        <w:t>Mergaert</w:t>
      </w:r>
      <w:proofErr w:type="spellEnd"/>
      <w:r w:rsidRPr="001B6A57">
        <w:rPr>
          <w:rFonts w:ascii="Times New Roman" w:hAnsi="Times New Roman" w:cs="Times New Roman"/>
          <w:lang w:val="en-US"/>
        </w:rPr>
        <w:t xml:space="preserve">, Lut (2013) Gender Mainstreaming and Resistance to Gender Training: A Framework for Studying Implementation, </w:t>
      </w:r>
      <w:r w:rsidRPr="001B6A57">
        <w:rPr>
          <w:rFonts w:ascii="Times New Roman" w:hAnsi="Times New Roman" w:cs="Times New Roman"/>
          <w:i/>
          <w:iCs/>
          <w:lang w:val="en-US"/>
        </w:rPr>
        <w:t>NORA</w:t>
      </w:r>
      <w:r w:rsidRPr="001B6A57">
        <w:rPr>
          <w:rFonts w:ascii="Times New Roman" w:hAnsi="Times New Roman" w:cs="Times New Roman"/>
          <w:lang w:val="en-US"/>
        </w:rPr>
        <w:t>, 21:4, 296-311, DOI: 10.1080/08038740.2013.851115</w:t>
      </w:r>
    </w:p>
    <w:p w14:paraId="3F16981A" w14:textId="77777777" w:rsidR="0078635F" w:rsidRDefault="0078635F" w:rsidP="0078635F">
      <w:pPr>
        <w:jc w:val="both"/>
        <w:rPr>
          <w:rFonts w:ascii="Times New Roman" w:hAnsi="Times New Roman" w:cs="Times New Roman"/>
          <w:lang w:val="en-US"/>
        </w:rPr>
      </w:pPr>
      <w:r w:rsidRPr="00866543">
        <w:rPr>
          <w:rFonts w:ascii="Times New Roman" w:hAnsi="Times New Roman" w:cs="Times New Roman"/>
          <w:lang w:val="es-CL"/>
        </w:rPr>
        <w:t xml:space="preserve">López Dietz, Ana Paola (2024). Percepciones sobre la Ley 21.369 sobre acoso sexual en universidades chilenas. </w:t>
      </w:r>
      <w:r w:rsidRPr="00866543">
        <w:rPr>
          <w:rFonts w:ascii="Times New Roman" w:hAnsi="Times New Roman" w:cs="Times New Roman"/>
          <w:i/>
          <w:iCs/>
          <w:lang w:val="en-US"/>
        </w:rPr>
        <w:t>Justicia,</w:t>
      </w:r>
      <w:r w:rsidRPr="00866543">
        <w:rPr>
          <w:rFonts w:ascii="Times New Roman" w:hAnsi="Times New Roman" w:cs="Times New Roman"/>
          <w:lang w:val="en-US"/>
        </w:rPr>
        <w:t xml:space="preserve"> 29 (46), 1-12. </w:t>
      </w:r>
      <w:hyperlink r:id="rId25" w:history="1">
        <w:r w:rsidRPr="00D574F2">
          <w:rPr>
            <w:rStyle w:val="Hipervnculo"/>
            <w:rFonts w:ascii="Times New Roman" w:hAnsi="Times New Roman" w:cs="Times New Roman"/>
            <w:lang w:val="en-US"/>
          </w:rPr>
          <w:t>https://doi.org/10.17081/just.29.46.7797</w:t>
        </w:r>
      </w:hyperlink>
    </w:p>
    <w:p w14:paraId="60D5FE67" w14:textId="77777777" w:rsidR="0078635F" w:rsidRPr="001B6A57" w:rsidRDefault="0078635F" w:rsidP="0078635F">
      <w:pPr>
        <w:jc w:val="both"/>
        <w:rPr>
          <w:rFonts w:ascii="Times New Roman" w:hAnsi="Times New Roman" w:cs="Times New Roman"/>
          <w:lang w:val="en-US"/>
        </w:rPr>
      </w:pPr>
      <w:r w:rsidRPr="001B6A57">
        <w:rPr>
          <w:rFonts w:ascii="Times New Roman" w:hAnsi="Times New Roman" w:cs="Times New Roman"/>
          <w:lang w:val="en-US"/>
        </w:rPr>
        <w:t xml:space="preserve">López-Orozco Christian, López-Caudana Edgar &amp; Ponce Pedro (2022) A systematic mapping literature review of education around sexual and gender diversities. </w:t>
      </w:r>
      <w:r w:rsidRPr="001B6A57">
        <w:rPr>
          <w:rFonts w:ascii="Times New Roman" w:hAnsi="Times New Roman" w:cs="Times New Roman"/>
          <w:i/>
          <w:iCs/>
          <w:lang w:val="en-US"/>
        </w:rPr>
        <w:t>Frontiers in Sociology</w:t>
      </w:r>
      <w:r w:rsidRPr="001B6A57">
        <w:rPr>
          <w:rFonts w:ascii="Times New Roman" w:hAnsi="Times New Roman" w:cs="Times New Roman"/>
          <w:lang w:val="en-US"/>
        </w:rPr>
        <w:t xml:space="preserve">. 7:946683. </w:t>
      </w:r>
      <w:proofErr w:type="spellStart"/>
      <w:r w:rsidRPr="001B6A57">
        <w:rPr>
          <w:rFonts w:ascii="Times New Roman" w:hAnsi="Times New Roman" w:cs="Times New Roman"/>
          <w:lang w:val="en-US"/>
        </w:rPr>
        <w:t>doi</w:t>
      </w:r>
      <w:proofErr w:type="spellEnd"/>
      <w:r w:rsidRPr="001B6A57">
        <w:rPr>
          <w:rFonts w:ascii="Times New Roman" w:hAnsi="Times New Roman" w:cs="Times New Roman"/>
          <w:lang w:val="en-US"/>
        </w:rPr>
        <w:t>: 10.3389/fsoc.2022.946683</w:t>
      </w:r>
    </w:p>
    <w:p w14:paraId="0C8D90E9" w14:textId="77777777" w:rsidR="0078635F" w:rsidRPr="001B6A57" w:rsidRDefault="0078635F" w:rsidP="0078635F">
      <w:pPr>
        <w:jc w:val="both"/>
        <w:rPr>
          <w:rFonts w:ascii="Times New Roman" w:hAnsi="Times New Roman" w:cs="Times New Roman"/>
          <w:lang w:val="en-US"/>
        </w:rPr>
      </w:pPr>
      <w:r w:rsidRPr="001B6A57">
        <w:rPr>
          <w:rFonts w:ascii="Times New Roman" w:hAnsi="Times New Roman" w:cs="Times New Roman"/>
          <w:lang w:val="en-US"/>
        </w:rPr>
        <w:t xml:space="preserve">MacFarlane, Bruce (2011) The Morphing of Academic Practice: Unbundling and the Rise of the Para-academic. </w:t>
      </w:r>
      <w:r w:rsidRPr="001B6A57">
        <w:rPr>
          <w:rFonts w:ascii="Times New Roman" w:hAnsi="Times New Roman" w:cs="Times New Roman"/>
          <w:i/>
          <w:iCs/>
          <w:lang w:val="en-US"/>
        </w:rPr>
        <w:t xml:space="preserve">Higher Education Quarterly. </w:t>
      </w:r>
      <w:r w:rsidRPr="001B6A57">
        <w:rPr>
          <w:rFonts w:ascii="Times New Roman" w:hAnsi="Times New Roman" w:cs="Times New Roman"/>
          <w:lang w:val="en-US"/>
        </w:rPr>
        <w:t>65. 59 - 73. 10.1111/j.1468-2273.2010.</w:t>
      </w:r>
      <w:proofErr w:type="gramStart"/>
      <w:r w:rsidRPr="001B6A57">
        <w:rPr>
          <w:rFonts w:ascii="Times New Roman" w:hAnsi="Times New Roman" w:cs="Times New Roman"/>
          <w:lang w:val="en-US"/>
        </w:rPr>
        <w:t>00467.x.</w:t>
      </w:r>
      <w:proofErr w:type="gramEnd"/>
    </w:p>
    <w:p w14:paraId="2DFCE5CE" w14:textId="77777777" w:rsidR="0078635F" w:rsidRPr="001B6A57" w:rsidRDefault="0078635F" w:rsidP="0078635F">
      <w:pPr>
        <w:jc w:val="both"/>
        <w:rPr>
          <w:rFonts w:ascii="Times New Roman" w:hAnsi="Times New Roman" w:cs="Times New Roman"/>
          <w:lang w:val="es-CL"/>
        </w:rPr>
      </w:pPr>
      <w:proofErr w:type="spellStart"/>
      <w:r w:rsidRPr="001B6A57">
        <w:rPr>
          <w:rFonts w:ascii="Times New Roman" w:hAnsi="Times New Roman" w:cs="Times New Roman"/>
          <w:lang w:val="en-US"/>
        </w:rPr>
        <w:t>Mampaey</w:t>
      </w:r>
      <w:proofErr w:type="spellEnd"/>
      <w:r w:rsidRPr="001B6A57">
        <w:rPr>
          <w:rFonts w:ascii="Times New Roman" w:hAnsi="Times New Roman" w:cs="Times New Roman"/>
          <w:lang w:val="en-US"/>
        </w:rPr>
        <w:t xml:space="preserve">, Jelle (2016): Are higher education institutions trapped in conformity? </w:t>
      </w:r>
      <w:r w:rsidRPr="001B6A57">
        <w:rPr>
          <w:rFonts w:ascii="Times New Roman" w:hAnsi="Times New Roman" w:cs="Times New Roman"/>
          <w:lang w:val="es-CL"/>
        </w:rPr>
        <w:t xml:space="preserve">A </w:t>
      </w:r>
      <w:proofErr w:type="spellStart"/>
      <w:r w:rsidRPr="001B6A57">
        <w:rPr>
          <w:rFonts w:ascii="Times New Roman" w:hAnsi="Times New Roman" w:cs="Times New Roman"/>
          <w:lang w:val="es-CL"/>
        </w:rPr>
        <w:t>translation</w:t>
      </w:r>
      <w:proofErr w:type="spellEnd"/>
      <w:r w:rsidRPr="001B6A57">
        <w:rPr>
          <w:rFonts w:ascii="Times New Roman" w:hAnsi="Times New Roman" w:cs="Times New Roman"/>
          <w:lang w:val="es-CL"/>
        </w:rPr>
        <w:t xml:space="preserve"> </w:t>
      </w:r>
      <w:proofErr w:type="spellStart"/>
      <w:r w:rsidRPr="001B6A57">
        <w:rPr>
          <w:rFonts w:ascii="Times New Roman" w:hAnsi="Times New Roman" w:cs="Times New Roman"/>
          <w:lang w:val="es-CL"/>
        </w:rPr>
        <w:t>perspective</w:t>
      </w:r>
      <w:proofErr w:type="spellEnd"/>
      <w:r w:rsidRPr="001B6A57">
        <w:rPr>
          <w:rFonts w:ascii="Times New Roman" w:hAnsi="Times New Roman" w:cs="Times New Roman"/>
          <w:lang w:val="es-CL"/>
        </w:rPr>
        <w:t xml:space="preserve">, </w:t>
      </w:r>
      <w:proofErr w:type="spellStart"/>
      <w:r w:rsidRPr="001B6A57">
        <w:rPr>
          <w:rFonts w:ascii="Times New Roman" w:hAnsi="Times New Roman" w:cs="Times New Roman"/>
          <w:i/>
          <w:iCs/>
          <w:lang w:val="es-CL"/>
        </w:rPr>
        <w:t>Studies</w:t>
      </w:r>
      <w:proofErr w:type="spellEnd"/>
      <w:r w:rsidRPr="001B6A57">
        <w:rPr>
          <w:rFonts w:ascii="Times New Roman" w:hAnsi="Times New Roman" w:cs="Times New Roman"/>
          <w:i/>
          <w:iCs/>
          <w:lang w:val="es-CL"/>
        </w:rPr>
        <w:t xml:space="preserve"> in </w:t>
      </w:r>
      <w:proofErr w:type="spellStart"/>
      <w:r w:rsidRPr="001B6A57">
        <w:rPr>
          <w:rFonts w:ascii="Times New Roman" w:hAnsi="Times New Roman" w:cs="Times New Roman"/>
          <w:i/>
          <w:iCs/>
          <w:lang w:val="es-CL"/>
        </w:rPr>
        <w:t>Higher</w:t>
      </w:r>
      <w:proofErr w:type="spellEnd"/>
      <w:r w:rsidRPr="001B6A57">
        <w:rPr>
          <w:rFonts w:ascii="Times New Roman" w:hAnsi="Times New Roman" w:cs="Times New Roman"/>
          <w:i/>
          <w:iCs/>
          <w:lang w:val="es-CL"/>
        </w:rPr>
        <w:t xml:space="preserve"> </w:t>
      </w:r>
      <w:proofErr w:type="spellStart"/>
      <w:r w:rsidRPr="001B6A57">
        <w:rPr>
          <w:rFonts w:ascii="Times New Roman" w:hAnsi="Times New Roman" w:cs="Times New Roman"/>
          <w:i/>
          <w:iCs/>
          <w:lang w:val="es-CL"/>
        </w:rPr>
        <w:t>Education</w:t>
      </w:r>
      <w:proofErr w:type="spellEnd"/>
      <w:r w:rsidRPr="001B6A57">
        <w:rPr>
          <w:rFonts w:ascii="Times New Roman" w:hAnsi="Times New Roman" w:cs="Times New Roman"/>
          <w:lang w:val="es-CL"/>
        </w:rPr>
        <w:t>, DOI: 10.1080/03075079.2016.1242566</w:t>
      </w:r>
    </w:p>
    <w:p w14:paraId="5A08DB4A" w14:textId="77777777" w:rsidR="0078635F" w:rsidRPr="001B6A57" w:rsidRDefault="0078635F" w:rsidP="0078635F">
      <w:pPr>
        <w:jc w:val="both"/>
        <w:rPr>
          <w:rFonts w:ascii="Times New Roman" w:hAnsi="Times New Roman" w:cs="Times New Roman"/>
          <w:lang w:val="es-CL"/>
        </w:rPr>
      </w:pPr>
      <w:r w:rsidRPr="001B6A57">
        <w:rPr>
          <w:rFonts w:ascii="Times New Roman" w:hAnsi="Times New Roman" w:cs="Times New Roman"/>
          <w:lang w:val="es-CL"/>
        </w:rPr>
        <w:t xml:space="preserve">Mandiola Cotroneo, Marcela; Ríos González, Nicola y </w:t>
      </w:r>
      <w:proofErr w:type="spellStart"/>
      <w:r w:rsidRPr="001B6A57">
        <w:rPr>
          <w:rFonts w:ascii="Times New Roman" w:hAnsi="Times New Roman" w:cs="Times New Roman"/>
          <w:lang w:val="es-CL"/>
        </w:rPr>
        <w:t>eridani</w:t>
      </w:r>
      <w:proofErr w:type="spellEnd"/>
      <w:r w:rsidRPr="001B6A57">
        <w:rPr>
          <w:rFonts w:ascii="Times New Roman" w:hAnsi="Times New Roman" w:cs="Times New Roman"/>
          <w:lang w:val="es-CL"/>
        </w:rPr>
        <w:t xml:space="preserve">, </w:t>
      </w:r>
      <w:proofErr w:type="spellStart"/>
      <w:r w:rsidRPr="001B6A57">
        <w:rPr>
          <w:rFonts w:ascii="Times New Roman" w:hAnsi="Times New Roman" w:cs="Times New Roman"/>
          <w:lang w:val="es-CL"/>
        </w:rPr>
        <w:t>Aleosha</w:t>
      </w:r>
      <w:proofErr w:type="spellEnd"/>
      <w:r w:rsidRPr="001B6A57">
        <w:rPr>
          <w:rFonts w:ascii="Times New Roman" w:hAnsi="Times New Roman" w:cs="Times New Roman"/>
          <w:lang w:val="es-CL"/>
        </w:rPr>
        <w:t xml:space="preserve"> (2022) El género administrado: lecturas feministas y críticas a la reorganización de la academia y las universidades en Chile. En </w:t>
      </w:r>
      <w:r w:rsidRPr="001B6A57">
        <w:rPr>
          <w:rFonts w:ascii="Times New Roman" w:hAnsi="Times New Roman" w:cs="Times New Roman"/>
          <w:i/>
          <w:iCs/>
          <w:lang w:val="es-CL"/>
        </w:rPr>
        <w:t xml:space="preserve">Mucho género que cortar: estudios para contribuir al debate sobre género y diversidad sexual en Chile. </w:t>
      </w:r>
      <w:r w:rsidRPr="001B6A57">
        <w:rPr>
          <w:rFonts w:ascii="Times New Roman" w:hAnsi="Times New Roman" w:cs="Times New Roman"/>
          <w:lang w:val="es-CL"/>
        </w:rPr>
        <w:t>Programa de Investigación de Género y Diversidad Sexual, Universidad Alberto Hurtado. ISBN Edición digital: 978-956-6210-05-4. </w:t>
      </w:r>
    </w:p>
    <w:p w14:paraId="20D17C5A" w14:textId="77777777" w:rsidR="0078635F" w:rsidRPr="001B6A57" w:rsidRDefault="0078635F" w:rsidP="0078635F">
      <w:pPr>
        <w:jc w:val="both"/>
        <w:rPr>
          <w:rFonts w:ascii="Times New Roman" w:hAnsi="Times New Roman" w:cs="Times New Roman"/>
          <w:lang w:val="en-US"/>
        </w:rPr>
      </w:pPr>
      <w:r w:rsidRPr="001B6A57">
        <w:rPr>
          <w:rFonts w:ascii="Times New Roman" w:hAnsi="Times New Roman" w:cs="Times New Roman"/>
        </w:rPr>
        <w:t xml:space="preserve">Marquina, Mónica y Reznik, Nicolás (2024). Sociedad del conocimiento, actividad académica y tercera misión universitaria: un panorama de Argentina. </w:t>
      </w:r>
      <w:r w:rsidRPr="001B6A57">
        <w:rPr>
          <w:rFonts w:ascii="Times New Roman" w:hAnsi="Times New Roman" w:cs="Times New Roman"/>
          <w:i/>
          <w:iCs/>
          <w:lang w:val="en-US"/>
        </w:rPr>
        <w:t xml:space="preserve">Journal of the Academy, </w:t>
      </w:r>
      <w:r w:rsidRPr="001B6A57">
        <w:rPr>
          <w:rFonts w:ascii="Times New Roman" w:hAnsi="Times New Roman" w:cs="Times New Roman"/>
          <w:lang w:val="en-US"/>
        </w:rPr>
        <w:t xml:space="preserve">10, 5-32. </w:t>
      </w:r>
      <w:hyperlink r:id="rId26" w:history="1">
        <w:r w:rsidRPr="001B6A57">
          <w:rPr>
            <w:rStyle w:val="Hipervnculo"/>
            <w:rFonts w:ascii="Times New Roman" w:hAnsi="Times New Roman" w:cs="Times New Roman"/>
            <w:lang w:val="en-US"/>
          </w:rPr>
          <w:t>https://doi.org/10.47058/joa10.2</w:t>
        </w:r>
      </w:hyperlink>
    </w:p>
    <w:p w14:paraId="1F9C53B3" w14:textId="77777777" w:rsidR="0078635F" w:rsidRPr="001B6A57" w:rsidRDefault="0078635F" w:rsidP="0078635F">
      <w:pPr>
        <w:jc w:val="both"/>
        <w:rPr>
          <w:rFonts w:ascii="Times New Roman" w:hAnsi="Times New Roman" w:cs="Times New Roman"/>
          <w:lang w:val="en-US"/>
        </w:rPr>
      </w:pPr>
      <w:r w:rsidRPr="001B6A57">
        <w:rPr>
          <w:rFonts w:ascii="Times New Roman" w:hAnsi="Times New Roman" w:cs="Times New Roman"/>
          <w:lang w:val="en-US"/>
        </w:rPr>
        <w:t xml:space="preserve">Matus, Claudia e Infante, Marta (2011) Undoing diversity: knowledge and neoliberal discourses in colleges of education, </w:t>
      </w:r>
      <w:r w:rsidRPr="001B6A57">
        <w:rPr>
          <w:rFonts w:ascii="Times New Roman" w:hAnsi="Times New Roman" w:cs="Times New Roman"/>
          <w:i/>
          <w:iCs/>
          <w:lang w:val="en-US"/>
        </w:rPr>
        <w:t>Discourse: Studies in the Cultural Politics of Education,</w:t>
      </w:r>
      <w:r w:rsidRPr="001B6A57">
        <w:rPr>
          <w:rFonts w:ascii="Times New Roman" w:hAnsi="Times New Roman" w:cs="Times New Roman"/>
          <w:lang w:val="en-US"/>
        </w:rPr>
        <w:t xml:space="preserve"> 32:3, 293-307, DOI: 10.1080/01596306.2011.573248</w:t>
      </w:r>
    </w:p>
    <w:p w14:paraId="4B43CD0C" w14:textId="77777777" w:rsidR="0078635F" w:rsidRPr="001B6A57" w:rsidRDefault="0078635F" w:rsidP="0078635F">
      <w:pPr>
        <w:jc w:val="both"/>
        <w:rPr>
          <w:rFonts w:ascii="Times New Roman" w:hAnsi="Times New Roman" w:cs="Times New Roman"/>
        </w:rPr>
      </w:pPr>
      <w:r w:rsidRPr="001B6A57">
        <w:rPr>
          <w:rFonts w:ascii="Times New Roman" w:hAnsi="Times New Roman" w:cs="Times New Roman"/>
        </w:rPr>
        <w:t xml:space="preserve">Menéndez Baena, Ana Belén (2018) </w:t>
      </w:r>
      <w:r w:rsidRPr="001B6A57">
        <w:rPr>
          <w:rFonts w:ascii="Times New Roman" w:hAnsi="Times New Roman" w:cs="Times New Roman"/>
          <w:i/>
          <w:iCs/>
        </w:rPr>
        <w:t>Análisis de la incorporación de la perspectiva de género en los Planes de Estudio de Grado de la Universidad de Cádiz</w:t>
      </w:r>
      <w:r w:rsidRPr="001B6A57">
        <w:rPr>
          <w:rFonts w:ascii="Times New Roman" w:hAnsi="Times New Roman" w:cs="Times New Roman"/>
        </w:rPr>
        <w:t xml:space="preserve">. Recuperado de: </w:t>
      </w:r>
      <w:hyperlink r:id="rId27" w:history="1">
        <w:r w:rsidRPr="001B6A57">
          <w:rPr>
            <w:rStyle w:val="Hipervnculo"/>
            <w:rFonts w:ascii="Times New Roman" w:hAnsi="Times New Roman" w:cs="Times New Roman"/>
          </w:rPr>
          <w:t>https://igualdad.uca.es/wp-content/uploads/2018/09/An%C3%A1lisis-PG-UCA-2-copia.pdf?u</w:t>
        </w:r>
      </w:hyperlink>
    </w:p>
    <w:p w14:paraId="031E2918" w14:textId="77777777" w:rsidR="0078635F" w:rsidRPr="001B6A57" w:rsidRDefault="0078635F" w:rsidP="0078635F">
      <w:pPr>
        <w:jc w:val="both"/>
        <w:rPr>
          <w:rFonts w:ascii="Times New Roman" w:hAnsi="Times New Roman" w:cs="Times New Roman"/>
          <w:lang w:val="es-CL"/>
        </w:rPr>
      </w:pPr>
      <w:r w:rsidRPr="001B6A57">
        <w:rPr>
          <w:rFonts w:ascii="Times New Roman" w:hAnsi="Times New Roman" w:cs="Times New Roman"/>
          <w:lang w:val="es-CL"/>
        </w:rPr>
        <w:lastRenderedPageBreak/>
        <w:t xml:space="preserve">Montes-de-Oca-O'Reilly, Alejandra. (2019). Dificultades para la Transversalización de la Perspectiva de Género en una Institución de Educación Superior. </w:t>
      </w:r>
      <w:r w:rsidRPr="001B6A57">
        <w:rPr>
          <w:rFonts w:ascii="Times New Roman" w:hAnsi="Times New Roman" w:cs="Times New Roman"/>
          <w:i/>
          <w:iCs/>
          <w:lang w:val="es-CL"/>
        </w:rPr>
        <w:t>Revista latinoamericana de educación inclusiva</w:t>
      </w:r>
      <w:r w:rsidRPr="001B6A57">
        <w:rPr>
          <w:rFonts w:ascii="Times New Roman" w:hAnsi="Times New Roman" w:cs="Times New Roman"/>
          <w:lang w:val="es-CL"/>
        </w:rPr>
        <w:t xml:space="preserve">, 13(1), 105-125. </w:t>
      </w:r>
      <w:hyperlink r:id="rId28" w:history="1">
        <w:r w:rsidRPr="001B6A57">
          <w:rPr>
            <w:rStyle w:val="Hipervnculo"/>
            <w:rFonts w:ascii="Times New Roman" w:hAnsi="Times New Roman" w:cs="Times New Roman"/>
            <w:lang w:val="es-CL"/>
          </w:rPr>
          <w:t>https://dx.doi.org/10.4067/S0718-73782019000100105</w:t>
        </w:r>
      </w:hyperlink>
    </w:p>
    <w:p w14:paraId="371B2821" w14:textId="77777777" w:rsidR="0078635F" w:rsidRDefault="0078635F" w:rsidP="0078635F">
      <w:pPr>
        <w:jc w:val="both"/>
        <w:rPr>
          <w:rFonts w:ascii="Times New Roman" w:hAnsi="Times New Roman" w:cs="Times New Roman"/>
          <w:lang w:val="en-US"/>
        </w:rPr>
      </w:pPr>
      <w:r w:rsidRPr="00F722FD">
        <w:rPr>
          <w:rFonts w:ascii="Times New Roman" w:hAnsi="Times New Roman" w:cs="Times New Roman"/>
          <w:lang w:val="es-CL"/>
        </w:rPr>
        <w:t xml:space="preserve">Muñoz-García, Ana Luisa, Follegati, Luna. &amp; Jackson, Liz.  2018). Protocolos de acoso sexual en universidades chilenas: Una deuda pendiente. </w:t>
      </w:r>
      <w:r w:rsidRPr="00F722FD">
        <w:rPr>
          <w:rFonts w:ascii="Times New Roman" w:hAnsi="Times New Roman" w:cs="Times New Roman"/>
          <w:i/>
          <w:iCs/>
          <w:lang w:val="en-US"/>
        </w:rPr>
        <w:t>CEPPE Policy Briefs</w:t>
      </w:r>
      <w:r w:rsidRPr="00F722FD">
        <w:rPr>
          <w:rFonts w:ascii="Times New Roman" w:hAnsi="Times New Roman" w:cs="Times New Roman"/>
          <w:lang w:val="en-US"/>
        </w:rPr>
        <w:t>, N° 20, CEPPE UC</w:t>
      </w:r>
    </w:p>
    <w:p w14:paraId="27DF4C7D" w14:textId="77777777" w:rsidR="0078635F" w:rsidRPr="001B6A57" w:rsidRDefault="0078635F" w:rsidP="0078635F">
      <w:pPr>
        <w:jc w:val="both"/>
        <w:rPr>
          <w:rFonts w:ascii="Times New Roman" w:hAnsi="Times New Roman" w:cs="Times New Roman"/>
          <w:lang w:val="en-US"/>
        </w:rPr>
      </w:pPr>
      <w:r w:rsidRPr="001B6A57">
        <w:rPr>
          <w:rFonts w:ascii="Times New Roman" w:hAnsi="Times New Roman" w:cs="Times New Roman"/>
          <w:lang w:val="en-US"/>
        </w:rPr>
        <w:t xml:space="preserve">Powell, Stina; Ah-King, Malin; </w:t>
      </w:r>
      <w:proofErr w:type="spellStart"/>
      <w:r w:rsidRPr="001B6A57">
        <w:rPr>
          <w:rFonts w:ascii="Times New Roman" w:hAnsi="Times New Roman" w:cs="Times New Roman"/>
          <w:lang w:val="en-US"/>
        </w:rPr>
        <w:t>Hussénius</w:t>
      </w:r>
      <w:proofErr w:type="spellEnd"/>
      <w:r w:rsidRPr="001B6A57">
        <w:rPr>
          <w:rFonts w:ascii="Times New Roman" w:hAnsi="Times New Roman" w:cs="Times New Roman"/>
          <w:lang w:val="en-US"/>
        </w:rPr>
        <w:t xml:space="preserve">, Anita (2017) Are we to become a gender university?’ Facets of resistance to a gender equality project. </w:t>
      </w:r>
      <w:r w:rsidRPr="001B6A57">
        <w:rPr>
          <w:rFonts w:ascii="Times New Roman" w:hAnsi="Times New Roman" w:cs="Times New Roman"/>
          <w:i/>
          <w:iCs/>
          <w:lang w:val="en-US"/>
        </w:rPr>
        <w:t>Gender, Work &amp; Organization</w:t>
      </w:r>
      <w:r w:rsidRPr="001B6A57">
        <w:rPr>
          <w:rFonts w:ascii="Times New Roman" w:hAnsi="Times New Roman" w:cs="Times New Roman"/>
          <w:lang w:val="en-US"/>
        </w:rPr>
        <w:t>, Volume 25, Issue 7, p. 127-143</w:t>
      </w:r>
    </w:p>
    <w:p w14:paraId="3C86215D" w14:textId="77777777" w:rsidR="0078635F" w:rsidRPr="001B6A57" w:rsidRDefault="0078635F" w:rsidP="0078635F">
      <w:pPr>
        <w:jc w:val="both"/>
        <w:rPr>
          <w:rFonts w:ascii="Times New Roman" w:hAnsi="Times New Roman" w:cs="Times New Roman"/>
        </w:rPr>
      </w:pPr>
      <w:proofErr w:type="spellStart"/>
      <w:r w:rsidRPr="001B6A57">
        <w:rPr>
          <w:rFonts w:ascii="Times New Roman" w:hAnsi="Times New Roman" w:cs="Times New Roman"/>
          <w:lang w:val="en-US"/>
        </w:rPr>
        <w:t>Prügl</w:t>
      </w:r>
      <w:proofErr w:type="spellEnd"/>
      <w:r w:rsidRPr="001B6A57">
        <w:rPr>
          <w:rFonts w:ascii="Times New Roman" w:hAnsi="Times New Roman" w:cs="Times New Roman"/>
          <w:lang w:val="en-US"/>
        </w:rPr>
        <w:t xml:space="preserve">, Elisabeth (2013). «Gender Expertise as Feminist Strategy». En Gülay Caglar, Elisabeth Prügl &amp; Susanne </w:t>
      </w:r>
      <w:proofErr w:type="spellStart"/>
      <w:r w:rsidRPr="001B6A57">
        <w:rPr>
          <w:rFonts w:ascii="Times New Roman" w:hAnsi="Times New Roman" w:cs="Times New Roman"/>
          <w:lang w:val="en-US"/>
        </w:rPr>
        <w:t>Zwingel</w:t>
      </w:r>
      <w:proofErr w:type="spellEnd"/>
      <w:r w:rsidRPr="001B6A57">
        <w:rPr>
          <w:rFonts w:ascii="Times New Roman" w:hAnsi="Times New Roman" w:cs="Times New Roman"/>
          <w:lang w:val="en-US"/>
        </w:rPr>
        <w:t xml:space="preserve"> (Eds.),</w:t>
      </w:r>
      <w:r w:rsidRPr="001B6A57">
        <w:rPr>
          <w:rFonts w:ascii="Times New Roman" w:hAnsi="Times New Roman" w:cs="Times New Roman"/>
          <w:i/>
          <w:iCs/>
          <w:lang w:val="en-US"/>
        </w:rPr>
        <w:t xml:space="preserve"> Feminist Strategies in International Governance</w:t>
      </w:r>
      <w:r w:rsidRPr="001B6A57">
        <w:rPr>
          <w:rFonts w:ascii="Times New Roman" w:hAnsi="Times New Roman" w:cs="Times New Roman"/>
          <w:lang w:val="en-US"/>
        </w:rPr>
        <w:t xml:space="preserve"> (pp. 57-73). </w:t>
      </w:r>
      <w:r w:rsidRPr="001B6A57">
        <w:rPr>
          <w:rFonts w:ascii="Times New Roman" w:hAnsi="Times New Roman" w:cs="Times New Roman"/>
          <w:lang w:val="es-CL"/>
        </w:rPr>
        <w:t>Londres: Routledge.</w:t>
      </w:r>
    </w:p>
    <w:p w14:paraId="00BAD158" w14:textId="77777777" w:rsidR="0078635F" w:rsidRDefault="0078635F" w:rsidP="0078635F">
      <w:pPr>
        <w:jc w:val="both"/>
        <w:rPr>
          <w:rFonts w:ascii="Times New Roman" w:hAnsi="Times New Roman" w:cs="Times New Roman"/>
        </w:rPr>
      </w:pPr>
      <w:r w:rsidRPr="00F722FD">
        <w:rPr>
          <w:rFonts w:ascii="Times New Roman" w:hAnsi="Times New Roman" w:cs="Times New Roman"/>
        </w:rPr>
        <w:t xml:space="preserve">Ramírez Raunigg, Karin. y Trujillo Cristoffanini, Macarena (2019) Acoso sexual como violencia de género: Voces y experiencias de universitarias chilenas, </w:t>
      </w:r>
      <w:r w:rsidRPr="00F722FD">
        <w:rPr>
          <w:rFonts w:ascii="Times New Roman" w:hAnsi="Times New Roman" w:cs="Times New Roman"/>
          <w:i/>
          <w:iCs/>
        </w:rPr>
        <w:t>Cuestiones de Género: de la igualdad y la diferencia</w:t>
      </w:r>
      <w:r w:rsidRPr="00F722FD">
        <w:rPr>
          <w:rFonts w:ascii="Times New Roman" w:hAnsi="Times New Roman" w:cs="Times New Roman"/>
        </w:rPr>
        <w:t xml:space="preserve">, (14), pp. 221–240. </w:t>
      </w:r>
      <w:proofErr w:type="spellStart"/>
      <w:r w:rsidRPr="00F722FD">
        <w:rPr>
          <w:rFonts w:ascii="Times New Roman" w:hAnsi="Times New Roman" w:cs="Times New Roman"/>
        </w:rPr>
        <w:t>doi</w:t>
      </w:r>
      <w:proofErr w:type="spellEnd"/>
      <w:r w:rsidRPr="00F722FD">
        <w:rPr>
          <w:rFonts w:ascii="Times New Roman" w:hAnsi="Times New Roman" w:cs="Times New Roman"/>
        </w:rPr>
        <w:t>: 10.18002/</w:t>
      </w:r>
      <w:proofErr w:type="gramStart"/>
      <w:r w:rsidRPr="00F722FD">
        <w:rPr>
          <w:rFonts w:ascii="Times New Roman" w:hAnsi="Times New Roman" w:cs="Times New Roman"/>
        </w:rPr>
        <w:t>cg.v</w:t>
      </w:r>
      <w:proofErr w:type="gramEnd"/>
      <w:r w:rsidRPr="00F722FD">
        <w:rPr>
          <w:rFonts w:ascii="Times New Roman" w:hAnsi="Times New Roman" w:cs="Times New Roman"/>
        </w:rPr>
        <w:t>0i14.5779.</w:t>
      </w:r>
    </w:p>
    <w:p w14:paraId="19FDC74E" w14:textId="77777777" w:rsidR="0078635F" w:rsidRPr="001B6A57" w:rsidRDefault="0078635F" w:rsidP="0078635F">
      <w:pPr>
        <w:jc w:val="both"/>
        <w:rPr>
          <w:rFonts w:ascii="Times New Roman" w:hAnsi="Times New Roman" w:cs="Times New Roman"/>
        </w:rPr>
      </w:pPr>
      <w:r w:rsidRPr="001B6A57">
        <w:rPr>
          <w:rFonts w:ascii="Times New Roman" w:hAnsi="Times New Roman" w:cs="Times New Roman"/>
        </w:rPr>
        <w:t xml:space="preserve">Rodríguez Jaume, María José. y Gil González, Diana (2021). </w:t>
      </w:r>
      <w:r w:rsidRPr="001B6A57">
        <w:rPr>
          <w:rFonts w:ascii="Times New Roman" w:hAnsi="Times New Roman" w:cs="Times New Roman"/>
          <w:i/>
          <w:iCs/>
        </w:rPr>
        <w:t xml:space="preserve">La Perspectiva de </w:t>
      </w:r>
      <w:proofErr w:type="spellStart"/>
      <w:r w:rsidRPr="001B6A57">
        <w:rPr>
          <w:rFonts w:ascii="Times New Roman" w:hAnsi="Times New Roman" w:cs="Times New Roman"/>
          <w:i/>
          <w:iCs/>
        </w:rPr>
        <w:t>gènere</w:t>
      </w:r>
      <w:proofErr w:type="spellEnd"/>
      <w:r w:rsidRPr="001B6A57">
        <w:rPr>
          <w:rFonts w:ascii="Times New Roman" w:hAnsi="Times New Roman" w:cs="Times New Roman"/>
          <w:i/>
          <w:iCs/>
        </w:rPr>
        <w:t xml:space="preserve"> en </w:t>
      </w:r>
      <w:proofErr w:type="spellStart"/>
      <w:r w:rsidRPr="001B6A57">
        <w:rPr>
          <w:rFonts w:ascii="Times New Roman" w:hAnsi="Times New Roman" w:cs="Times New Roman"/>
          <w:i/>
          <w:iCs/>
        </w:rPr>
        <w:t>docència</w:t>
      </w:r>
      <w:proofErr w:type="spellEnd"/>
      <w:r w:rsidRPr="001B6A57">
        <w:rPr>
          <w:rFonts w:ascii="Times New Roman" w:hAnsi="Times New Roman" w:cs="Times New Roman"/>
          <w:i/>
          <w:iCs/>
        </w:rPr>
        <w:t xml:space="preserve"> a les </w:t>
      </w:r>
      <w:proofErr w:type="spellStart"/>
      <w:r w:rsidRPr="001B6A57">
        <w:rPr>
          <w:rFonts w:ascii="Times New Roman" w:hAnsi="Times New Roman" w:cs="Times New Roman"/>
          <w:i/>
          <w:iCs/>
        </w:rPr>
        <w:t>universitats</w:t>
      </w:r>
      <w:proofErr w:type="spellEnd"/>
      <w:r w:rsidRPr="001B6A57">
        <w:rPr>
          <w:rFonts w:ascii="Times New Roman" w:hAnsi="Times New Roman" w:cs="Times New Roman"/>
          <w:i/>
          <w:iCs/>
        </w:rPr>
        <w:t xml:space="preserve"> de la </w:t>
      </w:r>
      <w:proofErr w:type="spellStart"/>
      <w:r w:rsidRPr="001B6A57">
        <w:rPr>
          <w:rFonts w:ascii="Times New Roman" w:hAnsi="Times New Roman" w:cs="Times New Roman"/>
          <w:i/>
          <w:iCs/>
        </w:rPr>
        <w:t>Xarxa</w:t>
      </w:r>
      <w:proofErr w:type="spellEnd"/>
      <w:r w:rsidRPr="001B6A57">
        <w:rPr>
          <w:rFonts w:ascii="Times New Roman" w:hAnsi="Times New Roman" w:cs="Times New Roman"/>
          <w:i/>
          <w:iCs/>
        </w:rPr>
        <w:t xml:space="preserve"> Vives: </w:t>
      </w:r>
      <w:proofErr w:type="spellStart"/>
      <w:r w:rsidRPr="001B6A57">
        <w:rPr>
          <w:rFonts w:ascii="Times New Roman" w:hAnsi="Times New Roman" w:cs="Times New Roman"/>
          <w:i/>
          <w:iCs/>
        </w:rPr>
        <w:t>Situació</w:t>
      </w:r>
      <w:proofErr w:type="spellEnd"/>
      <w:r w:rsidRPr="001B6A57">
        <w:rPr>
          <w:rFonts w:ascii="Times New Roman" w:hAnsi="Times New Roman" w:cs="Times New Roman"/>
          <w:i/>
          <w:iCs/>
        </w:rPr>
        <w:t xml:space="preserve"> actual i reptes </w:t>
      </w:r>
      <w:proofErr w:type="spellStart"/>
      <w:r w:rsidRPr="001B6A57">
        <w:rPr>
          <w:rFonts w:ascii="Times New Roman" w:hAnsi="Times New Roman" w:cs="Times New Roman"/>
          <w:i/>
          <w:iCs/>
        </w:rPr>
        <w:t>futurs</w:t>
      </w:r>
      <w:proofErr w:type="spellEnd"/>
      <w:r w:rsidRPr="001B6A57">
        <w:rPr>
          <w:rFonts w:ascii="Times New Roman" w:hAnsi="Times New Roman" w:cs="Times New Roman"/>
          <w:i/>
          <w:iCs/>
        </w:rPr>
        <w:t>.</w:t>
      </w:r>
      <w:r w:rsidRPr="001B6A57">
        <w:rPr>
          <w:rFonts w:ascii="Times New Roman" w:hAnsi="Times New Roman" w:cs="Times New Roman"/>
        </w:rPr>
        <w:t xml:space="preserve"> España: Red </w:t>
      </w:r>
      <w:proofErr w:type="spellStart"/>
      <w:r w:rsidRPr="001B6A57">
        <w:rPr>
          <w:rFonts w:ascii="Times New Roman" w:hAnsi="Times New Roman" w:cs="Times New Roman"/>
        </w:rPr>
        <w:t>Xarxa</w:t>
      </w:r>
      <w:proofErr w:type="spellEnd"/>
      <w:r w:rsidRPr="001B6A57">
        <w:rPr>
          <w:rFonts w:ascii="Times New Roman" w:hAnsi="Times New Roman" w:cs="Times New Roman"/>
        </w:rPr>
        <w:t xml:space="preserve"> Vives.</w:t>
      </w:r>
    </w:p>
    <w:p w14:paraId="37D3C6DE" w14:textId="77777777" w:rsidR="0078635F" w:rsidRPr="001B6A57" w:rsidRDefault="0078635F" w:rsidP="0078635F">
      <w:pPr>
        <w:jc w:val="both"/>
        <w:rPr>
          <w:rFonts w:ascii="Times New Roman" w:hAnsi="Times New Roman" w:cs="Times New Roman"/>
          <w:i/>
          <w:iCs/>
          <w:lang w:val="en-US"/>
        </w:rPr>
      </w:pPr>
      <w:r w:rsidRPr="001B6A57">
        <w:rPr>
          <w:rFonts w:ascii="Times New Roman" w:hAnsi="Times New Roman" w:cs="Times New Roman"/>
        </w:rPr>
        <w:t xml:space="preserve">Santin, Silvina, </w:t>
      </w:r>
      <w:proofErr w:type="spellStart"/>
      <w:r w:rsidRPr="001B6A57">
        <w:rPr>
          <w:rFonts w:ascii="Times New Roman" w:hAnsi="Times New Roman" w:cs="Times New Roman"/>
        </w:rPr>
        <w:t>Lizitia</w:t>
      </w:r>
      <w:proofErr w:type="spellEnd"/>
      <w:r w:rsidRPr="001B6A57">
        <w:rPr>
          <w:rFonts w:ascii="Times New Roman" w:hAnsi="Times New Roman" w:cs="Times New Roman"/>
        </w:rPr>
        <w:t xml:space="preserve">, Nahuel, </w:t>
      </w:r>
      <w:proofErr w:type="spellStart"/>
      <w:r w:rsidRPr="001B6A57">
        <w:rPr>
          <w:rFonts w:ascii="Times New Roman" w:hAnsi="Times New Roman" w:cs="Times New Roman"/>
        </w:rPr>
        <w:t>Rodriguez</w:t>
      </w:r>
      <w:proofErr w:type="spellEnd"/>
      <w:r w:rsidRPr="001B6A57">
        <w:rPr>
          <w:rFonts w:ascii="Times New Roman" w:hAnsi="Times New Roman" w:cs="Times New Roman"/>
        </w:rPr>
        <w:t xml:space="preserve">, Wenceslao, Denes, Carolina, Marquina, Mónica (2022) Homo </w:t>
      </w:r>
      <w:proofErr w:type="spellStart"/>
      <w:r w:rsidRPr="001B6A57">
        <w:rPr>
          <w:rFonts w:ascii="Times New Roman" w:hAnsi="Times New Roman" w:cs="Times New Roman"/>
        </w:rPr>
        <w:t>economicus</w:t>
      </w:r>
      <w:proofErr w:type="spellEnd"/>
      <w:r w:rsidRPr="001B6A57">
        <w:rPr>
          <w:rFonts w:ascii="Times New Roman" w:hAnsi="Times New Roman" w:cs="Times New Roman"/>
        </w:rPr>
        <w:t xml:space="preserve">: </w:t>
      </w:r>
      <w:proofErr w:type="spellStart"/>
      <w:r w:rsidRPr="001B6A57">
        <w:rPr>
          <w:rFonts w:ascii="Times New Roman" w:hAnsi="Times New Roman" w:cs="Times New Roman"/>
        </w:rPr>
        <w:t>Desafios</w:t>
      </w:r>
      <w:proofErr w:type="spellEnd"/>
      <w:r w:rsidRPr="001B6A57">
        <w:rPr>
          <w:rFonts w:ascii="Times New Roman" w:hAnsi="Times New Roman" w:cs="Times New Roman"/>
        </w:rPr>
        <w:t xml:space="preserve"> actuales de la universidad. </w:t>
      </w:r>
      <w:r w:rsidRPr="001B6A57">
        <w:rPr>
          <w:rFonts w:ascii="Times New Roman" w:hAnsi="Times New Roman" w:cs="Times New Roman"/>
          <w:i/>
          <w:iCs/>
          <w:lang w:val="en-US"/>
        </w:rPr>
        <w:t xml:space="preserve">XII Jornadas de </w:t>
      </w:r>
      <w:proofErr w:type="spellStart"/>
      <w:r w:rsidRPr="001B6A57">
        <w:rPr>
          <w:rFonts w:ascii="Times New Roman" w:hAnsi="Times New Roman" w:cs="Times New Roman"/>
          <w:i/>
          <w:iCs/>
          <w:lang w:val="en-US"/>
        </w:rPr>
        <w:t>Sociología</w:t>
      </w:r>
      <w:proofErr w:type="spellEnd"/>
      <w:r w:rsidRPr="001B6A57">
        <w:rPr>
          <w:rFonts w:ascii="Times New Roman" w:hAnsi="Times New Roman" w:cs="Times New Roman"/>
          <w:i/>
          <w:iCs/>
          <w:lang w:val="en-US"/>
        </w:rPr>
        <w:t>, Universidad Nacional de la Plata</w:t>
      </w:r>
    </w:p>
    <w:p w14:paraId="5280F539" w14:textId="77777777" w:rsidR="0078635F" w:rsidRPr="00F722FD" w:rsidRDefault="0078635F" w:rsidP="0078635F">
      <w:pPr>
        <w:jc w:val="both"/>
        <w:rPr>
          <w:rFonts w:ascii="Times New Roman" w:hAnsi="Times New Roman" w:cs="Times New Roman"/>
          <w:lang w:val="en-US"/>
        </w:rPr>
      </w:pPr>
      <w:r w:rsidRPr="00F722FD">
        <w:rPr>
          <w:rFonts w:ascii="Times New Roman" w:hAnsi="Times New Roman" w:cs="Times New Roman"/>
          <w:lang w:val="en-US"/>
        </w:rPr>
        <w:t xml:space="preserve">Singh, Parlo; Pini, Barbara &amp; </w:t>
      </w:r>
      <w:proofErr w:type="spellStart"/>
      <w:r w:rsidRPr="00F722FD">
        <w:rPr>
          <w:rFonts w:ascii="Times New Roman" w:hAnsi="Times New Roman" w:cs="Times New Roman"/>
          <w:lang w:val="en-US"/>
        </w:rPr>
        <w:t>Glasswell</w:t>
      </w:r>
      <w:proofErr w:type="spellEnd"/>
      <w:r w:rsidRPr="00F722FD">
        <w:rPr>
          <w:rFonts w:ascii="Times New Roman" w:hAnsi="Times New Roman" w:cs="Times New Roman"/>
          <w:lang w:val="en-US"/>
        </w:rPr>
        <w:t xml:space="preserve">, Kathryn (2016): Explorations in policy enactment: feminist thought experiments with Basil Bernstein’s code theory, </w:t>
      </w:r>
      <w:r w:rsidRPr="00F722FD">
        <w:rPr>
          <w:rFonts w:ascii="Times New Roman" w:hAnsi="Times New Roman" w:cs="Times New Roman"/>
          <w:i/>
          <w:iCs/>
          <w:lang w:val="en-US"/>
        </w:rPr>
        <w:t>Gender and Education</w:t>
      </w:r>
      <w:r w:rsidRPr="00F722FD">
        <w:rPr>
          <w:rFonts w:ascii="Times New Roman" w:hAnsi="Times New Roman" w:cs="Times New Roman"/>
          <w:lang w:val="en-US"/>
        </w:rPr>
        <w:t>, DOI: 10.1080/09540253.2016.1216523</w:t>
      </w:r>
    </w:p>
    <w:p w14:paraId="384C6147" w14:textId="77777777" w:rsidR="0078635F" w:rsidRDefault="0078635F" w:rsidP="0078635F">
      <w:pPr>
        <w:jc w:val="both"/>
        <w:rPr>
          <w:rFonts w:ascii="Times New Roman" w:hAnsi="Times New Roman" w:cs="Times New Roman"/>
        </w:rPr>
      </w:pPr>
      <w:r w:rsidRPr="00F722FD">
        <w:rPr>
          <w:rFonts w:ascii="Times New Roman" w:hAnsi="Times New Roman" w:cs="Times New Roman"/>
        </w:rPr>
        <w:t xml:space="preserve">Tadeu da Silva, Tomaz (1999) </w:t>
      </w:r>
      <w:r w:rsidRPr="00F722FD">
        <w:rPr>
          <w:rFonts w:ascii="Times New Roman" w:hAnsi="Times New Roman" w:cs="Times New Roman"/>
          <w:i/>
          <w:iCs/>
        </w:rPr>
        <w:t>Documentos de Identidad. Una introducción a la teoría del currículo.</w:t>
      </w:r>
      <w:r w:rsidRPr="00F722FD">
        <w:rPr>
          <w:rFonts w:ascii="Times New Roman" w:hAnsi="Times New Roman" w:cs="Times New Roman"/>
        </w:rPr>
        <w:t xml:space="preserve"> Auténtica Editorial, Belo Horizonte.</w:t>
      </w:r>
    </w:p>
    <w:p w14:paraId="653CA4E7" w14:textId="77777777" w:rsidR="0078635F" w:rsidRPr="001B6A57" w:rsidRDefault="0078635F" w:rsidP="0078635F">
      <w:pPr>
        <w:jc w:val="both"/>
        <w:rPr>
          <w:rFonts w:ascii="Times New Roman" w:hAnsi="Times New Roman" w:cs="Times New Roman"/>
        </w:rPr>
      </w:pPr>
      <w:r w:rsidRPr="001B6A57">
        <w:rPr>
          <w:rFonts w:ascii="Times New Roman" w:hAnsi="Times New Roman" w:cs="Times New Roman"/>
        </w:rPr>
        <w:t xml:space="preserve">Troncoso Pérez, Lelya, </w:t>
      </w:r>
      <w:proofErr w:type="spellStart"/>
      <w:r w:rsidRPr="001B6A57">
        <w:rPr>
          <w:rFonts w:ascii="Times New Roman" w:hAnsi="Times New Roman" w:cs="Times New Roman"/>
        </w:rPr>
        <w:t>Follegati</w:t>
      </w:r>
      <w:proofErr w:type="spellEnd"/>
      <w:r w:rsidRPr="001B6A57">
        <w:rPr>
          <w:rFonts w:ascii="Times New Roman" w:hAnsi="Times New Roman" w:cs="Times New Roman"/>
        </w:rPr>
        <w:t xml:space="preserve">, Luna, y </w:t>
      </w:r>
      <w:proofErr w:type="spellStart"/>
      <w:r w:rsidRPr="001B6A57">
        <w:rPr>
          <w:rFonts w:ascii="Times New Roman" w:hAnsi="Times New Roman" w:cs="Times New Roman"/>
        </w:rPr>
        <w:t>Stutzin</w:t>
      </w:r>
      <w:proofErr w:type="spellEnd"/>
      <w:r w:rsidRPr="001B6A57">
        <w:rPr>
          <w:rFonts w:ascii="Times New Roman" w:hAnsi="Times New Roman" w:cs="Times New Roman"/>
        </w:rPr>
        <w:t xml:space="preserve">, Valentina (2019). Más allá de una educación no sexista: aportes de pedagogías feministas interseccionales. </w:t>
      </w:r>
      <w:r w:rsidRPr="001B6A57">
        <w:rPr>
          <w:rFonts w:ascii="Times New Roman" w:hAnsi="Times New Roman" w:cs="Times New Roman"/>
          <w:i/>
          <w:iCs/>
        </w:rPr>
        <w:t>Pensamiento Educativo, Revista De Investigación Educacional Latinoamericana,</w:t>
      </w:r>
      <w:r w:rsidRPr="001B6A57">
        <w:rPr>
          <w:rFonts w:ascii="Times New Roman" w:hAnsi="Times New Roman" w:cs="Times New Roman"/>
        </w:rPr>
        <w:t xml:space="preserve"> 56(1), 1–15. </w:t>
      </w:r>
      <w:hyperlink r:id="rId29" w:history="1">
        <w:r w:rsidRPr="001B6A57">
          <w:rPr>
            <w:rStyle w:val="Hipervnculo"/>
            <w:rFonts w:ascii="Times New Roman" w:hAnsi="Times New Roman" w:cs="Times New Roman"/>
          </w:rPr>
          <w:t>https://doi.org/10.7764/PEL.56.1.2019.1</w:t>
        </w:r>
      </w:hyperlink>
    </w:p>
    <w:p w14:paraId="628F1007" w14:textId="77777777" w:rsidR="0078635F" w:rsidRDefault="0078635F" w:rsidP="0078635F">
      <w:pPr>
        <w:jc w:val="both"/>
        <w:rPr>
          <w:rFonts w:ascii="Times New Roman" w:hAnsi="Times New Roman" w:cs="Times New Roman"/>
        </w:rPr>
      </w:pPr>
      <w:r w:rsidRPr="00F722FD">
        <w:rPr>
          <w:rFonts w:ascii="Times New Roman" w:hAnsi="Times New Roman" w:cs="Times New Roman"/>
        </w:rPr>
        <w:t>Trujillo-Cristoffanini. Macarena y Pastor-</w:t>
      </w:r>
      <w:proofErr w:type="spellStart"/>
      <w:r w:rsidRPr="00F722FD">
        <w:rPr>
          <w:rFonts w:ascii="Times New Roman" w:hAnsi="Times New Roman" w:cs="Times New Roman"/>
        </w:rPr>
        <w:t>Gosalbez</w:t>
      </w:r>
      <w:proofErr w:type="spellEnd"/>
      <w:r w:rsidRPr="00F722FD">
        <w:rPr>
          <w:rFonts w:ascii="Times New Roman" w:hAnsi="Times New Roman" w:cs="Times New Roman"/>
        </w:rPr>
        <w:t xml:space="preserve">, Inma (2023) Instancias de género en instituciones de educación superior chilenas: Características de su implementación, </w:t>
      </w:r>
      <w:r w:rsidRPr="00F722FD">
        <w:rPr>
          <w:rFonts w:ascii="Times New Roman" w:hAnsi="Times New Roman" w:cs="Times New Roman"/>
          <w:i/>
          <w:iCs/>
        </w:rPr>
        <w:lastRenderedPageBreak/>
        <w:t>Cuestiones de Género: de la igualdad y la diferencia,</w:t>
      </w:r>
      <w:r w:rsidRPr="00F722FD">
        <w:rPr>
          <w:rFonts w:ascii="Times New Roman" w:hAnsi="Times New Roman" w:cs="Times New Roman"/>
        </w:rPr>
        <w:t xml:space="preserve"> (18), pp. 503–517. </w:t>
      </w:r>
      <w:proofErr w:type="spellStart"/>
      <w:r w:rsidRPr="00F722FD">
        <w:rPr>
          <w:rFonts w:ascii="Times New Roman" w:hAnsi="Times New Roman" w:cs="Times New Roman"/>
        </w:rPr>
        <w:t>doi</w:t>
      </w:r>
      <w:proofErr w:type="spellEnd"/>
      <w:r w:rsidRPr="00F722FD">
        <w:rPr>
          <w:rFonts w:ascii="Times New Roman" w:hAnsi="Times New Roman" w:cs="Times New Roman"/>
        </w:rPr>
        <w:t>: 10.18002/</w:t>
      </w:r>
      <w:proofErr w:type="gramStart"/>
      <w:r w:rsidRPr="00F722FD">
        <w:rPr>
          <w:rFonts w:ascii="Times New Roman" w:hAnsi="Times New Roman" w:cs="Times New Roman"/>
        </w:rPr>
        <w:t>cg.i</w:t>
      </w:r>
      <w:proofErr w:type="gramEnd"/>
      <w:r w:rsidRPr="00F722FD">
        <w:rPr>
          <w:rFonts w:ascii="Times New Roman" w:hAnsi="Times New Roman" w:cs="Times New Roman"/>
        </w:rPr>
        <w:t>18.7519.</w:t>
      </w:r>
    </w:p>
    <w:p w14:paraId="2566BBC7" w14:textId="77777777" w:rsidR="0078635F" w:rsidRPr="001B6A57" w:rsidRDefault="0078635F" w:rsidP="0078635F">
      <w:pPr>
        <w:jc w:val="both"/>
        <w:rPr>
          <w:rFonts w:ascii="Times New Roman" w:hAnsi="Times New Roman" w:cs="Times New Roman"/>
          <w:lang w:val="es-CL"/>
        </w:rPr>
      </w:pPr>
      <w:r w:rsidRPr="001B6A57">
        <w:rPr>
          <w:rFonts w:ascii="Times New Roman" w:hAnsi="Times New Roman" w:cs="Times New Roman"/>
          <w:lang w:val="es-CL"/>
        </w:rPr>
        <w:t xml:space="preserve">Universidad Nacional Autónoma de México (UNAM) (2024). </w:t>
      </w:r>
      <w:r w:rsidRPr="001B6A57">
        <w:rPr>
          <w:rFonts w:ascii="Times New Roman" w:hAnsi="Times New Roman" w:cs="Times New Roman"/>
          <w:i/>
          <w:iCs/>
          <w:lang w:val="es-CL"/>
        </w:rPr>
        <w:t>Pintando el currículo de violeta. Creación y trayectorias de las asignaturas de género en la UNAM</w:t>
      </w:r>
      <w:r w:rsidRPr="001B6A57">
        <w:rPr>
          <w:rFonts w:ascii="Times New Roman" w:hAnsi="Times New Roman" w:cs="Times New Roman"/>
          <w:lang w:val="es-CL"/>
        </w:rPr>
        <w:t xml:space="preserve">. Recuperado de: </w:t>
      </w:r>
      <w:hyperlink r:id="rId30" w:history="1">
        <w:r w:rsidRPr="001B6A57">
          <w:rPr>
            <w:rStyle w:val="Hipervnculo"/>
            <w:rFonts w:ascii="Times New Roman" w:hAnsi="Times New Roman" w:cs="Times New Roman"/>
            <w:lang w:val="es-CL"/>
          </w:rPr>
          <w:t>https://coordinaciongenero.unam.mx/2024/12/pintando-el-curriculo-de-violeta/</w:t>
        </w:r>
      </w:hyperlink>
    </w:p>
    <w:p w14:paraId="713E95F6" w14:textId="77777777" w:rsidR="0078635F" w:rsidRPr="001B6A57" w:rsidRDefault="0078635F" w:rsidP="0078635F">
      <w:pPr>
        <w:jc w:val="both"/>
        <w:rPr>
          <w:rFonts w:ascii="Times New Roman" w:hAnsi="Times New Roman" w:cs="Times New Roman"/>
          <w:lang w:val="en-US"/>
        </w:rPr>
      </w:pPr>
      <w:r w:rsidRPr="001B6A57">
        <w:rPr>
          <w:rFonts w:ascii="Times New Roman" w:hAnsi="Times New Roman" w:cs="Times New Roman"/>
          <w:lang w:val="en-US"/>
        </w:rPr>
        <w:t xml:space="preserve">van der Heide, Anouk; van </w:t>
      </w:r>
      <w:proofErr w:type="spellStart"/>
      <w:r w:rsidRPr="001B6A57">
        <w:rPr>
          <w:rFonts w:ascii="Times New Roman" w:hAnsi="Times New Roman" w:cs="Times New Roman"/>
          <w:lang w:val="en-US"/>
        </w:rPr>
        <w:t>Arensbergen</w:t>
      </w:r>
      <w:proofErr w:type="spellEnd"/>
      <w:r w:rsidRPr="001B6A57">
        <w:rPr>
          <w:rFonts w:ascii="Times New Roman" w:hAnsi="Times New Roman" w:cs="Times New Roman"/>
          <w:lang w:val="en-US"/>
        </w:rPr>
        <w:t xml:space="preserve">, Pleun; </w:t>
      </w:r>
      <w:proofErr w:type="spellStart"/>
      <w:r w:rsidRPr="001B6A57">
        <w:rPr>
          <w:rFonts w:ascii="Times New Roman" w:hAnsi="Times New Roman" w:cs="Times New Roman"/>
          <w:lang w:val="en-US"/>
        </w:rPr>
        <w:t>Bleijenbergh</w:t>
      </w:r>
      <w:proofErr w:type="spellEnd"/>
      <w:r w:rsidRPr="001B6A57">
        <w:rPr>
          <w:rFonts w:ascii="Times New Roman" w:hAnsi="Times New Roman" w:cs="Times New Roman"/>
          <w:lang w:val="en-US"/>
        </w:rPr>
        <w:t xml:space="preserve">, Inge &amp; Lansu, Monic (2017) Collected good practices in introducing gender in </w:t>
      </w:r>
      <w:proofErr w:type="gramStart"/>
      <w:r w:rsidRPr="001B6A57">
        <w:rPr>
          <w:rFonts w:ascii="Times New Roman" w:hAnsi="Times New Roman" w:cs="Times New Roman"/>
          <w:lang w:val="en-US"/>
        </w:rPr>
        <w:t>curricula</w:t>
      </w:r>
      <w:proofErr w:type="gramEnd"/>
      <w:r w:rsidRPr="001B6A57">
        <w:rPr>
          <w:rFonts w:ascii="Times New Roman" w:hAnsi="Times New Roman" w:cs="Times New Roman"/>
          <w:i/>
          <w:iCs/>
          <w:lang w:val="en-US"/>
        </w:rPr>
        <w:t xml:space="preserve">. Effective gender equality in research and academia </w:t>
      </w:r>
      <w:r w:rsidRPr="001B6A57">
        <w:rPr>
          <w:rFonts w:ascii="Times New Roman" w:hAnsi="Times New Roman" w:cs="Times New Roman"/>
          <w:lang w:val="en-US"/>
        </w:rPr>
        <w:t xml:space="preserve">(EGERA), European </w:t>
      </w:r>
      <w:proofErr w:type="spellStart"/>
      <w:r w:rsidRPr="001B6A57">
        <w:rPr>
          <w:rFonts w:ascii="Times New Roman" w:hAnsi="Times New Roman" w:cs="Times New Roman"/>
          <w:lang w:val="en-US"/>
        </w:rPr>
        <w:t>Comission</w:t>
      </w:r>
      <w:proofErr w:type="spellEnd"/>
      <w:r w:rsidRPr="001B6A57">
        <w:rPr>
          <w:rFonts w:ascii="Times New Roman" w:hAnsi="Times New Roman" w:cs="Times New Roman"/>
          <w:lang w:val="en-US"/>
        </w:rPr>
        <w:t>.</w:t>
      </w:r>
    </w:p>
    <w:p w14:paraId="090BE1F3" w14:textId="77777777" w:rsidR="0078635F" w:rsidRPr="001B6A57" w:rsidRDefault="0078635F" w:rsidP="0078635F">
      <w:pPr>
        <w:jc w:val="both"/>
        <w:rPr>
          <w:rFonts w:ascii="Times New Roman" w:hAnsi="Times New Roman" w:cs="Times New Roman"/>
        </w:rPr>
      </w:pPr>
      <w:r w:rsidRPr="001B6A57">
        <w:rPr>
          <w:rFonts w:ascii="Times New Roman" w:hAnsi="Times New Roman" w:cs="Times New Roman"/>
        </w:rPr>
        <w:t xml:space="preserve">Veloso Chacón, Rocío (2020) </w:t>
      </w:r>
      <w:r w:rsidRPr="00F722FD">
        <w:rPr>
          <w:rFonts w:ascii="Times New Roman" w:hAnsi="Times New Roman" w:cs="Times New Roman"/>
          <w:i/>
          <w:iCs/>
        </w:rPr>
        <w:t>Análisis curricular con enfoque de género de los planes de estudio de las carreras de pregrado, Universidad Metropolitana de Ciencias de la Educación</w:t>
      </w:r>
      <w:r w:rsidRPr="001B6A57">
        <w:rPr>
          <w:rFonts w:ascii="Times New Roman" w:hAnsi="Times New Roman" w:cs="Times New Roman"/>
        </w:rPr>
        <w:t xml:space="preserve">. Recuperado de: </w:t>
      </w:r>
      <w:hyperlink r:id="rId31" w:history="1">
        <w:r w:rsidRPr="001B6A57">
          <w:rPr>
            <w:rStyle w:val="Hipervnculo"/>
            <w:rFonts w:ascii="Times New Roman" w:hAnsi="Times New Roman" w:cs="Times New Roman"/>
          </w:rPr>
          <w:t>https://www.umce.cl/files/uploads/2025/10/RESUMEN-EJECUTIVO-Analisis-curricular-con-enfoque-de-genero-o2020-2021.pdf</w:t>
        </w:r>
      </w:hyperlink>
    </w:p>
    <w:p w14:paraId="27E7EA31" w14:textId="77777777" w:rsidR="0078635F" w:rsidRPr="001B6A57" w:rsidRDefault="0078635F" w:rsidP="0078635F">
      <w:pPr>
        <w:jc w:val="both"/>
        <w:rPr>
          <w:rFonts w:ascii="Times New Roman" w:hAnsi="Times New Roman" w:cs="Times New Roman"/>
        </w:rPr>
      </w:pPr>
      <w:r w:rsidRPr="001B6A57">
        <w:rPr>
          <w:rFonts w:ascii="Times New Roman" w:hAnsi="Times New Roman" w:cs="Times New Roman"/>
        </w:rPr>
        <w:t xml:space="preserve">Vera Gajardo, Sandrea; Vera, Antonieta; Vidaurrazaga Aránguiz, Tamara; Vera-Gajardo, Andrea; Montero, Claudia; Troncoso, Lelya (2025) </w:t>
      </w:r>
      <w:proofErr w:type="spellStart"/>
      <w:r w:rsidRPr="001B6A57">
        <w:rPr>
          <w:rFonts w:ascii="Times New Roman" w:hAnsi="Times New Roman" w:cs="Times New Roman"/>
        </w:rPr>
        <w:t>Dissonances</w:t>
      </w:r>
      <w:proofErr w:type="spellEnd"/>
      <w:r w:rsidRPr="001B6A57">
        <w:rPr>
          <w:rFonts w:ascii="Times New Roman" w:hAnsi="Times New Roman" w:cs="Times New Roman"/>
        </w:rPr>
        <w:t xml:space="preserve"> in </w:t>
      </w:r>
      <w:proofErr w:type="spellStart"/>
      <w:r w:rsidRPr="001B6A57">
        <w:rPr>
          <w:rFonts w:ascii="Times New Roman" w:hAnsi="Times New Roman" w:cs="Times New Roman"/>
        </w:rPr>
        <w:t>the</w:t>
      </w:r>
      <w:proofErr w:type="spellEnd"/>
      <w:r w:rsidRPr="001B6A57">
        <w:rPr>
          <w:rFonts w:ascii="Times New Roman" w:hAnsi="Times New Roman" w:cs="Times New Roman"/>
        </w:rPr>
        <w:t xml:space="preserve"> </w:t>
      </w:r>
      <w:proofErr w:type="spellStart"/>
      <w:r w:rsidRPr="001B6A57">
        <w:rPr>
          <w:rFonts w:ascii="Times New Roman" w:hAnsi="Times New Roman" w:cs="Times New Roman"/>
        </w:rPr>
        <w:t>Institutionalization</w:t>
      </w:r>
      <w:proofErr w:type="spellEnd"/>
      <w:r w:rsidRPr="001B6A57">
        <w:rPr>
          <w:rFonts w:ascii="Times New Roman" w:hAnsi="Times New Roman" w:cs="Times New Roman"/>
        </w:rPr>
        <w:t xml:space="preserve"> </w:t>
      </w:r>
      <w:proofErr w:type="spellStart"/>
      <w:r w:rsidRPr="001B6A57">
        <w:rPr>
          <w:rFonts w:ascii="Times New Roman" w:hAnsi="Times New Roman" w:cs="Times New Roman"/>
        </w:rPr>
        <w:t>of</w:t>
      </w:r>
      <w:proofErr w:type="spellEnd"/>
      <w:r w:rsidRPr="001B6A57">
        <w:rPr>
          <w:rFonts w:ascii="Times New Roman" w:hAnsi="Times New Roman" w:cs="Times New Roman"/>
        </w:rPr>
        <w:t xml:space="preserve"> Gender in </w:t>
      </w:r>
      <w:proofErr w:type="spellStart"/>
      <w:r w:rsidRPr="001B6A57">
        <w:rPr>
          <w:rFonts w:ascii="Times New Roman" w:hAnsi="Times New Roman" w:cs="Times New Roman"/>
        </w:rPr>
        <w:t>Chilean</w:t>
      </w:r>
      <w:proofErr w:type="spellEnd"/>
      <w:r w:rsidRPr="001B6A57">
        <w:rPr>
          <w:rFonts w:ascii="Times New Roman" w:hAnsi="Times New Roman" w:cs="Times New Roman"/>
        </w:rPr>
        <w:t xml:space="preserve"> </w:t>
      </w:r>
      <w:proofErr w:type="spellStart"/>
      <w:r w:rsidRPr="001B6A57">
        <w:rPr>
          <w:rFonts w:ascii="Times New Roman" w:hAnsi="Times New Roman" w:cs="Times New Roman"/>
        </w:rPr>
        <w:t>Universities</w:t>
      </w:r>
      <w:proofErr w:type="spellEnd"/>
      <w:r w:rsidRPr="001B6A57">
        <w:rPr>
          <w:rFonts w:ascii="Times New Roman" w:hAnsi="Times New Roman" w:cs="Times New Roman"/>
        </w:rPr>
        <w:t xml:space="preserve">: </w:t>
      </w:r>
      <w:proofErr w:type="spellStart"/>
      <w:r w:rsidRPr="001B6A57">
        <w:rPr>
          <w:rFonts w:ascii="Times New Roman" w:hAnsi="Times New Roman" w:cs="Times New Roman"/>
        </w:rPr>
        <w:t>Theoretical</w:t>
      </w:r>
      <w:proofErr w:type="spellEnd"/>
      <w:r w:rsidRPr="001B6A57">
        <w:rPr>
          <w:rFonts w:ascii="Times New Roman" w:hAnsi="Times New Roman" w:cs="Times New Roman"/>
        </w:rPr>
        <w:t xml:space="preserve"> </w:t>
      </w:r>
      <w:proofErr w:type="spellStart"/>
      <w:r w:rsidRPr="001B6A57">
        <w:rPr>
          <w:rFonts w:ascii="Times New Roman" w:hAnsi="Times New Roman" w:cs="Times New Roman"/>
        </w:rPr>
        <w:t>Reflections</w:t>
      </w:r>
      <w:proofErr w:type="spellEnd"/>
      <w:r w:rsidRPr="001B6A57">
        <w:rPr>
          <w:rFonts w:ascii="Times New Roman" w:hAnsi="Times New Roman" w:cs="Times New Roman"/>
        </w:rPr>
        <w:t xml:space="preserve"> </w:t>
      </w:r>
      <w:proofErr w:type="spellStart"/>
      <w:r w:rsidRPr="001B6A57">
        <w:rPr>
          <w:rFonts w:ascii="Times New Roman" w:hAnsi="Times New Roman" w:cs="Times New Roman"/>
        </w:rPr>
        <w:t>for</w:t>
      </w:r>
      <w:proofErr w:type="spellEnd"/>
      <w:r w:rsidRPr="001B6A57">
        <w:rPr>
          <w:rFonts w:ascii="Times New Roman" w:hAnsi="Times New Roman" w:cs="Times New Roman"/>
        </w:rPr>
        <w:t xml:space="preserve"> </w:t>
      </w:r>
      <w:proofErr w:type="spellStart"/>
      <w:r w:rsidRPr="001B6A57">
        <w:rPr>
          <w:rFonts w:ascii="Times New Roman" w:hAnsi="Times New Roman" w:cs="Times New Roman"/>
        </w:rPr>
        <w:t>the</w:t>
      </w:r>
      <w:proofErr w:type="spellEnd"/>
      <w:r w:rsidRPr="001B6A57">
        <w:rPr>
          <w:rFonts w:ascii="Times New Roman" w:hAnsi="Times New Roman" w:cs="Times New Roman"/>
        </w:rPr>
        <w:t xml:space="preserve"> </w:t>
      </w:r>
      <w:proofErr w:type="spellStart"/>
      <w:r w:rsidRPr="001B6A57">
        <w:rPr>
          <w:rFonts w:ascii="Times New Roman" w:hAnsi="Times New Roman" w:cs="Times New Roman"/>
        </w:rPr>
        <w:t>Ongoing</w:t>
      </w:r>
      <w:proofErr w:type="spellEnd"/>
      <w:r w:rsidRPr="001B6A57">
        <w:rPr>
          <w:rFonts w:ascii="Times New Roman" w:hAnsi="Times New Roman" w:cs="Times New Roman"/>
        </w:rPr>
        <w:t xml:space="preserve"> Debate.  </w:t>
      </w:r>
      <w:proofErr w:type="spellStart"/>
      <w:r w:rsidRPr="001B6A57">
        <w:rPr>
          <w:rFonts w:ascii="Times New Roman" w:hAnsi="Times New Roman" w:cs="Times New Roman"/>
          <w:i/>
          <w:iCs/>
        </w:rPr>
        <w:t>Societies</w:t>
      </w:r>
      <w:proofErr w:type="spellEnd"/>
      <w:r w:rsidRPr="001B6A57">
        <w:rPr>
          <w:rFonts w:ascii="Times New Roman" w:hAnsi="Times New Roman" w:cs="Times New Roman"/>
          <w:i/>
          <w:iCs/>
        </w:rPr>
        <w:t xml:space="preserve"> </w:t>
      </w:r>
      <w:r w:rsidRPr="001B6A57">
        <w:rPr>
          <w:rFonts w:ascii="Times New Roman" w:hAnsi="Times New Roman" w:cs="Times New Roman"/>
        </w:rPr>
        <w:t>2025, 15, 121. https:/</w:t>
      </w:r>
      <w:proofErr w:type="gramStart"/>
      <w:r w:rsidRPr="001B6A57">
        <w:rPr>
          <w:rFonts w:ascii="Times New Roman" w:hAnsi="Times New Roman" w:cs="Times New Roman"/>
        </w:rPr>
        <w:t>/  doi.org</w:t>
      </w:r>
      <w:proofErr w:type="gramEnd"/>
      <w:r w:rsidRPr="001B6A57">
        <w:rPr>
          <w:rFonts w:ascii="Times New Roman" w:hAnsi="Times New Roman" w:cs="Times New Roman"/>
        </w:rPr>
        <w:t>/10.3390/soc15050121</w:t>
      </w:r>
    </w:p>
    <w:p w14:paraId="07101526" w14:textId="77777777" w:rsidR="0078635F" w:rsidRPr="00F722FD" w:rsidRDefault="0078635F" w:rsidP="0078635F">
      <w:pPr>
        <w:rPr>
          <w:rFonts w:ascii="Times New Roman" w:hAnsi="Times New Roman" w:cs="Times New Roman"/>
          <w:lang w:val="en-US"/>
        </w:rPr>
      </w:pPr>
      <w:r w:rsidRPr="00F722FD">
        <w:rPr>
          <w:rFonts w:ascii="Times New Roman" w:hAnsi="Times New Roman" w:cs="Times New Roman"/>
        </w:rPr>
        <w:t>Vergara, Giselle H., Vargas, Damaris F., Sepúlveda-Páez, Geraldy L., &amp; Araneda-</w:t>
      </w:r>
      <w:proofErr w:type="spellStart"/>
      <w:r w:rsidRPr="00F722FD">
        <w:rPr>
          <w:rFonts w:ascii="Times New Roman" w:hAnsi="Times New Roman" w:cs="Times New Roman"/>
        </w:rPr>
        <w:t>Guirriman</w:t>
      </w:r>
      <w:proofErr w:type="spellEnd"/>
      <w:r w:rsidRPr="00F722FD">
        <w:rPr>
          <w:rFonts w:ascii="Times New Roman" w:hAnsi="Times New Roman" w:cs="Times New Roman"/>
        </w:rPr>
        <w:t xml:space="preserve">, Carmen A (2024). Políticas de género implementadas en las universidades chilenas: reflexiones a partir de un análisis documental. </w:t>
      </w:r>
      <w:proofErr w:type="spellStart"/>
      <w:r w:rsidRPr="00F722FD">
        <w:rPr>
          <w:rFonts w:ascii="Times New Roman" w:hAnsi="Times New Roman" w:cs="Times New Roman"/>
          <w:i/>
          <w:iCs/>
          <w:lang w:val="en-US"/>
        </w:rPr>
        <w:t>Formación</w:t>
      </w:r>
      <w:proofErr w:type="spellEnd"/>
      <w:r w:rsidRPr="00F722FD">
        <w:rPr>
          <w:rFonts w:ascii="Times New Roman" w:hAnsi="Times New Roman" w:cs="Times New Roman"/>
          <w:i/>
          <w:iCs/>
          <w:lang w:val="en-US"/>
        </w:rPr>
        <w:t xml:space="preserve"> </w:t>
      </w:r>
      <w:proofErr w:type="spellStart"/>
      <w:r w:rsidRPr="00F722FD">
        <w:rPr>
          <w:rFonts w:ascii="Times New Roman" w:hAnsi="Times New Roman" w:cs="Times New Roman"/>
          <w:i/>
          <w:iCs/>
          <w:lang w:val="en-US"/>
        </w:rPr>
        <w:t>universitaria</w:t>
      </w:r>
      <w:proofErr w:type="spellEnd"/>
      <w:r w:rsidRPr="00F722FD">
        <w:rPr>
          <w:rFonts w:ascii="Times New Roman" w:hAnsi="Times New Roman" w:cs="Times New Roman"/>
          <w:lang w:val="en-US"/>
        </w:rPr>
        <w:t>, 17(5), 17-26. https://dx.doi.org/10.4067/s0718-50062024000400017</w:t>
      </w:r>
    </w:p>
    <w:p w14:paraId="0F0800E4" w14:textId="77777777" w:rsidR="0078635F" w:rsidRPr="001B6A57" w:rsidRDefault="0078635F" w:rsidP="0078635F">
      <w:pPr>
        <w:rPr>
          <w:rFonts w:ascii="Times New Roman" w:hAnsi="Times New Roman" w:cs="Times New Roman"/>
        </w:rPr>
      </w:pPr>
      <w:r w:rsidRPr="00F722FD">
        <w:rPr>
          <w:rFonts w:ascii="Times New Roman" w:hAnsi="Times New Roman" w:cs="Times New Roman"/>
          <w:lang w:val="en-US"/>
        </w:rPr>
        <w:t xml:space="preserve">Whitchurch, Celia (2012). </w:t>
      </w:r>
      <w:r w:rsidRPr="00F722FD">
        <w:rPr>
          <w:rFonts w:ascii="Times New Roman" w:hAnsi="Times New Roman" w:cs="Times New Roman"/>
          <w:i/>
          <w:iCs/>
          <w:lang w:val="en-US"/>
        </w:rPr>
        <w:t>Reconstructing Identities in Higher Education: The rise of 'Third Space' professionals</w:t>
      </w:r>
      <w:r w:rsidRPr="00F722FD">
        <w:rPr>
          <w:rFonts w:ascii="Times New Roman" w:hAnsi="Times New Roman" w:cs="Times New Roman"/>
          <w:lang w:val="en-US"/>
        </w:rPr>
        <w:t xml:space="preserve"> (1st ed.). </w:t>
      </w:r>
      <w:r w:rsidRPr="00F722FD">
        <w:rPr>
          <w:rFonts w:ascii="Times New Roman" w:hAnsi="Times New Roman" w:cs="Times New Roman"/>
        </w:rPr>
        <w:t>Routledge. https://doi.org/10.4324/9780203098301</w:t>
      </w:r>
    </w:p>
    <w:p w14:paraId="23CA62C6" w14:textId="77777777" w:rsidR="00C802F5" w:rsidRPr="00BA642E" w:rsidRDefault="00C802F5" w:rsidP="007B5B5F">
      <w:pPr>
        <w:spacing w:line="240" w:lineRule="auto"/>
        <w:rPr>
          <w:rFonts w:ascii="Times New Roman" w:hAnsi="Times New Roman" w:cs="Times New Roman"/>
        </w:rPr>
      </w:pPr>
    </w:p>
    <w:sectPr w:rsidR="00C802F5" w:rsidRPr="00BA642E" w:rsidSect="00701F64">
      <w:headerReference w:type="default" r:id="rId32"/>
      <w:footerReference w:type="default" r:id="rId3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C938D" w14:textId="77777777" w:rsidR="00ED1FEF" w:rsidRPr="00BA642E" w:rsidRDefault="00ED1FEF" w:rsidP="00C802F5">
      <w:pPr>
        <w:spacing w:after="0" w:line="240" w:lineRule="auto"/>
      </w:pPr>
      <w:r w:rsidRPr="00BA642E">
        <w:separator/>
      </w:r>
    </w:p>
  </w:endnote>
  <w:endnote w:type="continuationSeparator" w:id="0">
    <w:p w14:paraId="57BF48E1" w14:textId="77777777" w:rsidR="00ED1FEF" w:rsidRPr="00BA642E" w:rsidRDefault="00ED1FE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67EAF" w14:textId="77777777" w:rsidR="00ED1FEF" w:rsidRPr="00BA642E" w:rsidRDefault="00ED1FEF" w:rsidP="00C802F5">
      <w:pPr>
        <w:spacing w:after="0" w:line="240" w:lineRule="auto"/>
      </w:pPr>
      <w:r w:rsidRPr="00BA642E">
        <w:separator/>
      </w:r>
    </w:p>
  </w:footnote>
  <w:footnote w:type="continuationSeparator" w:id="0">
    <w:p w14:paraId="5467D7EC" w14:textId="77777777" w:rsidR="00ED1FEF" w:rsidRPr="00BA642E" w:rsidRDefault="00ED1FEF" w:rsidP="00C802F5">
      <w:pPr>
        <w:spacing w:after="0" w:line="240" w:lineRule="auto"/>
      </w:pPr>
      <w:r w:rsidRPr="00BA642E">
        <w:continuationSeparator/>
      </w:r>
    </w:p>
  </w:footnote>
  <w:footnote w:id="1">
    <w:p w14:paraId="785A2618" w14:textId="50E34A22" w:rsidR="007354A6" w:rsidRPr="007354A6" w:rsidRDefault="007354A6">
      <w:pPr>
        <w:pStyle w:val="Textonotapie"/>
        <w:rPr>
          <w:rFonts w:ascii="Times New Roman" w:hAnsi="Times New Roman" w:cs="Times New Roman"/>
          <w:lang w:val="es-CL"/>
        </w:rPr>
      </w:pPr>
      <w:r w:rsidRPr="007354A6">
        <w:rPr>
          <w:rStyle w:val="Refdenotaalpie"/>
          <w:rFonts w:ascii="Times New Roman" w:hAnsi="Times New Roman" w:cs="Times New Roman"/>
        </w:rPr>
        <w:footnoteRef/>
      </w:r>
      <w:r w:rsidRPr="007354A6">
        <w:rPr>
          <w:rFonts w:ascii="Times New Roman" w:hAnsi="Times New Roman" w:cs="Times New Roman"/>
        </w:rPr>
        <w:t xml:space="preserve"> La estrategia de pluralizar mediante el uso de (s)</w:t>
      </w:r>
      <w:r w:rsidR="00623B2C">
        <w:rPr>
          <w:rFonts w:ascii="Times New Roman" w:hAnsi="Times New Roman" w:cs="Times New Roman"/>
        </w:rPr>
        <w:t xml:space="preserve"> al nombrar la perspectiva de género(s)</w:t>
      </w:r>
      <w:r w:rsidRPr="007354A6">
        <w:rPr>
          <w:rFonts w:ascii="Times New Roman" w:hAnsi="Times New Roman" w:cs="Times New Roman"/>
        </w:rPr>
        <w:t xml:space="preserve"> se inscribe en una decisión conceptual que ha sido utilizada en trabajos anteriores (Gaba 2021, 2023; Gaba et al., 2024, Gaba 2025). A través de ella se busca romper la inercia de asociar género con mujeres y/o con el binarismo femenino/masculino desde una matriz cis-heteronormativa, es decir desde la presunción de que todas las personas son cisgénero y heterosexuales.</w:t>
      </w:r>
    </w:p>
  </w:footnote>
  <w:footnote w:id="2">
    <w:p w14:paraId="23A19E02" w14:textId="27381466" w:rsidR="00044D3C" w:rsidRPr="00044D3C" w:rsidRDefault="00044D3C">
      <w:pPr>
        <w:pStyle w:val="Textonotapie"/>
        <w:rPr>
          <w:lang w:val="es-CL"/>
        </w:rPr>
      </w:pPr>
      <w:r>
        <w:rPr>
          <w:rStyle w:val="Refdenotaalpie"/>
        </w:rPr>
        <w:footnoteRef/>
      </w:r>
      <w:r>
        <w:t xml:space="preserve"> </w:t>
      </w:r>
      <w:r w:rsidRPr="00044D3C">
        <w:rPr>
          <w:rFonts w:ascii="Times New Roman" w:hAnsi="Times New Roman" w:cs="Times New Roman"/>
        </w:rPr>
        <w:t>“Incorporación de la perspectiva de género(s) en el currículum de pregrado en universidades chilenas. Un análisis de las tensiones entre marcos interpretativos y gestión organizacional”, Doctorado en Educación Superior, Universidad Diego Portales y Universidad de Leiden. Financiamiento Agencia Nacional de Investigación (ANID) - Beca Doctorado Nacional ANID #21260444.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909E6"/>
    <w:multiLevelType w:val="hybridMultilevel"/>
    <w:tmpl w:val="2B720BD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6D9A7B74"/>
    <w:multiLevelType w:val="hybridMultilevel"/>
    <w:tmpl w:val="2B720B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75648329">
    <w:abstractNumId w:val="0"/>
  </w:num>
  <w:num w:numId="2" w16cid:durableId="1815176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370B0"/>
    <w:rsid w:val="000428D0"/>
    <w:rsid w:val="00044D3C"/>
    <w:rsid w:val="00050B38"/>
    <w:rsid w:val="000A1516"/>
    <w:rsid w:val="000B16A0"/>
    <w:rsid w:val="00103ED8"/>
    <w:rsid w:val="001816D6"/>
    <w:rsid w:val="00185F5E"/>
    <w:rsid w:val="001923DC"/>
    <w:rsid w:val="001C3721"/>
    <w:rsid w:val="001D0451"/>
    <w:rsid w:val="001F2281"/>
    <w:rsid w:val="002327C3"/>
    <w:rsid w:val="00237016"/>
    <w:rsid w:val="00291466"/>
    <w:rsid w:val="00296D2B"/>
    <w:rsid w:val="002B01C7"/>
    <w:rsid w:val="002B6FDA"/>
    <w:rsid w:val="00312392"/>
    <w:rsid w:val="00365AB3"/>
    <w:rsid w:val="003736FE"/>
    <w:rsid w:val="003833A9"/>
    <w:rsid w:val="003E1567"/>
    <w:rsid w:val="004040C0"/>
    <w:rsid w:val="00437E9C"/>
    <w:rsid w:val="00550766"/>
    <w:rsid w:val="005E54AF"/>
    <w:rsid w:val="005F3B2E"/>
    <w:rsid w:val="00620C70"/>
    <w:rsid w:val="00623B2C"/>
    <w:rsid w:val="00626B28"/>
    <w:rsid w:val="00684276"/>
    <w:rsid w:val="006E30C0"/>
    <w:rsid w:val="00701F64"/>
    <w:rsid w:val="007354A6"/>
    <w:rsid w:val="0078635F"/>
    <w:rsid w:val="007B41FD"/>
    <w:rsid w:val="007B5B5F"/>
    <w:rsid w:val="007D233B"/>
    <w:rsid w:val="007D3860"/>
    <w:rsid w:val="007D79CE"/>
    <w:rsid w:val="007F7377"/>
    <w:rsid w:val="0085070B"/>
    <w:rsid w:val="008A6EC3"/>
    <w:rsid w:val="008B40F5"/>
    <w:rsid w:val="008E055C"/>
    <w:rsid w:val="008E7458"/>
    <w:rsid w:val="009643E9"/>
    <w:rsid w:val="009B1AC8"/>
    <w:rsid w:val="00A17247"/>
    <w:rsid w:val="00A21717"/>
    <w:rsid w:val="00A30963"/>
    <w:rsid w:val="00A328B5"/>
    <w:rsid w:val="00A433AF"/>
    <w:rsid w:val="00A4562C"/>
    <w:rsid w:val="00A80968"/>
    <w:rsid w:val="00AA4972"/>
    <w:rsid w:val="00AE4744"/>
    <w:rsid w:val="00AF560C"/>
    <w:rsid w:val="00B540E4"/>
    <w:rsid w:val="00BA642E"/>
    <w:rsid w:val="00BB2DC5"/>
    <w:rsid w:val="00BC236F"/>
    <w:rsid w:val="00C421B8"/>
    <w:rsid w:val="00C4518A"/>
    <w:rsid w:val="00C46F0A"/>
    <w:rsid w:val="00C70C68"/>
    <w:rsid w:val="00C802F5"/>
    <w:rsid w:val="00C858CE"/>
    <w:rsid w:val="00C96B2C"/>
    <w:rsid w:val="00CC04C1"/>
    <w:rsid w:val="00CF6952"/>
    <w:rsid w:val="00D170AD"/>
    <w:rsid w:val="00D46451"/>
    <w:rsid w:val="00D56218"/>
    <w:rsid w:val="00D71D46"/>
    <w:rsid w:val="00D843EC"/>
    <w:rsid w:val="00D911E8"/>
    <w:rsid w:val="00DB21D1"/>
    <w:rsid w:val="00DB3335"/>
    <w:rsid w:val="00DC1B06"/>
    <w:rsid w:val="00DC5583"/>
    <w:rsid w:val="00DF081E"/>
    <w:rsid w:val="00E0270F"/>
    <w:rsid w:val="00E32D03"/>
    <w:rsid w:val="00E57DFE"/>
    <w:rsid w:val="00EA40FD"/>
    <w:rsid w:val="00EA5BEA"/>
    <w:rsid w:val="00EB429A"/>
    <w:rsid w:val="00EC3AFB"/>
    <w:rsid w:val="00ED1FEF"/>
    <w:rsid w:val="00F2204B"/>
    <w:rsid w:val="00F573E4"/>
    <w:rsid w:val="00F85FF8"/>
    <w:rsid w:val="00F92429"/>
    <w:rsid w:val="00FC1887"/>
    <w:rsid w:val="00FD42A6"/>
    <w:rsid w:val="00FE54E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notapie">
    <w:name w:val="footnote text"/>
    <w:basedOn w:val="Normal"/>
    <w:link w:val="TextonotapieCar"/>
    <w:uiPriority w:val="99"/>
    <w:semiHidden/>
    <w:unhideWhenUsed/>
    <w:rsid w:val="007354A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354A6"/>
    <w:rPr>
      <w:sz w:val="20"/>
      <w:szCs w:val="20"/>
      <w:lang w:val="es-419"/>
    </w:rPr>
  </w:style>
  <w:style w:type="character" w:styleId="Refdenotaalpie">
    <w:name w:val="footnote reference"/>
    <w:basedOn w:val="Fuentedeprrafopredeter"/>
    <w:uiPriority w:val="99"/>
    <w:semiHidden/>
    <w:unhideWhenUsed/>
    <w:rsid w:val="007354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7227/01203916.5120" TargetMode="External"/><Relationship Id="rId18" Type="http://schemas.openxmlformats.org/officeDocument/2006/relationships/hyperlink" Target="https://doi.org/10.4337/9781839102639" TargetMode="External"/><Relationship Id="rId26" Type="http://schemas.openxmlformats.org/officeDocument/2006/relationships/hyperlink" Target="https://doi.org/10.47058/joa10.2" TargetMode="External"/><Relationship Id="rId3" Type="http://schemas.openxmlformats.org/officeDocument/2006/relationships/styles" Target="styles.xml"/><Relationship Id="rId21" Type="http://schemas.openxmlformats.org/officeDocument/2006/relationships/hyperlink" Target="https://doi.org/10.36888/udual.universidades.2018.77.17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111/1468-0432.t01-1-00011" TargetMode="External"/><Relationship Id="rId17" Type="http://schemas.openxmlformats.org/officeDocument/2006/relationships/hyperlink" Target="https://doi.org/10.5209/rced.93115" TargetMode="External"/><Relationship Id="rId25" Type="http://schemas.openxmlformats.org/officeDocument/2006/relationships/hyperlink" Target="https://doi.org/10.17081/just.29.46.7797"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thos.uestatales.cl/wp-content/uploads/dlm_uploads/2024/04/Informe-Ejecutivo-Modelos-Educativos-UE-1.pdf" TargetMode="External"/><Relationship Id="rId20" Type="http://schemas.openxmlformats.org/officeDocument/2006/relationships/hyperlink" Target="https://doi.org/10.15443/codes1998" TargetMode="External"/><Relationship Id="rId29" Type="http://schemas.openxmlformats.org/officeDocument/2006/relationships/hyperlink" Target="https://doi.org/10.7764/PEL.56.1.2019.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4507/epaa.34.8958" TargetMode="External"/><Relationship Id="rId24" Type="http://schemas.openxmlformats.org/officeDocument/2006/relationships/hyperlink" Target="https://doi.org/10.7764/PEL.56.1.2019.8"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nachile.cl/noticias/SiteAssets/Paginas/Forms/AllItems/CyE%20INSTITUCIONAL%20SUBSISTEMA%20UNIVERSITARIO.pdfConnell" TargetMode="External"/><Relationship Id="rId23" Type="http://schemas.openxmlformats.org/officeDocument/2006/relationships/hyperlink" Target="https://doi.org/10.1332/251510819X15471289106077" TargetMode="External"/><Relationship Id="rId28" Type="http://schemas.openxmlformats.org/officeDocument/2006/relationships/hyperlink" Target="https://dx.doi.org/10.4067/S0718-73782019000100105" TargetMode="External"/><Relationship Id="rId10" Type="http://schemas.openxmlformats.org/officeDocument/2006/relationships/hyperlink" Target="https://doi.org/10.12795/revistafuentes.2025.26525" TargetMode="External"/><Relationship Id="rId19" Type="http://schemas.openxmlformats.org/officeDocument/2006/relationships/hyperlink" Target="https://doi.org/10.22201/iisue.20072872e.2025.47.1817" TargetMode="External"/><Relationship Id="rId31" Type="http://schemas.openxmlformats.org/officeDocument/2006/relationships/hyperlink" Target="https://www.umce.cl/files/uploads/2025/10/RESUMEN-EJECUTIVO-Analisis-curricular-con-enfoque-de-genero-o2020-2021.pdf" TargetMode="External"/><Relationship Id="rId4" Type="http://schemas.openxmlformats.org/officeDocument/2006/relationships/settings" Target="settings.xml"/><Relationship Id="rId9" Type="http://schemas.openxmlformats.org/officeDocument/2006/relationships/hyperlink" Target="http://dx.doi.org/10.23854/autoc.v8i3.520" TargetMode="External"/><Relationship Id="rId14" Type="http://schemas.openxmlformats.org/officeDocument/2006/relationships/hyperlink" Target="https://doi.org/10.13043/dys.13.1" TargetMode="External"/><Relationship Id="rId22" Type="http://schemas.openxmlformats.org/officeDocument/2006/relationships/hyperlink" Target="http://dx.doi.org/10.32735/s0718-6568/2021-n59-1590" TargetMode="External"/><Relationship Id="rId27" Type="http://schemas.openxmlformats.org/officeDocument/2006/relationships/hyperlink" Target="https://igualdad.uca.es/wp-content/uploads/2018/09/An%C3%A1lisis-PG-UCA-2-copia.pdf?u" TargetMode="External"/><Relationship Id="rId30" Type="http://schemas.openxmlformats.org/officeDocument/2006/relationships/hyperlink" Target="https://coordinaciongenero.unam.mx/2024/12/pintando-el-curriculo-de-violeta/" TargetMode="External"/><Relationship Id="rId35" Type="http://schemas.openxmlformats.org/officeDocument/2006/relationships/theme" Target="theme/theme1.xml"/><Relationship Id="rId8" Type="http://schemas.openxmlformats.org/officeDocument/2006/relationships/hyperlink" Target="https://dx.doi.org/10.4067/S0718-6851202200010024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B61A2-452F-4FE2-961B-450E96C2B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8874</Words>
  <Characters>48813</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Mariana Gaba</cp:lastModifiedBy>
  <cp:revision>2</cp:revision>
  <dcterms:created xsi:type="dcterms:W3CDTF">2026-06-30T16:53:00Z</dcterms:created>
  <dcterms:modified xsi:type="dcterms:W3CDTF">2026-06-30T16:53:00Z</dcterms:modified>
</cp:coreProperties>
</file>