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rPr>
      </w:pPr>
      <w:r>
        <w:rPr>
          <w:rFonts w:cs="Times New Roman" w:ascii="Times New Roman" w:hAnsi="Times New Roman"/>
        </w:rPr>
      </w:r>
    </w:p>
    <w:p>
      <w:pPr>
        <w:pStyle w:val="BodyText"/>
        <w:jc w:val="center"/>
        <w:rPr>
          <w:rFonts w:ascii="Times New Roman;serif" w:hAnsi="Times New Roman;serif"/>
          <w:b/>
          <w:shd w:fill="FFFFFF" w:val="clear"/>
        </w:rPr>
      </w:pPr>
      <w:bookmarkStart w:id="0" w:name="docs-internal-guid-bed48d26-7fff-fd81-ce"/>
      <w:bookmarkEnd w:id="0"/>
      <w:r>
        <w:rPr>
          <w:rFonts w:cs="Times New Roman" w:ascii="Times New Roman" w:hAnsi="Times New Roman"/>
          <w:b/>
          <w:bCs/>
          <w:color w:val="000000"/>
          <w:shd w:fill="FFFFFF" w:val="clear"/>
        </w:rPr>
        <w:t>El movimiento estudiantil de las universidades de Buenos Aires y La Plata frente a la “misión Ivanissevich” (1974-1975)</w:t>
      </w:r>
    </w:p>
    <w:p>
      <w:pPr>
        <w:pStyle w:val="Normal"/>
        <w:spacing w:lineRule="auto" w:line="240" w:before="0" w:after="0"/>
        <w:jc w:val="right"/>
        <w:rPr>
          <w:rFonts w:ascii="Times New Roman;serif" w:hAnsi="Times New Roman;serif"/>
        </w:rPr>
      </w:pPr>
      <w:r>
        <w:rPr>
          <w:rFonts w:ascii="Times New Roman;serif" w:hAnsi="Times New Roman;serif"/>
        </w:rPr>
      </w:r>
    </w:p>
    <w:p>
      <w:pPr>
        <w:pStyle w:val="Normal"/>
        <w:spacing w:lineRule="auto" w:line="240" w:before="0" w:after="0"/>
        <w:jc w:val="right"/>
        <w:rPr/>
      </w:pPr>
      <w:bookmarkStart w:id="1" w:name="docs-internal-guid-5bdd2024-7fff-3d11-fc"/>
      <w:bookmarkEnd w:id="1"/>
      <w:r>
        <w:rPr>
          <w:rFonts w:cs="Times New Roman" w:ascii="Times New Roman" w:hAnsi="Times New Roman"/>
        </w:rPr>
        <w:t>Pis Diez, Nayla</w:t>
      </w:r>
    </w:p>
    <w:p>
      <w:pPr>
        <w:pStyle w:val="Normal"/>
        <w:spacing w:lineRule="auto" w:line="240" w:before="0" w:after="0"/>
        <w:jc w:val="right"/>
        <w:rPr/>
      </w:pPr>
      <w:bookmarkStart w:id="2" w:name="docs-internal-guid-87de4871-7fff-d7f9-14"/>
      <w:bookmarkEnd w:id="2"/>
      <w:r>
        <w:rPr>
          <w:rFonts w:cs="Times New Roman" w:ascii="Times New Roman" w:hAnsi="Times New Roman"/>
          <w:color w:val="000000"/>
          <w:shd w:fill="FFFFFF" w:val="clear"/>
        </w:rPr>
        <w:t>IdIHCS, UNLP/CONICET</w:t>
      </w:r>
    </w:p>
    <w:p>
      <w:pPr>
        <w:pStyle w:val="Normal"/>
        <w:spacing w:lineRule="auto" w:line="240" w:before="0" w:after="0"/>
        <w:jc w:val="right"/>
        <w:rPr/>
      </w:pPr>
      <w:hyperlink r:id="rId2">
        <w:r>
          <w:rPr>
            <w:rStyle w:val="Hyperlink"/>
            <w:rFonts w:cs="Times New Roman" w:ascii="Times New Roman" w:hAnsi="Times New Roman"/>
            <w:color w:val="auto"/>
          </w:rPr>
          <w:t>nayla.pdiez@gmail.com</w:t>
        </w:r>
      </w:hyperlink>
    </w:p>
    <w:p>
      <w:pPr>
        <w:pStyle w:val="Normal"/>
        <w:spacing w:lineRule="auto" w:line="240" w:before="0" w:after="0"/>
        <w:jc w:val="right"/>
        <w:rPr>
          <w:rFonts w:ascii="Times New Roman" w:hAnsi="Times New Roman" w:cs="Times New Roman"/>
          <w:color w:val="000000"/>
          <w:shd w:fill="FFFFFF" w:val="clear"/>
        </w:rPr>
      </w:pPr>
      <w:r>
        <w:rPr>
          <w:rFonts w:cs="Times New Roman" w:ascii="Times New Roman" w:hAnsi="Times New Roman"/>
          <w:color w:val="000000"/>
          <w:shd w:fill="FFFFFF" w:val="clear"/>
        </w:rPr>
      </w:r>
    </w:p>
    <w:p>
      <w:pPr>
        <w:pStyle w:val="Normal"/>
        <w:spacing w:lineRule="auto" w:line="240" w:before="0" w:after="0"/>
        <w:jc w:val="right"/>
        <w:rPr>
          <w:rFonts w:ascii="Times New Roman;serif" w:hAnsi="Times New Roman;serif"/>
        </w:rPr>
      </w:pPr>
      <w:r>
        <w:rPr>
          <w:rFonts w:cs="Times New Roman" w:ascii="Times New Roman" w:hAnsi="Times New Roman"/>
          <w:color w:val="000000"/>
          <w:shd w:fill="FFFFFF" w:val="clear"/>
        </w:rPr>
        <w:t>Seia, Guadalupe</w:t>
      </w:r>
    </w:p>
    <w:p>
      <w:pPr>
        <w:pStyle w:val="Normal"/>
        <w:spacing w:lineRule="auto" w:line="240" w:before="0" w:after="0"/>
        <w:jc w:val="right"/>
        <w:rPr>
          <w:rFonts w:ascii="Times New Roman;serif" w:hAnsi="Times New Roman;serif"/>
          <w:shd w:fill="FFFFFF" w:val="clear"/>
        </w:rPr>
      </w:pPr>
      <w:bookmarkStart w:id="3" w:name="docs-internal-guid-755d2ab8-7fff-80e9-5a"/>
      <w:bookmarkEnd w:id="3"/>
      <w:r>
        <w:rPr>
          <w:rFonts w:cs="Times New Roman" w:ascii="Times New Roman" w:hAnsi="Times New Roman"/>
          <w:color w:val="000000"/>
          <w:shd w:fill="FFFFFF" w:val="clear"/>
        </w:rPr>
        <w:t>IHAyA “Dr. Emilio Ravignani”, UBA/CONICET</w:t>
      </w:r>
    </w:p>
    <w:p>
      <w:pPr>
        <w:pStyle w:val="BodyText"/>
        <w:spacing w:lineRule="auto" w:line="240" w:before="0" w:after="0"/>
        <w:jc w:val="right"/>
        <w:rPr/>
      </w:pPr>
      <w:hyperlink r:id="rId3">
        <w:r>
          <w:rPr>
            <w:rStyle w:val="Hyperlink"/>
            <w:rFonts w:ascii="Times New Roman;serif" w:hAnsi="Times New Roman;serif"/>
            <w:color w:val="000000"/>
            <w:shd w:fill="FFFFFF" w:val="clear"/>
          </w:rPr>
          <w:t>guadalupeseia@gmail.com</w:t>
        </w:r>
      </w:hyperlink>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tabs>
          <w:tab w:val="clear" w:pos="708"/>
          <w:tab w:val="center" w:pos="4252" w:leader="none"/>
          <w:tab w:val="right" w:pos="8504" w:leader="none"/>
        </w:tabs>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jc w:val="both"/>
        <w:rPr/>
      </w:pPr>
      <w:r>
        <w:rPr>
          <w:rFonts w:cs="Times New Roman" w:ascii="Times New Roman" w:hAnsi="Times New Roman"/>
          <w:b/>
          <w:bCs/>
          <w:lang w:val="en-US"/>
        </w:rPr>
        <w:t>Resumen</w:t>
      </w:r>
    </w:p>
    <w:p>
      <w:pPr>
        <w:pStyle w:val="Normal"/>
        <w:spacing w:lineRule="auto" w:line="240"/>
        <w:jc w:val="both"/>
        <w:rPr>
          <w:lang w:val="es-AR"/>
        </w:rPr>
      </w:pPr>
      <w:bookmarkStart w:id="4" w:name="docs-internal-guid-0687ec39-7fff-6aad-f4"/>
      <w:bookmarkEnd w:id="4"/>
      <w:r>
        <w:rPr>
          <w:rFonts w:cs="Times New Roman" w:ascii="Times New Roman" w:hAnsi="Times New Roman"/>
          <w:color w:val="000000"/>
          <w:shd w:fill="FFFFFF" w:val="clear"/>
          <w:lang w:val="es-AR"/>
        </w:rPr>
        <w:tab/>
        <w:t>La presente ponencia se inscribe en el cruce interdisciplinario de los campos de estudios sobre los movimientos estudiantiles, las izquierdas y las juventudes en el marco de la Guerra Fría Latinoamericana. A 50 años del golpe de estado de 1976, las investigaciones sobre la etapa previa al 24 de marzo se han multiplicado a partir de estudio de caso locales, por ejemplo, sobre lo acontecido en diferentes universidades del país. </w:t>
      </w:r>
    </w:p>
    <w:p>
      <w:pPr>
        <w:pStyle w:val="BodyText"/>
        <w:spacing w:lineRule="auto" w:line="240" w:before="0" w:after="20"/>
        <w:ind w:firstLine="567"/>
        <w:jc w:val="both"/>
        <w:rPr>
          <w:rFonts w:ascii="Times New Roman;serif" w:hAnsi="Times New Roman;serif"/>
          <w:shd w:fill="FFFFFF" w:val="clear"/>
        </w:rPr>
      </w:pPr>
      <w:r>
        <w:rPr>
          <w:rFonts w:ascii="Times New Roman;serif" w:hAnsi="Times New Roman;serif"/>
          <w:color w:val="000000"/>
          <w:shd w:fill="FFFFFF" w:val="clear"/>
        </w:rPr>
        <w:t>En ese marco, nos proponemos avanzar en una indagación de carácter comparativo sobre los procesos de resistencia que marcaron a las universidades de Buenos Aires y La Plata entre 1974 y 1975, desde la llegada del Oscar Ivanissevich al Ministerio de Educación hasta su salida. En particular, analizaremos las posiciones, prácticas y estrategias desarrolladas por los grupos estudiantiles reformistas, de izquierdas y peronistas ante determinadas políticas, medidas y sucesos como la intervención de las casas de estudio, el avance represivo, los cambios en las modalidades de ingreso, la sanción de la ley universitaria 20.654 en 1974, los comicios estudiantiles, entre otros. El foco estará en las acciones de resistencia y en las posiciones que, en este contexto, promovieron u obstaculizaron la unificación gremial del movimiento estudiantil.</w:t>
      </w:r>
    </w:p>
    <w:p>
      <w:pPr>
        <w:pStyle w:val="Normal"/>
        <w:spacing w:lineRule="auto" w:line="240"/>
        <w:jc w:val="both"/>
        <w:rPr/>
      </w:pPr>
      <w:r>
        <w:rPr/>
      </w:r>
    </w:p>
    <w:p>
      <w:pPr>
        <w:pStyle w:val="Normal"/>
        <w:spacing w:lineRule="auto" w:line="240"/>
        <w:jc w:val="both"/>
        <w:rPr/>
      </w:pPr>
      <w:r>
        <w:rPr>
          <w:rFonts w:cs="Times New Roman" w:ascii="Times New Roman" w:hAnsi="Times New Roman"/>
          <w:b/>
          <w:bCs/>
        </w:rPr>
        <w:t xml:space="preserve">Palabras clave: </w:t>
      </w:r>
      <w:r>
        <w:rPr>
          <w:rFonts w:cs="Times New Roman" w:ascii="Times New Roman" w:hAnsi="Times New Roman"/>
          <w:color w:val="000000"/>
        </w:rPr>
        <w:t>Misión Ivanissevich, Movimiento Estudiantil, Enfoque comparado, Resistencia.</w:t>
      </w:r>
    </w:p>
    <w:p>
      <w:pPr>
        <w:pStyle w:val="Normal"/>
        <w:spacing w:lineRule="auto" w:line="240"/>
        <w:rPr/>
      </w:pPr>
      <w:r>
        <w:rPr/>
      </w:r>
    </w:p>
    <w:p>
      <w:pPr>
        <w:pStyle w:val="Normal"/>
        <w:spacing w:lineRule="auto" w:line="240"/>
        <w:rPr/>
      </w:pPr>
      <w:r>
        <w:rPr>
          <w:rFonts w:cs="Times New Roman" w:ascii="Times New Roman" w:hAnsi="Times New Roman"/>
          <w:b/>
          <w:bCs/>
        </w:rPr>
        <w:t>Introducción</w:t>
      </w:r>
    </w:p>
    <w:p>
      <w:pPr>
        <w:pStyle w:val="BodyText"/>
        <w:spacing w:lineRule="auto" w:line="240"/>
        <w:jc w:val="both"/>
        <w:rPr>
          <w:rFonts w:ascii="Times New Roman;serif" w:hAnsi="Times New Roman;serif"/>
          <w:shd w:fill="FFFFFF" w:val="clear"/>
        </w:rPr>
      </w:pPr>
      <w:bookmarkStart w:id="5" w:name="docs-internal-guid-40772d74-7fff-20b6-81"/>
      <w:bookmarkEnd w:id="5"/>
      <w:r>
        <w:rPr>
          <w:rFonts w:cs="Times New Roman" w:ascii="Times New Roman" w:hAnsi="Times New Roman"/>
          <w:color w:val="000000"/>
          <w:shd w:fill="FFFFFF" w:val="clear"/>
        </w:rPr>
        <w:tab/>
        <w:t>La presente ponencia se inscribe en el cruce interdisciplinario de los campos de estudios sobre historia de las universidades, los movimientos estudiantiles y las juventudes en el marco de la Guerra Fría Latinoamericana. A 50 años del golpe de estado de 1976, las investigaciones sobre la etapa previa al 24 de marzo se han multiplicado a partir de estudio de caso locales, por ejemplo, sobre lo acontecido en diferentes universidades del país. </w:t>
      </w:r>
    </w:p>
    <w:p>
      <w:pPr>
        <w:pStyle w:val="BodyText"/>
        <w:spacing w:lineRule="auto" w:line="240" w:before="0" w:after="20"/>
        <w:ind w:firstLine="567"/>
        <w:jc w:val="both"/>
        <w:rPr>
          <w:rFonts w:ascii="Times New Roman;serif" w:hAnsi="Times New Roman;serif"/>
          <w:shd w:fill="FFFFFF" w:val="clear"/>
        </w:rPr>
      </w:pPr>
      <w:r>
        <w:rPr>
          <w:rFonts w:ascii="Times New Roman;serif" w:hAnsi="Times New Roman;serif"/>
          <w:color w:val="000000"/>
          <w:shd w:fill="FFFFFF" w:val="clear"/>
        </w:rPr>
        <w:t>En ese marco, nos proponemos avanzar en una indagación de carácter comparativo sobre las dinámicas contenciosas que marcaron a las universidades de Buenos Aires (UBA) y La Plata (UNLP) entre 1974 y 1975, desde la llegada de Oscar Ivanissevich al Ministerio de Educación hasta su salida en agosto de 1975, en el transcurso del mandato constitucional de María Estela Martínez de Perón. Por las características explícitas de su gestión, contrarias a la participación política estudiantil y a las transformaciones que tuvieron lugar entre 1973 y 1974, este período es conocido como la “misión Ivanissevich”. En ese marco, al iniciarse el mes de septiembre, el entrante ministro designó a Alberto Ottalagano como rector interventor de la UBA, quien clausuró las Facultades y habilitó el despliegue represivo sobre el estudiantado. En La Plata, dicha misión comenzó en noviembre de 1975 cuando asumió la función interventor, Pedro Arrighi.</w:t>
      </w:r>
    </w:p>
    <w:p>
      <w:pPr>
        <w:pStyle w:val="BodyText"/>
        <w:spacing w:lineRule="auto" w:line="240" w:before="0" w:after="20"/>
        <w:ind w:firstLine="567"/>
        <w:jc w:val="both"/>
        <w:rPr/>
      </w:pPr>
      <w:r>
        <w:rPr>
          <w:rFonts w:ascii="Times New Roman;serif" w:hAnsi="Times New Roman;serif"/>
          <w:color w:val="000000"/>
          <w:shd w:fill="FFFFFF" w:val="clear"/>
        </w:rPr>
        <w:t>Observamos que el período en cuestión ha sido ya analizado desde el punto de vista de sus transformaciones institucionales y los proyectos de gestión que las autoridades anunciaron y ejecutaron en las principales casas de estudio del país. Por esto, aquí tomaremos como antecedentes los estudios sobre dicho aspecto que se han centrado en la “misión Ivanissevich” (Izaguirre, 2011</w:t>
      </w:r>
      <w:r>
        <w:rPr>
          <w:rFonts w:ascii="Times New Roman;serif" w:hAnsi="Times New Roman;serif"/>
          <w:color w:val="000000"/>
          <w:shd w:fill="auto" w:val="clear"/>
        </w:rPr>
        <w:t>; Franco, 2012; Rodríguez, 2015; Abbattista y Ramírez, 2022), en las gestiones de la UNLP (Abbattista y Carnagui, 2014; Rodríguez, 2014; Lanteri y Meschiany, 2021) y la UBA (Besoky, 2017; Seia, 2016).</w:t>
      </w:r>
      <w:r>
        <w:rPr>
          <w:rFonts w:ascii="Times New Roman;serif" w:hAnsi="Times New Roman;serif"/>
          <w:color w:val="000000"/>
          <w:shd w:fill="FFFF00" w:val="clear"/>
        </w:rPr>
        <w:t xml:space="preserve"> </w:t>
      </w:r>
      <w:r>
        <w:rPr>
          <w:rFonts w:ascii="Times New Roman;serif" w:hAnsi="Times New Roman;serif"/>
          <w:color w:val="000000"/>
          <w:shd w:fill="FFFFFF" w:val="clear"/>
        </w:rPr>
        <w:t>Como sostienen estos trabajos, estas se guiaron por el objetivo expreso de “combatir” el “desorden” y “eliminar” a la llamada “subversión” en los ámbitos educativos; dar marcha atrás con el ingreso irrestricto y evitar la reinstauración del gobierno tripartito en las universidades.</w:t>
      </w:r>
    </w:p>
    <w:p>
      <w:pPr>
        <w:pStyle w:val="BodyText"/>
        <w:spacing w:lineRule="auto" w:line="240" w:before="0" w:after="20"/>
        <w:ind w:firstLine="567"/>
        <w:jc w:val="both"/>
        <w:rPr/>
      </w:pPr>
      <w:r>
        <w:rPr>
          <w:rFonts w:ascii="Times New Roman;serif" w:hAnsi="Times New Roman;serif"/>
          <w:color w:val="000000"/>
          <w:shd w:fill="FFFFFF" w:val="clear"/>
        </w:rPr>
        <w:t xml:space="preserve">Creemos que dicho acumulado contrasta con la relativa escasez de investigaciones que analicen la conflictividad universitaria de los años 1974 y 1975 que son, sin duda, la “antesala” del último golpe de Estado que sufrió nuestro país. El caso de la UBA ha concentrado mayor atención (Friedemann, 2015; Millán y Seia, 2021; Califa y Millán, 2023); para la UNLP, las investigaciones son más recientes y no llegan a 1975 (Pis Diez, 2025). En este último caso, contrasta aún más con los estudios sobre la Concentración Nacional Universitaria, banda paraestatal armada de derecha peronista, que actuaba reprimiendo y asesinando a la militancia y sobre la cual se han realizado importantes trabajos de reconstrucción (Cecchini y Elizalde, 2013; Carnagui, 2021; Besoky, </w:t>
      </w:r>
      <w:r>
        <w:rPr>
          <w:rFonts w:ascii="Times New Roman;serif" w:hAnsi="Times New Roman;serif"/>
          <w:color w:val="000000"/>
        </w:rPr>
        <w:t>2017</w:t>
      </w:r>
      <w:r>
        <w:rPr>
          <w:rFonts w:ascii="Times New Roman;serif" w:hAnsi="Times New Roman;serif"/>
          <w:color w:val="000000"/>
          <w:shd w:fill="FFFFFF" w:val="clear"/>
        </w:rPr>
        <w:t>). </w:t>
      </w:r>
    </w:p>
    <w:p>
      <w:pPr>
        <w:pStyle w:val="BodyText"/>
        <w:spacing w:lineRule="auto" w:line="240" w:before="0" w:after="20"/>
        <w:ind w:firstLine="567"/>
        <w:jc w:val="both"/>
        <w:rPr/>
      </w:pPr>
      <w:r>
        <w:rPr>
          <w:rFonts w:ascii="Times New Roman;serif" w:hAnsi="Times New Roman;serif"/>
          <w:color w:val="000000"/>
          <w:shd w:fill="FFFFFF" w:val="clear"/>
        </w:rPr>
        <w:t>En concreto, en este texto indagamos sobre las acciones de resistencia que los grupos estudiantiles realizaron o intentaron concretar frente a la iniciativa de las gestiones enmarcadas en la “misión Ivanissevich” en la UBA y la UNLP. Así,analizaremos las posiciones, los discursos y las acciones desarrolladas por la Federación Universitaria para la Liberación Nacional de la UBA (FULNBA) y la Federación Universitaria de La Plata (FULP). En 1974, ambas federaciones eran presididas por la la Juventud Universitaria Peronista (JUP</w:t>
      </w:r>
      <w:r>
        <w:rPr>
          <w:rFonts w:ascii="Times New Roman;serif" w:hAnsi="Times New Roman;serif"/>
          <w:color w:val="000000"/>
        </w:rPr>
        <w:t>) y confluyeron en la fundación del Consejo Nacional de Centros y Federaciones (CNFC). Este espacio nucleaba al peronismo revolucionario, el comunismo y un sector del radicalismo, identificado con el liderazgo de Ricardo Balbín. Aquí nos proponemos contribuir al estudio de la experiencia del CNFC, sobre la que poco se conoce más allá de su enfrentamiento con la Federación Universitaria Argentina (FUA) que, en ese momento, reunía a la la fracción del radicalismo identificada con Raúl Alfonsín, al socialismo y al comunismo revolucionario. Entonces, a partir del análisis del accionar y el discurso de la FULP y la FULNBA entre 1974 y 1975, reconstruiremos: i) las estrategias y repertorios de resistencia frente a las políticas, medidas y sucesos de la “misión Ivanissevich”, y ii)</w:t>
      </w:r>
      <w:r>
        <w:rPr>
          <w:color w:val="000000"/>
          <w:shd w:fill="FFFFFF" w:val="clear"/>
        </w:rPr>
        <w:t xml:space="preserve"> </w:t>
      </w:r>
      <w:r>
        <w:rPr>
          <w:rFonts w:ascii="Times New Roman;serif" w:hAnsi="Times New Roman;serif"/>
          <w:color w:val="000000"/>
          <w:shd w:fill="FFFFFF" w:val="clear"/>
        </w:rPr>
        <w:t>las acciones y discursos que promovieron u obstaculizaron la unificación del movimiento estudiantil nacional.</w:t>
      </w:r>
    </w:p>
    <w:p>
      <w:pPr>
        <w:pStyle w:val="BodyText"/>
        <w:spacing w:lineRule="auto" w:line="240" w:before="0" w:after="20"/>
        <w:ind w:firstLine="567"/>
        <w:jc w:val="both"/>
        <w:rPr/>
      </w:pPr>
      <w:r>
        <w:rPr>
          <w:rFonts w:ascii="Times New Roman;serif" w:hAnsi="Times New Roman;serif"/>
          <w:color w:val="000000"/>
          <w:shd w:fill="FFFFFF" w:val="clear"/>
        </w:rPr>
        <w:t>Para la elaboración de esta ponencia, recurrimos al análisis de fuentes documentales diversas. Los datos aquí presentados surgen del trabajo con un diario de tirada nacional (</w:t>
      </w:r>
      <w:r>
        <w:rPr>
          <w:rFonts w:ascii="Times New Roman;serif" w:hAnsi="Times New Roman;serif"/>
          <w:i/>
          <w:color w:val="000000"/>
          <w:shd w:fill="FFFFFF" w:val="clear"/>
        </w:rPr>
        <w:t>La Opinión</w:t>
      </w:r>
      <w:r>
        <w:rPr>
          <w:rFonts w:ascii="Times New Roman;serif" w:hAnsi="Times New Roman;serif"/>
          <w:color w:val="000000"/>
          <w:shd w:fill="FFFFFF" w:val="clear"/>
        </w:rPr>
        <w:t>) y uno local (</w:t>
      </w:r>
      <w:r>
        <w:rPr>
          <w:rFonts w:ascii="Times New Roman;serif" w:hAnsi="Times New Roman;serif"/>
          <w:i/>
          <w:color w:val="000000"/>
          <w:shd w:fill="FFFFFF" w:val="clear"/>
        </w:rPr>
        <w:t>El Día</w:t>
      </w:r>
      <w:r>
        <w:rPr>
          <w:rFonts w:ascii="Times New Roman;serif" w:hAnsi="Times New Roman;serif"/>
          <w:color w:val="000000"/>
          <w:shd w:fill="FFFFFF" w:val="clear"/>
        </w:rPr>
        <w:t>). La información relativa a movilizaciones y reuniones proviene de ambas fuentes, salvo que indiquemos lo contrario. Hemos consultado revistas y publicaciones de los grupos políticos antes mencionados que, en caso de ser utilizadas, serán debidamente citadas. </w:t>
      </w:r>
    </w:p>
    <w:p>
      <w:pPr>
        <w:pStyle w:val="Normal"/>
        <w:spacing w:lineRule="auto" w:line="240"/>
        <w:jc w:val="both"/>
        <w:rPr/>
      </w:pPr>
      <w:r>
        <w:rPr/>
      </w:r>
    </w:p>
    <w:p>
      <w:pPr>
        <w:pStyle w:val="BodyText"/>
        <w:spacing w:lineRule="auto" w:line="240"/>
        <w:rPr>
          <w:rFonts w:ascii="Times New Roman;serif" w:hAnsi="Times New Roman;serif"/>
          <w:b/>
          <w:shd w:fill="FFFFFF" w:val="clear"/>
        </w:rPr>
      </w:pPr>
      <w:bookmarkStart w:id="6" w:name="docs-internal-guid-40384740-7fff-c0fc-a4"/>
      <w:bookmarkEnd w:id="6"/>
      <w:r>
        <w:rPr>
          <w:rFonts w:cs="Times New Roman" w:ascii="Times New Roman" w:hAnsi="Times New Roman"/>
          <w:b/>
          <w:bCs/>
          <w:color w:val="000000"/>
          <w:shd w:fill="FFFFFF" w:val="clear"/>
        </w:rPr>
        <w:t>Contra “la misión del caos y la destrucción”</w:t>
      </w:r>
    </w:p>
    <w:p>
      <w:pPr>
        <w:pStyle w:val="BodyText"/>
        <w:spacing w:lineRule="auto" w:line="240" w:before="0" w:after="20"/>
        <w:jc w:val="both"/>
        <w:rPr/>
      </w:pPr>
      <w:r>
        <w:rPr>
          <w:rFonts w:ascii="Times New Roman;serif" w:hAnsi="Times New Roman;serif"/>
          <w:color w:val="000000"/>
          <w:shd w:fill="FFFFFF" w:val="clear"/>
        </w:rPr>
        <w:tab/>
        <w:t>El primero de julio, falleció el General Juan D. Perón. Fue este un hecho de honda y nacional importancia que abre la segunda parte de 1974. Pasados los tres días de duelo nacional asumió la presidencia, María Estela Martínez de Perón. Como indica la bibliografía, esto marcó un “salto cualitativo” en la tendencia autoritaria gubernamental que había comenzado en 1973, con la sanción de la Ley de Seguridad Nacional de septiembre, que establecía “penalidades” para una amplia y difusa gama de “actividades subversivas” (Franco, 2012, p. 112 y 118). Asimismo, comenzó una escalada de violencia y asesinatos por parte de las organizaciones armadas de izquierda y los grupos paraestatales que, como ha sido estudiado, la prensa mostraba de forma caótica y como justificación para el reclamo de mayor represió</w:t>
      </w:r>
      <w:r>
        <w:rPr>
          <w:rFonts w:ascii="Times New Roman;serif" w:hAnsi="Times New Roman;serif"/>
          <w:color w:val="000000"/>
        </w:rPr>
        <w:t>n (Franco, 2012, p. 114). En La Plata, la CNU orientó su accionar al secuestro y asesinato de militantes de variadas tendencias y ámbitos, amparada por el gobierno provincial e inserta en el entramado represivo estatal (Carnagui, 2021). En junio la CNU asesino a un militante de JP y en julio y agosto Montoneros, asesinó a dos de los máximos dirigentes de CNU. En represalia, la organización de derecha asesinó cuatro militantes peronistas con “colaboración” de la Alianza Anticomunista Argentina (AAA o Triple A) (Cecchini y Elizalde, 2013,</w:t>
      </w:r>
      <w:r>
        <w:rPr>
          <w:color w:val="000000"/>
        </w:rPr>
        <w:t xml:space="preserve"> </w:t>
      </w:r>
      <w:r>
        <w:rPr>
          <w:rFonts w:ascii="Times New Roman;serif" w:hAnsi="Times New Roman;serif"/>
          <w:color w:val="000000"/>
        </w:rPr>
        <w:t>p.178). En Buenos Aires, decanos de la UBA afines a la JUP como Raúl Laguzzi y Adriana Puigross sufrieron atentados en sus respectivos domicilios, suceso que le costó la vida al hijo menor de él. Para la última parte de 1974, Califa y Millán (2023) contabi</w:t>
      </w:r>
      <w:r>
        <w:rPr>
          <w:rFonts w:ascii="Times New Roman;serif" w:hAnsi="Times New Roman;serif"/>
          <w:color w:val="000000"/>
          <w:shd w:fill="FFFFFF" w:val="clear"/>
        </w:rPr>
        <w:t>lizan 26 ataques contra el movimiento estudiantil en dicha universidad, autoridades salientes y docentes que incluyeron 14 asesinatos (entre ellos Armando Ricciotti, Daniel Winer y Rodolfo Ortega Peña) y la desaparición de un estudiante de Arquitectura. </w:t>
      </w:r>
    </w:p>
    <w:p>
      <w:pPr>
        <w:pStyle w:val="BodyText"/>
        <w:spacing w:lineRule="auto" w:line="240" w:before="0" w:after="20"/>
        <w:ind w:firstLine="720"/>
        <w:jc w:val="both"/>
        <w:rPr>
          <w:rFonts w:ascii="Times New Roman;serif" w:hAnsi="Times New Roman;serif"/>
          <w:shd w:fill="FFFFFF" w:val="clear"/>
        </w:rPr>
      </w:pPr>
      <w:r>
        <w:rPr>
          <w:rFonts w:ascii="Times New Roman;serif" w:hAnsi="Times New Roman;serif"/>
          <w:color w:val="000000"/>
          <w:shd w:fill="FFFFFF" w:val="clear"/>
        </w:rPr>
        <w:t>En agosto tuvo lugar nuestro punto de partida: con la renuncia del Ministro de Educación Jorge Taiana, quien mantenía una relación de cercanía con los grupos identificados con Montoneros, asumió Oscar Ivanissevich con un discurso que abiertamente buscaba desarmar las medidas académicas e institucionales de la gestión anterior. </w:t>
      </w:r>
    </w:p>
    <w:p>
      <w:pPr>
        <w:pStyle w:val="BodyText"/>
        <w:spacing w:lineRule="auto" w:line="240" w:before="0" w:after="20"/>
        <w:ind w:firstLine="709"/>
        <w:jc w:val="both"/>
        <w:rPr/>
      </w:pPr>
      <w:r>
        <w:rPr>
          <w:rFonts w:ascii="Times New Roman;serif" w:hAnsi="Times New Roman;serif"/>
          <w:color w:val="000000"/>
          <w:shd w:fill="FFFFFF" w:val="clear"/>
        </w:rPr>
        <w:t xml:space="preserve">Nada de esto escapaba a los actores: a los pocos días de la renuncia, la FULP y los Centros “para la Liberación Nacional” de Arquitectura y Odontología convocaron a asambleas por facultades y una movilización que terminó en una concentración de 700 personas, que llamó a la “defensa” de la intervención y del “proceso iniciado el 25 de mayo de 1973”. En Buenos Aires, el 15 de agosto tuvo lugar una movilización que convocó entre 5000 y 6000 personas, interrumpida por la Policía. </w:t>
      </w:r>
      <w:r>
        <w:rPr>
          <w:rFonts w:ascii="Times New Roman;serif" w:hAnsi="Times New Roman;serif"/>
          <w:color w:val="000000"/>
        </w:rPr>
        <w:t>Los centros de estudiantes de la UBA y la mayoría de las corrientes repudiaron a Ivanissevich. En contrapartida, el Frente Estudiantil Nacional (FEN), varias agrupaciones de derechas y La Lealtad, escindido de Montoneros, apoyaron al ministro (Califa y Millán, 2023: 174-177). Así, las Facultades fueron ocupadas, se llevaron a cabo asambleas y otras concentraciones contra la nueva designación.</w:t>
      </w:r>
    </w:p>
    <w:p>
      <w:pPr>
        <w:pStyle w:val="BodyText"/>
        <w:spacing w:lineRule="auto" w:line="240" w:before="0" w:after="20"/>
        <w:ind w:firstLine="567"/>
        <w:jc w:val="both"/>
        <w:rPr>
          <w:rFonts w:ascii="Times New Roman;serif" w:hAnsi="Times New Roman;serif"/>
          <w:shd w:fill="FFFFFF" w:val="clear"/>
        </w:rPr>
      </w:pPr>
      <w:r>
        <w:rPr>
          <w:rFonts w:ascii="Times New Roman;serif" w:hAnsi="Times New Roman;serif"/>
          <w:color w:val="000000"/>
          <w:shd w:fill="FFFFFF" w:val="clear"/>
        </w:rPr>
        <w:t>La “misión” se hizo sentir rápidamente en las Facultades de la UBA a partir de la inmediata designación de Alberto Ottalagano como rector interventor, en septiembre de 1974. Este, amparado en la ley universitaria, dispuso el cierre de las unidades académicas, la intervención de los Centros de Estudiantes (sus locales fueron ocupados por fuerzas policiales y parapoliciales) y la prohibición de las asambleas. Como el acceso a las Facultades no era posible, el estudiantado se reunió en el Hospital de Clínicas para reclamar la reapertura de la universidad. También, durante septiembre y octubre, se desarrollaron otras iniciativa por fuera de los claustros, las agrupaciones estudiantiles y la FULNBA llevaron adelante pintadas, volanteadas, concentraciones y actos relámpago, acciones interrumpidas por la policía que además detenía a los participantes de a decenas. </w:t>
      </w:r>
    </w:p>
    <w:p>
      <w:pPr>
        <w:pStyle w:val="BodyText"/>
        <w:spacing w:lineRule="auto" w:line="240" w:before="0" w:after="20"/>
        <w:ind w:firstLine="709"/>
        <w:jc w:val="both"/>
        <w:rPr/>
      </w:pPr>
      <w:r>
        <w:rPr>
          <w:rFonts w:ascii="Times New Roman;serif" w:hAnsi="Times New Roman;serif"/>
          <w:color w:val="000000"/>
          <w:shd w:fill="FFFFFF" w:val="clear"/>
        </w:rPr>
        <w:t>Mientras la UBA permanecía clausurada, en la UNLP se desarrolló el proceso electoral en los Centros de Estudiantes, siendo la primera vez que JUP se presentaba en muchos de ellos. Franja Morada y MOR obtuvieron importantes triunfos, por ejemplo, en Derecho la primera, en Medicina y Exactas la segunda. En Ingeniería triunfó un grupo independiente y</w:t>
      </w:r>
      <w:r>
        <w:rPr>
          <w:color w:val="000000"/>
          <w:shd w:fill="FFFFFF" w:val="clear"/>
        </w:rPr>
        <w:t xml:space="preserve"> </w:t>
      </w:r>
      <w:r>
        <w:rPr>
          <w:rFonts w:ascii="Times New Roman;serif" w:hAnsi="Times New Roman;serif"/>
          <w:color w:val="000000"/>
          <w:shd w:fill="FFFFFF" w:val="clear"/>
        </w:rPr>
        <w:t>JUP lo hizo en Humanidades, Naturales y Museo, y ya dirigía Odontología y Arquitectura, además de quedar en segundo lugar en facultades importantes como Ingeniería, Medicina y Exactas. Por entonces, en varias Facultades funcionaban  Cuerpos de Delegados, con una Coordinadora propia que actuó en sintonía con la FULP y los Centros de Estudiantes.</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El mes de octubre fue una especie de quiebre para la UNLP: el clima de violencia paraestatal y represión comenzaba a transformar los espacios y la dinámica de la militancia local. El 3 de octubre, la FULP junto a los gremios de docentes y no docentes (ATULP y ATUDI) realizaron un acto al que asistieron 5000 personas en rechazo a la “misión” y a la intervención de Alberto Ottalagano en la UBA (fueron invitadas autoridades y militantes de esta última). El evento concluyó con una feroz represión policial y un estudiante internado en estado crítico. Solo cinco días después, la CNU secuestró y asesinó a Rodolfo Achem y Carlos Miguel, dos reconocidos militantes y funcionarios clave de la gestión universitaria. Su despedida convocó una masiva movilización hacia el Cementerio de La Plata que fue reprimida por las fuerzas de seguridad. La FULP lanzó un Plan de Lucha, suspendió las elecciones en los Centros y se llamó al “estado de movilización permanente”. Aunque la entidad no perdió iniciativa, las condiciones estaban cambiando.</w:t>
      </w:r>
    </w:p>
    <w:p>
      <w:pPr>
        <w:pStyle w:val="BodyText"/>
        <w:spacing w:lineRule="auto" w:line="240" w:before="0" w:after="20"/>
        <w:ind w:firstLine="709"/>
        <w:jc w:val="both"/>
        <w:rPr/>
      </w:pPr>
      <w:r>
        <w:rPr>
          <w:rFonts w:ascii="Times New Roman;serif" w:hAnsi="Times New Roman;serif"/>
          <w:color w:val="000000"/>
          <w:shd w:fill="FFFFFF" w:val="clear"/>
        </w:rPr>
        <w:t>Luego de aquellos hechos, la UNLP fue clausurada, renunció su Rector Interventor Francisco Camperchioli y buena parte de las autoridades de las Facultades. En noviembre, asumió Pedro Arrighi quien dio comienzo a la “misión” en La Plata: instaló un modelo de corte autoritario, abiertamente represivo y contrario a la participación política estudiantil. Frente a ello, la FULP anunció movilizaciones,</w:t>
      </w:r>
      <w:r>
        <w:rPr>
          <w:color w:val="000000"/>
          <w:shd w:fill="FFFFFF" w:val="clear"/>
        </w:rPr>
        <w:t xml:space="preserve"> </w:t>
      </w:r>
      <w:r>
        <w:rPr>
          <w:rFonts w:ascii="Times New Roman;serif" w:hAnsi="Times New Roman;serif"/>
          <w:color w:val="000000"/>
          <w:shd w:fill="FFFFFF" w:val="clear"/>
        </w:rPr>
        <w:t>denunciando el cierre de las Facultades, los despidos y cesantías de docentes y trabajadores y exigiendo el libre accionar de los organismos gremiales y políticos.</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Es que la determinación de las autoridades, para modificar la vida académica y política de la UNLP, era evidente. Meschiany y Lanteri (2021) destacan que entre el 21 y 22 de noviembre, se dictó una veintena de resoluciones con esos fines. Por ejemplo, la Resolución n.º 13 prohibió la realización de actos y asambleas dentro de la UNLP y la n.º 49 ceñía la actividad de los Centros de Estudiantes a la función gremial, prohibiéndose toda actividad política so pena de clausura y en declarada sintonía con el Artículo n.º 5 de la Ley Taiana.</w:t>
      </w:r>
    </w:p>
    <w:p>
      <w:pPr>
        <w:pStyle w:val="BodyText"/>
        <w:spacing w:lineRule="auto" w:line="240" w:before="0" w:after="20"/>
        <w:ind w:firstLine="709"/>
        <w:jc w:val="both"/>
        <w:rPr/>
      </w:pPr>
      <w:r>
        <w:rPr>
          <w:rFonts w:ascii="Times New Roman;serif" w:hAnsi="Times New Roman;serif"/>
          <w:color w:val="000000"/>
          <w:shd w:fill="FFFFFF" w:val="clear"/>
        </w:rPr>
        <w:t>Frente a ello, los organismos gremiales estudiantiles, docentes y no docentes en conjunto, resistieron e intentaron no perder iniciativa. En La Plata, ATUDI y algunos Centros sostuvieron las clases en locales partidarios y domicilios. En la UBA, tuvieron lugar dos huelgas protagonizadas por el estudiantado; se realizaron asambleas de varios miles de asistentes que fueron objeto de detenciones. Entre las mismas sobresalió el apresamiento de dos dirigentes de la FULNBA, Miguel Talento y Pablo Ve</w:t>
      </w:r>
      <w:r>
        <w:rPr>
          <w:rFonts w:ascii="Times New Roman;serif" w:hAnsi="Times New Roman;serif"/>
          <w:color w:val="000000"/>
        </w:rPr>
        <w:t>ntura. En los primeros días de noviembre, en La Plata fueron apresados también Jorge “Pampa” Alvaro y Manuel Pedreira, dirigentes locales y nacionales de JUP.</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En ese momento, además, en las diferentes universidades del país se discutía la posibilidad de materializar el Congreso Unificador del Movimiento Estudiantil, postergado desde marzo. Para ello se esperaba contar con los resultados de los comicios estudiantiles que en la universidad porteña aún no se concretaban y ante la clausura de las Facultades eran altamente improbables. Como alternativa, la JUP en la presidencia de la FULNBA propuso un plebiscito que versaba así: “1) Relevo de Ivanissevich, Ottalagano y los decanos; 2) Defensa de las conquistas de 1973, como el ingreso irrestricto; 3) Libertad de Talento, Ventura, todos los presos estudiantiles y castigo a los torturadores de Horacio Gortía, de la JRR; 4) Unidad estudiantil a nivel nacional; 5) Ratificación de las autoridades de los centros y la FULNBA” (Califa y Millán, 2023: 181-182). Este fue el modo en que se confirmó la conducción de la JUP en la federación porteña, situación que alejó la posibilidad de un acuerdo nacional con los sectores nucleados en la FUA-Córdoba. </w:t>
      </w:r>
    </w:p>
    <w:p>
      <w:pPr>
        <w:pStyle w:val="BodyText"/>
        <w:spacing w:lineRule="auto" w:line="240" w:before="0" w:after="20"/>
        <w:ind w:firstLine="709"/>
        <w:jc w:val="both"/>
        <w:rPr/>
      </w:pPr>
      <w:r>
        <w:rPr>
          <w:rFonts w:ascii="Times New Roman;serif" w:hAnsi="Times New Roman;serif"/>
          <w:color w:val="000000"/>
          <w:shd w:fill="FFFFFF" w:val="clear"/>
        </w:rPr>
        <w:t>En la UNLP fue distinto, pues los comicios se habían concretado en varios Centros y en lo que fueron suspendidos por los hechos de octubre, se acordó la prórroga de los resultados de 1973. A finales de noviembre tuvo lugar el congreso de FULP. Luego de cinco días de sesión (en una casa particular, dadas las prohibiciones dispuestas), se designó a Daniel Di Nella de JUP como presidente, acompañado de una</w:t>
      </w:r>
      <w:r>
        <w:rPr>
          <w:color w:val="000000"/>
          <w:shd w:fill="FFFFFF" w:val="clear"/>
        </w:rPr>
        <w:t xml:space="preserve"> </w:t>
      </w:r>
      <w:r>
        <w:rPr>
          <w:rFonts w:ascii="Times New Roman;serif" w:hAnsi="Times New Roman;serif"/>
          <w:color w:val="000000"/>
          <w:shd w:fill="FFFFFF" w:val="clear"/>
        </w:rPr>
        <w:t>dirección que tenía a Miguel Rego de MEI de Ingeniería como Vice y Guillermo Picheresky del MOR como Secretario. Era la primera vez en su larga historia que la presidencia de FULP era ocupada por un integrante del peronismo universitario. Y si bien Franja Morada participó y obtuvo sus delegados, también en un hecho novedoso, no ocupó cargos directivos.</w:t>
      </w:r>
    </w:p>
    <w:p>
      <w:pPr>
        <w:pStyle w:val="BodyText"/>
        <w:spacing w:lineRule="auto" w:line="240" w:before="0" w:after="20"/>
        <w:ind w:firstLine="709"/>
        <w:jc w:val="both"/>
        <w:rPr/>
      </w:pPr>
      <w:r>
        <w:rPr>
          <w:rFonts w:ascii="Times New Roman;serif" w:hAnsi="Times New Roman;serif"/>
          <w:color w:val="000000"/>
          <w:shd w:fill="FFFFFF" w:val="clear"/>
        </w:rPr>
        <w:t>En el marco de los debates sobre el Congreso Unificador, la FULP se expidió en favor de una “central única estudiantil nacional”, una suerte de llamado a dicho evento que finalmente se realizó en diciembre. Con ausencias del FAUDI-PCR y una parte de Franja Morada, se constituyó el CNFC, dirigido por JUP, MOR y un sector de Franja con peso en la UBA, la denominada Juventud Radical Revolucionaria. La FULNBA, la FULP y la flamante Federación Universitaria para la Liberación Nacional del Litoral (FULNA) fueron tres de las organizaciones regionales más importantes. Según contabilizaba el MOR-PC, el Consejo contaba con 102 Centros de Estudiantes adheridos a nivel nacional (</w:t>
      </w:r>
      <w:r>
        <w:rPr>
          <w:rFonts w:ascii="Times New Roman;serif" w:hAnsi="Times New Roman;serif"/>
          <w:i/>
          <w:color w:val="000000"/>
          <w:shd w:fill="FFFFFF" w:val="clear"/>
        </w:rPr>
        <w:t>Línea</w:t>
      </w:r>
      <w:r>
        <w:rPr>
          <w:rFonts w:ascii="Times New Roman;serif" w:hAnsi="Times New Roman;serif"/>
          <w:color w:val="000000"/>
          <w:shd w:fill="FFFFFF" w:val="clear"/>
        </w:rPr>
        <w:t>, 11 al 22/08/1975, p. 5).</w:t>
      </w:r>
      <w:r>
        <w:rPr>
          <w:color w:val="000000"/>
          <w:shd w:fill="FFFFFF" w:val="clear"/>
        </w:rPr>
        <w:t xml:space="preserve"> </w:t>
      </w:r>
    </w:p>
    <w:p>
      <w:pPr>
        <w:pStyle w:val="BodyText"/>
        <w:spacing w:lineRule="auto" w:line="240" w:before="0" w:after="20"/>
        <w:ind w:firstLine="709"/>
        <w:jc w:val="both"/>
        <w:rPr/>
      </w:pPr>
      <w:r>
        <w:rPr>
          <w:rFonts w:ascii="Times New Roman;serif" w:hAnsi="Times New Roman;serif"/>
          <w:color w:val="000000"/>
          <w:shd w:fill="FFFFFF" w:val="clear"/>
        </w:rPr>
        <w:t>De este modo fue que cristalizó la división del movimiento estudiantil universitario a nivel nacional ya que la CNFC buscaba desplazar la referencia histórica de la FUA que continuó bajo el control de Franja Morada (Coordinadora Nacional), el MNR y el FAUDI. Esta última organización, acusó a la JUP y el MOR de haber boicoteado el Congreso Unificador debido a su política “sectaria y divisionista” (</w:t>
      </w:r>
      <w:r>
        <w:rPr>
          <w:rFonts w:ascii="Times New Roman;serif" w:hAnsi="Times New Roman;serif"/>
          <w:i/>
          <w:color w:val="000000"/>
          <w:shd w:fill="FFFFFF" w:val="clear"/>
        </w:rPr>
        <w:t>Nueva Ho</w:t>
      </w:r>
      <w:r>
        <w:rPr>
          <w:rFonts w:cs="Times New Roman" w:ascii="Times New Roman" w:hAnsi="Times New Roman"/>
          <w:i/>
          <w:color w:val="000000"/>
          <w:shd w:fill="FFFFFF" w:val="clear"/>
        </w:rPr>
        <w:t>ra</w:t>
      </w:r>
      <w:r>
        <w:rPr>
          <w:color w:val="000000"/>
          <w:shd w:fill="FFFFFF" w:val="clear"/>
        </w:rPr>
        <w:t xml:space="preserve"> </w:t>
      </w:r>
      <w:r>
        <w:rPr>
          <w:rFonts w:ascii="Times New Roman;serif" w:hAnsi="Times New Roman;serif"/>
          <w:color w:val="000000"/>
        </w:rPr>
        <w:t>n.º 159, 4/12/1974, p. 9</w:t>
      </w:r>
      <w:r>
        <w:rPr>
          <w:rFonts w:ascii="Times New Roman;serif" w:hAnsi="Times New Roman;serif"/>
          <w:color w:val="000000"/>
          <w:sz w:val="20"/>
        </w:rPr>
        <w:t>)</w:t>
      </w:r>
      <w:r>
        <w:rPr>
          <w:rFonts w:ascii="Times New Roman;serif" w:hAnsi="Times New Roman;serif"/>
          <w:color w:val="000000"/>
          <w:shd w:fill="FFFFFF" w:val="clear"/>
        </w:rPr>
        <w:t>. Por su parte, la FUA era acusada de tener “un pasado antipopular” debido al apoyo brindado a la Unión Democrática en 1945 y su participación en los “comandos civiles” de 1955.</w:t>
      </w:r>
    </w:p>
    <w:p>
      <w:pPr>
        <w:pStyle w:val="BodyText"/>
        <w:spacing w:lineRule="auto" w:line="240"/>
        <w:rPr/>
      </w:pPr>
      <w:r>
        <w:rPr/>
      </w:r>
    </w:p>
    <w:p>
      <w:pPr>
        <w:pStyle w:val="BodyText"/>
        <w:spacing w:lineRule="auto" w:line="240" w:before="0" w:after="20"/>
        <w:jc w:val="both"/>
        <w:rPr>
          <w:rFonts w:ascii="Times New Roman;serif" w:hAnsi="Times New Roman;serif"/>
          <w:b/>
          <w:shd w:fill="FFFFFF" w:val="clear"/>
        </w:rPr>
      </w:pPr>
      <w:r>
        <w:rPr>
          <w:rFonts w:ascii="Times New Roman;serif" w:hAnsi="Times New Roman;serif"/>
          <w:b/>
          <w:color w:val="000000"/>
          <w:shd w:fill="FFFFFF" w:val="clear"/>
        </w:rPr>
        <w:t>Por la normalización universitaria</w:t>
      </w:r>
    </w:p>
    <w:p>
      <w:pPr>
        <w:pStyle w:val="BodyText"/>
        <w:spacing w:lineRule="auto" w:line="240" w:before="0" w:after="20"/>
        <w:ind w:firstLine="720"/>
        <w:jc w:val="both"/>
        <w:rPr>
          <w:rFonts w:ascii="Times New Roman;serif" w:hAnsi="Times New Roman;serif"/>
          <w:shd w:fill="FFFFFF" w:val="clear"/>
        </w:rPr>
      </w:pPr>
      <w:r>
        <w:rPr>
          <w:rFonts w:ascii="Times New Roman;serif" w:hAnsi="Times New Roman;serif"/>
          <w:color w:val="000000"/>
          <w:shd w:fill="FFFFFF" w:val="clear"/>
        </w:rPr>
        <w:t>En enero de 1975 Ivanissevich y los rectores de todas las universidades anunciaron una serie de definiciones. No habría examen de ingreso ni curso preparatorio. Ese año, se iban a incluir materiales transversales a las carreras, vinculadas a la historia y la geografía argentinas; y cada casa de estudios debía determinar el número (o “cupo”) de ingresantes a admitir en cada carrera y caso de superarlo, las admisiones debían regirse por las notas obtenidas en el nivel secundario. En la UBA sobresalió el caso de la Facultad de Ciencias Exactas y Naturales en donde su decano interventor dispuso un cupo de “cero” para los ingresos al ciclo lectivo de 1975.</w:t>
      </w:r>
    </w:p>
    <w:p>
      <w:pPr>
        <w:pStyle w:val="BodyText"/>
        <w:spacing w:lineRule="auto" w:line="240" w:before="0" w:after="20"/>
        <w:jc w:val="both"/>
        <w:rPr/>
      </w:pPr>
      <w:r>
        <w:rPr>
          <w:rFonts w:ascii="Times New Roman;serif" w:hAnsi="Times New Roman;serif"/>
          <w:color w:val="000000"/>
          <w:shd w:fill="FFFFFF" w:val="clear"/>
        </w:rPr>
        <w:tab/>
        <w:t>La oposición era común dentro del estudiantado. La FULP llamó dicho régimen de ingreso “limitativo y discriminatorio” al tiempo que solicitó otra audiencia con el rector Arrighi sobre el tema. Otros reclamos se sumaban en las posiciones públicas, como la denuncia de las cesantías docentes y la oposición a los Certificados de Buena Conducta (emitidos por la Policía) como requisito para el ingreso a las aula</w:t>
      </w:r>
      <w:r>
        <w:rPr>
          <w:rFonts w:ascii="Times New Roman;serif" w:hAnsi="Times New Roman;serif"/>
          <w:color w:val="000000"/>
        </w:rPr>
        <w:t>s.</w:t>
      </w:r>
      <w:r>
        <w:rPr>
          <w:color w:val="000000"/>
        </w:rPr>
        <w:t xml:space="preserve"> </w:t>
      </w:r>
      <w:r>
        <w:rPr>
          <w:rFonts w:ascii="Times New Roman;serif" w:hAnsi="Times New Roman;serif"/>
          <w:color w:val="000000"/>
          <w:shd w:fill="FFFFFF" w:val="clear"/>
        </w:rPr>
        <w:t>Por su parte, la FUA además de cuestionar las restricciones en general, promovió un proyecto para junto a la CGT ofrecer becas a hijos de trabajadores con la finalidad de contrarrestar la mencionada política de cupos.</w:t>
      </w:r>
    </w:p>
    <w:p>
      <w:pPr>
        <w:pStyle w:val="BodyText"/>
        <w:spacing w:lineRule="auto" w:line="240" w:before="0" w:after="20"/>
        <w:jc w:val="both"/>
        <w:rPr/>
      </w:pPr>
      <w:r>
        <w:rPr>
          <w:rFonts w:ascii="Times New Roman;serif" w:hAnsi="Times New Roman;serif"/>
          <w:color w:val="000000"/>
          <w:shd w:fill="FFFFFF" w:val="clear"/>
        </w:rPr>
        <w:tab/>
        <w:t>Un comunicado del MOR de marzo nos ayuda a comprender la situación del movimiento estudiantil. Pues, pasado “un año de la sanción de la Ley Universitaria”, el grupo exigía “el cumplimiento de dicho cuerpo legal que permitirá normalizar la vida universitaria”</w:t>
      </w:r>
      <w:r>
        <w:rPr>
          <w:rFonts w:ascii="Times New Roman;serif" w:hAnsi="Times New Roman;serif"/>
          <w:color w:val="000000"/>
        </w:rPr>
        <w:t xml:space="preserve">. El CNFC también exigía la normalización universitaria a partir del cumplimiento de la ley, con elecciones democráticas. </w:t>
      </w:r>
      <w:r>
        <w:rPr>
          <w:rFonts w:ascii="Times New Roman;serif" w:hAnsi="Times New Roman;serif"/>
          <w:color w:val="000000"/>
          <w:shd w:fill="FFFFFF" w:val="clear"/>
        </w:rPr>
        <w:t>El avance de la gestión Ivanissevich había modificado no las lecturas, pero sí los reclamos alrededor de la Ley que pasó de debatirse álgidamente a convertirse en la demanda central del estudiantado durante 1975. </w:t>
      </w:r>
    </w:p>
    <w:p>
      <w:pPr>
        <w:pStyle w:val="BodyText"/>
        <w:spacing w:lineRule="auto" w:line="240" w:before="0" w:after="20"/>
        <w:jc w:val="both"/>
        <w:rPr/>
      </w:pPr>
      <w:r>
        <w:rPr>
          <w:rFonts w:ascii="Times New Roman;serif" w:hAnsi="Times New Roman;serif"/>
          <w:color w:val="000000"/>
          <w:shd w:fill="FFFFFF" w:val="clear"/>
        </w:rPr>
        <w:tab/>
        <w:t>En la UNLP, durante marzo, se dió una embestida más fuerte: la gestión de Arrighi clausuró y prohibió todos los Centros de Estudiantes, a raíz de dos conflictos en Humanidades (cuyo Centro se había clausurado unos días antes) y Medicina. La resolución que disponía el cierre sostenía que los Centros “con su accionar sirven a intereses extranacionales” y amenazaba con el cierre de las Facultades en caso que la protesta estudiantil se mantuvie</w:t>
      </w:r>
      <w:r>
        <w:rPr>
          <w:rFonts w:ascii="Times New Roman;serif" w:hAnsi="Times New Roman;serif"/>
          <w:color w:val="000000"/>
        </w:rPr>
        <w:t xml:space="preserve">se. </w:t>
      </w:r>
      <w:r>
        <w:rPr>
          <w:rFonts w:ascii="Times New Roman;serif" w:hAnsi="Times New Roman;serif"/>
          <w:color w:val="000000"/>
          <w:shd w:fill="FFFFFF" w:val="clear"/>
        </w:rPr>
        <w:t>A lo largo del año, que recién comenzaba, la protesta no mermó sino que se organizó alrededor de la apertura de los espacios gremiales.</w:t>
      </w:r>
    </w:p>
    <w:p>
      <w:pPr>
        <w:pStyle w:val="BodyText"/>
        <w:spacing w:lineRule="auto" w:line="240" w:before="0" w:after="20"/>
        <w:jc w:val="both"/>
        <w:rPr>
          <w:rFonts w:ascii="Times New Roman;serif" w:hAnsi="Times New Roman;serif"/>
          <w:shd w:fill="FFFFFF" w:val="clear"/>
        </w:rPr>
      </w:pPr>
      <w:r>
        <w:rPr>
          <w:rFonts w:ascii="Times New Roman;serif" w:hAnsi="Times New Roman;serif"/>
          <w:color w:val="000000"/>
          <w:shd w:fill="FFFFFF" w:val="clear"/>
        </w:rPr>
        <w:tab/>
        <w:t>En un contexto económico cada vez más crítico, 1975 comenzó con conflictos salariales en varias fábricas de la zona de La Plata, Berisso y Ensenada. Asimismo, el clima político de la zona se espesaba con el accionar de la CNU que, en marzo, asesinó a tres militantes de JUP en dos días, en abril a cuatro trabajadores/es ligados al Hipódromo y en mayo a cinco militantes del PCR. La JUP denunció los tres crímenes y la actuación “desembozada” de la policía y las bandas de “matones”, para luego conectarlos con una serie de hechos represivos, locales y nacionales: el ataque a tiros al local de ATULP, el cierre de los Centros de Estudiantes, y el secuestro del dirigente de ATULP Guillermo “Chango” Díaz Martínez, en Tucumán en el transcurso de la intervención militar denominada Operativo Independencia.</w:t>
      </w:r>
    </w:p>
    <w:p>
      <w:pPr>
        <w:pStyle w:val="BodyText"/>
        <w:spacing w:lineRule="auto" w:line="240" w:before="0" w:after="20"/>
        <w:jc w:val="both"/>
        <w:rPr>
          <w:rFonts w:ascii="Times New Roman;serif" w:hAnsi="Times New Roman;serif"/>
          <w:shd w:fill="FFFFFF" w:val="clear"/>
        </w:rPr>
      </w:pPr>
      <w:r>
        <w:rPr>
          <w:rFonts w:ascii="Times New Roman;serif" w:hAnsi="Times New Roman;serif"/>
          <w:color w:val="000000"/>
          <w:shd w:fill="FFFFFF" w:val="clear"/>
        </w:rPr>
        <w:tab/>
        <w:t>El accionar de protesta en la UNLP no se detuvo frente a ello, sino que al contrario, entre mayo y octubre encontramos una dinámica contenciosa sostenida en las calles y aulas platenses dada mayormente por el uso de repertorios tácticos contenidos (comunicados, petitorios, pedidos de reuniones con autoridades. Cuando se intentaba pasar a la táctica transgresiva (con actos, paros y asambleas, prohibidas, recordemos) le sucedía el cierre inmediato de la unidad académica. En mayo, la FULP había definido un “plan de lucha” con dos demandas centrales, la apertura del Comedor y los Centros de Estudiantes, iniciando una campaña que incluyó el armado de petitorios con firmas de la población estudiantil y la presentación de los mismos a las autoridades de cada unidad; luego, todo iba a confluir en un acto central de FULP que fue prohibido dos veces. En junio, se probó otra táctica: se realizaron “paros activos” que consistían en paralizar los cursos durante quince minutos.</w:t>
      </w:r>
    </w:p>
    <w:p>
      <w:pPr>
        <w:pStyle w:val="BodyText"/>
        <w:spacing w:lineRule="auto" w:line="240" w:before="0" w:after="20"/>
        <w:ind w:firstLine="720"/>
        <w:jc w:val="both"/>
        <w:rPr>
          <w:rFonts w:ascii="Times New Roman;serif" w:hAnsi="Times New Roman;serif"/>
          <w:shd w:fill="FFFFFF" w:val="clear"/>
        </w:rPr>
      </w:pPr>
      <w:r>
        <w:rPr>
          <w:rFonts w:ascii="Times New Roman;serif" w:hAnsi="Times New Roman;serif"/>
          <w:color w:val="000000"/>
          <w:shd w:fill="FFFFFF" w:val="clear"/>
        </w:rPr>
        <w:t>Asimismo, cada Centro se movilizaba por demandas propias de sus Facultades. Por ejemplo, la Comisión Pro Defensa de Humanidades se resistía al cierre de la carrera de Psicología y a la cesantía de decenas de docentes; en Exactas, el Centro de Estudiantes inició una campaña contra el cierre de la Licenciatura en Bioquímica y la modificación de otras carreras. Los primeros días de junio, Juan Ramón Zaragoza, estudiante de Bioquímica, militante del MOR y referente de aquella campaña, fue secuestrado y asesinado por bandas paramilitares.</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En la UBA, en los últimos días de 1974 hubo cambio de autoridades. La salida de Ottalagano, reemplazado por Julio Lyonnet (ex decano de la Facultad de Medicina de la UNLP y subsecretario de Asuntos Universitarios al momento de su designación) apareció como una “tregua” pero las organizaciones estudiantiles coincidían en que “la misión” persistía. En ese marco, la militancia universitaria de Buenos Aires dispuso no concretar las acciones del plan de lucha establecido por el CNFC (pintadas y volanteadas callejeras) “para no crear nuevas tensiones en el clima político y desalentar así las provocaciones que podrían maquinar sectores sospechados de golpistas”. Los nucleamientos estudiantiles en Buenos Aires y a nivel nacional empezaron a re-discutir sus tácticas y estrategias ya que Ivanissevich permanecía inquebrantable en su puesto.</w:t>
      </w:r>
    </w:p>
    <w:p>
      <w:pPr>
        <w:pStyle w:val="BodyText"/>
        <w:spacing w:lineRule="auto" w:line="240" w:before="0" w:after="20"/>
        <w:ind w:firstLine="709"/>
        <w:jc w:val="both"/>
        <w:rPr/>
      </w:pPr>
      <w:r>
        <w:rPr>
          <w:rFonts w:ascii="Times New Roman;serif" w:hAnsi="Times New Roman;serif"/>
          <w:color w:val="000000"/>
          <w:shd w:fill="FFFFFF" w:val="clear"/>
        </w:rPr>
        <w:t xml:space="preserve">No obstante, como cada comienzo del ciclo lectivo desde hacía años, el tema del ingreso reunió al “estudiantado político”, al decir del diario </w:t>
      </w:r>
      <w:r>
        <w:rPr>
          <w:rFonts w:ascii="Times New Roman;serif" w:hAnsi="Times New Roman;serif"/>
          <w:i/>
          <w:color w:val="000000"/>
          <w:shd w:fill="FFFFFF" w:val="clear"/>
        </w:rPr>
        <w:t>La Opinión,</w:t>
      </w:r>
      <w:r>
        <w:rPr>
          <w:color w:val="000000"/>
          <w:shd w:fill="FFFFFF" w:val="clear"/>
        </w:rPr>
        <w:t xml:space="preserve"> </w:t>
      </w:r>
      <w:r>
        <w:rPr>
          <w:rFonts w:ascii="Times New Roman;serif" w:hAnsi="Times New Roman;serif"/>
          <w:color w:val="000000"/>
          <w:shd w:fill="FFFFFF" w:val="clear"/>
        </w:rPr>
        <w:t>en una movilización de 2500 personas contra “la misión” y las restricciones. Si bien la acción fue organizada por la CNFC, la fracción del radicalismo que formaba parte de la misma no participó. Esta situación comenzó a ser cada vez más frecuente en tanto los acuerdos entre balbinistas, comunistas y la JUP se fueron resquebrajando. Así, por ejemplo, solo la juventud peronista radicalizada se movilizó en repudio de la detención del ex rector Villanueva. Este suceso se sumaba a continuas detenciones de estudiantes en las instalaciones universitarias de Buenos Aires. La denuncia por parte de agrupaciones y centros de estudiantes de este tipo de eventos fue cotidiana en las páginas de la prensa durante la primera mitad de 1975. A mediados de mayo, se informaba que sólo en dos semanas habían sido apresados 25 estudiantes de la UBA. En junio, Miguel Ponce de la FM-CNFC denunció que más de 300 alumnos universitarios se encontraban detenidos, mientras que en julio, el comunismo informaba que había 200 universitarios presos a nivel nacional (</w:t>
      </w:r>
      <w:r>
        <w:rPr>
          <w:rFonts w:ascii="Times New Roman;serif" w:hAnsi="Times New Roman;serif"/>
          <w:i/>
          <w:color w:val="000000"/>
          <w:shd w:fill="FFFFFF" w:val="clear"/>
        </w:rPr>
        <w:t>Línea</w:t>
      </w:r>
      <w:r>
        <w:rPr>
          <w:rFonts w:ascii="Times New Roman;serif" w:hAnsi="Times New Roman;serif"/>
          <w:color w:val="000000"/>
          <w:shd w:fill="FFFFFF" w:val="clear"/>
        </w:rPr>
        <w:t>, 23/07 al 04/08/1975, p. 10). </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Mientras tanto, en la UBA la actividad académica permanecía interrumpida desde septiembre de 1974. En algunas Facultades, la actividad fue retomada a finales de mayo y principios de junio, mientras que en las carreras de Psicología y Sociología el primer semestre nunca inició. Esta situación de clausura y parálisis, junto a la reiteración de hechos represivos, ayuda a comprender la dificultad de las organizaciones estudiantiles para convocar a una mayor cantidad de alumnos en la UBA. Esta situación contrasta con la de las Facultades en La Plata donde las clases finalmente iniciaron en abril de 1975.</w:t>
      </w:r>
    </w:p>
    <w:p>
      <w:pPr>
        <w:pStyle w:val="BodyText"/>
        <w:spacing w:lineRule="auto" w:line="240"/>
        <w:rPr/>
      </w:pPr>
      <w:r>
        <w:rPr/>
      </w:r>
    </w:p>
    <w:p>
      <w:pPr>
        <w:pStyle w:val="BodyText"/>
        <w:spacing w:lineRule="auto" w:line="240" w:before="0" w:after="20"/>
        <w:jc w:val="both"/>
        <w:rPr>
          <w:shd w:fill="FFFFFF" w:val="clear"/>
        </w:rPr>
      </w:pPr>
      <w:r>
        <w:rPr>
          <w:rFonts w:ascii="Times New Roman;serif" w:hAnsi="Times New Roman;serif"/>
          <w:b/>
          <w:color w:val="000000"/>
          <w:shd w:fill="FFFFFF" w:val="clear"/>
        </w:rPr>
        <w:t>“</w:t>
      </w:r>
      <w:r>
        <w:rPr>
          <w:rFonts w:ascii="Times New Roman;serif" w:hAnsi="Times New Roman;serif"/>
          <w:b/>
          <w:color w:val="000000"/>
          <w:shd w:fill="FFFFFF" w:val="clear"/>
        </w:rPr>
        <w:t>Atención, atención, junto con Rodrigo, se va la misión”</w:t>
      </w:r>
    </w:p>
    <w:p>
      <w:pPr>
        <w:pStyle w:val="BodyText"/>
        <w:spacing w:lineRule="auto" w:line="240" w:before="0" w:after="20"/>
        <w:ind w:firstLine="709"/>
        <w:jc w:val="both"/>
        <w:rPr/>
      </w:pPr>
      <w:r>
        <w:rPr>
          <w:rFonts w:ascii="Times New Roman;serif" w:hAnsi="Times New Roman;serif"/>
          <w:color w:val="000000"/>
        </w:rPr>
        <w:t>A comienzos de julio, se sucedieron acciones masivas contra el plan económico de ajuste del Ministro de Economía, Celestino Rodrigo (Löbbe, 2009).</w:t>
      </w:r>
      <w:r>
        <w:rPr>
          <w:rFonts w:ascii="Times New Roman;serif" w:hAnsi="Times New Roman;serif"/>
          <w:color w:val="000000"/>
          <w:shd w:fill="FFFFFF" w:val="clear"/>
        </w:rPr>
        <w:t xml:space="preserve"> A nivel nacional, tanto la FUA como la CNFC dispusieron un paro nacional universitario en solidaridad con la lucha de los trabajadores. En Buenos Aires, el receso invernal junto a las dificultades para la movilización que tenían las organizaciones estudiantiles hicieron del acatamiento a la huelga un evento for</w:t>
      </w:r>
      <w:r>
        <w:rPr>
          <w:rFonts w:ascii="Times New Roman;serif" w:hAnsi="Times New Roman;serif"/>
          <w:color w:val="000000"/>
        </w:rPr>
        <w:t>mal (Califa y Millán, 2023). En c</w:t>
      </w:r>
      <w:r>
        <w:rPr>
          <w:rFonts w:ascii="Times New Roman;serif" w:hAnsi="Times New Roman;serif"/>
          <w:color w:val="000000"/>
          <w:shd w:fill="FFFFFF" w:val="clear"/>
        </w:rPr>
        <w:t>ambio,</w:t>
      </w:r>
      <w:r>
        <w:rPr>
          <w:color w:val="000000"/>
          <w:shd w:fill="FFFFFF" w:val="clear"/>
        </w:rPr>
        <w:t xml:space="preserve"> </w:t>
      </w:r>
      <w:r>
        <w:rPr>
          <w:rFonts w:ascii="Times New Roman;serif" w:hAnsi="Times New Roman;serif"/>
          <w:color w:val="000000"/>
          <w:shd w:fill="FFFFFF" w:val="clear"/>
        </w:rPr>
        <w:t>en La Plata, tuvo lugar una jornada de protestas y enfrentamientos con la policía, protagonizada por quienes confluían en la Comisión Coordinadora de Sindicatos, Comisiones Internas y Delegados en Lucha. Los testimonios coinciden que reunió alrededor de 10000 personas, y el saldo fue de 30 detenidos, 14 de los cuales eran estudiantes. Con la inercia de esas jornadas, en agosto la FULP lanzó un nuevo Plan de lucha para la UNLP, con dos movilizaciones y actos centrales que pudieron realizarse los días 7 y 14 de agosto, con una asistencia esta última de 1500 personas.</w:t>
      </w:r>
    </w:p>
    <w:p>
      <w:pPr>
        <w:pStyle w:val="BodyText"/>
        <w:spacing w:lineRule="auto" w:line="240" w:before="0" w:after="20"/>
        <w:ind w:firstLine="709"/>
        <w:jc w:val="both"/>
        <w:rPr/>
      </w:pPr>
      <w:r>
        <w:rPr>
          <w:rFonts w:ascii="Times New Roman;serif" w:hAnsi="Times New Roman;serif"/>
          <w:color w:val="000000"/>
          <w:shd w:fill="FFFFFF" w:val="clear"/>
        </w:rPr>
        <w:t>Las movilizaciones obreras conllevaron la salida de Rodrigo y unos días después de López Rega pero no la de Ivanissevich. Al ser confirmado en su cargo, las centrales estudiantiles pusieron en marcha un plan de lucha en su contra. Mientras la FUA desarrolló reuniones con diferentes actores como la CGT, la CGE, la Federación Agraria y representantes legislativos de diferentes espacios, el CNFC apostó a la movilización. Así, junto a la FULNBA convocó a una serie de concentraciones en las inmediaciones del Congreso Nacional. La primera tuvo lugar el día 18 de julio y reunió a unos 350 asistentes. La gran ausencia fue de la JUP que no presentó oradores en el acto, protagonizado por diputados y dirigentes estudiantiles del Radicalismo y el Comunismo. En los días previos, las asambleas organizadas en las Facultades de la UBA habían sido interrumpidas por la acción policial con un saldo de numerosos detenidos (</w:t>
      </w:r>
      <w:r>
        <w:rPr>
          <w:rFonts w:ascii="Times New Roman;serif" w:hAnsi="Times New Roman;serif"/>
          <w:i/>
          <w:color w:val="000000"/>
          <w:shd w:fill="FFFFFF" w:val="clear"/>
        </w:rPr>
        <w:t>Línea,</w:t>
      </w:r>
      <w:r>
        <w:rPr>
          <w:color w:val="000000"/>
          <w:shd w:fill="FFFFFF" w:val="clear"/>
        </w:rPr>
        <w:t xml:space="preserve"> </w:t>
      </w:r>
      <w:r>
        <w:rPr>
          <w:rFonts w:ascii="Times New Roman;serif" w:hAnsi="Times New Roman;serif"/>
          <w:color w:val="000000"/>
          <w:shd w:fill="FFFFFF" w:val="clear"/>
        </w:rPr>
        <w:t>23/07 al 04/08/1975, p. 10).</w:t>
      </w:r>
    </w:p>
    <w:p>
      <w:pPr>
        <w:pStyle w:val="BodyText"/>
        <w:spacing w:lineRule="auto" w:line="240" w:before="0" w:after="20"/>
        <w:ind w:firstLine="709"/>
        <w:jc w:val="both"/>
        <w:rPr/>
      </w:pPr>
      <w:r>
        <w:rPr>
          <w:rFonts w:ascii="Times New Roman;serif" w:hAnsi="Times New Roman;serif"/>
          <w:color w:val="000000"/>
          <w:shd w:fill="FFFFFF" w:val="clear"/>
        </w:rPr>
        <w:t>Por estos días, el aumento del costo de vida era un tema ineludible, que, no solo era moneda corriente en los comunicados, sino que se tradujo en nuevas demandas. En La Plata, la FULP comenzó a acompañar la clásica bandera por la reapertura del Comedor con otras dos, el precio máximo para las camas y pensiones que alquilaba una gran parte de los y las estudiantes y el boleto estudiantil. Esta última era llevada adelante por el movimiento estudiantil secundario de la ciudad, con un hito clave en septiembre de 1975, cuando una movilización masiva logró obtener el boleto secundario. En paralelo al despliegue de la protesta obrera y estudiantil, continuaba el curso de la violencia política y paraestatal: en julio, seis estudiantes fueron asesinados por la CNU, cinco eran militantes, de JUP y el Grupo Universitario Socialista; unos días después el mismo grupo asesinó a Rubén Cartier, el intendente de La Plata; y en septiembre, ocho militantes del Partido Socialista de los Trabajadores fueron secuestrados y asesinados, también por la CNU.</w:t>
      </w:r>
    </w:p>
    <w:p>
      <w:pPr>
        <w:pStyle w:val="BodyText"/>
        <w:spacing w:lineRule="auto" w:line="240" w:before="0" w:after="20"/>
        <w:ind w:firstLine="709"/>
        <w:jc w:val="both"/>
        <w:rPr/>
      </w:pPr>
      <w:r>
        <w:rPr>
          <w:rFonts w:ascii="Times New Roman;serif" w:hAnsi="Times New Roman;serif"/>
          <w:color w:val="000000"/>
          <w:shd w:fill="FFFFFF" w:val="clear"/>
        </w:rPr>
        <w:t>El 12 de agosto, finalmente, llegó el esperado recambio de autoridades de la cartera educativa.</w:t>
      </w:r>
      <w:r>
        <w:rPr>
          <w:color w:val="000000"/>
          <w:shd w:fill="FFFFFF" w:val="clear"/>
        </w:rPr>
        <w:t xml:space="preserve"> </w:t>
      </w:r>
      <w:r>
        <w:rPr>
          <w:rFonts w:ascii="Times New Roman;serif" w:hAnsi="Times New Roman;serif"/>
          <w:color w:val="000000"/>
          <w:shd w:fill="FFFFFF" w:val="clear"/>
        </w:rPr>
        <w:t>Ivanissevich renunció a su cargo ministerial y en su lugar asumió Arrighi, entonces rector interventor en la UNLP.</w:t>
      </w:r>
    </w:p>
    <w:p>
      <w:pPr>
        <w:pStyle w:val="BodyText"/>
        <w:spacing w:lineRule="auto" w:line="240" w:before="0" w:after="20"/>
        <w:ind w:firstLine="709"/>
        <w:jc w:val="both"/>
        <w:rPr/>
      </w:pPr>
      <w:r>
        <w:rPr>
          <w:rFonts w:ascii="Times New Roman;serif" w:hAnsi="Times New Roman;serif"/>
          <w:color w:val="000000"/>
        </w:rPr>
        <w:t>El 20 de agosto</w:t>
      </w:r>
      <w:r>
        <w:rPr>
          <w:color w:val="000000"/>
        </w:rPr>
        <w:t xml:space="preserve"> </w:t>
      </w:r>
      <w:r>
        <w:rPr>
          <w:rFonts w:ascii="Times New Roman;serif" w:hAnsi="Times New Roman;serif"/>
          <w:color w:val="000000"/>
        </w:rPr>
        <w:t>tuvo lugar una segunda movilización, de unos 700 estudiantes, convocada por las CNFC y la FULNBA para acompañar la presentación de un petitorio por la aplicación de la ley universitaria, la legalidad del movimiento estudiantil y la remoción de las fuerzas policiales de las Facultades (</w:t>
      </w:r>
      <w:r>
        <w:rPr>
          <w:rFonts w:ascii="Times New Roman;serif" w:hAnsi="Times New Roman;serif"/>
          <w:i/>
          <w:color w:val="000000"/>
        </w:rPr>
        <w:t>Línea</w:t>
      </w:r>
      <w:r>
        <w:rPr>
          <w:rFonts w:ascii="Times New Roman;serif" w:hAnsi="Times New Roman;serif"/>
          <w:color w:val="000000"/>
        </w:rPr>
        <w:t>, 29/08 al 12/09/1975, p.</w:t>
      </w:r>
      <w:r>
        <w:rPr>
          <w:rFonts w:ascii="Times New Roman;serif" w:hAnsi="Times New Roman;serif"/>
          <w:color w:val="000000"/>
          <w:shd w:fill="FFFFFF" w:val="clear"/>
        </w:rPr>
        <w:t xml:space="preserve"> 8). Si bien Ivanissevich ya había sido desplazado, los rectores y decanos permanecían en sus cargos. Esto también era materia de denuncia por parte de las organizaciones estudiantiles porteñas que, con cuidado, volvían a ocupar espacios como librerías donde se comercializaban apuntes en Arquitectura y Ciencias Exactas y Naturales. Esto, comentaba la prensa, hubiera sido impensado bajo la “misión”. En ese marco se dio la “reaparición pública” de la JUP en la UBA, con “consignas duras” contra los “continuadores de la misión” que contrastaba con una actitud más moderada de sus pares radicales y comunistas que identificaban la salida del ministro como una un cambio “favorable” y conquista “producto de la movilización”. Por su parte, la FUA emitió un comunicado en el que demandaba el fin de la represión en las universidades, el cese de las intervenciones y la designación de rectores normalizadores para encaminar la aplicación de la ley. Además, como el MOR, la federación nacional solicitó una entrevista al entrante ministro Arrighi.</w:t>
      </w:r>
    </w:p>
    <w:p>
      <w:pPr>
        <w:pStyle w:val="BodyText"/>
        <w:spacing w:lineRule="auto" w:line="240" w:before="0" w:after="20"/>
        <w:ind w:firstLine="709"/>
        <w:jc w:val="both"/>
        <w:rPr/>
      </w:pPr>
      <w:r>
        <w:rPr>
          <w:rFonts w:ascii="Times New Roman;serif" w:hAnsi="Times New Roman;serif"/>
          <w:color w:val="000000"/>
          <w:shd w:fill="FFFFFF" w:val="clear"/>
        </w:rPr>
        <w:t>A finales de agosto, por disposición del PEN, “cesaron las intervenciones” de la UBA y la UNLP y se designó a Mangiante y Mercante como rectores normalizadores, respectivamente. Héctor Mercante marcó públicamente la continuidad con su antecesor. A razón del acto de asunción, el diario local publicó una larga nota donde se constataba que la normalización continuaba, con la premisa central de la prohibición del “proselitismo político” y de acuerdo al Artículo n.º 5 de la Ley Taiana. Se agregaba además, como meta, la preservación de los edificios universitarios de “toda actividad depredativa” mediante el cierre de las casas de estudio y la paralización de la actividad académica. En el mismo sentido se posicionó Eduardo Mangiante respecto de las características que asumiría la vida universitaria en Buenos Aires: los alumnos debían dedicarse a estudiar.</w:t>
      </w:r>
    </w:p>
    <w:p>
      <w:pPr>
        <w:pStyle w:val="BodyText"/>
        <w:spacing w:lineRule="auto" w:line="240" w:before="0" w:after="20"/>
        <w:ind w:firstLine="709"/>
        <w:jc w:val="both"/>
        <w:rPr/>
      </w:pPr>
      <w:r>
        <w:rPr>
          <w:rFonts w:ascii="Times New Roman;serif" w:hAnsi="Times New Roman;serif"/>
          <w:color w:val="000000"/>
          <w:shd w:fill="FFFFFF" w:val="clear"/>
        </w:rPr>
        <w:t>En la UBA, a pesar de las manifestaciones de las autoridades y de la continuidad de la presencia policial, la prensa registraba el “resurgimiento” de la militancia que reabrió sus locales en diversas facultades. Desde el MOR se convocó a una nueva movilización al Congreso en el marco de una Jornada Nacional de Lucha por la “normalización democrática de los claustros, el retiro de la policía en las facultades y la plena legalidad de los centros de estudiantes” (</w:t>
      </w:r>
      <w:r>
        <w:rPr>
          <w:rFonts w:ascii="Times New Roman;serif" w:hAnsi="Times New Roman;serif"/>
          <w:i/>
          <w:color w:val="000000"/>
          <w:shd w:fill="FFFFFF" w:val="clear"/>
        </w:rPr>
        <w:t>Línea</w:t>
      </w:r>
      <w:r>
        <w:rPr>
          <w:rFonts w:ascii="Times New Roman;serif" w:hAnsi="Times New Roman;serif"/>
          <w:color w:val="000000"/>
          <w:shd w:fill="FFFFFF" w:val="clear"/>
        </w:rPr>
        <w:t>, 17/09 al 03/10/1975, p. 12). El plenario de centros convocado por la FULNBA aprobó dicha propuesta y calificó a Arrighi como el “continuador de la misión”. También adhirió el CNFC (</w:t>
      </w:r>
      <w:r>
        <w:rPr>
          <w:rFonts w:ascii="Times New Roman;serif" w:hAnsi="Times New Roman;serif"/>
          <w:i/>
          <w:color w:val="000000"/>
          <w:shd w:fill="FFFFFF" w:val="clear"/>
        </w:rPr>
        <w:t>Línea</w:t>
      </w:r>
      <w:r>
        <w:rPr>
          <w:rFonts w:ascii="Times New Roman;serif" w:hAnsi="Times New Roman;serif"/>
          <w:color w:val="000000"/>
          <w:shd w:fill="FFFFFF" w:val="clear"/>
        </w:rPr>
        <w:t xml:space="preserve">, 04 al 17/10/1975, p. 9). La concentración logró reunir entre 2000 y 3000 estudiantes y según se registró, cuatro fueron detenidos en el lugar. </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En La Plata, la segunda parte de 1975, estuvo marcada por el cierre alternado de las nueve Facultades y la Escuela de Periodismo. Aunque no duraban más de tres o cuatro días. cierres eran definidos por las autoridades ante lo que llamaban “demanes”, que eran en realidad movilizaciones en las unidades, pintadas de paredes o intentos de asambleas.</w:t>
      </w:r>
    </w:p>
    <w:p>
      <w:pPr>
        <w:pStyle w:val="BodyText"/>
        <w:spacing w:lineRule="auto" w:line="240" w:before="0" w:after="20"/>
        <w:ind w:firstLine="709"/>
        <w:jc w:val="both"/>
        <w:rPr/>
      </w:pPr>
      <w:r>
        <w:rPr>
          <w:rFonts w:ascii="Times New Roman;serif" w:hAnsi="Times New Roman;serif"/>
          <w:color w:val="000000"/>
          <w:shd w:fill="FFFFFF" w:val="clear"/>
        </w:rPr>
        <w:t xml:space="preserve">Sorteando la prohibición, en </w:t>
      </w:r>
      <w:r>
        <w:rPr>
          <w:rFonts w:ascii="Times New Roman;serif" w:hAnsi="Times New Roman;serif"/>
          <w:color w:val="000000"/>
        </w:rPr>
        <w:t>noviembre</w:t>
      </w:r>
      <w:r>
        <w:rPr>
          <w:color w:val="000000"/>
          <w:shd w:fill="FFFFFF" w:val="clear"/>
        </w:rPr>
        <w:t xml:space="preserve"> </w:t>
      </w:r>
      <w:r>
        <w:rPr>
          <w:rFonts w:ascii="Times New Roman;serif" w:hAnsi="Times New Roman;serif"/>
          <w:color w:val="000000"/>
          <w:shd w:fill="FFFFFF" w:val="clear"/>
        </w:rPr>
        <w:t>se realizaron las elecciones a Centros de Estudiantes, provocando el cierre de cuatro Facultades por “desmanes”, pintadas de paredes y colocación de carteles. A pesar de las condiciones adversas, en la UNLP se realizaron los comicios electorales de los Centros, llegando a su fin en siete de ellos, Ingeniería, Veterinarias, Agronomía, Económicas, Exactas, Periodismo y Derecho. En el caso de este último, se realizaron en la Casa Radical, debido al cierre de la Facultad; por el mismo motivo se suspendieron en Humanidades y Ciencias Naturales. El único cambio de todo el proceso se dio en Veterinarias, donde JUP triunfó sobre Franja Morada por cien votos. De esta forma, la JUP retenía las conducciones de seis Centros, Franja Morada de tres y MOR de dos; en Ingeniería, conducía un grupo independiente.</w:t>
      </w:r>
    </w:p>
    <w:p>
      <w:pPr>
        <w:pStyle w:val="BodyText"/>
        <w:spacing w:lineRule="auto" w:line="240" w:before="0" w:after="20"/>
        <w:ind w:firstLine="709"/>
        <w:jc w:val="both"/>
        <w:rPr>
          <w:rFonts w:ascii="Times New Roman;serif" w:hAnsi="Times New Roman;serif"/>
          <w:shd w:fill="FFFFFF" w:val="clear"/>
        </w:rPr>
      </w:pPr>
      <w:r>
        <w:rPr>
          <w:rFonts w:ascii="Times New Roman;serif" w:hAnsi="Times New Roman;serif"/>
          <w:color w:val="000000"/>
          <w:shd w:fill="FFFFFF" w:val="clear"/>
        </w:rPr>
        <w:t>En la UBA, las elecciones también se realizaron hacia finales de noviembre, en un clima de abierta confrontación entre el estudiantado y las autoridades universitarias. El rector Mangiante prohibió explícitamente los comicios para renovar las autoridades de los Centros de Estudiantes, argumentando que el Artículo n.º 5 de la Ley Universitaria impedía el proselitismo en los claustros. Como medida adicional para desarticular la actividad política, el rectorado decidió adelantar sorpresivamente la finalización del ciclo lectivo en las facultades metropolitanas, fijando el cierre de clases entre el 16 y el 22 de noviembre. Ante esta situación, las agrupaciones estudiantiles desafiaron la prohibición mediante la implementación de "urnas volantes", sobres de papel a manos de militantes que recorrían los cursos para permitir que el alumnado votara. No solo por el método novedoso, los comicios estuvieron marcados también por la vigilancia y la represión, registrándose la detención de al menos cuatro estudiantes en las Facultades de Medicina y Farmacia y Bioquímica. Además de esas dos unidades académicas, también se votó en Ingeniería, Ciencias Económicas, Ciencias Exactas y Naturales, Arquitectura y Psicología. El MOR logró la presidencia en tres de ellas, Franja Morada en otras tres, mientras que en Psicología se impuso la alianza que lideraba la JUP, derrotada en las demás Facultades.</w:t>
      </w:r>
    </w:p>
    <w:p>
      <w:pPr>
        <w:pStyle w:val="Normal"/>
        <w:spacing w:lineRule="auto" w:line="240"/>
        <w:rPr/>
      </w:pPr>
      <w:r>
        <w:rPr/>
      </w:r>
    </w:p>
    <w:p>
      <w:pPr>
        <w:pStyle w:val="Normal"/>
        <w:spacing w:lineRule="auto" w:line="240"/>
        <w:rPr/>
      </w:pPr>
      <w:r>
        <w:rPr>
          <w:rFonts w:cs="Times New Roman" w:ascii="Times New Roman" w:hAnsi="Times New Roman"/>
          <w:b/>
          <w:bCs/>
        </w:rPr>
        <w:t>Conclusiones</w:t>
      </w:r>
    </w:p>
    <w:p>
      <w:pPr>
        <w:pStyle w:val="BodyText"/>
        <w:spacing w:lineRule="auto" w:line="240"/>
        <w:jc w:val="both"/>
        <w:rPr/>
      </w:pPr>
      <w:bookmarkStart w:id="7" w:name="docs-internal-guid-71fc8ec4-7fff-dda6-db"/>
      <w:bookmarkEnd w:id="7"/>
      <w:r>
        <w:rPr>
          <w:rFonts w:cs="Times New Roman" w:ascii="Times New Roman" w:hAnsi="Times New Roman"/>
          <w:color w:val="000000"/>
          <w:shd w:fill="FFFFFF" w:val="clear"/>
        </w:rPr>
        <w:tab/>
      </w:r>
      <w:r>
        <w:rPr>
          <w:rFonts w:cs="Times New Roman" w:ascii="Times New Roman;serif" w:hAnsi="Times New Roman;serif"/>
          <w:color w:val="000000"/>
          <w:shd w:fill="FFFFFF" w:val="clear"/>
        </w:rPr>
        <w:t>Nos propusimos en este trabajo reconstruir de forma comparada, las estrategias que los movimientos estudiantiles de la UBA y la UNLP llevaron adelante para resistir a la “misión Ivanissevich”. Entre ellas, identificamos el intento de unificar espacios gremiales y realizar alianzas. Queremos cerrar con una síntesis parcial y transitoria que nos permite delinear los hallazgos en tres planos de análisis. En primer lugar, la cuestión de la temporalidad nos marca diferencias en las dinámicas contenciosas y las resistencias. Aunque ambas instituciones sufrieron la instalación de gestiones de corte autoritario, los tiempos y el impacto variaron levemente en cada caso. En la UBA, la “misión” y la represión llegaron antes, con la intervención de Ottalagano y sus “cien días” que comenzaron en septiembre de 1974. En la UNLP, el quiebre se produjo entre octubre y noviembre, con los asesinatos de Achem y Miguel y la llegada de Arrighi. Este desfasaje temporal sumamente breve, le dio al movimiento estudiantil de la UNLP cierto margen para continuar sus acciones de protesta así como transitar los comicios electorales.</w:t>
      </w:r>
    </w:p>
    <w:p>
      <w:pPr>
        <w:pStyle w:val="BodyText"/>
        <w:spacing w:lineRule="auto" w:line="240" w:before="0" w:after="20"/>
        <w:ind w:firstLine="720"/>
        <w:jc w:val="both"/>
        <w:rPr>
          <w:rFonts w:ascii="Times New Roman;serif" w:hAnsi="Times New Roman;serif"/>
          <w:shd w:fill="FFFFFF" w:val="clear"/>
        </w:rPr>
      </w:pPr>
      <w:r>
        <w:rPr>
          <w:rFonts w:ascii="Times New Roman;serif" w:hAnsi="Times New Roman;serif"/>
          <w:color w:val="000000"/>
          <w:shd w:fill="FFFFFF" w:val="clear"/>
        </w:rPr>
        <w:t>En segundo lugar, encontramos que sorteando el cierre de unidades académicas, la avanzada represiva de la CNU y la Triple A y la prohibición explícita de actuar, los grupos estudiantiles lograron sostener la resistencia frente a la “misión”. Pero esta resistencia supuso un cambio en los repertorios: se pasó de movilizaciones masivas a repertorios tácticos de menor exposición, más bien “contenidos”. Son ejemplo de ello la realización de “paros activos” en las aulas platenses, los actos relámpago, o el uso de “urnas volantes” de la UBA, que permitieron realizar las elecciones, a pesar de la prohibición. Aunque hubo matices locales (y el primer punto nos habla de ello), los repertorios de resistencia estudiantil se modificaron en ambas casas de estudio.</w:t>
      </w:r>
    </w:p>
    <w:p>
      <w:pPr>
        <w:pStyle w:val="BodyText"/>
        <w:spacing w:lineRule="auto" w:line="240" w:before="0" w:after="20"/>
        <w:ind w:firstLine="720"/>
        <w:jc w:val="both"/>
        <w:rPr>
          <w:rFonts w:ascii="Times New Roman;serif" w:hAnsi="Times New Roman;serif"/>
          <w:shd w:fill="FFFFFF" w:val="clear"/>
        </w:rPr>
      </w:pPr>
      <w:r>
        <w:rPr>
          <w:rFonts w:ascii="Times New Roman;serif" w:hAnsi="Times New Roman;serif"/>
          <w:color w:val="000000"/>
          <w:shd w:fill="FFFFFF" w:val="clear"/>
        </w:rPr>
        <w:t>La resistencia continuó, aunque menos espectacularmente. Los repertorios se modificaron de acuerdo a la represión en ciernes y, pese a los intentos, la unidad no se concretó. Así, en tercer lugar, observamos que la polarización del contexto político y las diferencias históricas y tácticas de los espacios nacionales, terminaron resquebrajando los intentos de unidad y las alianzas. 1974 nos muestra un CNFC fortalecido, con el MOR y JUP promoviéndolo, junto al sector balbinista de Franja Morada; mientras, otro sector de Franja y el FAUDI continuaba actuando en la FUA. En 1975, el MOR se acercó a Franja, conducción histórica de la FUA, debilitando al CNFC. Las diferencias, como se dijo, nos remiten al plano de la política nacional pues si los últimos dos se ubicaron, para fines de 1975, en defensa del gobierno y contra el “terrorismo de izquierda y derecha”, la JUP exigía la renuncia de Isabel Martínez de Perón y el pronto llamado a elecciones.</w:t>
      </w:r>
    </w:p>
    <w:p>
      <w:pPr>
        <w:pStyle w:val="BodyText"/>
        <w:rPr>
          <w:rFonts w:ascii="Times New Roman" w:hAnsi="Times New Roman" w:cs="Times New Roman"/>
        </w:rPr>
      </w:pPr>
      <w:r>
        <w:rPr>
          <w:rFonts w:cs="Times New Roman" w:ascii="Times New Roman" w:hAnsi="Times New Roman"/>
        </w:rPr>
      </w:r>
    </w:p>
    <w:p>
      <w:pPr>
        <w:pStyle w:val="Normal"/>
        <w:spacing w:lineRule="auto" w:line="240"/>
        <w:rPr/>
      </w:pPr>
      <w:r>
        <w:rPr>
          <w:rFonts w:cs="Times New Roman" w:ascii="Times New Roman" w:hAnsi="Times New Roman"/>
          <w:b/>
          <w:bCs/>
        </w:rPr>
        <w:t xml:space="preserve">Referencias Bibliográficas </w:t>
      </w:r>
    </w:p>
    <w:p>
      <w:pPr>
        <w:pStyle w:val="Citaenbloque"/>
        <w:spacing w:lineRule="auto" w:line="240"/>
        <w:ind w:left="0" w:right="0"/>
        <w:jc w:val="both"/>
        <w:rPr/>
      </w:pPr>
      <w:r>
        <w:rPr>
          <w:rStyle w:val="a1"/>
          <w:rFonts w:ascii="Times New Roman" w:hAnsi="Times New Roman"/>
        </w:rPr>
        <w:t xml:space="preserve">Besoky, J. (2017). La gestión del ministro Ivanissevich y la derecha peronista: los 100 días de Ottalagano. </w:t>
      </w:r>
      <w:r>
        <w:rPr>
          <w:rStyle w:val="a1"/>
          <w:rFonts w:ascii="Times New Roman" w:hAnsi="Times New Roman"/>
          <w:i/>
          <w:iCs/>
        </w:rPr>
        <w:t>Folia Histórica del Nordeste</w:t>
      </w:r>
      <w:r>
        <w:rPr>
          <w:rStyle w:val="a1"/>
          <w:rFonts w:ascii="Times New Roman" w:hAnsi="Times New Roman"/>
        </w:rPr>
        <w:t xml:space="preserve"> 29, 145-174. </w:t>
      </w:r>
      <w:hyperlink r:id="rId4">
        <w:r>
          <w:rPr>
            <w:rStyle w:val="Hyperlink"/>
            <w:rFonts w:ascii="Times New Roman" w:hAnsi="Times New Roman"/>
          </w:rPr>
          <w:t>https://doi.org/10.30972/fhn.0292435</w:t>
        </w:r>
      </w:hyperlink>
    </w:p>
    <w:p>
      <w:pPr>
        <w:pStyle w:val="Citaenbloque"/>
        <w:spacing w:lineRule="auto" w:line="240"/>
        <w:ind w:left="0" w:right="0"/>
        <w:jc w:val="both"/>
        <w:rPr/>
      </w:pPr>
      <w:r>
        <w:rPr>
          <w:rStyle w:val="a1"/>
          <w:rFonts w:cs="Times New Roman" w:ascii="Times New Roman" w:hAnsi="Times New Roman"/>
        </w:rPr>
        <w:t xml:space="preserve">Besoky, J. (2020) “Violencia paraestatal en el Gran La Plata (1973-1976): El caso de la Concentración Nacional Universitaria”. En D. Lvovich (comp.) </w:t>
      </w:r>
      <w:r>
        <w:rPr>
          <w:rStyle w:val="a1"/>
          <w:rFonts w:cs="Times New Roman" w:ascii="Times New Roman" w:hAnsi="Times New Roman"/>
          <w:i/>
          <w:iCs/>
        </w:rPr>
        <w:t xml:space="preserve">Políticas públicas, tradiciones políticas y sociabilidades entre 1960 y 1980 </w:t>
      </w:r>
      <w:r>
        <w:rPr>
          <w:rStyle w:val="a1"/>
          <w:rFonts w:cs="Times New Roman" w:ascii="Times New Roman" w:hAnsi="Times New Roman"/>
        </w:rPr>
        <w:t>(pp.143-170). UNGS.</w:t>
      </w:r>
    </w:p>
    <w:p>
      <w:pPr>
        <w:pStyle w:val="Normal"/>
        <w:spacing w:lineRule="auto" w:line="240"/>
        <w:jc w:val="both"/>
        <w:rPr/>
      </w:pPr>
      <w:r>
        <w:rPr>
          <w:rStyle w:val="Emphasis"/>
          <w:rFonts w:cs="Times New Roman" w:ascii="Times New Roman" w:hAnsi="Times New Roman"/>
          <w:i w:val="false"/>
          <w:iCs w:val="false"/>
        </w:rPr>
        <w:t xml:space="preserve">Califa, J. y Millán, M. (2023). </w:t>
      </w:r>
      <w:r>
        <w:rPr>
          <w:rStyle w:val="Emphasis"/>
          <w:rFonts w:cs="Times New Roman" w:ascii="Times New Roman" w:hAnsi="Times New Roman"/>
        </w:rPr>
        <w:t>Resistencia, rebelión y contrarrevolución. El movimiento estudiantil de la UBA, 1966-1976</w:t>
      </w:r>
      <w:r>
        <w:rPr>
          <w:rStyle w:val="Emphasis"/>
          <w:rFonts w:cs="Times New Roman" w:ascii="Times New Roman" w:hAnsi="Times New Roman"/>
          <w:i w:val="false"/>
          <w:iCs w:val="false"/>
        </w:rPr>
        <w:t>. Edhasa.</w:t>
      </w:r>
    </w:p>
    <w:p>
      <w:pPr>
        <w:pStyle w:val="Citaenbloque"/>
        <w:spacing w:lineRule="auto" w:line="240"/>
        <w:ind w:left="0" w:right="0"/>
        <w:jc w:val="both"/>
        <w:rPr/>
      </w:pPr>
      <w:r>
        <w:rPr>
          <w:rStyle w:val="Hyperlink"/>
          <w:rFonts w:cs="Times New Roman" w:ascii="Times New Roman" w:hAnsi="Times New Roman"/>
          <w:color w:val="auto"/>
          <w:u w:val="none"/>
        </w:rPr>
        <w:t xml:space="preserve">Carnagui, J. y Abattista, L. (2014). “La “depuración oficial” en las políticas educativas: la gestión Ivanissevich en el Ministerio de Educación de la Nación y su impacto en la UNLP”. </w:t>
      </w:r>
      <w:r>
        <w:rPr>
          <w:rStyle w:val="Hyperlink"/>
          <w:rFonts w:cs="Times New Roman" w:ascii="Times New Roman" w:hAnsi="Times New Roman"/>
          <w:i/>
          <w:iCs/>
          <w:color w:val="auto"/>
          <w:u w:val="none"/>
        </w:rPr>
        <w:t>VIII Jornadas de Sociología de la UNLP.</w:t>
      </w:r>
    </w:p>
    <w:p>
      <w:pPr>
        <w:pStyle w:val="Normal"/>
        <w:spacing w:lineRule="auto" w:line="240"/>
        <w:jc w:val="both"/>
        <w:rPr/>
      </w:pPr>
      <w:r>
        <w:rPr>
          <w:rStyle w:val="Emphasis"/>
          <w:rFonts w:ascii="Times New Roman" w:hAnsi="Times New Roman"/>
          <w:i w:val="false"/>
          <w:iCs w:val="false"/>
        </w:rPr>
        <w:t xml:space="preserve">Carnagui, J. (2021). “La militancia derechista en la Universidad Nacional de La Plata: el caso de la CNU”. En J. Cernadas y L. Lenci (coords.), </w:t>
      </w:r>
      <w:r>
        <w:rPr>
          <w:rStyle w:val="Emphasis"/>
          <w:rFonts w:ascii="Times New Roman" w:hAnsi="Times New Roman"/>
        </w:rPr>
        <w:t>Futuros en pugna: Protagonismos, dinámicas y sentidos durante el tercer gobierno peronista (1973-1976)</w:t>
      </w:r>
      <w:r>
        <w:rPr>
          <w:rStyle w:val="Emphasis"/>
          <w:rFonts w:ascii="Times New Roman" w:hAnsi="Times New Roman"/>
          <w:i w:val="false"/>
          <w:iCs w:val="false"/>
        </w:rPr>
        <w:t>. (pp. 119-149). UNLP.</w:t>
      </w:r>
    </w:p>
    <w:p>
      <w:pPr>
        <w:pStyle w:val="Normal"/>
        <w:spacing w:lineRule="auto" w:line="240"/>
        <w:jc w:val="both"/>
        <w:rPr/>
      </w:pPr>
      <w:r>
        <w:rPr>
          <w:rStyle w:val="Emphasis"/>
          <w:rFonts w:cs="Times New Roman" w:ascii="Times New Roman" w:hAnsi="Times New Roman"/>
          <w:i w:val="false"/>
          <w:iCs w:val="false"/>
        </w:rPr>
        <w:t xml:space="preserve">Cecchini, D. y Elizalde Leal, A. (2013). </w:t>
      </w:r>
      <w:r>
        <w:rPr>
          <w:rStyle w:val="Emphasis"/>
          <w:rFonts w:cs="Times New Roman" w:ascii="Times New Roman" w:hAnsi="Times New Roman"/>
        </w:rPr>
        <w:t>La CNU. El terrorismo de Estado antes del golpe</w:t>
      </w:r>
      <w:r>
        <w:rPr>
          <w:rStyle w:val="Emphasis"/>
          <w:rFonts w:cs="Times New Roman" w:ascii="Times New Roman" w:hAnsi="Times New Roman"/>
          <w:i w:val="false"/>
          <w:iCs w:val="false"/>
        </w:rPr>
        <w:t>. Miradas al Sur.</w:t>
      </w:r>
    </w:p>
    <w:p>
      <w:pPr>
        <w:pStyle w:val="Normal"/>
        <w:spacing w:lineRule="auto" w:line="240"/>
        <w:jc w:val="both"/>
        <w:rPr/>
      </w:pPr>
      <w:r>
        <w:rPr>
          <w:rStyle w:val="Emphasis"/>
          <w:rFonts w:ascii="Times New Roman" w:hAnsi="Times New Roman"/>
          <w:i w:val="false"/>
          <w:iCs w:val="false"/>
        </w:rPr>
        <w:t xml:space="preserve">Franco, M. (2012). </w:t>
      </w:r>
      <w:r>
        <w:rPr>
          <w:rStyle w:val="Emphasis"/>
          <w:rFonts w:ascii="Times New Roman" w:hAnsi="Times New Roman"/>
        </w:rPr>
        <w:t>Un enemigo para la nación. Orden interno, violencia y “subversión”</w:t>
      </w:r>
      <w:r>
        <w:rPr>
          <w:rStyle w:val="Emphasis"/>
          <w:rFonts w:ascii="Times New Roman" w:hAnsi="Times New Roman"/>
          <w:i w:val="false"/>
          <w:iCs w:val="false"/>
        </w:rPr>
        <w:t>. FCE.</w:t>
      </w:r>
    </w:p>
    <w:p>
      <w:pPr>
        <w:pStyle w:val="Normal"/>
        <w:spacing w:lineRule="auto" w:line="240"/>
        <w:jc w:val="both"/>
        <w:rPr/>
      </w:pPr>
      <w:r>
        <w:rPr>
          <w:rStyle w:val="Emphasis"/>
          <w:rFonts w:cs="Times New Roman" w:ascii="Times New Roman" w:hAnsi="Times New Roman"/>
          <w:i w:val="false"/>
          <w:iCs w:val="false"/>
        </w:rPr>
        <w:t xml:space="preserve">Friedeman, S. (2015). </w:t>
      </w:r>
      <w:r>
        <w:rPr>
          <w:rStyle w:val="Emphasis"/>
          <w:rFonts w:cs="Times New Roman" w:ascii="Times New Roman" w:hAnsi="Times New Roman"/>
        </w:rPr>
        <w:t>La Universidad Nacional y Popular de Buenos Aires. Una reforma universitaria inconclusa (1973-1974)</w:t>
      </w:r>
      <w:r>
        <w:rPr>
          <w:rStyle w:val="Emphasis"/>
          <w:rFonts w:cs="Times New Roman" w:ascii="Times New Roman" w:hAnsi="Times New Roman"/>
          <w:i w:val="false"/>
          <w:iCs w:val="false"/>
        </w:rPr>
        <w:t xml:space="preserve">. FCE. </w:t>
      </w:r>
    </w:p>
    <w:p>
      <w:pPr>
        <w:pStyle w:val="Citaenbloque"/>
        <w:spacing w:lineRule="auto" w:line="240"/>
        <w:ind w:left="0" w:right="0"/>
        <w:jc w:val="both"/>
        <w:rPr/>
      </w:pPr>
      <w:r>
        <w:rPr>
          <w:rStyle w:val="Cita1"/>
          <w:rFonts w:cs="Times New Roman" w:ascii="Times New Roman" w:hAnsi="Times New Roman"/>
          <w:i w:val="false"/>
          <w:iCs w:val="false"/>
        </w:rPr>
        <w:t xml:space="preserve">Izaguirre, I. (2011). La Universidad y el Estado Terrorista. La Misión Ivanissevich. </w:t>
      </w:r>
      <w:r>
        <w:rPr>
          <w:rStyle w:val="Cita1"/>
          <w:rFonts w:cs="Times New Roman" w:ascii="Times New Roman" w:hAnsi="Times New Roman"/>
        </w:rPr>
        <w:t xml:space="preserve">Conflicto Social </w:t>
      </w:r>
      <w:r>
        <w:rPr>
          <w:rStyle w:val="Cita1"/>
          <w:rFonts w:cs="Times New Roman" w:ascii="Times New Roman" w:hAnsi="Times New Roman"/>
          <w:i w:val="false"/>
          <w:iCs w:val="false"/>
        </w:rPr>
        <w:t xml:space="preserve">5. </w:t>
      </w:r>
    </w:p>
    <w:p>
      <w:pPr>
        <w:pStyle w:val="Normal"/>
        <w:spacing w:lineRule="auto" w:line="240"/>
        <w:jc w:val="both"/>
        <w:rPr/>
      </w:pPr>
      <w:r>
        <w:rPr>
          <w:rStyle w:val="Refdenotaalpie1"/>
          <w:rFonts w:cs="Times New Roman" w:ascii="Times New Roman" w:hAnsi="Times New Roman"/>
          <w:position w:val="0"/>
          <w:sz w:val="24"/>
          <w:vertAlign w:val="baseline"/>
          <w:lang w:val="es-ES" w:eastAsia="es-ES"/>
        </w:rPr>
        <w:t>Lanteri, M. y Meschiany, T. (2021). “</w:t>
      </w:r>
      <w:r>
        <w:rPr>
          <w:rStyle w:val="Emphasis"/>
          <w:rFonts w:cs="Times New Roman" w:ascii="Times New Roman" w:hAnsi="Times New Roman"/>
          <w:i w:val="false"/>
          <w:iCs w:val="false"/>
          <w:lang w:val="es-ES" w:eastAsia="es-ES"/>
        </w:rPr>
        <w:t>Proyectos en disputa: la Universidad Nacional de La Plata entre 1973 y 1976”.</w:t>
      </w:r>
      <w:r>
        <w:rPr>
          <w:rStyle w:val="Refdenotaalpie1"/>
          <w:rFonts w:cs="Times New Roman" w:ascii="Times New Roman" w:hAnsi="Times New Roman"/>
          <w:position w:val="0"/>
          <w:sz w:val="24"/>
          <w:vertAlign w:val="baseline"/>
          <w:lang w:val="es-ES" w:eastAsia="es-ES"/>
        </w:rPr>
        <w:t xml:space="preserve"> En J. Cernadas y L. Lenci (coords.). </w:t>
      </w:r>
      <w:r>
        <w:rPr>
          <w:rStyle w:val="Refdenotaalpie1"/>
          <w:rFonts w:cs="Times New Roman" w:ascii="Times New Roman" w:hAnsi="Times New Roman"/>
          <w:i/>
          <w:iCs/>
          <w:position w:val="0"/>
          <w:sz w:val="24"/>
          <w:vertAlign w:val="baseline"/>
          <w:lang w:val="es-ES" w:eastAsia="es-ES"/>
        </w:rPr>
        <w:t>Futuros en pugna: Protagonismos, dinámicas y sentidos durante el tercer gobierno peronista (</w:t>
      </w:r>
      <w:r>
        <w:rPr>
          <w:rStyle w:val="Emphasis"/>
          <w:rFonts w:cs="Times New Roman" w:ascii="Times New Roman" w:hAnsi="Times New Roman"/>
          <w:lang w:val="es-ES" w:eastAsia="es-ES"/>
        </w:rPr>
        <w:t>1973</w:t>
      </w:r>
      <w:r>
        <w:rPr>
          <w:rStyle w:val="Refdenotaalpie1"/>
          <w:rFonts w:cs="Times New Roman" w:ascii="Times New Roman" w:hAnsi="Times New Roman"/>
          <w:i/>
          <w:iCs/>
          <w:position w:val="0"/>
          <w:sz w:val="24"/>
          <w:vertAlign w:val="baseline"/>
          <w:lang w:val="es-ES" w:eastAsia="es-ES"/>
        </w:rPr>
        <w:t>-1976)</w:t>
      </w:r>
      <w:r>
        <w:rPr>
          <w:rStyle w:val="Refdenotaalpie1"/>
          <w:rFonts w:cs="Times New Roman" w:ascii="Times New Roman" w:hAnsi="Times New Roman"/>
          <w:position w:val="0"/>
          <w:sz w:val="24"/>
          <w:vertAlign w:val="baseline"/>
          <w:lang w:val="es-ES" w:eastAsia="es-ES"/>
        </w:rPr>
        <w:t xml:space="preserve"> (pp.147-242). UNLP.</w:t>
      </w:r>
    </w:p>
    <w:p>
      <w:pPr>
        <w:pStyle w:val="Normal"/>
        <w:spacing w:lineRule="auto" w:line="240"/>
        <w:jc w:val="both"/>
        <w:rPr/>
      </w:pPr>
      <w:r>
        <w:rPr>
          <w:rStyle w:val="Emphasis"/>
          <w:rFonts w:cs="Times New Roman" w:ascii="Times New Roman" w:hAnsi="Times New Roman"/>
          <w:i w:val="false"/>
          <w:iCs w:val="false"/>
          <w:lang w:val="es-ES" w:eastAsia="es-ES"/>
        </w:rPr>
        <w:t>Lobbe, H. (2009)</w:t>
      </w:r>
      <w:r>
        <w:rPr>
          <w:rStyle w:val="Refdenotaalpie1"/>
          <w:rFonts w:cs="Times New Roman" w:ascii="Times New Roman" w:hAnsi="Times New Roman"/>
          <w:position w:val="0"/>
          <w:sz w:val="24"/>
          <w:vertAlign w:val="baseline"/>
          <w:lang w:val="es-ES" w:eastAsia="es-ES"/>
        </w:rPr>
        <w:t xml:space="preserve">. </w:t>
      </w:r>
      <w:r>
        <w:rPr>
          <w:rStyle w:val="Refdenotaalpie1"/>
          <w:rFonts w:cs="Times New Roman" w:ascii="Times New Roman" w:hAnsi="Times New Roman"/>
          <w:i/>
          <w:iCs/>
          <w:position w:val="0"/>
          <w:sz w:val="24"/>
          <w:vertAlign w:val="baseline"/>
          <w:lang w:val="es-ES" w:eastAsia="es-ES"/>
        </w:rPr>
        <w:t>La guerrilla fabril. Clase obrera e izquierda en la Coordinadora de Zona Norte del Gran Buenos Aires (1975-1976)</w:t>
      </w:r>
      <w:r>
        <w:rPr>
          <w:rStyle w:val="Refdenotaalpie1"/>
          <w:rFonts w:cs="Times New Roman" w:ascii="Times New Roman" w:hAnsi="Times New Roman"/>
          <w:position w:val="0"/>
          <w:sz w:val="24"/>
          <w:vertAlign w:val="baseline"/>
          <w:lang w:val="es-ES" w:eastAsia="es-ES"/>
        </w:rPr>
        <w:t>. Ediciones RyR.</w:t>
      </w:r>
    </w:p>
    <w:p>
      <w:pPr>
        <w:pStyle w:val="Normal"/>
        <w:spacing w:lineRule="auto" w:line="240"/>
        <w:jc w:val="both"/>
        <w:rPr/>
      </w:pPr>
      <w:r>
        <w:rPr>
          <w:rStyle w:val="Refdenotaalpie1"/>
          <w:rFonts w:cs="Times New Roman" w:ascii="Times New Roman" w:hAnsi="Times New Roman"/>
          <w:position w:val="0"/>
          <w:sz w:val="24"/>
          <w:vertAlign w:val="baseline"/>
          <w:lang w:val="es-ES" w:eastAsia="es-ES"/>
        </w:rPr>
        <w:t xml:space="preserve">Millán, M. y Seia, G. (2021). </w:t>
      </w:r>
      <w:r>
        <w:rPr>
          <w:rStyle w:val="Refdenotaalpie1"/>
          <w:rFonts w:cs="Times New Roman" w:ascii="Times New Roman" w:hAnsi="Times New Roman"/>
          <w:i/>
          <w:iCs/>
          <w:position w:val="0"/>
          <w:sz w:val="24"/>
          <w:vertAlign w:val="baseline"/>
          <w:lang w:val="es-ES" w:eastAsia="es-ES"/>
        </w:rPr>
        <w:t>El movimiento estudiantil de la UBA bajo el terrorismo de Estado (1974-1984)</w:t>
      </w:r>
      <w:r>
        <w:rPr>
          <w:rStyle w:val="Refdenotaalpie1"/>
          <w:rFonts w:cs="Times New Roman" w:ascii="Times New Roman" w:hAnsi="Times New Roman"/>
          <w:position w:val="0"/>
          <w:sz w:val="24"/>
          <w:vertAlign w:val="baseline"/>
          <w:lang w:val="es-ES" w:eastAsia="es-ES"/>
        </w:rPr>
        <w:t>. Revista Interdisciplinaria de Estudios Sociales 24, 61-94.</w:t>
      </w:r>
    </w:p>
    <w:p>
      <w:pPr>
        <w:pStyle w:val="Citaenbloque"/>
        <w:spacing w:lineRule="auto" w:line="240"/>
        <w:ind w:left="0" w:right="0"/>
        <w:jc w:val="both"/>
        <w:rPr/>
      </w:pPr>
      <w:r>
        <w:rPr>
          <w:rStyle w:val="Emphasis"/>
          <w:rFonts w:cs="Times New Roman" w:ascii="Times New Roman" w:hAnsi="Times New Roman"/>
          <w:i w:val="false"/>
          <w:iCs w:val="false"/>
          <w:lang w:val="es-ES" w:eastAsia="es-ES"/>
        </w:rPr>
        <w:t xml:space="preserve">Pis Diez, N. (2025) Universidad, política y violencia: tácticas y demandas de grupos estudiantiles y docentes, en un ciclo de protesta (La Plata, 1968-1974). </w:t>
      </w:r>
      <w:r>
        <w:rPr>
          <w:rStyle w:val="Emphasis"/>
          <w:rFonts w:cs="Times New Roman" w:ascii="Times New Roman" w:hAnsi="Times New Roman"/>
          <w:lang w:val="es-ES" w:eastAsia="es-ES"/>
        </w:rPr>
        <w:t>Contenciosa</w:t>
      </w:r>
      <w:r>
        <w:rPr>
          <w:rStyle w:val="Emphasis"/>
          <w:rFonts w:cs="Times New Roman" w:ascii="Times New Roman" w:hAnsi="Times New Roman"/>
          <w:i w:val="false"/>
          <w:iCs w:val="false"/>
          <w:lang w:val="es-ES" w:eastAsia="es-ES"/>
        </w:rPr>
        <w:t xml:space="preserve"> 16. </w:t>
      </w:r>
      <w:hyperlink r:id="rId5">
        <w:r>
          <w:rPr>
            <w:rStyle w:val="Hyperlink"/>
            <w:rFonts w:cs="Times New Roman" w:ascii="Times New Roman" w:hAnsi="Times New Roman"/>
            <w:lang w:val="es-ES" w:eastAsia="es-ES"/>
          </w:rPr>
          <w:t xml:space="preserve">https://doi.org/10.14409/rc.2025.16.e0068 </w:t>
        </w:r>
      </w:hyperlink>
    </w:p>
    <w:p>
      <w:pPr>
        <w:pStyle w:val="Citaenbloque"/>
        <w:spacing w:lineRule="auto" w:line="240"/>
        <w:ind w:left="0" w:right="0"/>
        <w:jc w:val="both"/>
        <w:rPr/>
      </w:pPr>
      <w:r>
        <w:rPr>
          <w:rFonts w:cs="Times New Roman" w:ascii="Times New Roman" w:hAnsi="Times New Roman"/>
        </w:rPr>
        <w:t xml:space="preserve">Rodríguez, L. (2015). </w:t>
      </w:r>
      <w:r>
        <w:rPr>
          <w:rFonts w:cs="Times New Roman" w:ascii="Times New Roman" w:hAnsi="Times New Roman"/>
          <w:i/>
          <w:iCs/>
        </w:rPr>
        <w:t>Universidad, Peronismo y Dictadura 1973-1983.</w:t>
      </w:r>
      <w:r>
        <w:rPr>
          <w:rFonts w:cs="Times New Roman" w:ascii="Times New Roman" w:hAnsi="Times New Roman"/>
        </w:rPr>
        <w:t xml:space="preserve"> Prometeo.</w:t>
      </w:r>
    </w:p>
    <w:p>
      <w:pPr>
        <w:pStyle w:val="Citaenbloque"/>
        <w:spacing w:lineRule="auto" w:line="240"/>
        <w:ind w:left="0" w:right="0"/>
        <w:jc w:val="both"/>
        <w:rPr>
          <w:rStyle w:val="WW-Caracteresdenotaalpie"/>
          <w:rFonts w:ascii="Times New Roman" w:hAnsi="Times New Roman" w:cs="Times New Roman"/>
        </w:rPr>
      </w:pPr>
      <w:r>
        <w:rPr>
          <w:rStyle w:val="WW-Caracteresdenotaalpie"/>
          <w:rFonts w:cs="Times New Roman" w:ascii="Times New Roman" w:hAnsi="Times New Roman"/>
        </w:rPr>
        <w:t xml:space="preserve">Rodríguez, L. (2014). “La Universidad Nacional de La Plata entre 1973 y 1983”. </w:t>
      </w:r>
      <w:r>
        <w:rPr>
          <w:rStyle w:val="WW-Caracteresdenotaalpie"/>
          <w:rFonts w:cs="Times New Roman" w:ascii="Times New Roman" w:hAnsi="Times New Roman"/>
          <w:i/>
          <w:iCs/>
        </w:rPr>
        <w:t xml:space="preserve">PolHis </w:t>
      </w:r>
      <w:r>
        <w:rPr>
          <w:rStyle w:val="WW-Caracteresdenotaalpie"/>
          <w:rFonts w:cs="Times New Roman" w:ascii="Times New Roman" w:hAnsi="Times New Roman"/>
        </w:rPr>
        <w:t>14.</w:t>
      </w:r>
    </w:p>
    <w:p>
      <w:pPr>
        <w:pStyle w:val="Citaenbloque"/>
        <w:spacing w:lineRule="auto" w:line="240"/>
        <w:ind w:left="0" w:right="0"/>
        <w:jc w:val="both"/>
        <w:rPr>
          <w:rStyle w:val="WW-Caracteresdenotaalpie"/>
          <w:rFonts w:ascii="Times New Roman" w:hAnsi="Times New Roman" w:cs="Times New Roman"/>
        </w:rPr>
      </w:pPr>
      <w:r>
        <w:rPr>
          <w:rStyle w:val="WW-Caracteresdenotaalpie"/>
          <w:rFonts w:cs="Times New Roman" w:ascii="Times New Roman" w:hAnsi="Times New Roman"/>
        </w:rPr>
        <w:t xml:space="preserve">Seia, G. (2016). “La Universidad de Buenos Aires (UBA) entre la “Misión Ivanissevich” y la última dictadura (1974-1983). Represión, “reordenamiento” y reconfiguraciones de la vida estudiantil”. </w:t>
      </w:r>
      <w:r>
        <w:rPr>
          <w:rStyle w:val="WW-Caracteresdenotaalpie"/>
          <w:rFonts w:cs="Times New Roman" w:ascii="Times New Roman" w:hAnsi="Times New Roman"/>
          <w:i/>
          <w:iCs/>
        </w:rPr>
        <w:t>Tesis de Maestría.</w:t>
      </w:r>
      <w:r>
        <w:rPr>
          <w:rStyle w:val="WW-Caracteresdenotaalpie"/>
          <w:rFonts w:cs="Times New Roman" w:ascii="Times New Roman" w:hAnsi="Times New Roman"/>
        </w:rPr>
        <w:t xml:space="preserve"> Los Polvorines: UNGS.</w:t>
      </w:r>
    </w:p>
    <w:p>
      <w:pPr>
        <w:pStyle w:val="Citaenbloque"/>
        <w:spacing w:lineRule="auto" w:line="240" w:before="0" w:after="283"/>
        <w:ind w:left="0" w:right="0"/>
        <w:jc w:val="both"/>
        <w:rPr>
          <w:rStyle w:val="WW-Caracteresdenotaalpie"/>
          <w:rFonts w:ascii="Times New Roman" w:hAnsi="Times New Roman" w:cs="Times New Roman"/>
        </w:rPr>
      </w:pPr>
      <w:r>
        <w:rPr>
          <w:rFonts w:cs="Times New Roman" w:ascii="Times New Roman" w:hAnsi="Times New Roman"/>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701" w:right="1701" w:gutter="0" w:header="284" w:top="2410" w:footer="0" w:bottom="1843"/>
      <w:pgBorders w:display="allPages" w:offsetFrom="page">
        <w:left w:val="single" w:sz="48" w:space="12" w:color="00B0F0"/>
        <w:right w:val="single" w:sz="48" w:space="12" w:color="00B0F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roman"/>
    <w:pitch w:val="variable"/>
  </w:font>
  <w:font w:name="Times New Roman">
    <w:charset w:val="01"/>
    <w:family w:val="roman"/>
    <w:pitch w:val="variable"/>
  </w:font>
  <w:font w:name="Times New Roman">
    <w:altName w:val="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3"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inline distT="0" distB="0" distL="0" distR="0">
          <wp:extent cx="5400040" cy="428625"/>
          <wp:effectExtent l="0" t="0" r="0" b="0"/>
          <wp:docPr id="4"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
                  <pic:cNvPicPr>
                    <a:picLocks noChangeAspect="1" noChangeArrowheads="1"/>
                  </pic:cNvPicPr>
                </pic:nvPicPr>
                <pic:blipFill>
                  <a:blip r:embed="rId1"/>
                  <a:stretch>
                    <a:fillRect/>
                  </a:stretch>
                </pic:blipFill>
                <pic:spPr bwMode="auto">
                  <a:xfrm>
                    <a:off x="0" y="0"/>
                    <a:ext cx="5400040" cy="428625"/>
                  </a:xfrm>
                  <a:prstGeom prst="rect">
                    <a:avLst/>
                  </a:prstGeom>
                </pic:spPr>
              </pic:pic>
            </a:graphicData>
          </a:graphic>
        </wp:inline>
      </w:drawing>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2595880" cy="1082040"/>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95880" cy="1082040"/>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2595880" cy="1082040"/>
                  </a:xfrm>
                  <a:prstGeom prst="rect">
                    <a:avLst/>
                  </a:prstGeom>
                </pic:spPr>
              </pic:pic>
            </a:graphicData>
          </a:graphic>
        </wp:inline>
      </w:drawing>
    </w:r>
  </w:p>
</w:hdr>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s-A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Calibri" w:hAnsi="Calibri" w:eastAsia="Calibri" w:cs="" w:asciiTheme="minorHAnsi" w:cstheme="minorBidi" w:eastAsiaTheme="minorHAnsi" w:hAnsiTheme="minorHAnsi"/>
      <w:color w:val="auto"/>
      <w:kern w:val="2"/>
      <w:sz w:val="24"/>
      <w:szCs w:val="24"/>
      <w:lang w:val="es-419" w:eastAsia="en-US" w:bidi="ar-SA"/>
      <w14:ligatures w14:val="standardContextual"/>
    </w:rPr>
  </w:style>
  <w:style w:type="paragraph" w:styleId="Heading1">
    <w:name w:val="Heading 1"/>
    <w:basedOn w:val="Normal"/>
    <w:next w:val="Normal"/>
    <w:link w:val="Heading1Char"/>
    <w:uiPriority w:val="9"/>
    <w:qFormat/>
    <w:rsid w:val="001923dc"/>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1923dc"/>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1923dc"/>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1923dc"/>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1923dc"/>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1923dc"/>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1923dc"/>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1923dc"/>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1923dc"/>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sid w:val="001923dc"/>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uiPriority w:val="9"/>
    <w:semiHidden/>
    <w:qFormat/>
    <w:rsid w:val="001923dc"/>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uiPriority w:val="9"/>
    <w:semiHidden/>
    <w:qFormat/>
    <w:rsid w:val="001923dc"/>
    <w:rPr>
      <w:rFonts w:eastAsia="" w:cs="" w:cstheme="majorBidi" w:eastAsiaTheme="majorEastAsia"/>
      <w:color w:themeColor="accent1" w:themeShade="bf" w:val="2F5496"/>
      <w:sz w:val="28"/>
      <w:szCs w:val="28"/>
    </w:rPr>
  </w:style>
  <w:style w:type="character" w:styleId="Heading4Char" w:customStyle="1">
    <w:name w:val="Heading 4 Char"/>
    <w:basedOn w:val="DefaultParagraphFont"/>
    <w:uiPriority w:val="9"/>
    <w:semiHidden/>
    <w:qFormat/>
    <w:rsid w:val="001923dc"/>
    <w:rPr>
      <w:rFonts w:eastAsia="" w:cs="" w:cstheme="majorBidi" w:eastAsiaTheme="majorEastAsia"/>
      <w:i/>
      <w:iCs/>
      <w:color w:themeColor="accent1" w:themeShade="bf" w:val="2F5496"/>
    </w:rPr>
  </w:style>
  <w:style w:type="character" w:styleId="Heading5Char" w:customStyle="1">
    <w:name w:val="Heading 5 Char"/>
    <w:basedOn w:val="DefaultParagraphFont"/>
    <w:uiPriority w:val="9"/>
    <w:semiHidden/>
    <w:qFormat/>
    <w:rsid w:val="001923dc"/>
    <w:rPr>
      <w:rFonts w:eastAsia="" w:cs="" w:cstheme="majorBidi" w:eastAsiaTheme="majorEastAsia"/>
      <w:color w:themeColor="accent1" w:themeShade="bf" w:val="2F5496"/>
    </w:rPr>
  </w:style>
  <w:style w:type="character" w:styleId="Heading6Char" w:customStyle="1">
    <w:name w:val="Heading 6 Char"/>
    <w:basedOn w:val="DefaultParagraphFont"/>
    <w:uiPriority w:val="9"/>
    <w:semiHidden/>
    <w:qFormat/>
    <w:rsid w:val="001923dc"/>
    <w:rPr>
      <w:rFonts w:eastAsia="" w:cs="" w:cstheme="majorBidi" w:eastAsiaTheme="majorEastAsia"/>
      <w:i/>
      <w:iCs/>
      <w:color w:themeColor="text1" w:themeTint="a6" w:val="595959"/>
    </w:rPr>
  </w:style>
  <w:style w:type="character" w:styleId="Heading7Char" w:customStyle="1">
    <w:name w:val="Heading 7 Char"/>
    <w:basedOn w:val="DefaultParagraphFont"/>
    <w:uiPriority w:val="9"/>
    <w:semiHidden/>
    <w:qFormat/>
    <w:rsid w:val="001923dc"/>
    <w:rPr>
      <w:rFonts w:eastAsia="" w:cs="" w:cstheme="majorBidi" w:eastAsiaTheme="majorEastAsia"/>
      <w:color w:themeColor="text1" w:themeTint="a6" w:val="595959"/>
    </w:rPr>
  </w:style>
  <w:style w:type="character" w:styleId="Heading8Char" w:customStyle="1">
    <w:name w:val="Heading 8 Char"/>
    <w:basedOn w:val="DefaultParagraphFont"/>
    <w:uiPriority w:val="9"/>
    <w:semiHidden/>
    <w:qFormat/>
    <w:rsid w:val="001923dc"/>
    <w:rPr>
      <w:rFonts w:eastAsia="" w:cs="" w:cstheme="majorBidi" w:eastAsiaTheme="majorEastAsia"/>
      <w:i/>
      <w:iCs/>
      <w:color w:themeColor="text1" w:themeTint="d8" w:val="272727"/>
    </w:rPr>
  </w:style>
  <w:style w:type="character" w:styleId="Heading9Char" w:customStyle="1">
    <w:name w:val="Heading 9 Char"/>
    <w:basedOn w:val="DefaultParagraphFont"/>
    <w:uiPriority w:val="9"/>
    <w:semiHidden/>
    <w:qFormat/>
    <w:rsid w:val="001923dc"/>
    <w:rPr>
      <w:rFonts w:eastAsia="" w:cs="" w:cstheme="majorBidi" w:eastAsiaTheme="majorEastAsia"/>
      <w:color w:themeColor="text1" w:themeTint="d8" w:val="272727"/>
    </w:rPr>
  </w:style>
  <w:style w:type="character" w:styleId="TitleChar" w:customStyle="1">
    <w:name w:val="Title Char"/>
    <w:basedOn w:val="DefaultParagraphFont"/>
    <w:uiPriority w:val="10"/>
    <w:qFormat/>
    <w:rsid w:val="001923dc"/>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1923dc"/>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923dc"/>
    <w:rPr>
      <w:i/>
      <w:iCs/>
      <w:color w:themeColor="text1" w:themeTint="bf" w:val="404040"/>
    </w:rPr>
  </w:style>
  <w:style w:type="character" w:styleId="IntenseEmphasis">
    <w:name w:val="Intense Emphasis"/>
    <w:basedOn w:val="DefaultParagraphFont"/>
    <w:uiPriority w:val="21"/>
    <w:qFormat/>
    <w:rsid w:val="001923dc"/>
    <w:rPr>
      <w:i/>
      <w:iCs/>
      <w:color w:themeColor="accent1" w:themeShade="bf" w:val="2F5496"/>
    </w:rPr>
  </w:style>
  <w:style w:type="character" w:styleId="IntenseQuoteChar" w:customStyle="1">
    <w:name w:val="Intense Quote Char"/>
    <w:basedOn w:val="DefaultParagraphFont"/>
    <w:link w:val="IntenseQuote"/>
    <w:uiPriority w:val="30"/>
    <w:qFormat/>
    <w:rsid w:val="001923dc"/>
    <w:rPr>
      <w:i/>
      <w:iCs/>
      <w:color w:themeColor="accent1" w:themeShade="bf" w:val="2F5496"/>
    </w:rPr>
  </w:style>
  <w:style w:type="character" w:styleId="IntenseReference">
    <w:name w:val="Intense Reference"/>
    <w:basedOn w:val="DefaultParagraphFont"/>
    <w:uiPriority w:val="32"/>
    <w:qFormat/>
    <w:rsid w:val="001923dc"/>
    <w:rPr>
      <w:b/>
      <w:bCs/>
      <w:smallCaps/>
      <w:color w:themeColor="accent1" w:themeShade="bf" w:val="2F5496"/>
      <w:spacing w:val="5"/>
    </w:rPr>
  </w:style>
  <w:style w:type="character" w:styleId="HeaderChar" w:customStyle="1">
    <w:name w:val="Header Char"/>
    <w:basedOn w:val="DefaultParagraphFont"/>
    <w:uiPriority w:val="99"/>
    <w:qFormat/>
    <w:rsid w:val="00c802f5"/>
    <w:rPr/>
  </w:style>
  <w:style w:type="character" w:styleId="FooterChar" w:customStyle="1">
    <w:name w:val="Footer Char"/>
    <w:basedOn w:val="DefaultParagraphFont"/>
    <w:uiPriority w:val="99"/>
    <w:qFormat/>
    <w:rsid w:val="00c802f5"/>
    <w:rPr/>
  </w:style>
  <w:style w:type="character" w:styleId="Hyperlink">
    <w:name w:val="Hyperlink"/>
    <w:basedOn w:val="DefaultParagraphFont"/>
    <w:uiPriority w:val="99"/>
    <w:unhideWhenUsed/>
    <w:rsid w:val="00c802f5"/>
    <w:rPr>
      <w:color w:themeColor="hyperlink" w:val="0563C1"/>
      <w:u w:val="single"/>
    </w:rPr>
  </w:style>
  <w:style w:type="character" w:styleId="UnresolvedMention">
    <w:name w:val="Unresolved Mention"/>
    <w:basedOn w:val="DefaultParagraphFont"/>
    <w:uiPriority w:val="99"/>
    <w:semiHidden/>
    <w:unhideWhenUsed/>
    <w:qFormat/>
    <w:rsid w:val="00c802f5"/>
    <w:rPr>
      <w:color w:val="605E5C"/>
      <w:shd w:fill="E1DFDD" w:val="clear"/>
    </w:rPr>
  </w:style>
  <w:style w:type="character" w:styleId="Emphasis">
    <w:name w:val="Emphasis"/>
    <w:qFormat/>
    <w:rPr>
      <w:i/>
      <w:iCs/>
    </w:rPr>
  </w:style>
  <w:style w:type="character" w:styleId="Refdenotaalpie1" w:customStyle="1">
    <w:name w:val="Ref. de nota al pie1"/>
    <w:qFormat/>
    <w:rPr>
      <w:vertAlign w:val="superscript"/>
    </w:rPr>
  </w:style>
  <w:style w:type="character" w:styleId="WW-Caracteresdenotaalpie" w:customStyle="1">
    <w:name w:val="WW-Caracteres de nota al pie"/>
    <w:qFormat/>
    <w:rPr/>
  </w:style>
  <w:style w:type="character" w:styleId="Cita1" w:customStyle="1">
    <w:name w:val="Cita1"/>
    <w:qFormat/>
    <w:rPr>
      <w:i/>
      <w:iCs/>
    </w:rPr>
  </w:style>
  <w:style w:type="character" w:styleId="a1" w:customStyle="1">
    <w:name w:val="a1"/>
    <w:qFormat/>
    <w:rPr/>
  </w:style>
  <w:style w:type="paragraph" w:styleId="Ttulo" w:customStyle="1">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ndice" w:customStyle="1">
    <w:name w:val="Índice"/>
    <w:basedOn w:val="Normal"/>
    <w:qFormat/>
    <w:pPr>
      <w:suppressLineNumbers/>
    </w:pPr>
    <w:rPr>
      <w:rFonts w:cs="Noto Sans Devanagari"/>
    </w:rPr>
  </w:style>
  <w:style w:type="paragraph" w:styleId="Title">
    <w:name w:val="Title"/>
    <w:basedOn w:val="Normal"/>
    <w:next w:val="Normal"/>
    <w:link w:val="TitleChar"/>
    <w:uiPriority w:val="10"/>
    <w:qFormat/>
    <w:rsid w:val="001923dc"/>
    <w:pPr>
      <w:spacing w:lineRule="auto" w:line="240" w:before="0" w:after="80"/>
      <w:contextualSpacing/>
    </w:pPr>
    <w:rPr>
      <w:rFonts w:ascii="Calibri Light" w:hAnsi="Calibri Light" w:eastAsia="" w:cs="" w:asciiTheme="majorHAnsi" w:cstheme="majorBidi" w:eastAsiaTheme="majorEastAsia" w:hAnsiTheme="majorHAnsi"/>
      <w:spacing w:val="-10"/>
      <w:sz w:val="56"/>
      <w:szCs w:val="56"/>
    </w:rPr>
  </w:style>
  <w:style w:type="paragraph" w:styleId="Subtitle">
    <w:name w:val="Subtitle"/>
    <w:basedOn w:val="Normal"/>
    <w:next w:val="Normal"/>
    <w:link w:val="SubtitleChar"/>
    <w:uiPriority w:val="11"/>
    <w:qFormat/>
    <w:rsid w:val="001923dc"/>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1923dc"/>
    <w:pPr>
      <w:spacing w:before="160" w:after="160"/>
      <w:jc w:val="center"/>
    </w:pPr>
    <w:rPr>
      <w:i/>
      <w:iCs/>
      <w:color w:themeColor="text1" w:themeTint="bf" w:val="404040"/>
    </w:rPr>
  </w:style>
  <w:style w:type="paragraph" w:styleId="ListParagraph">
    <w:name w:val="List Paragraph"/>
    <w:basedOn w:val="Normal"/>
    <w:uiPriority w:val="34"/>
    <w:qFormat/>
    <w:rsid w:val="001923dc"/>
    <w:pPr>
      <w:spacing w:before="0" w:after="160"/>
      <w:ind w:left="720"/>
      <w:contextualSpacing/>
    </w:pPr>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Cabeceraypie" w:customStyle="1">
    <w:name w:val="Cabecera y pie"/>
    <w:basedOn w:val="Normal"/>
    <w:qFormat/>
    <w:pPr/>
    <w:rPr/>
  </w:style>
  <w:style w:type="paragraph" w:styleId="Header">
    <w:name w:val="Header"/>
    <w:basedOn w:val="Normal"/>
    <w:link w:val="HeaderChar"/>
    <w:uiPriority w:val="99"/>
    <w:unhideWhenUsed/>
    <w:rsid w:val="00c802f5"/>
    <w:pPr>
      <w:tabs>
        <w:tab w:val="clear" w:pos="708"/>
        <w:tab w:val="center" w:pos="4252" w:leader="none"/>
        <w:tab w:val="right" w:pos="8504" w:leader="none"/>
      </w:tabs>
      <w:spacing w:lineRule="auto" w:line="240" w:before="0" w:after="0"/>
    </w:pPr>
    <w:rPr/>
  </w:style>
  <w:style w:type="paragraph" w:styleId="Footer">
    <w:name w:val="Footer"/>
    <w:basedOn w:val="Normal"/>
    <w:link w:val="FooterChar"/>
    <w:uiPriority w:val="99"/>
    <w:unhideWhenUsed/>
    <w:rsid w:val="00c802f5"/>
    <w:pPr>
      <w:tabs>
        <w:tab w:val="clear" w:pos="708"/>
        <w:tab w:val="center" w:pos="4252" w:leader="none"/>
        <w:tab w:val="right" w:pos="8504" w:leader="none"/>
      </w:tabs>
      <w:spacing w:lineRule="auto" w:line="240" w:before="0" w:after="0"/>
    </w:pPr>
    <w:rPr/>
  </w:style>
  <w:style w:type="paragraph" w:styleId="Citaenbloque" w:customStyle="1">
    <w:name w:val="Cita en bloque"/>
    <w:basedOn w:val="Normal"/>
    <w:qFormat/>
    <w:pPr>
      <w:spacing w:before="0" w:after="283"/>
      <w:ind w:left="567" w:right="567"/>
    </w:pPr>
    <w:rPr/>
  </w:style>
  <w:style w:type="numbering" w:styleId="Ningunalista" w:customStyle="1">
    <w:name w:val="Ninguna list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ayla.pdiez@gmail.com" TargetMode="External"/><Relationship Id="rId3" Type="http://schemas.openxmlformats.org/officeDocument/2006/relationships/hyperlink" Target="mailto:guadalupeseia@gmail.com" TargetMode="External"/><Relationship Id="rId4" Type="http://schemas.openxmlformats.org/officeDocument/2006/relationships/hyperlink" Target="https://doi.org/10.30972/fhn.0292435" TargetMode="External"/><Relationship Id="rId5" Type="http://schemas.openxmlformats.org/officeDocument/2006/relationships/hyperlink" Target="https://doi.org/10.14409/rc.2025.16.e0068"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196</TotalTime>
  <Application>LibreOffice/24.2.7.2$Linux_X86_64 LibreOffice_project/420$Build-2</Application>
  <AppVersion>15.0000</AppVersion>
  <Pages>13</Pages>
  <Words>6170</Words>
  <Characters>33056</Characters>
  <CharactersWithSpaces>39177</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2026-03-14T03:50:00Z</dcterms:created>
  <dc:creator>Pablo Daniel Garcia</dc:creator>
  <dc:description/>
  <dc:language>es-ES</dc:language>
  <cp:lastModifiedBy/>
  <dcterms:modified xsi:type="dcterms:W3CDTF">2026-07-12T20:06:42Z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