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E4D6791" w14:textId="1FBCE285" w:rsidR="001226D6" w:rsidRPr="001226D6" w:rsidRDefault="001226D6" w:rsidP="001226D6">
      <w:pPr>
        <w:jc w:val="center"/>
        <w:rPr>
          <w:rFonts w:ascii="Times New Roman" w:hAnsi="Times New Roman" w:cs="Times New Roman"/>
          <w:b/>
          <w:bCs/>
        </w:rPr>
      </w:pPr>
      <w:r w:rsidRPr="001226D6">
        <w:rPr>
          <w:rFonts w:ascii="Times New Roman" w:hAnsi="Times New Roman" w:cs="Times New Roman"/>
          <w:b/>
          <w:bCs/>
        </w:rPr>
        <w:t>Del diagnóstico a la normativa: construcción institucional del SACAU en la UNLaM</w:t>
      </w:r>
    </w:p>
    <w:p w14:paraId="43C49479" w14:textId="77777777" w:rsidR="005F3B2E" w:rsidRPr="00BA642E" w:rsidRDefault="005F3B2E" w:rsidP="001923DC">
      <w:pPr>
        <w:jc w:val="center"/>
        <w:rPr>
          <w:rFonts w:ascii="Times New Roman" w:hAnsi="Times New Roman" w:cs="Times New Roman"/>
        </w:rPr>
      </w:pPr>
    </w:p>
    <w:p w14:paraId="4E738780" w14:textId="0792DAC6" w:rsidR="005F3B2E" w:rsidRPr="00BA642E" w:rsidRDefault="001226D6" w:rsidP="005F3B2E">
      <w:pPr>
        <w:spacing w:after="0" w:line="240" w:lineRule="auto"/>
        <w:jc w:val="right"/>
        <w:rPr>
          <w:rFonts w:ascii="Times New Roman" w:hAnsi="Times New Roman" w:cs="Times New Roman"/>
        </w:rPr>
      </w:pPr>
      <w:r>
        <w:rPr>
          <w:rFonts w:ascii="Times New Roman" w:hAnsi="Times New Roman" w:cs="Times New Roman"/>
        </w:rPr>
        <w:t>Ana M</w:t>
      </w:r>
      <w:r w:rsidR="00DB6DC7">
        <w:rPr>
          <w:rFonts w:ascii="Times New Roman" w:hAnsi="Times New Roman" w:cs="Times New Roman"/>
        </w:rPr>
        <w:t>arcela</w:t>
      </w:r>
      <w:r>
        <w:rPr>
          <w:rFonts w:ascii="Times New Roman" w:hAnsi="Times New Roman" w:cs="Times New Roman"/>
        </w:rPr>
        <w:t xml:space="preserve"> Bidiña</w:t>
      </w:r>
    </w:p>
    <w:p w14:paraId="6C2AECCA" w14:textId="16A6AC17" w:rsidR="005F3B2E" w:rsidRPr="00BA642E" w:rsidRDefault="00DB6DC7"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7D0026CD" w14:textId="3521A71A" w:rsidR="005F3B2E" w:rsidRPr="00BA642E" w:rsidRDefault="001226D6" w:rsidP="005F3B2E">
      <w:pPr>
        <w:spacing w:after="0" w:line="240" w:lineRule="auto"/>
        <w:jc w:val="right"/>
        <w:rPr>
          <w:rFonts w:ascii="Times New Roman" w:hAnsi="Times New Roman" w:cs="Times New Roman"/>
        </w:rPr>
      </w:pPr>
      <w:r>
        <w:rPr>
          <w:rFonts w:ascii="Times New Roman" w:hAnsi="Times New Roman" w:cs="Times New Roman"/>
        </w:rPr>
        <w:t>abidina@unlam.edu.ar</w:t>
      </w:r>
    </w:p>
    <w:p w14:paraId="1FA0F857" w14:textId="77777777" w:rsidR="005F3B2E" w:rsidRPr="00BA642E" w:rsidRDefault="005F3B2E" w:rsidP="005F3B2E">
      <w:pPr>
        <w:rPr>
          <w:rFonts w:ascii="Times New Roman" w:hAnsi="Times New Roman" w:cs="Times New Roman"/>
        </w:rPr>
      </w:pPr>
    </w:p>
    <w:p w14:paraId="1275A9C7" w14:textId="1DAD5BB1" w:rsidR="005F3B2E" w:rsidRPr="00BA642E" w:rsidRDefault="001226D6" w:rsidP="005F3B2E">
      <w:pPr>
        <w:spacing w:after="0" w:line="240" w:lineRule="auto"/>
        <w:jc w:val="right"/>
        <w:rPr>
          <w:rFonts w:ascii="Times New Roman" w:hAnsi="Times New Roman" w:cs="Times New Roman"/>
        </w:rPr>
      </w:pPr>
      <w:r>
        <w:rPr>
          <w:rFonts w:ascii="Times New Roman" w:hAnsi="Times New Roman" w:cs="Times New Roman"/>
        </w:rPr>
        <w:t>Romina Merino</w:t>
      </w:r>
    </w:p>
    <w:p w14:paraId="46FEEBE4" w14:textId="0B438CF3" w:rsidR="005F3B2E" w:rsidRPr="00BA642E" w:rsidRDefault="001226D6"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3CAC774D" w14:textId="7986B6E6" w:rsidR="005F3B2E" w:rsidRPr="00BA642E" w:rsidRDefault="00DB6DC7" w:rsidP="005F3B2E">
      <w:pPr>
        <w:spacing w:after="0" w:line="240" w:lineRule="auto"/>
        <w:jc w:val="right"/>
        <w:rPr>
          <w:rFonts w:ascii="Times New Roman" w:hAnsi="Times New Roman" w:cs="Times New Roman"/>
        </w:rPr>
      </w:pPr>
      <w:r>
        <w:rPr>
          <w:rFonts w:ascii="Times New Roman" w:hAnsi="Times New Roman" w:cs="Times New Roman"/>
        </w:rPr>
        <w:t>rmerino@unlam.edu.ar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4BB90AF8"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DB6DC7">
        <w:rPr>
          <w:rFonts w:ascii="Times New Roman" w:hAnsi="Times New Roman" w:cs="Times New Roman"/>
        </w:rPr>
        <w:t>Francisco Marcos Carnevali</w:t>
      </w:r>
    </w:p>
    <w:p w14:paraId="4E696C7D" w14:textId="6BFE1193" w:rsidR="005F3B2E" w:rsidRPr="00BA642E" w:rsidRDefault="00DB6DC7"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3D73DB11" w14:textId="2DBF63CA" w:rsidR="005F3B2E" w:rsidRPr="00BA642E" w:rsidRDefault="00DB6DC7" w:rsidP="005F3B2E">
      <w:pPr>
        <w:spacing w:after="0" w:line="240" w:lineRule="auto"/>
        <w:jc w:val="right"/>
        <w:rPr>
          <w:rFonts w:ascii="Times New Roman" w:hAnsi="Times New Roman" w:cs="Times New Roman"/>
        </w:rPr>
      </w:pPr>
      <w:r>
        <w:rPr>
          <w:rFonts w:ascii="Times New Roman" w:hAnsi="Times New Roman" w:cs="Times New Roman"/>
        </w:rPr>
        <w:t>fcarneva@unlam.edu.ar</w:t>
      </w:r>
    </w:p>
    <w:p w14:paraId="1B43FD84" w14:textId="77777777" w:rsidR="001923DC" w:rsidRPr="00BA642E" w:rsidRDefault="001923DC" w:rsidP="001923DC">
      <w:pPr>
        <w:jc w:val="center"/>
        <w:rPr>
          <w:rFonts w:ascii="Times New Roman" w:hAnsi="Times New Roman" w:cs="Times New Roman"/>
        </w:rPr>
      </w:pPr>
    </w:p>
    <w:p w14:paraId="2D66658E" w14:textId="77777777" w:rsidR="00DB6DC7" w:rsidRPr="001B691D" w:rsidRDefault="00BA642E" w:rsidP="007B5B5F">
      <w:pPr>
        <w:spacing w:line="240" w:lineRule="auto"/>
        <w:jc w:val="both"/>
        <w:rPr>
          <w:rFonts w:ascii="Times New Roman" w:hAnsi="Times New Roman" w:cs="Times New Roman"/>
          <w:b/>
          <w:bCs/>
          <w:lang w:val="es-AR"/>
        </w:rPr>
      </w:pPr>
      <w:r w:rsidRPr="001B691D">
        <w:rPr>
          <w:rFonts w:ascii="Times New Roman" w:hAnsi="Times New Roman" w:cs="Times New Roman"/>
          <w:b/>
          <w:bCs/>
          <w:lang w:val="es-AR"/>
        </w:rPr>
        <w:t>Resumen:</w:t>
      </w:r>
      <w:r w:rsidR="007B5B5F" w:rsidRPr="001B691D">
        <w:rPr>
          <w:rFonts w:ascii="Times New Roman" w:hAnsi="Times New Roman" w:cs="Times New Roman"/>
          <w:b/>
          <w:bCs/>
          <w:lang w:val="es-AR"/>
        </w:rPr>
        <w:t xml:space="preserve"> </w:t>
      </w:r>
    </w:p>
    <w:p w14:paraId="090FC018" w14:textId="77777777" w:rsidR="00DB6DC7" w:rsidRPr="001B691D" w:rsidRDefault="00DB6DC7" w:rsidP="00DB6DC7">
      <w:pPr>
        <w:spacing w:line="240" w:lineRule="auto"/>
        <w:jc w:val="both"/>
        <w:rPr>
          <w:rFonts w:ascii="Times New Roman" w:hAnsi="Times New Roman" w:cs="Times New Roman"/>
          <w:lang w:val="es-AR"/>
        </w:rPr>
      </w:pPr>
      <w:r w:rsidRPr="00DB6DC7">
        <w:rPr>
          <w:rFonts w:ascii="Times New Roman" w:hAnsi="Times New Roman" w:cs="Times New Roman"/>
          <w:lang w:val="es-AR"/>
        </w:rPr>
        <w:t xml:space="preserve">La ponencia expone el proceso de implementación del Sistema Argentino de Créditos Académicos Universitarios (SACAU) en la Universidad Nacional de La Matanza (UNLaM), resultado del trabajo realizado por la Secretaría Académica durante 2024 y 2025, en articulación con el proyecto de investigación “Construcción de un sistema de variables e indicadores de gestión académica en la UNLaM”. </w:t>
      </w:r>
      <w:r w:rsidRPr="001B691D">
        <w:rPr>
          <w:rFonts w:ascii="Times New Roman" w:hAnsi="Times New Roman" w:cs="Times New Roman"/>
          <w:lang w:val="es-AR"/>
        </w:rPr>
        <w:t>Este proceso se inscribe en las adecuaciones impulsadas por el CIN, orientadas a consolidar una arquitectura curricular transparente y comparable.</w:t>
      </w:r>
    </w:p>
    <w:p w14:paraId="3C4904C7" w14:textId="77777777" w:rsidR="00DB6DC7" w:rsidRPr="001B691D" w:rsidRDefault="00DB6DC7" w:rsidP="00DB6DC7">
      <w:pPr>
        <w:spacing w:line="240" w:lineRule="auto"/>
        <w:jc w:val="both"/>
        <w:rPr>
          <w:rFonts w:ascii="Times New Roman" w:hAnsi="Times New Roman" w:cs="Times New Roman"/>
          <w:lang w:val="es-AR"/>
        </w:rPr>
      </w:pPr>
      <w:r w:rsidRPr="001B691D">
        <w:rPr>
          <w:rFonts w:ascii="Times New Roman" w:hAnsi="Times New Roman" w:cs="Times New Roman"/>
          <w:lang w:val="es-AR"/>
        </w:rPr>
        <w:t>El SACAU no constituye un cambio administrativo ni una operación técnica, sino una transformación institucional de carácter político</w:t>
      </w:r>
      <w:r w:rsidRPr="001B691D">
        <w:rPr>
          <w:rFonts w:ascii="Times New Roman" w:hAnsi="Times New Roman" w:cs="Times New Roman"/>
          <w:lang w:val="es-AR"/>
        </w:rPr>
        <w:noBreakHyphen/>
        <w:t xml:space="preserve">pedagógico, que interpela las lógicas que históricamente organizaron los planes de estudio. La UNLaM adoptó un enfoque situado, apoyado en evidencia producida por la propia universidad. La Prueba Piloto se configuró como punto de partida: relevó más de treinta asignaturas de siete unidades académicas mediante una metodología </w:t>
      </w:r>
      <w:proofErr w:type="spellStart"/>
      <w:r w:rsidRPr="001B691D">
        <w:rPr>
          <w:rFonts w:ascii="Times New Roman" w:hAnsi="Times New Roman" w:cs="Times New Roman"/>
          <w:lang w:val="es-AR"/>
        </w:rPr>
        <w:t>cuanti</w:t>
      </w:r>
      <w:proofErr w:type="spellEnd"/>
      <w:r w:rsidRPr="001B691D">
        <w:rPr>
          <w:rFonts w:ascii="Times New Roman" w:hAnsi="Times New Roman" w:cs="Times New Roman"/>
          <w:lang w:val="es-AR"/>
        </w:rPr>
        <w:noBreakHyphen/>
        <w:t>cualitativa que integró diversos actores. Este dispositivo hizo posible comprender cómo se distribuye el trabajo total del estudiante y qué condiciones disciplinares, pedagógicas y sociales lo determinan.</w:t>
      </w:r>
    </w:p>
    <w:p w14:paraId="584918A3" w14:textId="77777777" w:rsidR="00DB6DC7" w:rsidRPr="001B691D" w:rsidRDefault="00DB6DC7" w:rsidP="00DB6DC7">
      <w:pPr>
        <w:spacing w:line="240" w:lineRule="auto"/>
        <w:jc w:val="both"/>
        <w:rPr>
          <w:rFonts w:ascii="Times New Roman" w:hAnsi="Times New Roman" w:cs="Times New Roman"/>
          <w:lang w:val="es-AR"/>
        </w:rPr>
      </w:pPr>
      <w:r w:rsidRPr="001B691D">
        <w:rPr>
          <w:rFonts w:ascii="Times New Roman" w:hAnsi="Times New Roman" w:cs="Times New Roman"/>
          <w:lang w:val="es-AR"/>
        </w:rPr>
        <w:t>Los resultados muestran que la relación entre la carga formal y la intensidad real del trabajo estudiantil no es lineal. Asignaturas con una misma carga presencial pueden exigir niveles muy distintos de trabajo autónomo, según el tipo de actividades propuestas, el enfoque pedagógico adoptado o la estructura de evaluación. Asimismo, la variabilidad entre disciplinas evidencia la necesidad de criterios flexibles, ya que cada carrera presenta patrones propios de dedicación que dificultan la aplicación de promedios uniformes o modelos estandarizados.</w:t>
      </w:r>
    </w:p>
    <w:p w14:paraId="074316F6" w14:textId="77777777" w:rsidR="00DB6DC7" w:rsidRPr="001B691D" w:rsidRDefault="00DB6DC7" w:rsidP="00DB6DC7">
      <w:pPr>
        <w:spacing w:line="240" w:lineRule="auto"/>
        <w:jc w:val="both"/>
        <w:rPr>
          <w:rFonts w:ascii="Times New Roman" w:hAnsi="Times New Roman" w:cs="Times New Roman"/>
          <w:lang w:val="es-AR"/>
        </w:rPr>
      </w:pPr>
      <w:r w:rsidRPr="001B691D">
        <w:rPr>
          <w:rFonts w:ascii="Times New Roman" w:hAnsi="Times New Roman" w:cs="Times New Roman"/>
          <w:lang w:val="es-AR"/>
        </w:rPr>
        <w:lastRenderedPageBreak/>
        <w:t>En este contexto, la UNLaM desarrolló criterios institucionales para estimar la intensidad del trabajo autónomo, considerando la función pedagógica de cada actividad, su complejidad cognitiva, la frecuencia temporal, el grado de autonomía requerido, los requerimientos materiales y el vínculo con la evaluación. Estos insumos fortalecen la estimación del CRE y permiten avanzar hacia una planificación curricular más coherente y equilibrada.</w:t>
      </w:r>
    </w:p>
    <w:p w14:paraId="33D48481" w14:textId="77777777" w:rsidR="00DB6DC7" w:rsidRPr="001B691D" w:rsidRDefault="00DB6DC7" w:rsidP="00DB6DC7">
      <w:pPr>
        <w:spacing w:line="240" w:lineRule="auto"/>
        <w:jc w:val="both"/>
        <w:rPr>
          <w:rFonts w:ascii="Times New Roman" w:hAnsi="Times New Roman" w:cs="Times New Roman"/>
          <w:lang w:val="es-AR"/>
        </w:rPr>
      </w:pPr>
      <w:r w:rsidRPr="001B691D">
        <w:rPr>
          <w:rFonts w:ascii="Times New Roman" w:hAnsi="Times New Roman" w:cs="Times New Roman"/>
          <w:lang w:val="es-AR"/>
        </w:rPr>
        <w:t>Como síntesis del proceso, la Secretaría Académica elaboró una normativa integral que configura una arquitectura curricular moderna: regula la aplicación del SACAU, destaca el valor central de los programas de asignatura, actualiza los procedimientos para crear y modificar carreras, incorpora las tablas IP/TA y habilita el reconocimiento de Actividades Acreditables, ampliando y diversificando las trayectorias estudiantiles.</w:t>
      </w:r>
    </w:p>
    <w:p w14:paraId="476F0496" w14:textId="7AEC17FC" w:rsidR="00DB6DC7" w:rsidRPr="001B691D" w:rsidRDefault="00DB6DC7" w:rsidP="00DB6DC7">
      <w:pPr>
        <w:spacing w:line="240" w:lineRule="auto"/>
        <w:jc w:val="both"/>
        <w:rPr>
          <w:rFonts w:ascii="Times New Roman" w:hAnsi="Times New Roman" w:cs="Times New Roman"/>
          <w:lang w:val="es-AR"/>
        </w:rPr>
      </w:pPr>
      <w:r w:rsidRPr="001B691D">
        <w:rPr>
          <w:rFonts w:ascii="Times New Roman" w:hAnsi="Times New Roman" w:cs="Times New Roman"/>
          <w:lang w:val="es-AR"/>
        </w:rPr>
        <w:t>En definitiva, la implementación del SACAU-UNLaM se concibe como un proyecto institucional de largo plazo, articulado con otros procesos estratégicos (SIAC, Carrera Docente, etc.), orientado a construir trayectorias formativas realistas, de calidad y basadas en evidencia situada.</w:t>
      </w:r>
    </w:p>
    <w:p w14:paraId="03C7D17C" w14:textId="77777777" w:rsidR="00DB6DC7" w:rsidRPr="00DB6DC7" w:rsidRDefault="00DB6DC7" w:rsidP="007B5B5F">
      <w:pPr>
        <w:spacing w:line="240" w:lineRule="auto"/>
        <w:jc w:val="both"/>
        <w:rPr>
          <w:rFonts w:ascii="Times New Roman" w:hAnsi="Times New Roman" w:cs="Times New Roman"/>
          <w:b/>
          <w:bCs/>
          <w:lang w:val="es-AR"/>
        </w:rPr>
      </w:pPr>
    </w:p>
    <w:p w14:paraId="5990E6E6" w14:textId="6C6BA5B0" w:rsidR="00DB6DC7" w:rsidRPr="00DB6DC7" w:rsidRDefault="00BA642E" w:rsidP="00DB6DC7">
      <w:pPr>
        <w:spacing w:line="240" w:lineRule="auto"/>
        <w:jc w:val="both"/>
        <w:rPr>
          <w:rFonts w:ascii="Times New Roman" w:hAnsi="Times New Roman" w:cs="Times New Roman"/>
          <w:lang w:val="es-AR"/>
        </w:rPr>
      </w:pPr>
      <w:r w:rsidRPr="00DB6DC7">
        <w:rPr>
          <w:rFonts w:ascii="Times New Roman" w:hAnsi="Times New Roman" w:cs="Times New Roman"/>
          <w:b/>
          <w:bCs/>
          <w:lang w:val="es-AR"/>
        </w:rPr>
        <w:t>Palabras clave:</w:t>
      </w:r>
      <w:r w:rsidR="00DB6DC7" w:rsidRPr="00DB6DC7">
        <w:rPr>
          <w:rFonts w:ascii="Times New Roman" w:hAnsi="Times New Roman" w:cs="Times New Roman"/>
          <w:b/>
          <w:bCs/>
          <w:lang w:val="es-AR"/>
        </w:rPr>
        <w:t xml:space="preserve"> </w:t>
      </w:r>
      <w:r w:rsidR="00DB6DC7" w:rsidRPr="00DB6DC7">
        <w:rPr>
          <w:rFonts w:ascii="Times New Roman" w:hAnsi="Times New Roman" w:cs="Times New Roman"/>
          <w:lang w:val="es-AR"/>
        </w:rPr>
        <w:t>SACAU, Trabajo autónomo estudiantil, Gestión curricular</w:t>
      </w:r>
      <w:r w:rsidR="00DB6DC7">
        <w:rPr>
          <w:rFonts w:ascii="Times New Roman" w:hAnsi="Times New Roman" w:cs="Times New Roman"/>
          <w:lang w:val="es-AR"/>
        </w:rPr>
        <w:t>,</w:t>
      </w:r>
      <w:r w:rsidR="00DB6DC7" w:rsidRPr="00DB6DC7">
        <w:rPr>
          <w:rFonts w:ascii="Times New Roman" w:hAnsi="Times New Roman" w:cs="Times New Roman"/>
          <w:lang w:val="es-AR"/>
        </w:rPr>
        <w:t xml:space="preserve"> Innovación académica</w:t>
      </w:r>
      <w:r w:rsidR="00DB6DC7">
        <w:rPr>
          <w:rFonts w:ascii="Times New Roman" w:hAnsi="Times New Roman" w:cs="Times New Roman"/>
          <w:lang w:val="es-AR"/>
        </w:rPr>
        <w:t>.</w:t>
      </w:r>
    </w:p>
    <w:p w14:paraId="38D835B3" w14:textId="77777777" w:rsidR="00DB6DC7" w:rsidRPr="00DB6DC7" w:rsidRDefault="00DB6DC7" w:rsidP="007B5B5F">
      <w:pPr>
        <w:spacing w:line="240" w:lineRule="auto"/>
        <w:jc w:val="both"/>
        <w:rPr>
          <w:rFonts w:ascii="Times New Roman" w:hAnsi="Times New Roman" w:cs="Times New Roman"/>
          <w:b/>
          <w:bCs/>
          <w:lang w:val="es-AR"/>
        </w:rPr>
      </w:pPr>
    </w:p>
    <w:p w14:paraId="3A0261D8" w14:textId="77777777" w:rsidR="001B691D" w:rsidRPr="00391A56" w:rsidRDefault="001B691D" w:rsidP="001B691D">
      <w:pPr>
        <w:spacing w:line="240" w:lineRule="auto"/>
        <w:jc w:val="both"/>
        <w:rPr>
          <w:rFonts w:ascii="Times New Roman" w:hAnsi="Times New Roman" w:cs="Times New Roman"/>
          <w:b/>
          <w:bCs/>
        </w:rPr>
      </w:pPr>
      <w:r w:rsidRPr="00391A56">
        <w:rPr>
          <w:rFonts w:ascii="Times New Roman" w:hAnsi="Times New Roman" w:cs="Times New Roman"/>
          <w:b/>
          <w:bCs/>
        </w:rPr>
        <w:t>Introducción</w:t>
      </w:r>
    </w:p>
    <w:p w14:paraId="0870728A"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 xml:space="preserve">La aprobación de la Resolución Ministerial </w:t>
      </w:r>
      <w:proofErr w:type="spellStart"/>
      <w:r w:rsidRPr="00391A56">
        <w:rPr>
          <w:rFonts w:ascii="Times New Roman" w:hAnsi="Times New Roman" w:cs="Times New Roman"/>
        </w:rPr>
        <w:t>Nº</w:t>
      </w:r>
      <w:proofErr w:type="spellEnd"/>
      <w:r w:rsidRPr="00391A56">
        <w:rPr>
          <w:rFonts w:ascii="Times New Roman" w:hAnsi="Times New Roman" w:cs="Times New Roman"/>
        </w:rPr>
        <w:t xml:space="preserve"> 2598/23, posteriormente modificada por la Resolución 556/25, introduce en el sistema universitario argentino el Sistema Argentino de Créditos Académicos Universitarios (SACAU), estableciendo un modelo de organización curricular basado en el Crédito de Referencia del Estudiante (CRE). Este se define como la unidad que integra la totalidad del trabajo académico requerido para alcanzar los objetivos formativos, incluyendo tanto las actividades de interacción pedagógica como el trabajo autónomo del estudiante.</w:t>
      </w:r>
    </w:p>
    <w:p w14:paraId="5CE6CE28"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Este enfoque implica un desplazamiento significativo respecto de los modelos tradicionales centrados exclusivamente en la carga horaria presencial, al considerar el volumen total de trabajo como unidad de medida de la actividad académica (Palou y Montaño, 2008). En este sentido, el crédito académico no constituye una mera unidad administrativa, sino un dispositivo que permite reconocer el tiempo real necesario para transitar un trayecto formativo, facilitando además procesos de comparabilidad y movilidad académica (Garin y Acosta, 2021).</w:t>
      </w:r>
    </w:p>
    <w:p w14:paraId="1D7FACF3"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En este marco, la implementación del SACAU no puede ser comprendida como una adaptación técnica, sino como una transformación estructural de carácter político</w:t>
      </w:r>
      <w:r w:rsidRPr="00391A56">
        <w:rPr>
          <w:rFonts w:ascii="Times New Roman" w:hAnsi="Times New Roman" w:cs="Times New Roman"/>
        </w:rPr>
        <w:noBreakHyphen/>
        <w:t>pedagógico que interpela las lógicas históricas de organización del currículum universitario. Esta transformación exige un diagnóstico institucional fundado que permita comprender las condiciones reales de desarrollo de las trayectorias estudiantiles, particularmente en relación con la distribución del tiempo de trabajo académico.</w:t>
      </w:r>
    </w:p>
    <w:p w14:paraId="461AA6A4"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lastRenderedPageBreak/>
        <w:t>En la Universidad Nacional de La Matanza (UNLaM), este proceso se desarrolló durante 2024 y 2025 a través de una estrategia institucional impulsada por la Secretaría Académica, en articulación con el proyecto de investigación “Construcción de un sistema de variables e indicadores de gestión académica en la UNLaM”. A diferencia de implementaciones basadas en modelos externos, se adoptó un enfoque situado orientado a la producción de evidencia empírica propia, como condición para una posterior traducción normativa.</w:t>
      </w:r>
    </w:p>
    <w:p w14:paraId="1ACD80B6" w14:textId="77777777" w:rsidR="001B691D" w:rsidRDefault="001B691D" w:rsidP="001B691D">
      <w:pPr>
        <w:spacing w:line="240" w:lineRule="auto"/>
        <w:jc w:val="both"/>
        <w:rPr>
          <w:rFonts w:ascii="Times New Roman" w:hAnsi="Times New Roman" w:cs="Times New Roman"/>
          <w:b/>
          <w:bCs/>
        </w:rPr>
      </w:pPr>
    </w:p>
    <w:p w14:paraId="7A29E73E" w14:textId="067392A5" w:rsidR="001B691D" w:rsidRPr="001B691D" w:rsidRDefault="001B691D" w:rsidP="001B691D">
      <w:pPr>
        <w:spacing w:line="240" w:lineRule="auto"/>
        <w:jc w:val="both"/>
        <w:rPr>
          <w:rFonts w:ascii="Times New Roman" w:hAnsi="Times New Roman" w:cs="Times New Roman"/>
          <w:b/>
          <w:bCs/>
        </w:rPr>
      </w:pPr>
      <w:r w:rsidRPr="001B691D">
        <w:rPr>
          <w:rFonts w:ascii="Times New Roman" w:hAnsi="Times New Roman" w:cs="Times New Roman"/>
          <w:b/>
          <w:bCs/>
        </w:rPr>
        <w:t>Prueba piloto y resultados</w:t>
      </w:r>
    </w:p>
    <w:p w14:paraId="34992FBC"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En el marco de la estrategia institucional orientada a la implementación del SACAU, la Universidad Nacional de La Matanza desarrolló durante 2024 una prueba piloto</w:t>
      </w:r>
      <w:r>
        <w:rPr>
          <w:rFonts w:ascii="Times New Roman" w:hAnsi="Times New Roman" w:cs="Times New Roman"/>
        </w:rPr>
        <w:t xml:space="preserve"> </w:t>
      </w:r>
      <w:proofErr w:type="spellStart"/>
      <w:r w:rsidRPr="00391A56">
        <w:rPr>
          <w:rFonts w:ascii="Times New Roman" w:hAnsi="Times New Roman" w:cs="Times New Roman"/>
        </w:rPr>
        <w:t>cuanti</w:t>
      </w:r>
      <w:proofErr w:type="spellEnd"/>
      <w:r w:rsidRPr="00391A56">
        <w:rPr>
          <w:rFonts w:ascii="Times New Roman" w:hAnsi="Times New Roman" w:cs="Times New Roman"/>
        </w:rPr>
        <w:noBreakHyphen/>
        <w:t>cualitativ</w:t>
      </w:r>
      <w:r>
        <w:rPr>
          <w:rFonts w:ascii="Times New Roman" w:hAnsi="Times New Roman" w:cs="Times New Roman"/>
        </w:rPr>
        <w:t>a</w:t>
      </w:r>
      <w:r w:rsidRPr="00391A56">
        <w:rPr>
          <w:rFonts w:ascii="Times New Roman" w:hAnsi="Times New Roman" w:cs="Times New Roman"/>
        </w:rPr>
        <w:t xml:space="preserve"> de carácter exploratori</w:t>
      </w:r>
      <w:r>
        <w:rPr>
          <w:rFonts w:ascii="Times New Roman" w:hAnsi="Times New Roman" w:cs="Times New Roman"/>
        </w:rPr>
        <w:t>a</w:t>
      </w:r>
      <w:r w:rsidRPr="00391A56">
        <w:rPr>
          <w:rFonts w:ascii="Times New Roman" w:hAnsi="Times New Roman" w:cs="Times New Roman"/>
        </w:rPr>
        <w:t xml:space="preserve">, concebida como un dispositivo de producción de evidencia empírica sobre el trabajo autónomo estudiantil. Esta decisión se fundamenta en la dificultad ampliamente reconocida en </w:t>
      </w:r>
      <w:r>
        <w:rPr>
          <w:rFonts w:ascii="Times New Roman" w:hAnsi="Times New Roman" w:cs="Times New Roman"/>
        </w:rPr>
        <w:t>el estado del arte,</w:t>
      </w:r>
      <w:r w:rsidRPr="00391A56">
        <w:rPr>
          <w:rFonts w:ascii="Times New Roman" w:hAnsi="Times New Roman" w:cs="Times New Roman"/>
        </w:rPr>
        <w:t xml:space="preserve"> para estimar la carga académica en ausencia de datos reales, dado que los docentes suelen basar sus estimaciones en supuestos no verificados empíricamente (Palou y Montaño, 2008; Cernuda et al., 2005).</w:t>
      </w:r>
    </w:p>
    <w:p w14:paraId="73C8FCA9"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A diferencia de enfoques orientados a la conversión inmediata de los planes de estudio, esta experiencia tuvo como objetivo central generar insumos técnico-pedagógicos que permitieran comprender de manera situada la dinámica real del trabajo académico en distintas disciplinas, como condición previa para una adecuación curricular fundada.</w:t>
      </w:r>
    </w:p>
    <w:p w14:paraId="0091D689" w14:textId="77777777" w:rsidR="001B691D" w:rsidRDefault="001B691D" w:rsidP="001B691D">
      <w:pPr>
        <w:spacing w:line="240" w:lineRule="auto"/>
        <w:jc w:val="both"/>
        <w:rPr>
          <w:rFonts w:ascii="Times New Roman" w:hAnsi="Times New Roman" w:cs="Times New Roman"/>
        </w:rPr>
      </w:pPr>
      <w:r w:rsidRPr="00391A56">
        <w:rPr>
          <w:rFonts w:ascii="Times New Roman" w:hAnsi="Times New Roman" w:cs="Times New Roman"/>
        </w:rPr>
        <w:t>La prueba piloto se implementó en diversas unidades académicas de la universidad, abarcando carreras representativas de áreas disciplinares heterogéneas. Cada una de ellas seleccionó asignaturas correspondientes a distintos tramos del recorrido formativo, tipos de materia y cargas horarias, con el propósito de relevar situaciones variadas de enseñanza y aprendizaje.</w:t>
      </w:r>
    </w:p>
    <w:p w14:paraId="75DFF20D" w14:textId="7FB1857F" w:rsidR="001B691D" w:rsidRPr="00B53E42" w:rsidRDefault="001556B3" w:rsidP="001B691D">
      <w:pPr>
        <w:spacing w:line="240" w:lineRule="auto"/>
        <w:jc w:val="both"/>
        <w:rPr>
          <w:rFonts w:ascii="Times New Roman" w:hAnsi="Times New Roman" w:cs="Times New Roman"/>
        </w:rPr>
      </w:pPr>
      <w:r w:rsidRPr="00B53E42">
        <w:rPr>
          <w:rFonts w:ascii="Times New Roman" w:hAnsi="Times New Roman" w:cs="Times New Roman"/>
        </w:rPr>
        <w:t>El relevamiento incluyó más de treinta asignaturas</w:t>
      </w:r>
      <w:r>
        <w:rPr>
          <w:rFonts w:ascii="Times New Roman" w:hAnsi="Times New Roman" w:cs="Times New Roman"/>
        </w:rPr>
        <w:t xml:space="preserve"> de régimen de cursado cuatrimestral</w:t>
      </w:r>
      <w:r w:rsidRPr="00B53E42">
        <w:rPr>
          <w:rFonts w:ascii="Times New Roman" w:hAnsi="Times New Roman" w:cs="Times New Roman"/>
        </w:rPr>
        <w:t>,</w:t>
      </w:r>
      <w:r w:rsidR="001B691D" w:rsidRPr="00B53E42">
        <w:rPr>
          <w:rFonts w:ascii="Times New Roman" w:hAnsi="Times New Roman" w:cs="Times New Roman"/>
        </w:rPr>
        <w:t xml:space="preserve"> seleccionadas a partir de criterios de representatividad disciplinar, diversidad de tramos formativos, tipos de materia y cargas horarias. Esta amplitud en la selección permitió conformar un universo de análisis heterogéneo, no solo en términos de áreas de conocimiento, sino también en relación con las estrategias pedagógicas, las modalidades de enseñanza y las características organizacionales de cada unidad académica. En consecuencia, el corpus construido ofrece una aproximación robusta y situada a las distintas formas en que se configura el trabajo académico en la universidad, posibilitando identificar tanto regularidades transversales como particularidades propias de cada campo disciplinar y de las prácticas docentes que los estructuran.</w:t>
      </w:r>
    </w:p>
    <w:p w14:paraId="2B55C3FA" w14:textId="77777777" w:rsidR="001B691D" w:rsidRPr="00391A56" w:rsidRDefault="001B691D" w:rsidP="001B691D">
      <w:pPr>
        <w:spacing w:line="240" w:lineRule="auto"/>
        <w:jc w:val="both"/>
        <w:rPr>
          <w:rFonts w:ascii="Times New Roman" w:eastAsia="Times New Roman" w:hAnsi="Times New Roman" w:cs="Times New Roman"/>
          <w:lang w:eastAsia="es-AR"/>
        </w:rPr>
      </w:pPr>
      <w:r w:rsidRPr="00391A56">
        <w:rPr>
          <w:rFonts w:ascii="Times New Roman" w:eastAsia="Times New Roman" w:hAnsi="Times New Roman" w:cs="Times New Roman"/>
          <w:lang w:eastAsia="es-AR"/>
        </w:rPr>
        <w:t xml:space="preserve">La prueba piloto se implementó en </w:t>
      </w:r>
      <w:r>
        <w:rPr>
          <w:rFonts w:ascii="Times New Roman" w:eastAsia="Times New Roman" w:hAnsi="Times New Roman" w:cs="Times New Roman"/>
          <w:lang w:eastAsia="es-AR"/>
        </w:rPr>
        <w:t>siete</w:t>
      </w:r>
      <w:r w:rsidRPr="00391A56">
        <w:rPr>
          <w:rFonts w:ascii="Times New Roman" w:eastAsia="Times New Roman" w:hAnsi="Times New Roman" w:cs="Times New Roman"/>
          <w:lang w:eastAsia="es-AR"/>
        </w:rPr>
        <w:t xml:space="preserve"> unidades académicas de la universidad, incluyendo los Departamentos de Ciencias Económicas, Ciencias de la Salud, Derecho y Ciencia Política, Humanidades y Ciencias Sociales,</w:t>
      </w:r>
      <w:r>
        <w:rPr>
          <w:rFonts w:ascii="Times New Roman" w:eastAsia="Times New Roman" w:hAnsi="Times New Roman" w:cs="Times New Roman"/>
          <w:lang w:eastAsia="es-AR"/>
        </w:rPr>
        <w:t xml:space="preserve"> Ingeniería e Investigaciones Tecnológicas,</w:t>
      </w:r>
      <w:r w:rsidRPr="00391A56">
        <w:rPr>
          <w:rFonts w:ascii="Times New Roman" w:eastAsia="Times New Roman" w:hAnsi="Times New Roman" w:cs="Times New Roman"/>
          <w:lang w:eastAsia="es-AR"/>
        </w:rPr>
        <w:t xml:space="preserve"> y Arquitectura y Urbanismo, junto con la Escuela de Artes</w:t>
      </w:r>
      <w:r>
        <w:rPr>
          <w:rFonts w:ascii="Times New Roman" w:eastAsia="Times New Roman" w:hAnsi="Times New Roman" w:cs="Times New Roman"/>
          <w:lang w:eastAsia="es-AR"/>
        </w:rPr>
        <w:t>,</w:t>
      </w:r>
      <w:r w:rsidRPr="00391A56">
        <w:rPr>
          <w:rFonts w:ascii="Times New Roman" w:eastAsia="Times New Roman" w:hAnsi="Times New Roman" w:cs="Times New Roman"/>
          <w:lang w:eastAsia="es-AR"/>
        </w:rPr>
        <w:t xml:space="preserve"> Medios </w:t>
      </w:r>
      <w:r>
        <w:rPr>
          <w:rFonts w:ascii="Times New Roman" w:eastAsia="Times New Roman" w:hAnsi="Times New Roman" w:cs="Times New Roman"/>
          <w:lang w:eastAsia="es-AR"/>
        </w:rPr>
        <w:t>e Innovación</w:t>
      </w:r>
      <w:r w:rsidRPr="00391A56">
        <w:rPr>
          <w:rFonts w:ascii="Times New Roman" w:eastAsia="Times New Roman" w:hAnsi="Times New Roman" w:cs="Times New Roman"/>
          <w:lang w:eastAsia="es-AR"/>
        </w:rPr>
        <w:t xml:space="preserve">. En este marco, participaron las carreras de Licenciatura en Economía, </w:t>
      </w:r>
      <w:r w:rsidRPr="00391A56">
        <w:rPr>
          <w:rFonts w:ascii="Times New Roman" w:eastAsia="Times New Roman" w:hAnsi="Times New Roman" w:cs="Times New Roman"/>
          <w:lang w:eastAsia="es-AR"/>
        </w:rPr>
        <w:lastRenderedPageBreak/>
        <w:t>Licenciatura en Enfermería, Licenciatura en Ciencia Política, el Profesorado en Educación Física, Arquitectura</w:t>
      </w:r>
      <w:r>
        <w:rPr>
          <w:rFonts w:ascii="Times New Roman" w:eastAsia="Times New Roman" w:hAnsi="Times New Roman" w:cs="Times New Roman"/>
          <w:lang w:eastAsia="es-AR"/>
        </w:rPr>
        <w:t>, Ingeniería Civil</w:t>
      </w:r>
      <w:r w:rsidRPr="00391A56">
        <w:rPr>
          <w:rFonts w:ascii="Times New Roman" w:eastAsia="Times New Roman" w:hAnsi="Times New Roman" w:cs="Times New Roman"/>
          <w:lang w:eastAsia="es-AR"/>
        </w:rPr>
        <w:t xml:space="preserve"> y la Tecnicatura en Periodismo Deportivo. Cada una de ellas seleccionó entre cinco y diez asignaturas representativas de distintos momentos del trayecto formativo —inicial, intermedio y avanzado—, así como de diversas tipologías de espacios curriculares (teóricos, prácticos e integradores) y cargas horarias, con el propósito de relevar una amplia variedad de situaciones de enseñanza y aprendizaje.</w:t>
      </w:r>
    </w:p>
    <w:p w14:paraId="144C1861"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El diseño metodológico se estructuró a partir de la articulación entre la Secretaría Académica, coordinadores de carrera y equipos docentes. Se elaboraron instrumentos de recolección de datos consensuados, basados principalmente en encuestas autoadministradas por estudiantes en tres momentos del cuatrimestre, en las que se registró el tiempo semanal dedicado a diferentes actividades académicas.</w:t>
      </w:r>
    </w:p>
    <w:p w14:paraId="464FEA73"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En el instrumento se solicitó a los estudiantes la estimación del tiempo semanal destinado a distintas actividades de trabajo autónomo, tales como la búsqueda y lectura de bibliografía, la resolución de ejercicios prácticos, la escritura académica, el estudio individual, la preparación de exámenes y la elaboración de proyectos o informes, entre otras. Asimismo, se incorporaron actividades específicas propias de cada campo disciplinar, lo que permitió captar la diversidad de prácticas académicas según la carrera, incluyendo, por ejemplo, exploraciones anatómicas en simulación en Enfermería, planificación de prácticas docentes en Educación Física, producción de contenidos periodísticos en Periodismo Deportivo, elaboración de ficheros en Ciencia Política y desarrollo de proyectos en Arquitectura.</w:t>
      </w:r>
    </w:p>
    <w:p w14:paraId="02E213E0"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Si bien la información relevada presenta limitaciones metodológicas —derivadas principalmente de su carácter voluntario y no probabilístico, así como de la naturaleza declarativa de los datos— los resultados obtenidos constituyen una base significativa para el análisis institucional del trabajo estudiantil, en tanto permiten identificar tendencias, variaciones y tensiones que no resultan visibles en los modelos tradicionales de planificación curricular.</w:t>
      </w:r>
    </w:p>
    <w:p w14:paraId="3621208A"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Los resultados obtenidos permiten identificar hallazgos relevantes. En primer lugar, se evidencia que la relación entre la carga horaria formal y la intensidad real del trabajo académico no es lineal. Asignaturas con igual cantidad de horas de interacción pedagógica pueden implicar niveles de trabajo autónomo significativamente diferentes, en función de las prácticas docentes, las actividades propuestas y las modalidades de evaluación. Este resultado coincide con estudios previos que identifican discrepancias entre la planificación docente y el trabajo real de los estudiantes (Palou y Montaño, 2008). Este resultado pone en cuestión la equivalencia implícita entre horas de clase y tiempo de aprendizaje, evidenciando la necesidad de considerar el trabajo total del estudiante como unidad de análisis para la planificación curricular.</w:t>
      </w:r>
    </w:p>
    <w:p w14:paraId="2FEA0F66"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 xml:space="preserve">En segundo lugar, se observa una marcada variabilidad disciplinar en los patrones de dedicación estudiantil. Las diferencias entre carreras en términos de modos de enseñanza, producción de conocimiento y prácticas formativas implican configuraciones diversas del trabajo autónomo, lo que refuerza la necesidad de evitar modelos estandarizados de </w:t>
      </w:r>
      <w:r w:rsidRPr="00391A56">
        <w:rPr>
          <w:rFonts w:ascii="Times New Roman" w:hAnsi="Times New Roman" w:cs="Times New Roman"/>
        </w:rPr>
        <w:lastRenderedPageBreak/>
        <w:t>estimación. La literatura sostiene que el cálculo del trabajo académico depende en gran medida de cada disciplina, lo que dificulta establecer criterios universales (Palou y Montaño, 2008). Este hallazgo refuerza la necesidad de adoptar criterios flexibles y situados para la estimación del trabajo académico, evitando la aplicación de plantillas homogéneas que desconozcan las especificidades de cada campo de conocimiento.</w:t>
      </w:r>
    </w:p>
    <w:p w14:paraId="415D8E8D"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En relación con la dinámica temporal del trabajo estudiantil, los datos muestran una tendencia al incremento de la carga hacia el tramo final del cuatrimestre, particularmente en actividades vinculadas al estudio de contenidos y a la preparación de instancias evaluativas. Esta concentración del esfuerzo académico da cuenta de una organización del tiempo que combina prácticas sostenidas a lo largo del período con momentos de alta intensidad, asociados a la evaluación y acreditación de los aprendizajes.</w:t>
      </w:r>
    </w:p>
    <w:p w14:paraId="3D32908A"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Otro aspecto relevante es la divergencia entre la estimación docente y la percepción estudiantil del tiempo de trabajo. Mientras que la planificación docente tiende a organizar las actividades en función de supuestos de dedicación teórica, los estudiantes experimentan la carga académica desde la ejecución efectiva de las tareas, mediada por factores como su experiencia previa, sus estrategias de estudio y sus condiciones de vida. Esta diferencia pone de relieve la importancia de incorporar la perspectiva estudiantil en los procesos de diseño curricular, como vía para lograr estimaciones más ajustadas y equitativas.</w:t>
      </w:r>
    </w:p>
    <w:p w14:paraId="57DFC563"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En conjunto, los resultados de la prueba piloto permiten afirmar que el trabajo autónomo estudiantil constituye una dimensión estructural del currículum, históricamente invisibilizada en los modelos tradicionales de organización académica. Su identificación, caracterización y medición resultan condiciones necesarias para avanzar hacia una planificación curricular más coherente, que articule de manera equilibrada las distintas formas de trabajo académico y contribuya a la construcción de trayectorias formativas viables y sostenibles. Tal como señalan Cernuda et al. (2005), el trabajo autónomo ha dejado de ser un aspecto privado del estudiante para convertirse en un componente del proceso de enseñanza que debe ser planificado y evaluado.</w:t>
      </w:r>
    </w:p>
    <w:p w14:paraId="3EA45D34" w14:textId="77777777" w:rsidR="001B691D" w:rsidRPr="00E24601" w:rsidRDefault="001B691D" w:rsidP="001B691D">
      <w:pPr>
        <w:spacing w:line="240" w:lineRule="auto"/>
        <w:jc w:val="both"/>
        <w:rPr>
          <w:rFonts w:ascii="Times New Roman" w:hAnsi="Times New Roman" w:cs="Times New Roman"/>
        </w:rPr>
      </w:pPr>
      <w:r w:rsidRPr="00E24601">
        <w:rPr>
          <w:rFonts w:ascii="Times New Roman" w:hAnsi="Times New Roman" w:cs="Times New Roman"/>
        </w:rPr>
        <w:t>A partir del análisis cualitativo de los datos relevados, fue posible avanzar en una caracterización más precisa de las prácticas que configuran el trabajo autónomo estudiantil, no solo en términos de cantidad de tiempo, sino también en función de su naturaleza pedagógica y de los tipos de procesos cognitivos implicados. En este sentido, el relevamiento permitió identificar que las actividades autónomas no constituyen un conjunto homogéneo, sino que se organizan en torno a diferentes funciones pedagógicas, cada una de las cuales implica niveles diferenciados de esfuerzo, concentración y complejidad.</w:t>
      </w:r>
    </w:p>
    <w:p w14:paraId="42985F7E" w14:textId="77777777" w:rsidR="001B691D" w:rsidRPr="00E24601" w:rsidRDefault="001B691D" w:rsidP="001B691D">
      <w:pPr>
        <w:spacing w:line="240" w:lineRule="auto"/>
        <w:jc w:val="both"/>
        <w:rPr>
          <w:rFonts w:ascii="Times New Roman" w:hAnsi="Times New Roman" w:cs="Times New Roman"/>
        </w:rPr>
      </w:pPr>
      <w:r w:rsidRPr="00E24601">
        <w:rPr>
          <w:rFonts w:ascii="Times New Roman" w:hAnsi="Times New Roman" w:cs="Times New Roman"/>
        </w:rPr>
        <w:t xml:space="preserve">En particular, se distinguen prácticas asociadas al trabajo académico general —como la búsqueda, lectura y organización de bibliografía—, actividades de carácter aplicado —como la resolución de ejercicios o análisis de casos—, instancias de preparación sistemática de la cursada —centradas en el estudio sostenido de contenidos— y actividades de preparación de evaluaciones, que suelen concentrar procesos de integración de saberes en períodos acotados. Asimismo, emergen con claridad prácticas </w:t>
      </w:r>
      <w:r w:rsidRPr="00E24601">
        <w:rPr>
          <w:rFonts w:ascii="Times New Roman" w:hAnsi="Times New Roman" w:cs="Times New Roman"/>
        </w:rPr>
        <w:lastRenderedPageBreak/>
        <w:t>vinculadas a la disciplina específica, tales como simulaciones, trabajo de laboratorio, diseño de proyectos o desarrollo de producciones profesionales. Esta diferenciación permite comprender que la intensidad del trabajo autónomo no depende exclusivamente del tiempo invertido, sino del tipo de actividad desarrollada y del esfuerzo cognitivo que esta demanda.</w:t>
      </w:r>
    </w:p>
    <w:p w14:paraId="6A94492D" w14:textId="54168C95" w:rsidR="001B691D" w:rsidRPr="00E24601" w:rsidRDefault="001B691D" w:rsidP="001B691D">
      <w:pPr>
        <w:spacing w:line="240" w:lineRule="auto"/>
        <w:jc w:val="both"/>
        <w:rPr>
          <w:rFonts w:ascii="Times New Roman" w:hAnsi="Times New Roman" w:cs="Times New Roman"/>
        </w:rPr>
      </w:pPr>
      <w:r w:rsidRPr="00E24601">
        <w:rPr>
          <w:rFonts w:ascii="Times New Roman" w:hAnsi="Times New Roman" w:cs="Times New Roman"/>
        </w:rPr>
        <w:t xml:space="preserve">En relación con la distribución temporal del trabajo autónomo, el análisis cualitativo refuerza uno de los hallazgos centrales ya identificados en el relevamiento cuantitativo: la existencia de una concentración progresiva de la carga hacia el final del cuatrimestre. Este patrón se expresa particularmente en las actividades de estudio de contenidos y preparación de exámenes, </w:t>
      </w:r>
      <w:r w:rsidR="001556B3">
        <w:rPr>
          <w:rFonts w:ascii="Times New Roman" w:hAnsi="Times New Roman" w:cs="Times New Roman"/>
        </w:rPr>
        <w:t>en las cuales</w:t>
      </w:r>
      <w:r w:rsidRPr="00E24601">
        <w:rPr>
          <w:rFonts w:ascii="Times New Roman" w:hAnsi="Times New Roman" w:cs="Times New Roman"/>
        </w:rPr>
        <w:t xml:space="preserve"> los estudiantes reportan niveles de dedicación significativamente mayores en los períodos previos a las instancias evaluativas. Este comportamiento sugiere una organización del tiempo que combina prácticas sostenidas con momentos de alta intensidad, fuertemente regulados por la lógica de evaluación del sistema académico.</w:t>
      </w:r>
    </w:p>
    <w:p w14:paraId="55C82C79" w14:textId="77777777" w:rsidR="001B691D" w:rsidRPr="00E24601" w:rsidRDefault="001B691D" w:rsidP="001B691D">
      <w:pPr>
        <w:spacing w:line="240" w:lineRule="auto"/>
        <w:jc w:val="both"/>
        <w:rPr>
          <w:rFonts w:ascii="Times New Roman" w:hAnsi="Times New Roman" w:cs="Times New Roman"/>
        </w:rPr>
      </w:pPr>
      <w:r w:rsidRPr="00E24601">
        <w:rPr>
          <w:rFonts w:ascii="Times New Roman" w:hAnsi="Times New Roman" w:cs="Times New Roman"/>
        </w:rPr>
        <w:t>Por otra parte, el análisis permite observar que no todas las prácticas académicas se distribuyen de manera homogénea a lo largo del cuatrimestre. Mientras que actividades como la ejercitación y resolución de guías tienden a presentar una frecuencia más constante y niveles de dedicación moderados, otras —como la escritura académica o la lectura en profundidad— muestran una mayor variabilidad, asociada tanto al tipo de asignatura como a las estrategias pedagógicas implementadas. Esta heterogeneidad refuerza la necesidad de considerar la dimensión cualitativa del trabajo autónomo al momento de estimar la carga académica.</w:t>
      </w:r>
    </w:p>
    <w:p w14:paraId="7B5EF1B9" w14:textId="77777777" w:rsidR="001B691D" w:rsidRPr="00E24601" w:rsidRDefault="001B691D" w:rsidP="001B691D">
      <w:pPr>
        <w:spacing w:line="240" w:lineRule="auto"/>
        <w:jc w:val="both"/>
        <w:rPr>
          <w:rFonts w:ascii="Times New Roman" w:hAnsi="Times New Roman" w:cs="Times New Roman"/>
        </w:rPr>
      </w:pPr>
      <w:r w:rsidRPr="00E24601">
        <w:rPr>
          <w:rFonts w:ascii="Times New Roman" w:hAnsi="Times New Roman" w:cs="Times New Roman"/>
        </w:rPr>
        <w:t>Asimismo, el relevamiento pone en evidencia que la intensidad del trabajo autónomo se encuentra fuertemente condicionada por factores estructurales que exceden la estricta lógica pedagógica de las actividades. Entre ellos se destacan los requerimientos técnicos y materiales —como el acceso a equipamiento, software o espacios específicos—, así como condiciones vinculadas a la trayectoria estudiantil, tales como la situación laboral, la disponibilidad de tiempo y las condiciones de vida. Si bien estos aspectos no fueron abordados de manera sistemática en esta etapa del estudio, su emergencia en el análisis cualitativo señala la necesidad de incorporarlos en futuras instancias de investigación.</w:t>
      </w:r>
    </w:p>
    <w:p w14:paraId="046C4943" w14:textId="77777777" w:rsidR="001B691D" w:rsidRPr="00E24601" w:rsidRDefault="001B691D" w:rsidP="001B691D">
      <w:pPr>
        <w:spacing w:line="240" w:lineRule="auto"/>
        <w:jc w:val="both"/>
        <w:rPr>
          <w:rFonts w:ascii="Times New Roman" w:hAnsi="Times New Roman" w:cs="Times New Roman"/>
        </w:rPr>
      </w:pPr>
      <w:r w:rsidRPr="00E24601">
        <w:rPr>
          <w:rFonts w:ascii="Times New Roman" w:hAnsi="Times New Roman" w:cs="Times New Roman"/>
        </w:rPr>
        <w:t>Finalmente, la sistematización conjunta de estas dimensiones permitió avanzar hacia una conceptualización más integral de la intensidad del trabajo autónomo, entendida como el resultado de la articulación entre el tipo de actividad, su complejidad, su frecuencia temporal, el grado de autonomía requerido y su relación con los procesos de evaluación. Esta definición constituye un punto de inflexión en el proceso institucional, en tanto desplaza la mirada desde la mera cuantificación del tiempo hacia una comprensión situada del trabajo académico, que reconoce su multidimensionalidad y su carácter dinámico.</w:t>
      </w:r>
    </w:p>
    <w:p w14:paraId="494336FA" w14:textId="77777777" w:rsidR="001B691D" w:rsidRPr="00391A56" w:rsidRDefault="001B691D" w:rsidP="001B691D">
      <w:pPr>
        <w:spacing w:line="240" w:lineRule="auto"/>
        <w:jc w:val="both"/>
        <w:rPr>
          <w:rFonts w:ascii="Times New Roman" w:hAnsi="Times New Roman" w:cs="Times New Roman"/>
        </w:rPr>
      </w:pPr>
      <w:r>
        <w:rPr>
          <w:rFonts w:ascii="Times New Roman" w:hAnsi="Times New Roman" w:cs="Times New Roman"/>
        </w:rPr>
        <w:t>En definitiva</w:t>
      </w:r>
      <w:r w:rsidRPr="00391A56">
        <w:rPr>
          <w:rFonts w:ascii="Times New Roman" w:hAnsi="Times New Roman" w:cs="Times New Roman"/>
        </w:rPr>
        <w:t>, la experiencia</w:t>
      </w:r>
      <w:r>
        <w:rPr>
          <w:rFonts w:ascii="Times New Roman" w:hAnsi="Times New Roman" w:cs="Times New Roman"/>
        </w:rPr>
        <w:t xml:space="preserve"> de la prueba piloto</w:t>
      </w:r>
      <w:r w:rsidRPr="00391A56">
        <w:rPr>
          <w:rFonts w:ascii="Times New Roman" w:hAnsi="Times New Roman" w:cs="Times New Roman"/>
        </w:rPr>
        <w:t xml:space="preserve"> desarrollada no solo aporta evidencia empírica para la implementación del SACAU, sino que habilita un proceso de reflexión institucional más amplio sobre los modos de enseñar, aprender y evaluar en la universidad. </w:t>
      </w:r>
      <w:r w:rsidRPr="007F22A2">
        <w:rPr>
          <w:rFonts w:ascii="Times New Roman" w:hAnsi="Times New Roman" w:cs="Times New Roman"/>
        </w:rPr>
        <w:t xml:space="preserve">De este modo, la prueba piloto se constituye como un </w:t>
      </w:r>
      <w:r>
        <w:rPr>
          <w:rFonts w:ascii="Times New Roman" w:hAnsi="Times New Roman" w:cs="Times New Roman"/>
        </w:rPr>
        <w:t>dispositivo</w:t>
      </w:r>
      <w:r w:rsidRPr="007F22A2">
        <w:rPr>
          <w:rFonts w:ascii="Times New Roman" w:hAnsi="Times New Roman" w:cs="Times New Roman"/>
        </w:rPr>
        <w:t xml:space="preserve"> estratégic</w:t>
      </w:r>
      <w:r>
        <w:rPr>
          <w:rFonts w:ascii="Times New Roman" w:hAnsi="Times New Roman" w:cs="Times New Roman"/>
        </w:rPr>
        <w:t xml:space="preserve">o </w:t>
      </w:r>
      <w:r w:rsidRPr="00391A56">
        <w:rPr>
          <w:rFonts w:ascii="Times New Roman" w:hAnsi="Times New Roman" w:cs="Times New Roman"/>
        </w:rPr>
        <w:t xml:space="preserve">que permite transitar desde un diagnóstico situado hacia la construcción de criterios </w:t>
      </w:r>
      <w:r w:rsidRPr="00391A56">
        <w:rPr>
          <w:rFonts w:ascii="Times New Roman" w:hAnsi="Times New Roman" w:cs="Times New Roman"/>
        </w:rPr>
        <w:lastRenderedPageBreak/>
        <w:t>compartidos, constituyéndose en el núcleo empírico que sustenta la posterior elaboración normativa.</w:t>
      </w:r>
    </w:p>
    <w:p w14:paraId="2C419954" w14:textId="77777777" w:rsidR="001B691D" w:rsidRDefault="001B691D" w:rsidP="001B691D">
      <w:pPr>
        <w:spacing w:line="240" w:lineRule="auto"/>
        <w:jc w:val="both"/>
        <w:rPr>
          <w:rFonts w:ascii="Times New Roman" w:hAnsi="Times New Roman" w:cs="Times New Roman"/>
          <w:b/>
          <w:bCs/>
        </w:rPr>
      </w:pPr>
    </w:p>
    <w:p w14:paraId="32A0F208" w14:textId="58CF8581" w:rsidR="001B691D" w:rsidRPr="00391A56" w:rsidRDefault="001B691D" w:rsidP="001B691D">
      <w:pPr>
        <w:spacing w:line="240" w:lineRule="auto"/>
        <w:jc w:val="both"/>
        <w:rPr>
          <w:rFonts w:ascii="Times New Roman" w:hAnsi="Times New Roman" w:cs="Times New Roman"/>
          <w:b/>
          <w:bCs/>
        </w:rPr>
      </w:pPr>
      <w:r w:rsidRPr="00391A56">
        <w:rPr>
          <w:rFonts w:ascii="Times New Roman" w:hAnsi="Times New Roman" w:cs="Times New Roman"/>
          <w:b/>
          <w:bCs/>
        </w:rPr>
        <w:t>Construcción de criterios y traducción normativa</w:t>
      </w:r>
    </w:p>
    <w:p w14:paraId="6371F53F"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A partir de la evidencia empírica producida en la prueba piloto, la Universidad Nacional de La Matanza avanzó en la construcción de criterios institucionales orientados a la estimación sistemática del trabajo autónomo estudiantil y a su incorporación en el diseño curricular. Este proceso implicó no solo relevar y describir prácticas existentes, sino también traducir dimensiones complejas del trabajo académico —tradicionalmente implícitas y poco formalizadas— en herramientas operativas capaces de orientar decisiones de política curricular de alcance institucional.</w:t>
      </w:r>
    </w:p>
    <w:p w14:paraId="25DA51A6"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 xml:space="preserve">En esta línea, uno de los avances centrales consistió en la redefinición del trabajo autónomo como componente constitutivo del tiempo total de trabajo del estudiante, articulado con la interacción pedagógica en el cálculo del Crédito de Referencia del Estudiante (CRE). Esta conceptualización se inscribe en el enfoque promovido por el sistema universitario argentino, que define el crédito como la unidad de tiempo total de trabajo académico requerido para alcanzar los objetivos formativos, integrando tanto las actividades de enseñanza como el trabajo independiente del estudiante (CIN, 2025, </w:t>
      </w:r>
      <w:r w:rsidRPr="00391A56">
        <w:rPr>
          <w:rFonts w:ascii="Times New Roman" w:hAnsi="Times New Roman" w:cs="Times New Roman"/>
          <w:i/>
          <w:iCs/>
        </w:rPr>
        <w:t>Orientaciones para la implementación del SACAU</w:t>
      </w:r>
      <w:r w:rsidRPr="00391A56">
        <w:rPr>
          <w:rFonts w:ascii="Times New Roman" w:hAnsi="Times New Roman" w:cs="Times New Roman"/>
        </w:rPr>
        <w:t>). Lejos de constituir una mera adecuación técnica, esta redefinición supone un cambio sustantivo en la forma de concebir el currículum, en tanto desplaza el foco desde la enseñanza hacia el aprendizaje efectivo.</w:t>
      </w:r>
    </w:p>
    <w:p w14:paraId="437B0607"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Desde esta perspectiva, la incorporación explícita del trabajo autónomo permite visibilizar la totalidad de las actividades que configuran la experiencia educativa, incluyendo aquellas que tienen lugar fuera del espacio de clase, pero resultan indispensables para la apropiación del conocimiento. Tal como señalan las orientaciones del CIN, este enfoque contribuye a reducir la brecha entre la duración teórica y la duración real de las carreras, promoviendo una revisión integral de las propuestas formativas y de las prácticas pedagógicas que las sustentan. En este sentido, el SACAU no solo introduce una nueva unidad de medida, sino que habilita una problematización más profunda sobre el tiempo de formación y su organización institucional.</w:t>
      </w:r>
    </w:p>
    <w:p w14:paraId="61A30146" w14:textId="77777777" w:rsidR="001B691D" w:rsidRPr="00B86657" w:rsidRDefault="001B691D" w:rsidP="001B691D">
      <w:pPr>
        <w:spacing w:line="240" w:lineRule="auto"/>
        <w:jc w:val="both"/>
        <w:rPr>
          <w:rFonts w:ascii="Times New Roman" w:hAnsi="Times New Roman" w:cs="Times New Roman"/>
        </w:rPr>
      </w:pPr>
      <w:r w:rsidRPr="00B86657">
        <w:rPr>
          <w:rFonts w:ascii="Times New Roman" w:hAnsi="Times New Roman" w:cs="Times New Roman"/>
        </w:rPr>
        <w:t>A partir de los resultados obtenidos en la prueba piloto, la UNLaM avanzó en la elaboración de un conjunto de criterios preliminares orientados a clasificar la intensidad del trabajo autónomo estudiantil. Estos criterios no responden a la adopción de modelos externos ni a definiciones abstractas, sino que constituyen una construcción situada, derivada de la evidencia empírica relevada y de los procesos de reflexión institucional desarrollados con docentes, coordinadores y equipos académicos. En este sentido, su formulación recupera tanto las particularidades disciplinares como las prácticas pedagógicas efectivamente desplegadas en la universidad, configurándose como una herramienta conceptual y operativa ajustada a la realidad institucional.</w:t>
      </w:r>
    </w:p>
    <w:p w14:paraId="4574C640" w14:textId="77777777" w:rsidR="001B691D" w:rsidRPr="00B86657" w:rsidRDefault="001B691D" w:rsidP="001B691D">
      <w:pPr>
        <w:spacing w:line="240" w:lineRule="auto"/>
        <w:jc w:val="both"/>
        <w:rPr>
          <w:rFonts w:ascii="Times New Roman" w:hAnsi="Times New Roman" w:cs="Times New Roman"/>
        </w:rPr>
      </w:pPr>
      <w:r w:rsidRPr="00B86657">
        <w:rPr>
          <w:rFonts w:ascii="Times New Roman" w:hAnsi="Times New Roman" w:cs="Times New Roman"/>
        </w:rPr>
        <w:lastRenderedPageBreak/>
        <w:t xml:space="preserve">En primer lugar, se definió la </w:t>
      </w:r>
      <w:r w:rsidRPr="00DD7057">
        <w:rPr>
          <w:rFonts w:ascii="Times New Roman" w:hAnsi="Times New Roman" w:cs="Times New Roman"/>
          <w:i/>
          <w:iCs/>
        </w:rPr>
        <w:t>función pedagógica de la actividad</w:t>
      </w:r>
      <w:r w:rsidRPr="00B86657">
        <w:rPr>
          <w:rFonts w:ascii="Times New Roman" w:hAnsi="Times New Roman" w:cs="Times New Roman"/>
        </w:rPr>
        <w:t xml:space="preserve"> como un criterio central para la estimación de la intensidad del trabajo autónomo. Este criterio reconoce que las actividades académicas no demandan el mismo nivel de dedicación en función de su propósito formativo. Así, tareas como la preparación de exámenes finales, la elaboración de proyectos integradores o la producción de trabajos complejos tienden a requerir mayores niveles de concentración, articulación de saberes y esfuerzo cognitivo que aquellas vinculadas a la lectura inicial de bibliografía o la resolución de ejercicios de baja complejidad. Desde esta perspectiva, resulta posible distinguir un amplio espectro de prácticas que van desde el trabajo académico general y aplicado hasta instancias de integración, evaluación y producción disciplinar específica, reconociendo que la intensidad del trabajo no depende solo del tiempo requerido, sino también del tipo de proceso cognitivo implicado. Este enfoque se encuentra en línea con aportes que destacan la necesidad de considerar la naturaleza de las actividades al momento de estimar la carga de trabajo estudiantil (Cernuda et al., 2005).</w:t>
      </w:r>
    </w:p>
    <w:p w14:paraId="2BE66DB4" w14:textId="77777777" w:rsidR="001B691D" w:rsidRPr="00B86657" w:rsidRDefault="001B691D" w:rsidP="001B691D">
      <w:pPr>
        <w:spacing w:line="240" w:lineRule="auto"/>
        <w:jc w:val="both"/>
        <w:rPr>
          <w:rFonts w:ascii="Times New Roman" w:hAnsi="Times New Roman" w:cs="Times New Roman"/>
        </w:rPr>
      </w:pPr>
      <w:r w:rsidRPr="00B86657">
        <w:rPr>
          <w:rFonts w:ascii="Times New Roman" w:hAnsi="Times New Roman" w:cs="Times New Roman"/>
        </w:rPr>
        <w:t xml:space="preserve">En segundo lugar, se incorporó la </w:t>
      </w:r>
      <w:r w:rsidRPr="00DD7057">
        <w:rPr>
          <w:rFonts w:ascii="Times New Roman" w:hAnsi="Times New Roman" w:cs="Times New Roman"/>
          <w:i/>
          <w:iCs/>
        </w:rPr>
        <w:t>frecuencia y distribución temporal de las actividades</w:t>
      </w:r>
      <w:r w:rsidRPr="00B86657">
        <w:rPr>
          <w:rFonts w:ascii="Times New Roman" w:hAnsi="Times New Roman" w:cs="Times New Roman"/>
        </w:rPr>
        <w:t xml:space="preserve"> como una dimensión relevante. En este caso, se observó que las actividades sostenidas a lo largo del cuatrimestre, que implican un trabajo continuo y progresivo, tienden a configurar una carga de intensidad media a alta, dado que demandan constancia y organización del tiempo. Por el contrario, aquellas actividades de carácter puntual o concentradas en determinados momentos —particularmente en instancias evaluativas— pueden generar situaciones de alta exigencia en períodos breves. Esta distinción permite problematizar no solo la cantidad de trabajo, sino su forma de distribución en el tiempo, aspecto que ha sido señalado como clave en el análisis del trabajo autónomo y en la organización de las trayectorias estudiantiles (Cernuda et al., 2005).</w:t>
      </w:r>
    </w:p>
    <w:p w14:paraId="420B4DCF" w14:textId="77777777" w:rsidR="001B691D" w:rsidRPr="00B86657" w:rsidRDefault="001B691D" w:rsidP="001B691D">
      <w:pPr>
        <w:spacing w:line="240" w:lineRule="auto"/>
        <w:jc w:val="both"/>
        <w:rPr>
          <w:rFonts w:ascii="Times New Roman" w:hAnsi="Times New Roman" w:cs="Times New Roman"/>
        </w:rPr>
      </w:pPr>
      <w:r w:rsidRPr="00B86657">
        <w:rPr>
          <w:rFonts w:ascii="Times New Roman" w:hAnsi="Times New Roman" w:cs="Times New Roman"/>
        </w:rPr>
        <w:t xml:space="preserve">Un tercer criterio relevante es el </w:t>
      </w:r>
      <w:r w:rsidRPr="00DD7057">
        <w:rPr>
          <w:rFonts w:ascii="Times New Roman" w:hAnsi="Times New Roman" w:cs="Times New Roman"/>
          <w:i/>
          <w:iCs/>
        </w:rPr>
        <w:t>grado de autonomía requerido por la actividad.</w:t>
      </w:r>
      <w:r w:rsidRPr="00B86657">
        <w:rPr>
          <w:rFonts w:ascii="Times New Roman" w:hAnsi="Times New Roman" w:cs="Times New Roman"/>
        </w:rPr>
        <w:t xml:space="preserve"> En este sentido, se identificó que aquellas tareas que implican altos niveles de decisión, planificación y organización por parte del estudiante —como proyectos abiertos, trabajos de investigación o producciones integradoras— tienden a ser percibidas como más exigentes que aquellas guiadas mediante consignas estructuradas y secuenciadas. A partir de este eje, se distinguen diferentes tipos de actividades: desde trabajos fuertemente guiados por el docente hasta propuestas que requieren autonomía plena o formas de trabajo colaborativo que implican negociación, coordinación y toma de decisiones compartidas. Este criterio permite incorporar la dimensión del sujeto que aprende y su capacidad de gestión del proceso formativo, reconociendo que el trabajo autónomo implica asumir responsabilidades en la organización del aprendizaje.</w:t>
      </w:r>
    </w:p>
    <w:p w14:paraId="46B4D99D" w14:textId="77777777" w:rsidR="001B691D" w:rsidRPr="00B86657" w:rsidRDefault="001B691D" w:rsidP="001B691D">
      <w:pPr>
        <w:spacing w:line="240" w:lineRule="auto"/>
        <w:jc w:val="both"/>
        <w:rPr>
          <w:rFonts w:ascii="Times New Roman" w:hAnsi="Times New Roman" w:cs="Times New Roman"/>
        </w:rPr>
      </w:pPr>
      <w:r w:rsidRPr="00B86657">
        <w:rPr>
          <w:rFonts w:ascii="Times New Roman" w:hAnsi="Times New Roman" w:cs="Times New Roman"/>
        </w:rPr>
        <w:t xml:space="preserve">En cuarto lugar, se consideró la </w:t>
      </w:r>
      <w:r w:rsidRPr="00DD7057">
        <w:rPr>
          <w:rFonts w:ascii="Times New Roman" w:hAnsi="Times New Roman" w:cs="Times New Roman"/>
          <w:i/>
          <w:iCs/>
        </w:rPr>
        <w:t>relación de las actividades con los procesos de evaluación.</w:t>
      </w:r>
      <w:r w:rsidRPr="00B86657">
        <w:rPr>
          <w:rFonts w:ascii="Times New Roman" w:hAnsi="Times New Roman" w:cs="Times New Roman"/>
        </w:rPr>
        <w:t xml:space="preserve"> La evidencia relevada muestra que las actividades obligatorias, particularmente aquellas que inciden directamente en la acreditación de la asignatura, suelen concentrar mayores niveles de esfuerzo y tiempo de dedicación. Esto se vincula con el carácter performativo de la evaluación en el sistema educativo, en tanto organiza las prioridades del estudiante y regula la distribución de su tiempo. En este sentido, se distingue entre actividades directamente vinculadas a instancias de aprobación —exámenes, trabajos evaluados, entregas obligatorias— y aquellas que acompañan el </w:t>
      </w:r>
      <w:r w:rsidRPr="00B86657">
        <w:rPr>
          <w:rFonts w:ascii="Times New Roman" w:hAnsi="Times New Roman" w:cs="Times New Roman"/>
        </w:rPr>
        <w:lastRenderedPageBreak/>
        <w:t>proceso formativo sin incidir de manera directa en la acreditación, lo que permite identificar diferencias significativas en términos de intensidad.</w:t>
      </w:r>
    </w:p>
    <w:p w14:paraId="230D2697" w14:textId="77777777" w:rsidR="001B691D" w:rsidRPr="00B86657" w:rsidRDefault="001B691D" w:rsidP="001B691D">
      <w:pPr>
        <w:spacing w:line="240" w:lineRule="auto"/>
        <w:jc w:val="both"/>
        <w:rPr>
          <w:rFonts w:ascii="Times New Roman" w:hAnsi="Times New Roman" w:cs="Times New Roman"/>
        </w:rPr>
      </w:pPr>
      <w:r w:rsidRPr="00B86657">
        <w:rPr>
          <w:rFonts w:ascii="Times New Roman" w:hAnsi="Times New Roman" w:cs="Times New Roman"/>
        </w:rPr>
        <w:t xml:space="preserve">Finalmente, se incorporaron los </w:t>
      </w:r>
      <w:r w:rsidRPr="00DD7057">
        <w:rPr>
          <w:rFonts w:ascii="Times New Roman" w:hAnsi="Times New Roman" w:cs="Times New Roman"/>
          <w:i/>
          <w:iCs/>
        </w:rPr>
        <w:t>requerimientos materiales y técnicos</w:t>
      </w:r>
      <w:r w:rsidRPr="00B86657">
        <w:rPr>
          <w:rFonts w:ascii="Times New Roman" w:hAnsi="Times New Roman" w:cs="Times New Roman"/>
        </w:rPr>
        <w:t xml:space="preserve"> como dimensión estructural del trabajo autónomo. Este criterio reconoce que ciertas actividades implican condiciones de realización que exceden el tiempo estrictamente cognitivo, tales como el acceso a laboratorios, equipamiento específico, software especializado, bibliografía particular o la necesidad de realizar traslados. Estas condiciones configuran una carga adicional que incide en la organización del trabajo estudiantil y en las posibilidades efectivas de realización de las actividades. En este sentido, se distinguen actividades que pueden desarrollarse con recursos generales de estudio de aquellas que requieren condiciones materiales específicas, lo cual resulta particularmente relevante en carreras con fuerte componente práctico o técnico.</w:t>
      </w:r>
    </w:p>
    <w:p w14:paraId="4A8E3E6E" w14:textId="77777777" w:rsidR="001B691D" w:rsidRPr="00B86657" w:rsidRDefault="001B691D" w:rsidP="001B691D">
      <w:pPr>
        <w:spacing w:line="240" w:lineRule="auto"/>
        <w:jc w:val="both"/>
        <w:rPr>
          <w:rFonts w:ascii="Times New Roman" w:hAnsi="Times New Roman" w:cs="Times New Roman"/>
        </w:rPr>
      </w:pPr>
      <w:r w:rsidRPr="00B86657">
        <w:rPr>
          <w:rFonts w:ascii="Times New Roman" w:hAnsi="Times New Roman" w:cs="Times New Roman"/>
        </w:rPr>
        <w:t xml:space="preserve">En conjunto, estos criterios permiten construir una aproximación integral a la intensidad del trabajo autónomo, articulando dimensiones pedagógicas, cognitivas, organizativas y materiales. </w:t>
      </w:r>
      <w:r>
        <w:rPr>
          <w:rFonts w:ascii="Times New Roman" w:hAnsi="Times New Roman" w:cs="Times New Roman"/>
        </w:rPr>
        <w:t>Estos criterios fueron la</w:t>
      </w:r>
      <w:r w:rsidRPr="00B86657">
        <w:rPr>
          <w:rFonts w:ascii="Times New Roman" w:hAnsi="Times New Roman" w:cs="Times New Roman"/>
        </w:rPr>
        <w:t xml:space="preserve"> apertura a procesos de ajuste y refinamiento progresivo, en el marco de una política institucional basada en evidencia. De este modo, la UNLaM no solo responde a las exigencias del SACAU, sino que construye herramientas propias que permiten interpretar y operacionalizar el sistema de créditos desde una perspectiva situada, evitando la aplicación de modelos abstractos o descontextualizados.</w:t>
      </w:r>
    </w:p>
    <w:p w14:paraId="4DFDD80E"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Estos criterios —función pedagógica de la actividad, frecuencia y distribución temporal, grado de autonomía, relación con la evaluación y requerimientos materiales— constituyen una herramienta analítica que permite dar cuenta de la complejidad del trabajo académico más allá de su cuantificación en horas. De este modo, se incorporan dimensiones vinculadas al esfuerzo cognitivo, a la organización del tiempo y a las condiciones materiales de realización de las actividades, que resultan determinantes en la experiencia real de los estudiantes.</w:t>
      </w:r>
    </w:p>
    <w:p w14:paraId="1E565F9D" w14:textId="77777777" w:rsidR="001B691D" w:rsidRDefault="001B691D" w:rsidP="001B691D">
      <w:pPr>
        <w:spacing w:line="240" w:lineRule="auto"/>
        <w:jc w:val="both"/>
        <w:rPr>
          <w:rFonts w:ascii="Times New Roman" w:hAnsi="Times New Roman" w:cs="Times New Roman"/>
        </w:rPr>
      </w:pPr>
      <w:r w:rsidRPr="00391A56">
        <w:rPr>
          <w:rFonts w:ascii="Times New Roman" w:hAnsi="Times New Roman" w:cs="Times New Roman"/>
        </w:rPr>
        <w:t>Este enfoque reconoce, además, que la estimación del trabajo académico no puede realizarse a partir de supuestos homogéneos, ya que se encuentra atravesada por la diversidad disciplinar. En efecto, las orientaciones del CIN advierten que la asignación de horas de trabajo autónomo debe contemplar las particularidades de los campos de conocimiento, la complejidad de las unidades curriculares y la experiencia del estudiante en su abordaje. En este sentido, la UNLaM avanzó en la construcción de tipologías de unidades curriculares —básicas, aplicadas, específicas y de práctica disciplinar— que permiten diferenciar modos de organización del trabajo académico en función de su función pedagógica predominante. Esta clasificación habilita una lectura situada de la carga de trabajo, evitando la aplicación de modelos estandarizados que no reflejan las lógicas propias de cada disciplina.</w:t>
      </w:r>
    </w:p>
    <w:p w14:paraId="729ECB4C" w14:textId="77777777" w:rsidR="001B691D" w:rsidRPr="00A63747" w:rsidRDefault="001B691D" w:rsidP="001B691D">
      <w:pPr>
        <w:spacing w:line="240" w:lineRule="auto"/>
        <w:jc w:val="both"/>
        <w:rPr>
          <w:rFonts w:ascii="Times New Roman" w:hAnsi="Times New Roman" w:cs="Times New Roman"/>
        </w:rPr>
      </w:pPr>
      <w:r>
        <w:rPr>
          <w:rFonts w:ascii="Times New Roman" w:hAnsi="Times New Roman" w:cs="Times New Roman"/>
        </w:rPr>
        <w:t>Como se dijo, e</w:t>
      </w:r>
      <w:r w:rsidRPr="00A63747">
        <w:rPr>
          <w:rFonts w:ascii="Times New Roman" w:hAnsi="Times New Roman" w:cs="Times New Roman"/>
        </w:rPr>
        <w:t xml:space="preserve">n función de la dimensión pedagógica predominante de las unidades curriculares, se estableció una tipología que permite diferenciar modos de organización del trabajo académico y, en particular, del trabajo autónomo estudiantil. En este sentido, se identifican, en primer lugar, las materias </w:t>
      </w:r>
      <w:r w:rsidRPr="00DF6FE7">
        <w:rPr>
          <w:rFonts w:ascii="Times New Roman" w:hAnsi="Times New Roman" w:cs="Times New Roman"/>
          <w:i/>
          <w:iCs/>
        </w:rPr>
        <w:t>básicas</w:t>
      </w:r>
      <w:r w:rsidRPr="00A63747">
        <w:rPr>
          <w:rFonts w:ascii="Times New Roman" w:hAnsi="Times New Roman" w:cs="Times New Roman"/>
        </w:rPr>
        <w:t xml:space="preserve">, orientadas al desarrollo de </w:t>
      </w:r>
      <w:r w:rsidRPr="00A63747">
        <w:rPr>
          <w:rFonts w:ascii="Times New Roman" w:hAnsi="Times New Roman" w:cs="Times New Roman"/>
        </w:rPr>
        <w:lastRenderedPageBreak/>
        <w:t>habilidades generales de comprensión, análisis y síntesis, así como a la consolidación de hábitos de estudio. Se trata, en su mayoría, de espacios de carácter teórico que integran contenidos introductorios o fundacionales, en los cuales el trabajo autónomo se centra en la búsqueda, lectura y organización de la bibliografía, la comprensión conceptual y el estudio sistemático de los contenidos, incluyendo la preparación de evaluaciones.</w:t>
      </w:r>
    </w:p>
    <w:p w14:paraId="50EA0477" w14:textId="77777777" w:rsidR="001B691D" w:rsidRPr="00A63747" w:rsidRDefault="001B691D" w:rsidP="001B691D">
      <w:pPr>
        <w:spacing w:line="240" w:lineRule="auto"/>
        <w:jc w:val="both"/>
        <w:rPr>
          <w:rFonts w:ascii="Times New Roman" w:hAnsi="Times New Roman" w:cs="Times New Roman"/>
        </w:rPr>
      </w:pPr>
      <w:r w:rsidRPr="00A63747">
        <w:rPr>
          <w:rFonts w:ascii="Times New Roman" w:hAnsi="Times New Roman" w:cs="Times New Roman"/>
        </w:rPr>
        <w:t xml:space="preserve">En segundo lugar, se distinguen las materias </w:t>
      </w:r>
      <w:r w:rsidRPr="00DF6FE7">
        <w:rPr>
          <w:rFonts w:ascii="Times New Roman" w:hAnsi="Times New Roman" w:cs="Times New Roman"/>
          <w:i/>
          <w:iCs/>
        </w:rPr>
        <w:t>aplicadas</w:t>
      </w:r>
      <w:r w:rsidRPr="00A63747">
        <w:rPr>
          <w:rFonts w:ascii="Times New Roman" w:hAnsi="Times New Roman" w:cs="Times New Roman"/>
        </w:rPr>
        <w:t>, que, además de requerir estas formas de trabajo autónomo básico, demandan la aplicación de conocimientos a situaciones problemáticas concretas. En estos espacios, de carácter teórico-práctico, el trabajo autónomo incorpora actividades tales como la resolución de ejercicios, el análisis de casos, la elaboración de producciones aplicadas y la profundización conceptual a partir de la consulta de bibliografía específica, configurando un nivel de exigencia que combina comprensión y transferencia de conocimientos.</w:t>
      </w:r>
    </w:p>
    <w:p w14:paraId="3CBA2BC3" w14:textId="77777777" w:rsidR="001B691D" w:rsidRPr="00A63747" w:rsidRDefault="001B691D" w:rsidP="001B691D">
      <w:pPr>
        <w:spacing w:line="240" w:lineRule="auto"/>
        <w:jc w:val="both"/>
        <w:rPr>
          <w:rFonts w:ascii="Times New Roman" w:hAnsi="Times New Roman" w:cs="Times New Roman"/>
        </w:rPr>
      </w:pPr>
      <w:r w:rsidRPr="00A63747">
        <w:rPr>
          <w:rFonts w:ascii="Times New Roman" w:hAnsi="Times New Roman" w:cs="Times New Roman"/>
        </w:rPr>
        <w:t xml:space="preserve">En tercer lugar, se identifican las materias </w:t>
      </w:r>
      <w:r w:rsidRPr="00DF6FE7">
        <w:rPr>
          <w:rFonts w:ascii="Times New Roman" w:hAnsi="Times New Roman" w:cs="Times New Roman"/>
          <w:i/>
          <w:iCs/>
        </w:rPr>
        <w:t>específicas</w:t>
      </w:r>
      <w:r w:rsidRPr="00A63747">
        <w:rPr>
          <w:rFonts w:ascii="Times New Roman" w:hAnsi="Times New Roman" w:cs="Times New Roman"/>
        </w:rPr>
        <w:t>, estrechamente vinculadas con el perfil profesional de la carrera, en las que se desarrollan competencias particulares del campo disciplinar. Estas unidades curriculares suelen incluir actividades teórico-prácticas especializadas que requieren, además del trabajo autónomo básico, la realización de simulaciones, prácticas de laboratorio, diseño de dispositivos o el entrenamiento en habilidades técnicas, pudiendo incorporar también actividades de aplicación o intervención en contextos reales. En estos casos, el trabajo autónomo adquiere una mayor complejidad, en tanto articula saberes conceptuales, procedimentales y prácticos.</w:t>
      </w:r>
    </w:p>
    <w:p w14:paraId="4D2DAC35" w14:textId="77777777" w:rsidR="001B691D" w:rsidRPr="00A63747" w:rsidRDefault="001B691D" w:rsidP="001B691D">
      <w:pPr>
        <w:spacing w:line="240" w:lineRule="auto"/>
        <w:jc w:val="both"/>
        <w:rPr>
          <w:rFonts w:ascii="Times New Roman" w:hAnsi="Times New Roman" w:cs="Times New Roman"/>
        </w:rPr>
      </w:pPr>
      <w:r w:rsidRPr="00A63747">
        <w:rPr>
          <w:rFonts w:ascii="Times New Roman" w:hAnsi="Times New Roman" w:cs="Times New Roman"/>
        </w:rPr>
        <w:t xml:space="preserve">Finalmente, se reconocen las materias de </w:t>
      </w:r>
      <w:r w:rsidRPr="00DF6FE7">
        <w:rPr>
          <w:rFonts w:ascii="Times New Roman" w:hAnsi="Times New Roman" w:cs="Times New Roman"/>
          <w:i/>
          <w:iCs/>
        </w:rPr>
        <w:t>práctica disciplinar</w:t>
      </w:r>
      <w:r w:rsidRPr="00A63747">
        <w:rPr>
          <w:rFonts w:ascii="Times New Roman" w:hAnsi="Times New Roman" w:cs="Times New Roman"/>
        </w:rPr>
        <w:t>, centradas en el desarrollo de destrezas específicas propias del campo profesional, muchas veces en contextos reales o simulados de desempeño. En estos espacios, el trabajo autónomo se vincula con la preparación y el desarrollo de actividades preprofesionales, incluyendo prácticas en instituciones, entrenamiento técnico o corporal, y otras formas de intervención supervisada. A su vez, estas materias pueden integrar componentes de trabajo aplicado o específico, consolidando aprendizajes en situaciones que exigen una fuerte articulación entre teoría y práctica.</w:t>
      </w:r>
    </w:p>
    <w:p w14:paraId="6C345B52" w14:textId="77777777" w:rsidR="001B691D" w:rsidRPr="00A63747" w:rsidRDefault="001B691D" w:rsidP="001B691D">
      <w:pPr>
        <w:spacing w:line="240" w:lineRule="auto"/>
        <w:jc w:val="both"/>
        <w:rPr>
          <w:rFonts w:ascii="Times New Roman" w:hAnsi="Times New Roman" w:cs="Times New Roman"/>
        </w:rPr>
      </w:pPr>
      <w:r w:rsidRPr="00A63747">
        <w:rPr>
          <w:rFonts w:ascii="Times New Roman" w:hAnsi="Times New Roman" w:cs="Times New Roman"/>
        </w:rPr>
        <w:t>Esta tipología permite dar cuenta de la diversidad de configuraciones del trabajo académico en función de las lógicas disciplinares y pedagógicas, y constituye un insumo clave para la estimación situada del trabajo autónomo en el marco de la implementación del SACAU.</w:t>
      </w:r>
    </w:p>
    <w:p w14:paraId="2FA05279" w14:textId="3B327FE6" w:rsidR="001B691D" w:rsidRPr="00391A56" w:rsidRDefault="006543D7" w:rsidP="001B691D">
      <w:pPr>
        <w:spacing w:line="240" w:lineRule="auto"/>
        <w:jc w:val="both"/>
        <w:rPr>
          <w:rFonts w:ascii="Times New Roman" w:hAnsi="Times New Roman" w:cs="Times New Roman"/>
        </w:rPr>
      </w:pPr>
      <w:r w:rsidRPr="00C13A73">
        <w:rPr>
          <w:rFonts w:ascii="Times New Roman" w:hAnsi="Times New Roman" w:cs="Times New Roman"/>
        </w:rPr>
        <w:t xml:space="preserve">Se incorporó, de manera complementaria, la noción de </w:t>
      </w:r>
      <w:r w:rsidRPr="00C13A73">
        <w:rPr>
          <w:rFonts w:ascii="Times New Roman" w:hAnsi="Times New Roman" w:cs="Times New Roman"/>
          <w:i/>
          <w:iCs/>
        </w:rPr>
        <w:t xml:space="preserve">complejidad </w:t>
      </w:r>
      <w:r w:rsidRPr="00C13A73">
        <w:rPr>
          <w:rFonts w:ascii="Times New Roman" w:hAnsi="Times New Roman" w:cs="Times New Roman"/>
        </w:rPr>
        <w:t>como dimensión estructurante del análisis curricular, entendiéndola como el resultado de la articulación entre factores conceptuales, pedagógicos y organizativos, y no como un atributo fijo ni como una cualidad exclusivamente asociada a la cantidad de contenidos.</w:t>
      </w:r>
      <w:r>
        <w:rPr>
          <w:rFonts w:ascii="Times New Roman" w:hAnsi="Times New Roman" w:cs="Times New Roman"/>
        </w:rPr>
        <w:t xml:space="preserve"> </w:t>
      </w:r>
      <w:r w:rsidR="001B691D" w:rsidRPr="00391A56">
        <w:rPr>
          <w:rFonts w:ascii="Times New Roman" w:hAnsi="Times New Roman" w:cs="Times New Roman"/>
        </w:rPr>
        <w:t>Esta perspectiva permite problematizar la exigencia formativa de las unidades curriculares en términos más amplios, considerando aspectos como el nivel de abstracción requerido, la autonomía esperada del estudiante, la articulación con otros espacios formativos y las condiciones materiales de desarrollo de las actividades. De este modo, se superan enfoques reduccionistas basados exclusivamente en la cuantificación horaria, avanzando hacia una comprensión más integral del esfuerzo académico.</w:t>
      </w:r>
    </w:p>
    <w:p w14:paraId="3488C533"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lastRenderedPageBreak/>
        <w:t>Sobre la base de estos desarrollos conceptuales, la universidad avanzó en la construcción de instrumentos de ponderación cualitativa y cuantitativa que permiten traducir dichos criterios en decisiones curriculares concretas. En particular, la articulación entre tipología de unidad curricular, nivel de complejidad e intensidad del trabajo autónomo constituye una mediación fundamental que habilita la asignación de valores de crédito en función de las características reales de cada asignatura. Esta operación de traducción normativa resulta clave para operacionalizar el sistema de créditos, en tanto permite vincular la dimensión pedagógica del trabajo académico con su expresión formal en los planes de estudio.</w:t>
      </w:r>
    </w:p>
    <w:p w14:paraId="7E01F5D0"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En este marco, la elaboración de tablas de equivalencia entre horas de interacción pedagógica, trabajo autónomo e intensidad académica se configura como un dispositivo central para la implementación del SACAU. Estas herramientas permiten establecer correspondencias consistentes entre el tiempo estimado de dedicación y la asignación de créditos, contribuyendo a una planificación curricular más equilibrada que evite tanto la subestimación como la sobrecarga del trabajo estudiantil. Asimismo, favorecen la transparencia de la oferta académica y facilitan la toma de decisiones en los procesos de diseño y rediseño curricular.</w:t>
      </w:r>
    </w:p>
    <w:p w14:paraId="2C4026EC"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La experiencia institucional desarrollada adquiere particular relevancia en el contexto de los debates sobre los sistemas de créditos académicos, que señalan la ausencia histórica de sustento empírico en las decisiones curriculares. Tal como advierten Garin y Acosta (2021), la falta de evidencia sobre el tiempo real de trabajo estudiantil constituye uno de los principales obstáculos para la implementación efectiva de estos sistemas, especialmente en contextos donde se adoptan modelos externos sin una adecuada adecuación a las realidades locales. En este sentido, el enfoque adoptado por la UNLaM —basado en la producción de evidencia propia— permite superar esta limitación, fortaleciendo la coherencia entre diagnóstico, criterios y normativa.</w:t>
      </w:r>
    </w:p>
    <w:p w14:paraId="3421F70A"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Al mismo tiempo, la traducción normativa desarrollada se inscribe en una concepción más amplia del SACAU como una oportunidad para la innovación curricular. En línea con las orientaciones del CIN, la adopción del sistema de créditos se vincula con la necesidad de promover propuestas formativas más flexibles, que incorporen trayectos diversificados, certificaciones intermedias y nuevas modalidades pedagógicas. Desde esta perspectiva, la normativa institucional no se limita a la conversión de cargas horarias, sino que redefine los procedimientos de diseño y gestión curricular, incorporando el crédito como unidad organizadora y promoviendo dispositivos que garanticen coherencia, trazabilidad y calidad académica.</w:t>
      </w:r>
    </w:p>
    <w:p w14:paraId="160F032B" w14:textId="77777777" w:rsidR="001B691D" w:rsidRDefault="001B691D" w:rsidP="001B691D">
      <w:pPr>
        <w:spacing w:line="240" w:lineRule="auto"/>
        <w:jc w:val="both"/>
        <w:rPr>
          <w:rFonts w:ascii="Times New Roman" w:hAnsi="Times New Roman" w:cs="Times New Roman"/>
        </w:rPr>
      </w:pPr>
      <w:r w:rsidRPr="00391A56">
        <w:rPr>
          <w:rFonts w:ascii="Times New Roman" w:hAnsi="Times New Roman" w:cs="Times New Roman"/>
        </w:rPr>
        <w:t xml:space="preserve">En este marco, la incorporación de Actividades Acreditables constituye </w:t>
      </w:r>
      <w:r>
        <w:rPr>
          <w:rFonts w:ascii="Times New Roman" w:hAnsi="Times New Roman" w:cs="Times New Roman"/>
        </w:rPr>
        <w:t xml:space="preserve">para nuestra Universidad </w:t>
      </w:r>
      <w:r w:rsidRPr="00391A56">
        <w:rPr>
          <w:rFonts w:ascii="Times New Roman" w:hAnsi="Times New Roman" w:cs="Times New Roman"/>
        </w:rPr>
        <w:t>una innovación significativa, al ampliar la concepción tradicional del currículum y reconocer como parte de la trayectoria académica experiencias formativas desarrolladas en distintos ámbitos, tales como la investigación, la extensión, la docencia, la movilidad académica o la producción científica. Este enfoque no solo diversifica las trayectorias posibles, sino que también reconoce saberes situados y fortalece la articulación entre la formación académica y los contextos sociales y profesionales.</w:t>
      </w:r>
    </w:p>
    <w:p w14:paraId="58F93580" w14:textId="77777777" w:rsidR="001B691D" w:rsidRPr="00AE2650" w:rsidRDefault="001B691D" w:rsidP="001B691D">
      <w:pPr>
        <w:spacing w:line="240" w:lineRule="auto"/>
        <w:jc w:val="both"/>
        <w:rPr>
          <w:rFonts w:ascii="Times New Roman" w:hAnsi="Times New Roman" w:cs="Times New Roman"/>
        </w:rPr>
      </w:pPr>
      <w:r w:rsidRPr="00AE2650">
        <w:rPr>
          <w:rFonts w:ascii="Times New Roman" w:hAnsi="Times New Roman" w:cs="Times New Roman"/>
        </w:rPr>
        <w:lastRenderedPageBreak/>
        <w:t>En este proceso de traducción normativa, la adecuación al SACAU no se limitó a la definición de criterios para la asignación de créditos, sino que implicó una revisión integral de los dispositivos institucionales que estructuran el diseño y la gestión curricular. En particular, la normativa incorporó una actualización del procedimiento interno para la presentación de proyectos de creación y modificación de carreras y planes de estudio</w:t>
      </w:r>
      <w:r>
        <w:rPr>
          <w:rFonts w:ascii="Times New Roman" w:hAnsi="Times New Roman" w:cs="Times New Roman"/>
        </w:rPr>
        <w:t xml:space="preserve">, </w:t>
      </w:r>
      <w:r w:rsidRPr="00AE2650">
        <w:rPr>
          <w:rFonts w:ascii="Times New Roman" w:hAnsi="Times New Roman" w:cs="Times New Roman"/>
        </w:rPr>
        <w:t>con el propósito de adecuar los formatos existentes a las nuevas exigencias del sistema de créditos y a los requerimientos de los sistemas de gestión académica. Si bien esta adecuación puede ser interpretada inicialmente como una modificación de carácter formal, en realidad constituye un componente sustantivo del proceso de renovación curricular, en tanto redefine los modos en que las propuestas formativas son diseñadas, presentadas y evaluadas a nivel institucional.</w:t>
      </w:r>
    </w:p>
    <w:p w14:paraId="6B866822" w14:textId="77777777" w:rsidR="001B691D" w:rsidRPr="00AE2650" w:rsidRDefault="001B691D" w:rsidP="001B691D">
      <w:pPr>
        <w:spacing w:line="240" w:lineRule="auto"/>
        <w:jc w:val="both"/>
        <w:rPr>
          <w:rFonts w:ascii="Times New Roman" w:hAnsi="Times New Roman" w:cs="Times New Roman"/>
        </w:rPr>
      </w:pPr>
      <w:r w:rsidRPr="00AE2650">
        <w:rPr>
          <w:rFonts w:ascii="Times New Roman" w:hAnsi="Times New Roman" w:cs="Times New Roman"/>
        </w:rPr>
        <w:t xml:space="preserve">En este marco, uno de los aportes más significativos de la normativa se expresa en la </w:t>
      </w:r>
      <w:r>
        <w:rPr>
          <w:rFonts w:ascii="Times New Roman" w:hAnsi="Times New Roman" w:cs="Times New Roman"/>
        </w:rPr>
        <w:t>importancia</w:t>
      </w:r>
      <w:r w:rsidRPr="00AE2650">
        <w:rPr>
          <w:rFonts w:ascii="Times New Roman" w:hAnsi="Times New Roman" w:cs="Times New Roman"/>
        </w:rPr>
        <w:t xml:space="preserve"> otorgada al programa de asignatura, entendido no solo como un documento descriptivo, sino como la unidad básica de desarrollo, implementación y monitoreo del currículum. Esta definición supone un desplazamiento relevante respecto de enfoques tradicionales que ubican el plan de estudios exclusivamente en su dimensión estructural, reconociendo que es en el nivel de la asignatura —y, particularmente, en su desarrollo </w:t>
      </w:r>
      <w:r>
        <w:rPr>
          <w:rFonts w:ascii="Times New Roman" w:hAnsi="Times New Roman" w:cs="Times New Roman"/>
        </w:rPr>
        <w:t>permanente y cotidiano de la clase</w:t>
      </w:r>
      <w:r w:rsidRPr="00AE2650">
        <w:rPr>
          <w:rFonts w:ascii="Times New Roman" w:hAnsi="Times New Roman" w:cs="Times New Roman"/>
        </w:rPr>
        <w:t>— donde se materializa efectivamente la propuesta formativa. En este sentido, puede sostenerse que el plan de estudios no se agota en su formulación normativa, sino que se construye y recrea de manera permanente en la práctica docente.</w:t>
      </w:r>
    </w:p>
    <w:p w14:paraId="1E55CB20" w14:textId="77777777" w:rsidR="001B691D" w:rsidRPr="00AE2650" w:rsidRDefault="001B691D" w:rsidP="001B691D">
      <w:pPr>
        <w:spacing w:line="240" w:lineRule="auto"/>
        <w:jc w:val="both"/>
        <w:rPr>
          <w:rFonts w:ascii="Times New Roman" w:hAnsi="Times New Roman" w:cs="Times New Roman"/>
        </w:rPr>
      </w:pPr>
      <w:r w:rsidRPr="00AE2650">
        <w:rPr>
          <w:rFonts w:ascii="Times New Roman" w:hAnsi="Times New Roman" w:cs="Times New Roman"/>
        </w:rPr>
        <w:t xml:space="preserve">Desde esta perspectiva, la adecuación al SACAU requiere necesariamente un trabajo profundo sobre los programas de asignatura, en tanto estos constituyen el espacio privilegiado para explicitar la articulación entre interacción pedagógica, trabajo autónomo y resultados de aprendizaje. Tal como se establece en </w:t>
      </w:r>
      <w:r>
        <w:rPr>
          <w:rFonts w:ascii="Times New Roman" w:hAnsi="Times New Roman" w:cs="Times New Roman"/>
        </w:rPr>
        <w:t>la normativa aprobada en la UNLaM</w:t>
      </w:r>
      <w:r w:rsidRPr="00AE2650">
        <w:rPr>
          <w:rFonts w:ascii="Times New Roman" w:hAnsi="Times New Roman" w:cs="Times New Roman"/>
        </w:rPr>
        <w:t>, el programa no solo organiza contenidos, metodologías y criterios de evaluación, sino que también orienta la planificación del trabajo académico del estudiante, incluyendo la explicitación de las actividades de trabajo autónomo y su distribución temporal. De este modo, el programa se configura como una herramienta clave para garantizar coherencia curricular, trazabilidad y transparencia en los procesos formativos.</w:t>
      </w:r>
    </w:p>
    <w:p w14:paraId="5C5E5E52" w14:textId="77777777" w:rsidR="001B691D" w:rsidRPr="00AE2650" w:rsidRDefault="001B691D" w:rsidP="001B691D">
      <w:pPr>
        <w:spacing w:line="240" w:lineRule="auto"/>
        <w:jc w:val="both"/>
        <w:rPr>
          <w:rFonts w:ascii="Times New Roman" w:hAnsi="Times New Roman" w:cs="Times New Roman"/>
        </w:rPr>
      </w:pPr>
      <w:r w:rsidRPr="00AE2650">
        <w:rPr>
          <w:rFonts w:ascii="Times New Roman" w:hAnsi="Times New Roman" w:cs="Times New Roman"/>
        </w:rPr>
        <w:t xml:space="preserve">En este marco, la normativa institucional promueve una concepción del programa de asignatura como dispositivo estratégico de mediación pedagógica entre el docente y el estudiante. En particular, se busca que el programa opere como guía explícita del proceso de aprendizaje, permitiendo al estudiante anticipar, organizar y evaluar su propio trabajo. Esta perspectiva, trabajada también en las instancias de capacitación a coordinadores de carrera, se sintetiza en la idea de que el programa debe constituirse como una “presencia en la ausencia”, en tanto orienta el trabajo autónomo aun cuando no medie una interacción directa con el docente (Hayet </w:t>
      </w:r>
      <w:r>
        <w:rPr>
          <w:rFonts w:ascii="Times New Roman" w:hAnsi="Times New Roman" w:cs="Times New Roman"/>
        </w:rPr>
        <w:t>y</w:t>
      </w:r>
      <w:r w:rsidRPr="00AE2650">
        <w:rPr>
          <w:rFonts w:ascii="Times New Roman" w:hAnsi="Times New Roman" w:cs="Times New Roman"/>
        </w:rPr>
        <w:t xml:space="preserve"> Kasem, 2026). En este sentido, el programa no solo informa, sino que estructura la experiencia de aprendizaje, favoreciendo la autonomía, la autorregulación y la toma de decisiones por parte del estudiante.</w:t>
      </w:r>
    </w:p>
    <w:p w14:paraId="2B554582" w14:textId="77777777" w:rsidR="001B691D" w:rsidRPr="00AE2650" w:rsidRDefault="001B691D" w:rsidP="001B691D">
      <w:pPr>
        <w:spacing w:line="240" w:lineRule="auto"/>
        <w:jc w:val="both"/>
        <w:rPr>
          <w:rFonts w:ascii="Times New Roman" w:hAnsi="Times New Roman" w:cs="Times New Roman"/>
        </w:rPr>
      </w:pPr>
      <w:r w:rsidRPr="00AE2650">
        <w:rPr>
          <w:rFonts w:ascii="Times New Roman" w:hAnsi="Times New Roman" w:cs="Times New Roman"/>
        </w:rPr>
        <w:t xml:space="preserve">De este modo, la centralidad otorgada al programa de asignatura en la normativa institucional no responde únicamente a criterios de ordenamiento formal, sino que forma </w:t>
      </w:r>
      <w:r w:rsidRPr="00AE2650">
        <w:rPr>
          <w:rFonts w:ascii="Times New Roman" w:hAnsi="Times New Roman" w:cs="Times New Roman"/>
        </w:rPr>
        <w:lastRenderedPageBreak/>
        <w:t>parte de una estrategia más amplia orientada a fortalecer el enfoque centrado en el estudiante que promueve el SACAU. Al explicitar el trabajo académico esperado, las condiciones de su realización y los criterios de evaluación asociados, el programa se transforma en una herramienta fundamental para la construcción de trayectorias formativas más claras, coherentes y equitativas.</w:t>
      </w:r>
    </w:p>
    <w:p w14:paraId="01585E47" w14:textId="77777777" w:rsidR="001B691D" w:rsidRPr="00AE2650" w:rsidRDefault="001B691D" w:rsidP="001B691D">
      <w:pPr>
        <w:spacing w:line="240" w:lineRule="auto"/>
        <w:jc w:val="both"/>
        <w:rPr>
          <w:rFonts w:ascii="Times New Roman" w:hAnsi="Times New Roman" w:cs="Times New Roman"/>
        </w:rPr>
      </w:pPr>
      <w:r w:rsidRPr="00AE2650">
        <w:rPr>
          <w:rFonts w:ascii="Times New Roman" w:hAnsi="Times New Roman" w:cs="Times New Roman"/>
        </w:rPr>
        <w:t xml:space="preserve">En suma, la incorporación de estos dispositivos normativos —la actualización del formato de presentación de planes de estudio y la institucionalización de un modelo unificado de programas de asignatura— refuerza el carácter integral de la reforma, en tanto articula los niveles macro y </w:t>
      </w:r>
      <w:proofErr w:type="spellStart"/>
      <w:r w:rsidRPr="00AE2650">
        <w:rPr>
          <w:rFonts w:ascii="Times New Roman" w:hAnsi="Times New Roman" w:cs="Times New Roman"/>
        </w:rPr>
        <w:t>microcurricular</w:t>
      </w:r>
      <w:proofErr w:type="spellEnd"/>
      <w:r w:rsidRPr="00AE2650">
        <w:rPr>
          <w:rFonts w:ascii="Times New Roman" w:hAnsi="Times New Roman" w:cs="Times New Roman"/>
        </w:rPr>
        <w:t>. Este entramado permite sostener la implementación del SACAU no solo como un cambio en la unidad de medida del currículo, sino como una transformación en los modos de diseñar, enseñar y aprender en la universidad.</w:t>
      </w:r>
    </w:p>
    <w:p w14:paraId="3625794C"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En conjunto, la construcción de criterios institucionales y su traducción normativa expresan el pasaje desde una etapa diagnóstica hacia la consolidación de una política curricular institucional, sustentada en evidencia empírica y orientada a mejorar la coherencia, la equidad y la calidad de las trayectorias formativas. Sin embargo, este proceso no debe ser entendido como un punto de llegada, sino como una etapa dentro de un proceso institucional más amplio.</w:t>
      </w:r>
    </w:p>
    <w:p w14:paraId="56AB3898" w14:textId="77777777" w:rsidR="001B691D" w:rsidRPr="00391A56" w:rsidRDefault="001B691D" w:rsidP="001B691D">
      <w:pPr>
        <w:spacing w:line="240" w:lineRule="auto"/>
        <w:jc w:val="both"/>
        <w:rPr>
          <w:rFonts w:ascii="Times New Roman" w:hAnsi="Times New Roman" w:cs="Times New Roman"/>
        </w:rPr>
      </w:pPr>
      <w:r w:rsidRPr="00391A56">
        <w:rPr>
          <w:rFonts w:ascii="Times New Roman" w:hAnsi="Times New Roman" w:cs="Times New Roman"/>
        </w:rPr>
        <w:t>En efecto, tal como señalan las orientaciones del CIN, la implementación del SACAU debe ser concebida como un proceso en construcción, que requiere la generación de acuerdos, la revisión continua de prácticas y la articulación entre distintos niveles del sistema universitario. En este sentido, la experiencia de la UNLaM puede interpretarse como una contribución situada a la construcción de políticas académicas orientadas a mejorar las trayectorias estudiantiles, consolidando un modelo curricular más flexible, transparente y centrado en el estudiante.</w:t>
      </w:r>
    </w:p>
    <w:p w14:paraId="5B311EB3" w14:textId="77777777" w:rsidR="001B691D" w:rsidRDefault="001B691D" w:rsidP="001B691D">
      <w:pPr>
        <w:spacing w:line="240" w:lineRule="auto"/>
        <w:jc w:val="both"/>
        <w:rPr>
          <w:rFonts w:ascii="Times New Roman" w:hAnsi="Times New Roman" w:cs="Times New Roman"/>
          <w:b/>
          <w:bCs/>
        </w:rPr>
      </w:pPr>
    </w:p>
    <w:p w14:paraId="7D90C769" w14:textId="1AE19580" w:rsidR="001B691D" w:rsidRPr="00A0240C" w:rsidRDefault="001B691D" w:rsidP="001B691D">
      <w:pPr>
        <w:spacing w:line="240" w:lineRule="auto"/>
        <w:jc w:val="both"/>
        <w:rPr>
          <w:rFonts w:ascii="Times New Roman" w:hAnsi="Times New Roman" w:cs="Times New Roman"/>
          <w:b/>
          <w:bCs/>
        </w:rPr>
      </w:pPr>
      <w:r w:rsidRPr="00A0240C">
        <w:rPr>
          <w:rFonts w:ascii="Times New Roman" w:hAnsi="Times New Roman" w:cs="Times New Roman"/>
          <w:b/>
          <w:bCs/>
        </w:rPr>
        <w:t>Conclusiones</w:t>
      </w:r>
    </w:p>
    <w:p w14:paraId="363F09BF" w14:textId="77777777" w:rsidR="001B691D" w:rsidRPr="00A0240C" w:rsidRDefault="001B691D" w:rsidP="001B691D">
      <w:pPr>
        <w:spacing w:line="240" w:lineRule="auto"/>
        <w:jc w:val="both"/>
        <w:rPr>
          <w:rFonts w:ascii="Times New Roman" w:hAnsi="Times New Roman" w:cs="Times New Roman"/>
        </w:rPr>
      </w:pPr>
      <w:r w:rsidRPr="00A0240C">
        <w:rPr>
          <w:rFonts w:ascii="Times New Roman" w:hAnsi="Times New Roman" w:cs="Times New Roman"/>
        </w:rPr>
        <w:t>El proceso de implementación del Sistema Argentino de Créditos Académicos Universitarios (SACAU) en la Universidad Nacional de La Matanza permite sostener que no se trata de una adecuación técnica orientada a la conversión de cargas horarias, sino de una transformación institucional que interpela de manera profunda las formas en que se conciben, organizan y desarrollan las propuestas curriculares. En este sentido, el pasaje desde un modelo centrado en la enseñanza hacia otro centrado en el trabajo total del estudiante supone una reconfiguración que atraviesa simultáneamente dimensiones pedagógicas, organizacionales y políticas.</w:t>
      </w:r>
    </w:p>
    <w:p w14:paraId="2B65BA7B" w14:textId="77777777" w:rsidR="001B691D" w:rsidRPr="00A0240C" w:rsidRDefault="001B691D" w:rsidP="001B691D">
      <w:pPr>
        <w:spacing w:line="240" w:lineRule="auto"/>
        <w:jc w:val="both"/>
        <w:rPr>
          <w:rFonts w:ascii="Times New Roman" w:hAnsi="Times New Roman" w:cs="Times New Roman"/>
        </w:rPr>
      </w:pPr>
      <w:r w:rsidRPr="00A0240C">
        <w:rPr>
          <w:rFonts w:ascii="Times New Roman" w:hAnsi="Times New Roman" w:cs="Times New Roman"/>
        </w:rPr>
        <w:t xml:space="preserve">Uno de los principales aportes del proceso desarrollado radica en la producción de evidencia empírica propia como condición para la toma de decisiones curriculares. La prueba piloto permitió visibilizar que la relación entre carga horaria formal e intensidad real del trabajo académico no es lineal, poner en evidencia la diversidad disciplinar en la organización del trabajo autónomo y reconocer la centralidad de la experiencia estudiantil como fuente insoslayable para la estimación del esfuerzo académico. Estos hallazgos no solo cuestionan supuestos arraigados en los diseños curriculares tradicionales, sino que </w:t>
      </w:r>
      <w:r w:rsidRPr="00A0240C">
        <w:rPr>
          <w:rFonts w:ascii="Times New Roman" w:hAnsi="Times New Roman" w:cs="Times New Roman"/>
        </w:rPr>
        <w:lastRenderedPageBreak/>
        <w:t>justifican la necesidad de construir criterios institucionales situados, alejados de modelos estandarizados o importados sin adecuación contextual.</w:t>
      </w:r>
    </w:p>
    <w:p w14:paraId="78AFCF35" w14:textId="77777777" w:rsidR="001B691D" w:rsidRPr="00A0240C" w:rsidRDefault="001B691D" w:rsidP="001B691D">
      <w:pPr>
        <w:spacing w:line="240" w:lineRule="auto"/>
        <w:jc w:val="both"/>
        <w:rPr>
          <w:rFonts w:ascii="Times New Roman" w:hAnsi="Times New Roman" w:cs="Times New Roman"/>
        </w:rPr>
      </w:pPr>
      <w:r w:rsidRPr="00A0240C">
        <w:rPr>
          <w:rFonts w:ascii="Times New Roman" w:hAnsi="Times New Roman" w:cs="Times New Roman"/>
        </w:rPr>
        <w:t>A partir de este diagnóstico, la universidad avanzó en la definición de criterios cualitativos para la estimación de la intensidad del trabajo autónomo, incorporando dimensiones como la función pedagógica de las actividades, su distribución temporal, el grado de autonomía requerido, su vínculo con la evaluación y los requerimientos materiales. Asimismo, la elaboración de tipologías de unidades curriculares y la incorporación de la noción de complejidad permitieron construir herramientas analíticas y operativas que habilitan una asignación de créditos más coherente con las prácticas reales de enseñanza y aprendizaje. En este sentido, la traducción normativa no representa un momento final, sino una instancia de formalización de procesos previos de producción de conocimiento institucional.</w:t>
      </w:r>
    </w:p>
    <w:p w14:paraId="0BAD0BE2" w14:textId="77777777" w:rsidR="001B691D" w:rsidRPr="00A0240C" w:rsidRDefault="001B691D" w:rsidP="001B691D">
      <w:pPr>
        <w:spacing w:line="240" w:lineRule="auto"/>
        <w:jc w:val="both"/>
        <w:rPr>
          <w:rFonts w:ascii="Times New Roman" w:hAnsi="Times New Roman" w:cs="Times New Roman"/>
        </w:rPr>
      </w:pPr>
      <w:r w:rsidRPr="00A0240C">
        <w:rPr>
          <w:rFonts w:ascii="Times New Roman" w:hAnsi="Times New Roman" w:cs="Times New Roman"/>
        </w:rPr>
        <w:t>Sin embargo, la implementación del SACAU debe ser entendida como un proceso en construcción, que necesariamente implicará tiempos prolongados de adaptación y un trabajo sostenido sobre la cultura institucional. La incorporación del trabajo autónomo como componente estructural del currículum supone revisar prácticas pedagógicas, modos de planificación y criterios de evaluación, lo que demanda instancias de formación, acompañamiento y construcción colectiva con los equipos docentes. Del mismo modo, requiere promover una participación de los estudiantes, fortaleciendo su capacidad de organización, autorregulación y apropiación de las propuestas formativas.</w:t>
      </w:r>
    </w:p>
    <w:p w14:paraId="08AD98AC" w14:textId="77777777" w:rsidR="001B691D" w:rsidRPr="00A0240C" w:rsidRDefault="001B691D" w:rsidP="001B691D">
      <w:pPr>
        <w:spacing w:line="240" w:lineRule="auto"/>
        <w:jc w:val="both"/>
        <w:rPr>
          <w:rFonts w:ascii="Times New Roman" w:hAnsi="Times New Roman" w:cs="Times New Roman"/>
        </w:rPr>
      </w:pPr>
      <w:r w:rsidRPr="00A0240C">
        <w:rPr>
          <w:rFonts w:ascii="Times New Roman" w:hAnsi="Times New Roman" w:cs="Times New Roman"/>
        </w:rPr>
        <w:t>En este marco, la consolidación del SACAU no puede pensarse únicamente en términos normativos o instrumentales, sino que exige una estrategia institucional integral que articule regulación, prácticas pedagógicas y condiciones materiales. En particular, si se reconoce que una parte sustantiva del aprendizaje ocurre fuera de la interacción directa con el docente, resulta necesario generar las condiciones para que el trabajo autónomo pueda desarrollarse, en mayor medida, dentro del ámbito universitario. Esto implica gestionar espacios, tiempos y recursos que favorezcan el estudio, la producción y el encuentro, garantizando condiciones adecuadas de confort tanto para estudiantes como para docentes.</w:t>
      </w:r>
    </w:p>
    <w:p w14:paraId="06C6C179" w14:textId="77777777" w:rsidR="001B691D" w:rsidRPr="00A0240C" w:rsidRDefault="001B691D" w:rsidP="001B691D">
      <w:pPr>
        <w:spacing w:line="240" w:lineRule="auto"/>
        <w:jc w:val="both"/>
        <w:rPr>
          <w:rFonts w:ascii="Times New Roman" w:hAnsi="Times New Roman" w:cs="Times New Roman"/>
        </w:rPr>
      </w:pPr>
      <w:r w:rsidRPr="00A0240C">
        <w:rPr>
          <w:rFonts w:ascii="Times New Roman" w:hAnsi="Times New Roman" w:cs="Times New Roman"/>
        </w:rPr>
        <w:t>En esta línea, la implementación del SACAU abre una discusión más amplia sobre el sentido de la universidad como espacio de formación. Pensar el trabajo autónomo en clave institucional implica también fortalecer la idea de ciudadanía universitaria, promoviendo la apropiación de los espacios académicos y la circulación de estudiantes y docentes por bibliotecas, laboratorios, comedores y ámbitos de trabajo colaborativo. La universidad no se reduce así al aula, sino que se configura como un entorno de aprendizaje ampliado, donde el conocimiento se produce y se comparte en múltiples instancias y espacios, contribuyendo a la construcción de una identidad institucional más integrada y participativa.</w:t>
      </w:r>
    </w:p>
    <w:p w14:paraId="11F90146" w14:textId="77777777" w:rsidR="001B691D" w:rsidRPr="00A0240C" w:rsidRDefault="001B691D" w:rsidP="001B691D">
      <w:pPr>
        <w:spacing w:line="240" w:lineRule="auto"/>
        <w:jc w:val="both"/>
        <w:rPr>
          <w:rFonts w:ascii="Times New Roman" w:hAnsi="Times New Roman" w:cs="Times New Roman"/>
        </w:rPr>
      </w:pPr>
      <w:r w:rsidRPr="00A0240C">
        <w:rPr>
          <w:rFonts w:ascii="Times New Roman" w:hAnsi="Times New Roman" w:cs="Times New Roman"/>
        </w:rPr>
        <w:t xml:space="preserve">En definitiva, la experiencia desarrollada en la UNLaM pone de manifiesto que el SACAU no constituye únicamente un sistema de créditos, sino una oportunidad para repensar el currículum universitario en clave de mayor coherencia, transparencia y equidad. No se trata solo de medir el tiempo de trabajo académico, sino de comprender </w:t>
      </w:r>
      <w:r w:rsidRPr="00A0240C">
        <w:rPr>
          <w:rFonts w:ascii="Times New Roman" w:hAnsi="Times New Roman" w:cs="Times New Roman"/>
        </w:rPr>
        <w:lastRenderedPageBreak/>
        <w:t>qué se hace con ese tiempo, cómo se organiza y en qué condiciones se desarrolla. En este sentido, el desafío no radica exclusivamente en asignar créditos, sino en construir propuestas formativas más realistas, sostenibles y centradas en el estudiante.</w:t>
      </w:r>
    </w:p>
    <w:p w14:paraId="18B28464" w14:textId="77777777" w:rsidR="001B691D" w:rsidRPr="00A0240C" w:rsidRDefault="001B691D" w:rsidP="001B691D">
      <w:pPr>
        <w:spacing w:line="240" w:lineRule="auto"/>
        <w:jc w:val="both"/>
        <w:rPr>
          <w:rFonts w:ascii="Times New Roman" w:hAnsi="Times New Roman" w:cs="Times New Roman"/>
        </w:rPr>
      </w:pPr>
      <w:r w:rsidRPr="00A0240C">
        <w:rPr>
          <w:rFonts w:ascii="Times New Roman" w:hAnsi="Times New Roman" w:cs="Times New Roman"/>
        </w:rPr>
        <w:t>En esta perspectiva, el verdadero alcance del SACAU no reside en su capacidad de estandarizar cargas horarias, sino en su potencial para transformar las prácticas académicas y las condiciones institucionales en las que se produce el aprendizaje. Su implementación interpela, en última instancia, el sentido mismo de la educación superior: implica decidir si la universidad continuará reproduciendo modelos basados en supuestos abstractos o si avanzará hacia un conocimiento situado de sus propias prácticas, capaz de orientar políticas académicas más justas, pertinentes y comprometidas con las trayectorias reales de sus estudiantes.</w:t>
      </w:r>
    </w:p>
    <w:p w14:paraId="138DBF61" w14:textId="77777777" w:rsidR="001B691D" w:rsidRDefault="001B691D" w:rsidP="001B691D">
      <w:pPr>
        <w:spacing w:line="240" w:lineRule="auto"/>
        <w:jc w:val="both"/>
        <w:rPr>
          <w:rFonts w:ascii="Times New Roman" w:hAnsi="Times New Roman" w:cs="Times New Roman"/>
        </w:rPr>
      </w:pPr>
    </w:p>
    <w:p w14:paraId="3FF3B7EB" w14:textId="77777777" w:rsidR="001B691D" w:rsidRPr="00A0240C" w:rsidRDefault="001B691D" w:rsidP="001B691D">
      <w:pPr>
        <w:spacing w:line="240" w:lineRule="auto"/>
        <w:jc w:val="both"/>
        <w:rPr>
          <w:rFonts w:ascii="Times New Roman" w:hAnsi="Times New Roman" w:cs="Times New Roman"/>
          <w:b/>
          <w:bCs/>
        </w:rPr>
      </w:pPr>
      <w:r>
        <w:rPr>
          <w:rFonts w:ascii="Times New Roman" w:hAnsi="Times New Roman" w:cs="Times New Roman"/>
          <w:b/>
          <w:bCs/>
        </w:rPr>
        <w:t xml:space="preserve">Referencias </w:t>
      </w:r>
      <w:r w:rsidRPr="00A0240C">
        <w:rPr>
          <w:rFonts w:ascii="Times New Roman" w:hAnsi="Times New Roman" w:cs="Times New Roman"/>
          <w:b/>
          <w:bCs/>
        </w:rPr>
        <w:t>Bibliogr</w:t>
      </w:r>
      <w:r>
        <w:rPr>
          <w:rFonts w:ascii="Times New Roman" w:hAnsi="Times New Roman" w:cs="Times New Roman"/>
          <w:b/>
          <w:bCs/>
        </w:rPr>
        <w:t>áficas</w:t>
      </w:r>
    </w:p>
    <w:p w14:paraId="03E37762" w14:textId="77777777" w:rsidR="001B691D" w:rsidRPr="00391A56" w:rsidRDefault="001B691D" w:rsidP="001B691D">
      <w:pPr>
        <w:spacing w:line="240" w:lineRule="auto"/>
        <w:jc w:val="both"/>
        <w:rPr>
          <w:rFonts w:ascii="Times New Roman" w:hAnsi="Times New Roman" w:cs="Times New Roman"/>
        </w:rPr>
      </w:pPr>
      <w:proofErr w:type="spellStart"/>
      <w:r>
        <w:rPr>
          <w:rFonts w:ascii="Times New Roman" w:hAnsi="Times New Roman" w:cs="Times New Roman"/>
        </w:rPr>
        <w:t>Bidiña</w:t>
      </w:r>
      <w:proofErr w:type="spellEnd"/>
      <w:r>
        <w:rPr>
          <w:rFonts w:ascii="Times New Roman" w:hAnsi="Times New Roman" w:cs="Times New Roman"/>
        </w:rPr>
        <w:t xml:space="preserve">, A., </w:t>
      </w:r>
      <w:r w:rsidRPr="0039484F">
        <w:rPr>
          <w:rFonts w:ascii="Times New Roman" w:hAnsi="Times New Roman" w:cs="Times New Roman"/>
        </w:rPr>
        <w:t>Carnevali, F.</w:t>
      </w:r>
      <w:r>
        <w:rPr>
          <w:rFonts w:ascii="Times New Roman" w:hAnsi="Times New Roman" w:cs="Times New Roman"/>
        </w:rPr>
        <w:t xml:space="preserve">, y </w:t>
      </w:r>
      <w:proofErr w:type="spellStart"/>
      <w:r>
        <w:rPr>
          <w:rFonts w:ascii="Times New Roman" w:hAnsi="Times New Roman" w:cs="Times New Roman"/>
        </w:rPr>
        <w:t>Jehín</w:t>
      </w:r>
      <w:proofErr w:type="spellEnd"/>
      <w:r>
        <w:rPr>
          <w:rFonts w:ascii="Times New Roman" w:hAnsi="Times New Roman" w:cs="Times New Roman"/>
        </w:rPr>
        <w:t xml:space="preserve">, M. </w:t>
      </w:r>
      <w:r w:rsidRPr="0039484F">
        <w:rPr>
          <w:rFonts w:ascii="Times New Roman" w:hAnsi="Times New Roman" w:cs="Times New Roman"/>
        </w:rPr>
        <w:t xml:space="preserve"> (</w:t>
      </w:r>
      <w:r>
        <w:rPr>
          <w:rFonts w:ascii="Times New Roman" w:hAnsi="Times New Roman" w:cs="Times New Roman"/>
        </w:rPr>
        <w:t xml:space="preserve">28 y 29 agosto de </w:t>
      </w:r>
      <w:r w:rsidRPr="0039484F">
        <w:rPr>
          <w:rFonts w:ascii="Times New Roman" w:hAnsi="Times New Roman" w:cs="Times New Roman"/>
        </w:rPr>
        <w:t>202</w:t>
      </w:r>
      <w:r>
        <w:rPr>
          <w:rFonts w:ascii="Times New Roman" w:hAnsi="Times New Roman" w:cs="Times New Roman"/>
        </w:rPr>
        <w:t>5</w:t>
      </w:r>
      <w:r w:rsidRPr="0039484F">
        <w:rPr>
          <w:rFonts w:ascii="Times New Roman" w:hAnsi="Times New Roman" w:cs="Times New Roman"/>
        </w:rPr>
        <w:t xml:space="preserve">). </w:t>
      </w:r>
      <w:r w:rsidRPr="00A52D79">
        <w:rPr>
          <w:rFonts w:ascii="Times New Roman" w:hAnsi="Times New Roman" w:cs="Times New Roman"/>
        </w:rPr>
        <w:t>Hacia el SACAU: experiencia institucional y criterios empíricos para estimar trabajo autónomo estudiantil</w:t>
      </w:r>
      <w:r w:rsidRPr="0039484F">
        <w:rPr>
          <w:rFonts w:ascii="Times New Roman" w:hAnsi="Times New Roman" w:cs="Times New Roman"/>
        </w:rPr>
        <w:t xml:space="preserve"> [Ponencia].</w:t>
      </w:r>
      <w:r>
        <w:rPr>
          <w:rFonts w:ascii="Times New Roman" w:hAnsi="Times New Roman" w:cs="Times New Roman"/>
        </w:rPr>
        <w:t xml:space="preserve"> </w:t>
      </w:r>
      <w:r w:rsidRPr="00A52D79">
        <w:rPr>
          <w:rFonts w:ascii="Times New Roman" w:hAnsi="Times New Roman" w:cs="Times New Roman"/>
          <w:i/>
          <w:iCs/>
        </w:rPr>
        <w:t>I Congreso Nacional de Innovación Universitaria: Enseñanza, investigación, gestión y territorio</w:t>
      </w:r>
      <w:r>
        <w:rPr>
          <w:rFonts w:ascii="Times New Roman" w:hAnsi="Times New Roman" w:cs="Times New Roman"/>
        </w:rPr>
        <w:t>. CIN-UNR.</w:t>
      </w:r>
    </w:p>
    <w:p w14:paraId="4867A93E"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t xml:space="preserve">Cernuda del Río, A., Gayo Avello, D., Vinuesa Martínez, L., Fernández Álvarez, A. M., </w:t>
      </w:r>
      <w:r>
        <w:rPr>
          <w:rFonts w:ascii="Times New Roman" w:hAnsi="Times New Roman" w:cs="Times New Roman"/>
        </w:rPr>
        <w:t>y</w:t>
      </w:r>
      <w:r w:rsidRPr="0039484F">
        <w:rPr>
          <w:rFonts w:ascii="Times New Roman" w:hAnsi="Times New Roman" w:cs="Times New Roman"/>
        </w:rPr>
        <w:t xml:space="preserve"> Luengo Díez, M. C. (2005). </w:t>
      </w:r>
      <w:r w:rsidRPr="0039484F">
        <w:rPr>
          <w:rFonts w:ascii="Times New Roman" w:hAnsi="Times New Roman" w:cs="Times New Roman"/>
          <w:i/>
          <w:iCs/>
        </w:rPr>
        <w:t>Análisis de los hábitos de trabajo autónomo de los alumnos de cara al sistema de créditos ECTS</w:t>
      </w:r>
      <w:r w:rsidRPr="0039484F">
        <w:rPr>
          <w:rFonts w:ascii="Times New Roman" w:hAnsi="Times New Roman" w:cs="Times New Roman"/>
        </w:rPr>
        <w:t>. Universidad de Oviedo.</w:t>
      </w:r>
    </w:p>
    <w:p w14:paraId="4BD483AB"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t xml:space="preserve">Consejo Interuniversitario Nacional </w:t>
      </w:r>
      <w:r>
        <w:rPr>
          <w:rFonts w:ascii="Times New Roman" w:hAnsi="Times New Roman" w:cs="Times New Roman"/>
        </w:rPr>
        <w:t>-</w:t>
      </w:r>
      <w:r w:rsidRPr="0039484F">
        <w:rPr>
          <w:rFonts w:ascii="Times New Roman" w:hAnsi="Times New Roman" w:cs="Times New Roman"/>
        </w:rPr>
        <w:t>CIN</w:t>
      </w:r>
      <w:r>
        <w:rPr>
          <w:rFonts w:ascii="Times New Roman" w:hAnsi="Times New Roman" w:cs="Times New Roman"/>
        </w:rPr>
        <w:t>-</w:t>
      </w:r>
      <w:r w:rsidRPr="0039484F">
        <w:rPr>
          <w:rFonts w:ascii="Times New Roman" w:hAnsi="Times New Roman" w:cs="Times New Roman"/>
        </w:rPr>
        <w:t xml:space="preserve">. (2025). </w:t>
      </w:r>
      <w:r w:rsidRPr="0039484F">
        <w:rPr>
          <w:rFonts w:ascii="Times New Roman" w:hAnsi="Times New Roman" w:cs="Times New Roman"/>
          <w:i/>
          <w:iCs/>
        </w:rPr>
        <w:t>Orientaciones para la implementación del Sistema Argentino de Créditos Académicos Universitarios (SACAU)</w:t>
      </w:r>
      <w:r w:rsidRPr="0039484F">
        <w:rPr>
          <w:rFonts w:ascii="Times New Roman" w:hAnsi="Times New Roman" w:cs="Times New Roman"/>
        </w:rPr>
        <w:t>. Comisión de Asuntos Académicos.</w:t>
      </w:r>
    </w:p>
    <w:p w14:paraId="32CC1049"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t xml:space="preserve">Garin, Y., </w:t>
      </w:r>
      <w:r>
        <w:rPr>
          <w:rFonts w:ascii="Times New Roman" w:hAnsi="Times New Roman" w:cs="Times New Roman"/>
        </w:rPr>
        <w:t>y</w:t>
      </w:r>
      <w:r w:rsidRPr="0039484F">
        <w:rPr>
          <w:rFonts w:ascii="Times New Roman" w:hAnsi="Times New Roman" w:cs="Times New Roman"/>
        </w:rPr>
        <w:t xml:space="preserve"> Acosta, R. (2021). Los créditos académicos en un escenario hostil para la convergencia de los sistemas de educación superior en América Latina. </w:t>
      </w:r>
      <w:r w:rsidRPr="0039484F">
        <w:rPr>
          <w:rFonts w:ascii="Times New Roman" w:hAnsi="Times New Roman" w:cs="Times New Roman"/>
          <w:i/>
          <w:iCs/>
        </w:rPr>
        <w:t>Revista REDALINT</w:t>
      </w:r>
      <w:r w:rsidRPr="0039484F">
        <w:rPr>
          <w:rFonts w:ascii="Times New Roman" w:hAnsi="Times New Roman" w:cs="Times New Roman"/>
        </w:rPr>
        <w:t>, 1(2), 41–50.</w:t>
      </w:r>
    </w:p>
    <w:p w14:paraId="5999A034"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t xml:space="preserve">Hayet, M., </w:t>
      </w:r>
      <w:r>
        <w:rPr>
          <w:rFonts w:ascii="Times New Roman" w:hAnsi="Times New Roman" w:cs="Times New Roman"/>
        </w:rPr>
        <w:t>y</w:t>
      </w:r>
      <w:r w:rsidRPr="0039484F">
        <w:rPr>
          <w:rFonts w:ascii="Times New Roman" w:hAnsi="Times New Roman" w:cs="Times New Roman"/>
        </w:rPr>
        <w:t xml:space="preserve"> Kasem, </w:t>
      </w:r>
      <w:r>
        <w:rPr>
          <w:rFonts w:ascii="Times New Roman" w:hAnsi="Times New Roman" w:cs="Times New Roman"/>
        </w:rPr>
        <w:t>H</w:t>
      </w:r>
      <w:r w:rsidRPr="0039484F">
        <w:rPr>
          <w:rFonts w:ascii="Times New Roman" w:hAnsi="Times New Roman" w:cs="Times New Roman"/>
        </w:rPr>
        <w:t xml:space="preserve">. (2026). </w:t>
      </w:r>
      <w:r w:rsidRPr="0039484F">
        <w:rPr>
          <w:rFonts w:ascii="Times New Roman" w:hAnsi="Times New Roman" w:cs="Times New Roman"/>
          <w:i/>
          <w:iCs/>
        </w:rPr>
        <w:t>Cursos de capacitación a coordinadores de carrera sobre el programa de asignatura como dispositivo pedagógico</w:t>
      </w:r>
      <w:r w:rsidRPr="0039484F">
        <w:rPr>
          <w:rFonts w:ascii="Times New Roman" w:hAnsi="Times New Roman" w:cs="Times New Roman"/>
        </w:rPr>
        <w:t xml:space="preserve"> [Material de capacitación institucional].</w:t>
      </w:r>
    </w:p>
    <w:p w14:paraId="75A3C301"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t xml:space="preserve">Ministerio de Educación de la Nación Argentina. (2023). Resolución Ministerial </w:t>
      </w:r>
      <w:proofErr w:type="spellStart"/>
      <w:r w:rsidRPr="0039484F">
        <w:rPr>
          <w:rFonts w:ascii="Times New Roman" w:hAnsi="Times New Roman" w:cs="Times New Roman"/>
        </w:rPr>
        <w:t>Nº</w:t>
      </w:r>
      <w:proofErr w:type="spellEnd"/>
      <w:r w:rsidRPr="0039484F">
        <w:rPr>
          <w:rFonts w:ascii="Times New Roman" w:hAnsi="Times New Roman" w:cs="Times New Roman"/>
        </w:rPr>
        <w:t xml:space="preserve"> 2598/23.</w:t>
      </w:r>
    </w:p>
    <w:p w14:paraId="267CEE95"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t xml:space="preserve">Ministerio de Educación de la Nación Argentina. (2025). Resolución de la Secretaría de Educación </w:t>
      </w:r>
      <w:proofErr w:type="spellStart"/>
      <w:r w:rsidRPr="0039484F">
        <w:rPr>
          <w:rFonts w:ascii="Times New Roman" w:hAnsi="Times New Roman" w:cs="Times New Roman"/>
        </w:rPr>
        <w:t>Nº</w:t>
      </w:r>
      <w:proofErr w:type="spellEnd"/>
      <w:r w:rsidRPr="0039484F">
        <w:rPr>
          <w:rFonts w:ascii="Times New Roman" w:hAnsi="Times New Roman" w:cs="Times New Roman"/>
        </w:rPr>
        <w:t xml:space="preserve"> 556/25.</w:t>
      </w:r>
    </w:p>
    <w:p w14:paraId="21D98F4A"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t xml:space="preserve">Palou, M., </w:t>
      </w:r>
      <w:r>
        <w:rPr>
          <w:rFonts w:ascii="Times New Roman" w:hAnsi="Times New Roman" w:cs="Times New Roman"/>
        </w:rPr>
        <w:t>y</w:t>
      </w:r>
      <w:r w:rsidRPr="0039484F">
        <w:rPr>
          <w:rFonts w:ascii="Times New Roman" w:hAnsi="Times New Roman" w:cs="Times New Roman"/>
        </w:rPr>
        <w:t xml:space="preserve"> Montaño, J. J. (2008). Análisis del trabajo presencial y no presencial de profesores y alumnos bajo el concepto del sistema de transferencia europeo de créditos (ECTS). </w:t>
      </w:r>
      <w:r w:rsidRPr="0039484F">
        <w:rPr>
          <w:rFonts w:ascii="Times New Roman" w:hAnsi="Times New Roman" w:cs="Times New Roman"/>
          <w:i/>
          <w:iCs/>
        </w:rPr>
        <w:t>Formación Universitaria</w:t>
      </w:r>
      <w:r w:rsidRPr="0039484F">
        <w:rPr>
          <w:rFonts w:ascii="Times New Roman" w:hAnsi="Times New Roman" w:cs="Times New Roman"/>
        </w:rPr>
        <w:t>, 1(4), 3–11. https://doi.org/10.4067/S0718-50062008000400002</w:t>
      </w:r>
    </w:p>
    <w:p w14:paraId="325AD676"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t xml:space="preserve">Universidad Nacional de La Matanza. (2009). Resolución HCS </w:t>
      </w:r>
      <w:proofErr w:type="spellStart"/>
      <w:r w:rsidRPr="0039484F">
        <w:rPr>
          <w:rFonts w:ascii="Times New Roman" w:hAnsi="Times New Roman" w:cs="Times New Roman"/>
        </w:rPr>
        <w:t>Nº</w:t>
      </w:r>
      <w:proofErr w:type="spellEnd"/>
      <w:r w:rsidRPr="0039484F">
        <w:rPr>
          <w:rFonts w:ascii="Times New Roman" w:hAnsi="Times New Roman" w:cs="Times New Roman"/>
        </w:rPr>
        <w:t xml:space="preserve"> 112/09.</w:t>
      </w:r>
    </w:p>
    <w:p w14:paraId="61E238C5" w14:textId="77777777" w:rsidR="001B691D" w:rsidRPr="0039484F" w:rsidRDefault="001B691D" w:rsidP="001B691D">
      <w:pPr>
        <w:spacing w:line="240" w:lineRule="auto"/>
        <w:jc w:val="both"/>
        <w:rPr>
          <w:rFonts w:ascii="Times New Roman" w:hAnsi="Times New Roman" w:cs="Times New Roman"/>
        </w:rPr>
      </w:pPr>
      <w:r w:rsidRPr="0039484F">
        <w:rPr>
          <w:rFonts w:ascii="Times New Roman" w:hAnsi="Times New Roman" w:cs="Times New Roman"/>
        </w:rPr>
        <w:lastRenderedPageBreak/>
        <w:t xml:space="preserve">Universidad Nacional de La Matanza. (2026). </w:t>
      </w:r>
      <w:r w:rsidRPr="0039484F">
        <w:rPr>
          <w:rFonts w:ascii="Times New Roman" w:hAnsi="Times New Roman" w:cs="Times New Roman"/>
          <w:i/>
          <w:iCs/>
        </w:rPr>
        <w:t>Propuesta normativa para la implementación del SACAU</w:t>
      </w:r>
      <w:r w:rsidRPr="0039484F">
        <w:rPr>
          <w:rFonts w:ascii="Times New Roman" w:hAnsi="Times New Roman" w:cs="Times New Roman"/>
        </w:rPr>
        <w:t xml:space="preserve"> (Documento institucional aprobado por el H. Consejo Superior).</w:t>
      </w:r>
    </w:p>
    <w:sectPr w:rsidR="001B691D" w:rsidRPr="0039484F"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FD9C4" w14:textId="77777777" w:rsidR="00160A9C" w:rsidRPr="00BA642E" w:rsidRDefault="00160A9C" w:rsidP="00C802F5">
      <w:pPr>
        <w:spacing w:after="0" w:line="240" w:lineRule="auto"/>
      </w:pPr>
      <w:r w:rsidRPr="00BA642E">
        <w:separator/>
      </w:r>
    </w:p>
  </w:endnote>
  <w:endnote w:type="continuationSeparator" w:id="0">
    <w:p w14:paraId="60B6F223" w14:textId="77777777" w:rsidR="00160A9C" w:rsidRPr="00BA642E" w:rsidRDefault="00160A9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7DE5F" w14:textId="77777777" w:rsidR="00160A9C" w:rsidRPr="00BA642E" w:rsidRDefault="00160A9C" w:rsidP="00C802F5">
      <w:pPr>
        <w:spacing w:after="0" w:line="240" w:lineRule="auto"/>
      </w:pPr>
      <w:r w:rsidRPr="00BA642E">
        <w:separator/>
      </w:r>
    </w:p>
  </w:footnote>
  <w:footnote w:type="continuationSeparator" w:id="0">
    <w:p w14:paraId="540E5A1C" w14:textId="77777777" w:rsidR="00160A9C" w:rsidRPr="00BA642E" w:rsidRDefault="00160A9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226D6"/>
    <w:rsid w:val="001556B3"/>
    <w:rsid w:val="00160A9C"/>
    <w:rsid w:val="001816D6"/>
    <w:rsid w:val="00185F5E"/>
    <w:rsid w:val="001923DC"/>
    <w:rsid w:val="001B691D"/>
    <w:rsid w:val="002327C3"/>
    <w:rsid w:val="00243B5F"/>
    <w:rsid w:val="00312392"/>
    <w:rsid w:val="004040C0"/>
    <w:rsid w:val="00426C91"/>
    <w:rsid w:val="00437E9C"/>
    <w:rsid w:val="00550766"/>
    <w:rsid w:val="005F3B2E"/>
    <w:rsid w:val="006543D7"/>
    <w:rsid w:val="00701F64"/>
    <w:rsid w:val="00771923"/>
    <w:rsid w:val="007B5B5F"/>
    <w:rsid w:val="007D233B"/>
    <w:rsid w:val="0085070B"/>
    <w:rsid w:val="00A17247"/>
    <w:rsid w:val="00A45753"/>
    <w:rsid w:val="00BA642E"/>
    <w:rsid w:val="00BC236F"/>
    <w:rsid w:val="00BD550A"/>
    <w:rsid w:val="00C802F5"/>
    <w:rsid w:val="00C96B2C"/>
    <w:rsid w:val="00CC04C1"/>
    <w:rsid w:val="00D843EC"/>
    <w:rsid w:val="00DB6DC7"/>
    <w:rsid w:val="00ED2E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Pages>
  <Words>7362</Words>
  <Characters>40495</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Francisco Marcos Carnevali</cp:lastModifiedBy>
  <cp:revision>5</cp:revision>
  <dcterms:created xsi:type="dcterms:W3CDTF">2026-06-24T19:55:00Z</dcterms:created>
  <dcterms:modified xsi:type="dcterms:W3CDTF">2026-06-30T21:52:00Z</dcterms:modified>
</cp:coreProperties>
</file>