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B3483" w14:textId="77777777" w:rsidR="00C802F5" w:rsidRPr="00BA642E" w:rsidRDefault="00C802F5" w:rsidP="001923DC">
      <w:pPr>
        <w:jc w:val="center"/>
        <w:rPr>
          <w:rFonts w:ascii="Times New Roman" w:hAnsi="Times New Roman" w:cs="Times New Roman"/>
        </w:rPr>
      </w:pPr>
    </w:p>
    <w:p w14:paraId="691A849F" w14:textId="77777777" w:rsidR="005913F4" w:rsidRPr="005913F4" w:rsidRDefault="005913F4" w:rsidP="005913F4">
      <w:pPr>
        <w:spacing w:after="0"/>
        <w:jc w:val="center"/>
        <w:rPr>
          <w:rFonts w:ascii="Times New Roman" w:eastAsia="Aptos" w:hAnsi="Times New Roman" w:cs="Times New Roman"/>
          <w:b/>
          <w:bCs/>
          <w:lang w:val="es-PE"/>
        </w:rPr>
      </w:pPr>
      <w:r w:rsidRPr="005913F4">
        <w:rPr>
          <w:rFonts w:ascii="Times New Roman" w:eastAsia="Aptos" w:hAnsi="Times New Roman" w:cs="Times New Roman"/>
          <w:b/>
          <w:bCs/>
          <w:lang w:val="es-PE"/>
        </w:rPr>
        <w:t>Brecha curricular y mercado laboral: competencias de futuros contadores públicos en Apurímac, Perú</w:t>
      </w:r>
    </w:p>
    <w:p w14:paraId="43C49479" w14:textId="65C8CF07" w:rsidR="005F3B2E" w:rsidRDefault="005F3B2E" w:rsidP="001923DC">
      <w:pPr>
        <w:jc w:val="center"/>
        <w:rPr>
          <w:rFonts w:ascii="Times New Roman" w:hAnsi="Times New Roman" w:cs="Times New Roman"/>
        </w:rPr>
      </w:pPr>
    </w:p>
    <w:p w14:paraId="63BB3182" w14:textId="77777777" w:rsidR="00EC7E7E" w:rsidRDefault="00EC7E7E" w:rsidP="001923DC">
      <w:pPr>
        <w:jc w:val="center"/>
        <w:rPr>
          <w:rFonts w:ascii="Times New Roman" w:hAnsi="Times New Roman" w:cs="Times New Roman"/>
        </w:rPr>
      </w:pPr>
    </w:p>
    <w:p w14:paraId="406AE1C4" w14:textId="77777777" w:rsidR="00EC7E7E" w:rsidRPr="00BA642E" w:rsidRDefault="00EC7E7E" w:rsidP="00EC7E7E">
      <w:pPr>
        <w:spacing w:after="0" w:line="240" w:lineRule="auto"/>
        <w:jc w:val="right"/>
        <w:rPr>
          <w:rFonts w:ascii="Times New Roman" w:hAnsi="Times New Roman" w:cs="Times New Roman"/>
        </w:rPr>
      </w:pPr>
      <w:proofErr w:type="spellStart"/>
      <w:r w:rsidRPr="00BA642E">
        <w:rPr>
          <w:rFonts w:ascii="Times New Roman" w:hAnsi="Times New Roman" w:cs="Times New Roman"/>
        </w:rPr>
        <w:t>A</w:t>
      </w:r>
      <w:r>
        <w:rPr>
          <w:rFonts w:ascii="Times New Roman" w:hAnsi="Times New Roman" w:cs="Times New Roman"/>
        </w:rPr>
        <w:t>chahuanco</w:t>
      </w:r>
      <w:proofErr w:type="spellEnd"/>
      <w:r>
        <w:rPr>
          <w:rFonts w:ascii="Times New Roman" w:hAnsi="Times New Roman" w:cs="Times New Roman"/>
        </w:rPr>
        <w:t xml:space="preserve"> Segovia Luis Abraham</w:t>
      </w:r>
    </w:p>
    <w:p w14:paraId="5F63ECF9" w14:textId="77777777" w:rsidR="00EC7E7E" w:rsidRPr="00BA642E" w:rsidRDefault="00EC7E7E" w:rsidP="00EC7E7E">
      <w:pPr>
        <w:spacing w:after="0" w:line="240" w:lineRule="auto"/>
        <w:jc w:val="right"/>
        <w:rPr>
          <w:rFonts w:ascii="Times New Roman" w:hAnsi="Times New Roman" w:cs="Times New Roman"/>
        </w:rPr>
      </w:pPr>
      <w:r>
        <w:rPr>
          <w:rFonts w:ascii="Times New Roman" w:hAnsi="Times New Roman" w:cs="Times New Roman"/>
        </w:rPr>
        <w:t>Universidad Tecnológica de los Andes</w:t>
      </w:r>
    </w:p>
    <w:p w14:paraId="17870552" w14:textId="77777777" w:rsidR="00EC7E7E" w:rsidRPr="00BA642E" w:rsidRDefault="00EC7E7E" w:rsidP="00EC7E7E">
      <w:pPr>
        <w:spacing w:after="0" w:line="240" w:lineRule="auto"/>
        <w:jc w:val="right"/>
        <w:rPr>
          <w:rFonts w:ascii="Times New Roman" w:hAnsi="Times New Roman" w:cs="Times New Roman"/>
        </w:rPr>
      </w:pPr>
      <w:proofErr w:type="spellStart"/>
      <w:r>
        <w:rPr>
          <w:rFonts w:ascii="Times New Roman" w:hAnsi="Times New Roman" w:cs="Times New Roman"/>
        </w:rPr>
        <w:t>luisachahuanco@</w:t>
      </w:r>
      <w:proofErr w:type="gramStart"/>
      <w:r>
        <w:rPr>
          <w:rFonts w:ascii="Times New Roman" w:hAnsi="Times New Roman" w:cs="Times New Roman"/>
        </w:rPr>
        <w:t>gmail,com</w:t>
      </w:r>
      <w:proofErr w:type="spellEnd"/>
      <w:proofErr w:type="gramEnd"/>
    </w:p>
    <w:p w14:paraId="652DBE15" w14:textId="77777777" w:rsidR="00EC7E7E" w:rsidRDefault="00EC7E7E" w:rsidP="001923DC">
      <w:pPr>
        <w:jc w:val="center"/>
        <w:rPr>
          <w:rFonts w:ascii="Times New Roman" w:hAnsi="Times New Roman" w:cs="Times New Roman"/>
        </w:rPr>
      </w:pPr>
    </w:p>
    <w:p w14:paraId="4E738780" w14:textId="1B4EB24B" w:rsidR="005F3B2E" w:rsidRPr="00BA642E" w:rsidRDefault="00403485" w:rsidP="005F3B2E">
      <w:pPr>
        <w:spacing w:after="0" w:line="240" w:lineRule="auto"/>
        <w:jc w:val="right"/>
        <w:rPr>
          <w:rFonts w:ascii="Times New Roman" w:hAnsi="Times New Roman" w:cs="Times New Roman"/>
        </w:rPr>
      </w:pPr>
      <w:r w:rsidRPr="00403485">
        <w:rPr>
          <w:rFonts w:ascii="Times New Roman" w:hAnsi="Times New Roman" w:cs="Times New Roman"/>
          <w:lang w:val="es-PE"/>
        </w:rPr>
        <w:t>Pérez Villafuerte</w:t>
      </w:r>
      <w:r>
        <w:rPr>
          <w:rFonts w:ascii="Times New Roman" w:hAnsi="Times New Roman" w:cs="Times New Roman"/>
          <w:lang w:val="es-PE"/>
        </w:rPr>
        <w:t xml:space="preserve"> </w:t>
      </w:r>
      <w:proofErr w:type="spellStart"/>
      <w:r>
        <w:rPr>
          <w:rFonts w:ascii="Times New Roman" w:hAnsi="Times New Roman" w:cs="Times New Roman"/>
          <w:lang w:val="es-PE"/>
        </w:rPr>
        <w:t>Reneé</w:t>
      </w:r>
      <w:proofErr w:type="spellEnd"/>
      <w:r>
        <w:rPr>
          <w:rFonts w:ascii="Times New Roman" w:hAnsi="Times New Roman" w:cs="Times New Roman"/>
          <w:lang w:val="es-PE"/>
        </w:rPr>
        <w:t xml:space="preserve"> Wilfredo</w:t>
      </w:r>
    </w:p>
    <w:p w14:paraId="6C2AECCA" w14:textId="3642CB65" w:rsidR="005F3B2E" w:rsidRPr="00BA642E" w:rsidRDefault="00403485" w:rsidP="005F3B2E">
      <w:pPr>
        <w:spacing w:after="0" w:line="240" w:lineRule="auto"/>
        <w:jc w:val="right"/>
        <w:rPr>
          <w:rFonts w:ascii="Times New Roman" w:hAnsi="Times New Roman" w:cs="Times New Roman"/>
        </w:rPr>
      </w:pPr>
      <w:r>
        <w:rPr>
          <w:rFonts w:ascii="Times New Roman" w:hAnsi="Times New Roman" w:cs="Times New Roman"/>
        </w:rPr>
        <w:t>Universidad Nacional San Antonio Abad del Cusco</w:t>
      </w:r>
    </w:p>
    <w:p w14:paraId="7D0026CD" w14:textId="3ADC83D8" w:rsidR="005F3B2E" w:rsidRPr="00BA642E" w:rsidRDefault="00403485" w:rsidP="005F3B2E">
      <w:pPr>
        <w:spacing w:after="0" w:line="240" w:lineRule="auto"/>
        <w:jc w:val="right"/>
        <w:rPr>
          <w:rFonts w:ascii="Times New Roman" w:hAnsi="Times New Roman" w:cs="Times New Roman"/>
        </w:rPr>
      </w:pPr>
      <w:r w:rsidRPr="00403485">
        <w:rPr>
          <w:rFonts w:ascii="Times New Roman" w:hAnsi="Times New Roman" w:cs="Times New Roman"/>
        </w:rPr>
        <w:t>dr.renneperez@gmail.com</w:t>
      </w:r>
    </w:p>
    <w:p w14:paraId="1FA0F857" w14:textId="77777777" w:rsidR="005F3B2E" w:rsidRPr="00BA642E" w:rsidRDefault="005F3B2E" w:rsidP="005F3B2E">
      <w:pPr>
        <w:rPr>
          <w:rFonts w:ascii="Times New Roman" w:hAnsi="Times New Roman" w:cs="Times New Roman"/>
        </w:rPr>
      </w:pPr>
    </w:p>
    <w:p w14:paraId="66EB7FEE" w14:textId="77777777" w:rsidR="00EC7E7E" w:rsidRPr="00EC7E7E" w:rsidRDefault="00EC7E7E" w:rsidP="00EC7E7E">
      <w:pPr>
        <w:keepNext/>
        <w:keepLines/>
        <w:spacing w:after="0"/>
        <w:jc w:val="both"/>
        <w:outlineLvl w:val="0"/>
        <w:rPr>
          <w:rFonts w:ascii="Times New Roman" w:eastAsia="Times New Roman" w:hAnsi="Times New Roman" w:cs="Times New Roman"/>
          <w:b/>
          <w:lang w:val="es-PE"/>
        </w:rPr>
      </w:pPr>
      <w:bookmarkStart w:id="0" w:name="_Toc208284101"/>
      <w:r w:rsidRPr="00EC7E7E">
        <w:rPr>
          <w:rFonts w:ascii="Times New Roman" w:eastAsia="Times New Roman" w:hAnsi="Times New Roman" w:cs="Times New Roman"/>
          <w:b/>
          <w:lang w:val="es-PE"/>
        </w:rPr>
        <w:t>Resumen</w:t>
      </w:r>
      <w:bookmarkEnd w:id="0"/>
      <w:r w:rsidRPr="00EC7E7E">
        <w:rPr>
          <w:rFonts w:ascii="Times New Roman" w:eastAsia="Times New Roman" w:hAnsi="Times New Roman" w:cs="Times New Roman"/>
          <w:b/>
          <w:lang w:val="es-PE"/>
        </w:rPr>
        <w:t xml:space="preserve"> </w:t>
      </w:r>
    </w:p>
    <w:p w14:paraId="7397B0BD" w14:textId="77777777" w:rsidR="00EC7E7E" w:rsidRPr="00EC7E7E" w:rsidRDefault="00EC7E7E" w:rsidP="00EC7E7E">
      <w:pPr>
        <w:spacing w:after="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En la industria contable, el sector también está experimentando una transformación estructural sin precedentes gracias a tecnologías como la inteligencia artificial, la automatización de procesos (robótica), Big Data y ERP (planificación de recursos empresariales). Estas tecnologías están transformando el conjunto de habilidades que las empresas esperan que sus contadores posean y creando un gran problema para los sistemas universitarios de América Latina, cuya respuesta curricular ha quedado rezagada. En este sentido, el estudio actual investiga las futuras capacidades profesionales de los futuros contadores públicos que estudian en la Universidad Tecnológica de los Andes (UTEA) en la Región de Apurímac, Perú, y su congruencia con los mercados laborales regionales de 2025. Este estudio aplica, por lo tanto, un enfoque metodológico mixto, tanto cuantitativo como cualitativo, con un diseño no experimental y transversal; se aplicaron encuestas estructuradas a: 50 egresados del programa de Contabilidad, 8 empleadores de los sectores público y privado, 10 docentes y entrevistas semiestructuradas para sondear las percepciones de las diversas partes; procesamiento cuantitativo en términos de estadísticas descriptivas y análisis de datos cualitativos a través de su contenido; en la siguiente sección, se llevó a cabo una revisión documental del currículo actual, regulaciones académicas institucionales, directrices de SUNEDU, Normas Internacionales de Información Financiera (NIIF) y otras directrices de competencias digitales MINEDU/UNESCO. Los resultados muestran una gran brecha entre el curso de grado ofrecido en comparación con el panorama del mercado de graduados y el mercado laboral: el 52% de los graduados citan la obsolescencia curricular como un problema importante; el 50% de los graduados afirman que las brechas de conocimiento en competencias digitales y tecnológicas son críticas; el 48% destaca claras </w:t>
      </w:r>
      <w:r w:rsidRPr="00EC7E7E">
        <w:rPr>
          <w:rFonts w:ascii="Times New Roman" w:eastAsia="Aptos" w:hAnsi="Times New Roman" w:cs="Times New Roman"/>
          <w:lang w:val="es-PE"/>
        </w:rPr>
        <w:lastRenderedPageBreak/>
        <w:t xml:space="preserve">brechas en la formación de habilidades blandas; los empleadores llaman a una necesidad urgente de aprender herramientas disruptivas (es decir, inteligencia artificial, </w:t>
      </w:r>
      <w:proofErr w:type="spellStart"/>
      <w:r w:rsidRPr="00EC7E7E">
        <w:rPr>
          <w:rFonts w:ascii="Times New Roman" w:eastAsia="Aptos" w:hAnsi="Times New Roman" w:cs="Times New Roman"/>
          <w:lang w:val="es-PE"/>
        </w:rPr>
        <w:t>blockchain</w:t>
      </w:r>
      <w:proofErr w:type="spellEnd"/>
      <w:r w:rsidRPr="00EC7E7E">
        <w:rPr>
          <w:rFonts w:ascii="Times New Roman" w:eastAsia="Aptos" w:hAnsi="Times New Roman" w:cs="Times New Roman"/>
          <w:lang w:val="es-PE"/>
        </w:rPr>
        <w:t>, sistemas ERP) y competencias socioemocionales (es decir, liderazgo, comunicación, pensamiento crítico); la revisión documental refleja un currículo reciente de la Escuela Profesional de Contabilidad en la UTEA, aprobado en 2016, que ha estado vigente durante casi una década sin una revisión importante desde entonces y no incluye clases enfocadas en tecnologías emergentes o competencias transversales. Esto muestra que la brecha de los estudiantes universitarios con el mercado laboral no es una deficiencia de los graduados, sino más bien una falla sistémica de la gobernanza de las instituciones para actualizar los planes de estudio y, por lo tanto, ataca directamente la relevancia social de la universidad regional durante la crisis global, y la investigación llega a la conclusión de que las directrices urgentes para las reformas curriculares que incorporen tecnologías emergentes, metodologías activas y competencias transversales pueden contribuir a un debate sobre el desafío de la educación superior en contextos de desarrollo regional periférico por venir.</w:t>
      </w:r>
    </w:p>
    <w:p w14:paraId="1D64365A" w14:textId="77777777" w:rsidR="00EC7E7E" w:rsidRPr="00EC7E7E" w:rsidRDefault="00EC7E7E" w:rsidP="00EC7E7E">
      <w:pPr>
        <w:spacing w:after="0"/>
        <w:jc w:val="both"/>
        <w:rPr>
          <w:rFonts w:ascii="Times New Roman" w:eastAsia="Aptos" w:hAnsi="Times New Roman" w:cs="Times New Roman"/>
          <w:lang w:val="es-PE"/>
        </w:rPr>
      </w:pPr>
      <w:r w:rsidRPr="00EC7E7E">
        <w:rPr>
          <w:rFonts w:ascii="Times New Roman" w:eastAsia="Aptos" w:hAnsi="Times New Roman" w:cs="Times New Roman"/>
          <w:b/>
          <w:bCs/>
          <w:lang w:val="es-PE"/>
        </w:rPr>
        <w:t>Palabras clave:</w:t>
      </w:r>
      <w:r w:rsidRPr="00EC7E7E">
        <w:rPr>
          <w:rFonts w:ascii="Times New Roman" w:eastAsia="Aptos" w:hAnsi="Times New Roman" w:cs="Times New Roman"/>
          <w:lang w:val="es-PE"/>
        </w:rPr>
        <w:t xml:space="preserve"> COMPETENCIAS LABORALES, CURRÍCULO UNIVERSITARIO, HABILIDADES BLANDAS, COMPETENCIAS DIGITALES, MERCADO LABORAL CONTABLE</w:t>
      </w:r>
    </w:p>
    <w:p w14:paraId="1AEEAFB6" w14:textId="77777777" w:rsidR="00EC7E7E" w:rsidRDefault="00EC7E7E" w:rsidP="00EC7E7E">
      <w:pPr>
        <w:spacing w:after="0"/>
        <w:jc w:val="both"/>
        <w:rPr>
          <w:rFonts w:ascii="Times New Roman" w:eastAsia="Aptos" w:hAnsi="Times New Roman" w:cs="Times New Roman"/>
          <w:b/>
          <w:bCs/>
        </w:rPr>
      </w:pPr>
    </w:p>
    <w:p w14:paraId="2885DF8E" w14:textId="669FC8FE" w:rsidR="00EC7E7E" w:rsidRPr="00EC7E7E" w:rsidRDefault="00EC7E7E" w:rsidP="00EC7E7E">
      <w:pPr>
        <w:spacing w:after="0"/>
        <w:jc w:val="both"/>
        <w:rPr>
          <w:rFonts w:ascii="Times New Roman" w:eastAsia="Aptos" w:hAnsi="Times New Roman" w:cs="Times New Roman"/>
          <w:b/>
          <w:bCs/>
        </w:rPr>
      </w:pPr>
      <w:r w:rsidRPr="00EC7E7E">
        <w:rPr>
          <w:rFonts w:ascii="Times New Roman" w:eastAsia="Aptos" w:hAnsi="Times New Roman" w:cs="Times New Roman"/>
          <w:b/>
          <w:bCs/>
        </w:rPr>
        <w:t>Introducción</w:t>
      </w:r>
    </w:p>
    <w:p w14:paraId="32DE21A7" w14:textId="584D1174" w:rsidR="00EC7E7E" w:rsidRDefault="00EC7E7E" w:rsidP="00EC7E7E">
      <w:pPr>
        <w:spacing w:after="100" w:afterAutospacing="1"/>
        <w:jc w:val="both"/>
        <w:rPr>
          <w:rFonts w:ascii="Times New Roman" w:eastAsia="Aptos" w:hAnsi="Times New Roman" w:cs="Times New Roman"/>
        </w:rPr>
      </w:pPr>
      <w:r w:rsidRPr="00EC7E7E">
        <w:rPr>
          <w:rFonts w:ascii="Times New Roman" w:eastAsia="Aptos" w:hAnsi="Times New Roman" w:cs="Times New Roman"/>
        </w:rPr>
        <w:t xml:space="preserve">La formación de Contador Público está experimentando una de las mayores transformaciones en su historia. Las últimas tendencias globales, debido a la convergencia de la digitalización en las prácticas financieras y la incorporación de la IA, Big Data, la automatización de procesos y herramientas disruptivas basadas en </w:t>
      </w:r>
      <w:proofErr w:type="spellStart"/>
      <w:r w:rsidRPr="00EC7E7E">
        <w:rPr>
          <w:rFonts w:ascii="Times New Roman" w:eastAsia="Aptos" w:hAnsi="Times New Roman" w:cs="Times New Roman"/>
        </w:rPr>
        <w:t>blockchain</w:t>
      </w:r>
      <w:proofErr w:type="spellEnd"/>
      <w:r w:rsidRPr="00EC7E7E">
        <w:rPr>
          <w:rFonts w:ascii="Times New Roman" w:eastAsia="Aptos" w:hAnsi="Times New Roman" w:cs="Times New Roman"/>
        </w:rPr>
        <w:t xml:space="preserve"> de la cuarta revolución industrial, están redefiniendo las fronteras mismas de la práctica contable. En esta nueva era, ya no se espera que el contador público realice solo tareas operativas y de registro, sino que asuma el papel de un asesor estratégico crucial con el potencial de influir en la toma de decisiones corporativas a través de un modelado financiero predictivo sofisticado e instantáneo. Pero hay una brecha en esta rápida revolución tecnológica con la realidad de las instituciones de educación superior en los muchos contextos locales en los que opera, lo que lleva a un desajuste entre la estructura de la preparación universitaria y las necesidades reales del mercado laboral. Esta deficiencia educativa tiene consecuencias directas para la inserción laboral y afecta la competitividad de los recién graduados. Este problema es muy evidente en la Región de Apurímac de la República del Perú, particularmente en la Universidad Tecnológica de los Andes (UTEA). Hasta la fecha, la Escuela Profesional de Contabilidad ha mantenido un plan de estudios lanzado en 2016 que ha existido durante una década con pocas modificaciones. Esta falta de actualización ha omitido la incorporación transversal de áreas clave como la contabilidad digital, la ciberseguridad financiera y el uso de herramientas de análisis de </w:t>
      </w:r>
      <w:r w:rsidRPr="00EC7E7E">
        <w:rPr>
          <w:rFonts w:ascii="Times New Roman" w:eastAsia="Aptos" w:hAnsi="Times New Roman" w:cs="Times New Roman"/>
        </w:rPr>
        <w:lastRenderedPageBreak/>
        <w:t>grandes datos. Con este panorama en mente, la pregunta general de investigación es: ¿En qué medida las competencias laborales de los futuros contadores públicos reflejan los objetivos profesionales existentes de las organizaciones públicas y privadas en la región de Apurímac? El desarrollo empírico de este estudio se ancla en tres ejes principales. A nivel social y regional, busca mejorar el crecimiento socioeconómico de Apurímac, proporcionando recursos humanos adecuados para las organizaciones locales y reduciendo el subempleo y la rotación laboral. A nivel organizacional y académico, proporciona a la UTEA un diagnóstico empírico urgente de sus regulaciones curriculares nacionales que rigen SUNEDU y MINEDU/UNESCO que es válido. Finalmente, en el ámbito industrial y técnico, refleja la necesidad urgente de que los contadores adquieran tanto habilidades técnicas contemporáneas (NIIF, software ERP) como habilidades blandas (liderazgo, comunicación efectiva, pensamiento crítico y ética) para funcionar con éxito en entornos dinámicos. Para abordar este problema de manera integral, el objetivo general del estudio es comprender las habilidades laborales del futuro contador público, para identificar en qué medida satisface las necesidades profesionales en las organizaciones de Apurímac. Los objetivos son establecer cuáles son las cualidades técnicas requeridas, la consideración de las habilidades blandas por parte de los empleadores respecto a ellas, la evaluación del grado de congruencia proporcionado por el plan de estudios de la UTEA hasta ahora, y la prescripción para adoptar un plan de estudios de reentrenamiento inmediato. Metodología: Este estudio se alinea con un tipo de investigación descriptiva y aplicada utilizando un enfoque de métodos mixtos, y utiliza la combinación de técnicas cuantitativas y cualitativas de recolección de información. Se utilizó un diseño no experimental y transversal para analizar los resultados de una muestra de conveniencia compuesta por 50 graduados de contabilidad, 20 empleadores (se analizaron en profundidad 8 registros) y 10 profesores de la UTEA, y un extenso análisis de revisión documental institucional. Los resultados de esta investigación indican una diferencia importante, con un alto 52% identificando la obsolescencia del plan de estudios como un problema clave, aunque el 50% de los graduados—en línea con las expectativas de los empleadores—destacan los grandes déficits existentes en habilidades digitales y tecnológicas avanzadas. Los capítulos posteriores describen el análisis de datos, una discusión teórica frente al estado del arte existente, y conclusiones que ayudarán a la modernización de la educación contable a través de la teoría en el contexto regional.</w:t>
      </w:r>
    </w:p>
    <w:p w14:paraId="1FA37E43" w14:textId="5E2F9220" w:rsidR="00EC7E7E" w:rsidRDefault="00EC7E7E" w:rsidP="00EC7E7E">
      <w:pPr>
        <w:spacing w:after="0"/>
        <w:jc w:val="both"/>
        <w:rPr>
          <w:rFonts w:ascii="Times New Roman" w:eastAsia="Aptos" w:hAnsi="Times New Roman" w:cs="Times New Roman"/>
        </w:rPr>
      </w:pPr>
    </w:p>
    <w:p w14:paraId="6205C1E5" w14:textId="0D9F38FA" w:rsidR="00EC7E7E" w:rsidRPr="00EC7E7E" w:rsidRDefault="00EC7E7E" w:rsidP="00EC7E7E">
      <w:pPr>
        <w:spacing w:after="100" w:afterAutospacing="1" w:line="276" w:lineRule="auto"/>
        <w:jc w:val="both"/>
        <w:rPr>
          <w:rFonts w:ascii="Times New Roman" w:eastAsia="Aptos" w:hAnsi="Times New Roman" w:cs="Times New Roman"/>
          <w:b/>
          <w:bCs/>
        </w:rPr>
      </w:pPr>
      <w:r w:rsidRPr="00EC7E7E">
        <w:rPr>
          <w:rFonts w:ascii="Times New Roman" w:eastAsia="Aptos" w:hAnsi="Times New Roman" w:cs="Times New Roman"/>
          <w:b/>
          <w:bCs/>
        </w:rPr>
        <w:t>Desarrollo</w:t>
      </w:r>
    </w:p>
    <w:p w14:paraId="0EBDE00F" w14:textId="77777777" w:rsidR="00EC7E7E" w:rsidRPr="00EC7E7E" w:rsidRDefault="00EC7E7E" w:rsidP="00EC7E7E">
      <w:pPr>
        <w:keepNext/>
        <w:keepLines/>
        <w:numPr>
          <w:ilvl w:val="0"/>
          <w:numId w:val="2"/>
        </w:numPr>
        <w:spacing w:after="100" w:afterAutospacing="1" w:line="276" w:lineRule="auto"/>
        <w:ind w:left="426"/>
        <w:jc w:val="both"/>
        <w:outlineLvl w:val="0"/>
        <w:rPr>
          <w:rFonts w:ascii="Times New Roman" w:eastAsia="Times New Roman" w:hAnsi="Times New Roman" w:cs="Times New Roman"/>
          <w:lang w:val="es-PE"/>
        </w:rPr>
      </w:pPr>
      <w:bookmarkStart w:id="1" w:name="_Toc208284103"/>
      <w:r w:rsidRPr="00EC7E7E">
        <w:rPr>
          <w:rFonts w:ascii="Times New Roman" w:eastAsia="Times New Roman" w:hAnsi="Times New Roman" w:cs="Times New Roman"/>
          <w:b/>
          <w:lang w:val="es-PE"/>
        </w:rPr>
        <w:lastRenderedPageBreak/>
        <w:t>Planteamiento del problema</w:t>
      </w:r>
      <w:bookmarkEnd w:id="1"/>
    </w:p>
    <w:p w14:paraId="25495181" w14:textId="77777777" w:rsidR="00EC7E7E" w:rsidRPr="00EC7E7E" w:rsidRDefault="00EC7E7E" w:rsidP="00EC7E7E">
      <w:pPr>
        <w:spacing w:after="100" w:afterAutospacing="1"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Hoy en día, se está llevando a cabo uno de los mayores procesos de transformación en la historia de la contabilidad. La globalización de la economía, la digitalización de los procesos financieros y la introducción de </w:t>
      </w:r>
      <w:proofErr w:type="spellStart"/>
      <w:r w:rsidRPr="00EC7E7E">
        <w:rPr>
          <w:rFonts w:ascii="Times New Roman" w:eastAsia="Aptos" w:hAnsi="Times New Roman" w:cs="Times New Roman"/>
          <w:lang w:val="es-PE"/>
        </w:rPr>
        <w:t>disruptores</w:t>
      </w:r>
      <w:proofErr w:type="spellEnd"/>
      <w:r w:rsidRPr="00EC7E7E">
        <w:rPr>
          <w:rFonts w:ascii="Times New Roman" w:eastAsia="Aptos" w:hAnsi="Times New Roman" w:cs="Times New Roman"/>
          <w:lang w:val="es-PE"/>
        </w:rPr>
        <w:t xml:space="preserve">—inteligencia artificial (IA), automatización de procesos robóticos (RPA) y análisis predictivo—están remodelando las habilidades necesarias para los profesionales de la industria (Gómez &amp; Janampa, 2020). Tal escenario implica que los contadores públicos sean reconocidos no solo como registradores de transacciones, sino como asesores estratégicos con información y la capacidad de analizar grandes cantidades de información para la toma de decisiones en tiempo real. Sin embargo, múltiples estudios han indicado un desajuste estructural entre la formación universitaria y los requisitos del mercado laboral (Montaño &amp; García, 2021; Quispe, 2023). Esta brecha ha resultado no solo en una inclusión insuficiente de habilidades digitales en los estudios de pregrado, la baja incorporación de habilidades blandas en el currículo básico, y los planes de estudio están </w:t>
      </w:r>
      <w:proofErr w:type="spellStart"/>
      <w:r w:rsidRPr="00EC7E7E">
        <w:rPr>
          <w:rFonts w:ascii="Times New Roman" w:eastAsia="Aptos" w:hAnsi="Times New Roman" w:cs="Times New Roman"/>
          <w:lang w:val="es-PE"/>
        </w:rPr>
        <w:t>submodernizados</w:t>
      </w:r>
      <w:proofErr w:type="spellEnd"/>
      <w:r w:rsidRPr="00EC7E7E">
        <w:rPr>
          <w:rFonts w:ascii="Times New Roman" w:eastAsia="Aptos" w:hAnsi="Times New Roman" w:cs="Times New Roman"/>
          <w:lang w:val="es-PE"/>
        </w:rPr>
        <w:t xml:space="preserve"> en relación con la transformación global. </w:t>
      </w:r>
    </w:p>
    <w:p w14:paraId="08C8823B"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Esto plantea problemas para la empleabilidad y afecta la capacidad de los graduados para competir en entornos que cambian rápidamente. En la Región de Apurímac, este desafío se ve más claramente en la Universidad Tecnológica de los Andes (UTEA). El programa de Contabilidad, que se ha impartido durante más de diez años, no se ajusta a los nuevos desarrollos tecnológicos ni a las necesidades de las organizaciones. En consecuencia, muchos de los programas de enseñanza no están actualizados con las necesidades de las empresas y no cumplen con las expectativas de la industria a nivel internacional. Por ejemplo, no hay una inclusión transversal de competencias en contabilidad digital, auditoría con herramientas tecnológicas, ciencia de datos aplicada a las finanzas o ciberseguridad en la información financiera.</w:t>
      </w:r>
    </w:p>
    <w:p w14:paraId="0F38C609"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En contraste, las organizaciones públicas y privadas de Apurímac demandan hoy profesionales con un perfil mucho más dinámico, que incluya el dominio de herramientas disruptivas asociadas a la cuarta revolución industrial, así como habilidades blandas para liderar equipos, comunicarse eficazmente y adaptarse a entornos cambiantes. La brecha entre formación y mercado laboral se ha ensanchado y amenaza con reducir la empleabilidad de los egresados de la región, situándolos en desventaja frente a profesionales de universidades que sí han actualizado sus planes de estudio.</w:t>
      </w:r>
    </w:p>
    <w:p w14:paraId="10120E61"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1.1. Problema</w:t>
      </w:r>
    </w:p>
    <w:p w14:paraId="1FBE612D"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 xml:space="preserve">1.1.1. Problema General </w:t>
      </w:r>
    </w:p>
    <w:p w14:paraId="65A2CF31" w14:textId="77777777" w:rsidR="00EC7E7E" w:rsidRPr="00EC7E7E" w:rsidRDefault="00EC7E7E" w:rsidP="00EC7E7E">
      <w:pPr>
        <w:spacing w:after="0" w:line="276" w:lineRule="auto"/>
        <w:ind w:firstLine="720"/>
        <w:jc w:val="both"/>
        <w:rPr>
          <w:rFonts w:ascii="Times New Roman" w:eastAsia="Aptos" w:hAnsi="Times New Roman" w:cs="Times New Roman"/>
          <w:b/>
          <w:bCs/>
          <w:lang w:val="es-PE"/>
        </w:rPr>
      </w:pPr>
      <w:r w:rsidRPr="00EC7E7E">
        <w:rPr>
          <w:rFonts w:ascii="Times New Roman" w:eastAsia="Aptos" w:hAnsi="Times New Roman" w:cs="Times New Roman"/>
          <w:lang w:val="es-PE"/>
        </w:rPr>
        <w:t>¿En qué medida las competencias laborales de los futuros contadores públicos se encuentran alineadas con las demandas profesionales actuales de las organizaciones públicas y privadas de la región Apurímac?</w:t>
      </w:r>
      <w:r w:rsidRPr="00EC7E7E">
        <w:rPr>
          <w:rFonts w:ascii="Times New Roman" w:eastAsia="Aptos" w:hAnsi="Times New Roman" w:cs="Times New Roman"/>
          <w:b/>
          <w:bCs/>
          <w:lang w:val="es-PE"/>
        </w:rPr>
        <w:t xml:space="preserve"> </w:t>
      </w:r>
    </w:p>
    <w:p w14:paraId="31F36E75"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 xml:space="preserve">1.1.2. Problema Especifico </w:t>
      </w:r>
    </w:p>
    <w:p w14:paraId="62E1484E"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lastRenderedPageBreak/>
        <w:t>¿Qué competencias técnicas requieren los futuros contadores públicos para responder a las exigencias actuales del mercado laboral?</w:t>
      </w:r>
    </w:p>
    <w:p w14:paraId="779FD550"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¿Qué competencias blandas son valoradas prioritariamente por los empleadores en el ejercicio profesional contable?</w:t>
      </w:r>
    </w:p>
    <w:p w14:paraId="49C75D5E"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¿En qué medida el currículo de la carrera de Contabilidad de la UTEA está alineado con las competencias demandadas por el entorno laboral?</w:t>
      </w:r>
    </w:p>
    <w:p w14:paraId="0055AA02"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¿Qué estrategias de actualización curricular podrían implementarse para lograr una mejor correspondencia entre la formación académica y las demandas profesionales actuales?</w:t>
      </w:r>
    </w:p>
    <w:p w14:paraId="7167AD72"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1.2.  Justificación</w:t>
      </w:r>
    </w:p>
    <w:p w14:paraId="3175DA63" w14:textId="77777777" w:rsidR="00EC7E7E" w:rsidRPr="00EC7E7E" w:rsidRDefault="00EC7E7E" w:rsidP="00EC7E7E">
      <w:pPr>
        <w:spacing w:after="0"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El análisis de esta problemática resulta relevante en tres planos:</w:t>
      </w:r>
    </w:p>
    <w:p w14:paraId="1147E674"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Relevancia social y regional. El desarrollo económico de Apurímac requiere profesionales competentes que puedan responder a las necesidades de instituciones públicas, empresas privadas y organizaciones emergentes. La discrepancia entre las instituciones educativas y la demanda reduce la entrada de los jóvenes graduados en estos mercados laborales, aumenta la rotación en los puestos de trabajo y suprime la innovación organizacional local. Importancia académica e institucional. Para UTEA, se necesita un diagnóstico actualizado de las habilidades actualmente requeridas por el mercado laboral para modificar su plan de estudios. Esta información permitirá la construcción de temas más apropiados, la integración de metodologías activas, así como el desarrollo de una formación continua para los docentes universitarios, proporcionando a los futuros graduados acceso no solo al conocimiento, sino también a habilidades que puedan aplicarse en una variedad de campos laborales diferentes. </w:t>
      </w:r>
    </w:p>
    <w:p w14:paraId="0E60A57E"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Relevancia profesional y tecnológica. Los contadores de hoy deben adquirir fluidez en herramientas tecnológicas disruptivas. Esto implica el uso de inteligencia artificial generativa para generar informes, la automatización de procesos contables, la aplicación de Big Data para el análisis financiero y la gestión de plataformas en la nube para la integración de información (PwC, 2022). Ignorar estas tendencias no permite a los futuros profesionales competir en un mercado que recompensa un enfoque innovador, dejando a los futuros profesionales rezagados.</w:t>
      </w:r>
    </w:p>
    <w:p w14:paraId="2CB992D7"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1.3. Objetivos de la investigación</w:t>
      </w:r>
    </w:p>
    <w:p w14:paraId="66430131"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1.3.1. Objetivo general</w:t>
      </w:r>
    </w:p>
    <w:p w14:paraId="3391B2C2"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Analizar las competencias laborales de los futuros contadores públicos y su grado de alineación con las demandas profesionales actuales en las organizaciones públicas y privadas de la región Apurímac.</w:t>
      </w:r>
    </w:p>
    <w:p w14:paraId="77837CE9"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1.3.2. Objetivos específicos</w:t>
      </w:r>
    </w:p>
    <w:p w14:paraId="0A5BFEF1"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bookmarkStart w:id="2" w:name="_Toc208284104"/>
      <w:r w:rsidRPr="00EC7E7E">
        <w:rPr>
          <w:rFonts w:ascii="Times New Roman" w:eastAsia="Aptos" w:hAnsi="Times New Roman" w:cs="Times New Roman"/>
          <w:lang w:val="es-PE"/>
        </w:rPr>
        <w:t>Identificar las competencias técnicas (contables, normativas y digitales) que deben poseer los futuros contadores públicos para responder a las exigencias del mercado laboral.</w:t>
      </w:r>
    </w:p>
    <w:p w14:paraId="0650269E"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lastRenderedPageBreak/>
        <w:t xml:space="preserve">Determinar las competencias </w:t>
      </w:r>
      <w:r w:rsidRPr="00EC7E7E">
        <w:rPr>
          <w:rFonts w:ascii="Times New Roman" w:eastAsia="Times New Roman" w:hAnsi="Times New Roman" w:cs="Times New Roman"/>
          <w:lang w:val="es-PE"/>
        </w:rPr>
        <w:t>blandas</w:t>
      </w:r>
      <w:r w:rsidRPr="00EC7E7E">
        <w:rPr>
          <w:rFonts w:ascii="Times New Roman" w:eastAsia="Aptos" w:hAnsi="Times New Roman" w:cs="Times New Roman"/>
          <w:lang w:val="es-PE"/>
        </w:rPr>
        <w:t xml:space="preserve"> (comunicación, liderazgo, adaptabilidad, pensamiento crítico y ética) más valoradas por los empleadores en el desempeño profesional contable.</w:t>
      </w:r>
    </w:p>
    <w:p w14:paraId="4BE61E51"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Evaluar el nivel de correspondencia entre el currículo de la carrera de</w:t>
      </w:r>
      <w:r w:rsidRPr="00EC7E7E">
        <w:rPr>
          <w:rFonts w:ascii="Times New Roman" w:eastAsia="Aptos" w:hAnsi="Times New Roman" w:cs="Times New Roman"/>
          <w:b/>
          <w:bCs/>
          <w:lang w:val="es-PE"/>
        </w:rPr>
        <w:t xml:space="preserve"> </w:t>
      </w:r>
      <w:r w:rsidRPr="00EC7E7E">
        <w:rPr>
          <w:rFonts w:ascii="Times New Roman" w:eastAsia="Times New Roman" w:hAnsi="Times New Roman" w:cs="Times New Roman"/>
          <w:lang w:val="es-PE"/>
        </w:rPr>
        <w:t>Contabilidad de la UTEA y las competencias demandadas</w:t>
      </w:r>
      <w:r w:rsidRPr="00EC7E7E">
        <w:rPr>
          <w:rFonts w:ascii="Times New Roman" w:eastAsia="Aptos" w:hAnsi="Times New Roman" w:cs="Times New Roman"/>
          <w:lang w:val="es-PE"/>
        </w:rPr>
        <w:t xml:space="preserve"> por el sector productivo.</w:t>
      </w:r>
    </w:p>
    <w:p w14:paraId="5625D5A0" w14:textId="77777777" w:rsidR="00EC7E7E" w:rsidRPr="00EC7E7E" w:rsidRDefault="00EC7E7E" w:rsidP="00EC7E7E">
      <w:pPr>
        <w:spacing w:after="0" w:line="276" w:lineRule="auto"/>
        <w:ind w:firstLine="720"/>
        <w:jc w:val="both"/>
        <w:rPr>
          <w:rFonts w:ascii="Times New Roman" w:eastAsia="Aptos" w:hAnsi="Times New Roman" w:cs="Times New Roman"/>
          <w:b/>
          <w:bCs/>
          <w:lang w:val="es-PE"/>
        </w:rPr>
      </w:pPr>
      <w:r w:rsidRPr="00EC7E7E">
        <w:rPr>
          <w:rFonts w:ascii="Times New Roman" w:eastAsia="Aptos" w:hAnsi="Times New Roman" w:cs="Times New Roman"/>
          <w:lang w:val="es-PE"/>
        </w:rPr>
        <w:t>Proponer lineamientos para la actualización curricular que favorezcan la</w:t>
      </w:r>
      <w:r w:rsidRPr="00EC7E7E">
        <w:rPr>
          <w:rFonts w:ascii="Times New Roman" w:eastAsia="Aptos" w:hAnsi="Times New Roman" w:cs="Times New Roman"/>
          <w:b/>
          <w:bCs/>
          <w:lang w:val="es-PE"/>
        </w:rPr>
        <w:t xml:space="preserve"> </w:t>
      </w:r>
      <w:r w:rsidRPr="00EC7E7E">
        <w:rPr>
          <w:rFonts w:ascii="Times New Roman" w:eastAsia="Aptos" w:hAnsi="Times New Roman" w:cs="Times New Roman"/>
          <w:lang w:val="es-PE"/>
        </w:rPr>
        <w:t>alineación entre formación académica y requerimientos profesionales actuales</w:t>
      </w:r>
      <w:r w:rsidRPr="00EC7E7E">
        <w:rPr>
          <w:rFonts w:ascii="Times New Roman" w:eastAsia="Aptos" w:hAnsi="Times New Roman" w:cs="Times New Roman"/>
          <w:b/>
          <w:bCs/>
          <w:lang w:val="es-PE"/>
        </w:rPr>
        <w:t>.</w:t>
      </w:r>
    </w:p>
    <w:p w14:paraId="048150EB" w14:textId="77777777" w:rsidR="00EC7E7E" w:rsidRPr="00EC7E7E" w:rsidRDefault="00EC7E7E" w:rsidP="00EC7E7E">
      <w:pPr>
        <w:keepNext/>
        <w:keepLines/>
        <w:numPr>
          <w:ilvl w:val="0"/>
          <w:numId w:val="2"/>
        </w:numPr>
        <w:spacing w:after="0" w:line="276" w:lineRule="auto"/>
        <w:ind w:left="426"/>
        <w:jc w:val="both"/>
        <w:outlineLvl w:val="0"/>
        <w:rPr>
          <w:rFonts w:ascii="Times New Roman" w:eastAsia="Times New Roman" w:hAnsi="Times New Roman" w:cs="Times New Roman"/>
          <w:b/>
          <w:lang w:val="es-PE"/>
        </w:rPr>
      </w:pPr>
      <w:r w:rsidRPr="00EC7E7E">
        <w:rPr>
          <w:rFonts w:ascii="Times New Roman" w:eastAsia="Times New Roman" w:hAnsi="Times New Roman" w:cs="Times New Roman"/>
          <w:b/>
          <w:lang w:val="es-PE"/>
        </w:rPr>
        <w:t>Estado del arte</w:t>
      </w:r>
      <w:bookmarkEnd w:id="2"/>
    </w:p>
    <w:p w14:paraId="7009E929"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Mariani, </w:t>
      </w:r>
      <w:proofErr w:type="spellStart"/>
      <w:r w:rsidRPr="00EC7E7E">
        <w:rPr>
          <w:rFonts w:ascii="Times New Roman" w:eastAsia="Aptos" w:hAnsi="Times New Roman" w:cs="Times New Roman"/>
          <w:lang w:val="es-PE"/>
        </w:rPr>
        <w:t>Borghi</w:t>
      </w:r>
      <w:proofErr w:type="spellEnd"/>
      <w:r w:rsidRPr="00EC7E7E">
        <w:rPr>
          <w:rFonts w:ascii="Times New Roman" w:eastAsia="Aptos" w:hAnsi="Times New Roman" w:cs="Times New Roman"/>
          <w:lang w:val="es-PE"/>
        </w:rPr>
        <w:t xml:space="preserve"> y Corsi (2021) realizaron un estudio enfocado en las habilidades blandas en la educación contable, explorando la correspondencia entre la percepción de los graduados y las expectativas de los empleadores. El objetivo fue determinar si los graduados poseen las habilidades blandas que las empresas consideran necesarias. Para ello, se aplicó un cuestionario </w:t>
      </w:r>
      <w:proofErr w:type="spellStart"/>
      <w:r w:rsidRPr="00EC7E7E">
        <w:rPr>
          <w:rFonts w:ascii="Times New Roman" w:eastAsia="Aptos" w:hAnsi="Times New Roman" w:cs="Times New Roman"/>
          <w:lang w:val="es-PE"/>
        </w:rPr>
        <w:t>autoinformado</w:t>
      </w:r>
      <w:proofErr w:type="spellEnd"/>
      <w:r w:rsidRPr="00EC7E7E">
        <w:rPr>
          <w:rFonts w:ascii="Times New Roman" w:eastAsia="Aptos" w:hAnsi="Times New Roman" w:cs="Times New Roman"/>
          <w:lang w:val="es-PE"/>
        </w:rPr>
        <w:t xml:space="preserve"> a 251 graduados del Departamento de Gestión y a 74 empresas italianas. Los resultados evidenciaron que los graduados asignaron mayor importancia a competencias relacionadas con orientación a tareas, motivación, autoconciencia, valorización y relaciones interpersonales, mientras subestimaron otras habilidades blandas y una habilidad técnica específica, y sobreestimaron otras competencias técnicas. En general, las percepciones de los graduados coincidieron parcialmente con las expectativas de los empleadores, indicando que la educación contable requiere avanzar en la integración de habilidades blandas y que la participación activa de los académicos es fundamental para preparar graduados que satisfagan las demandas del mercado laboral.</w:t>
      </w:r>
    </w:p>
    <w:p w14:paraId="4742C706"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Acevedo et </w:t>
      </w:r>
      <w:proofErr w:type="gramStart"/>
      <w:r w:rsidRPr="00EC7E7E">
        <w:rPr>
          <w:rFonts w:ascii="Times New Roman" w:eastAsia="Aptos" w:hAnsi="Times New Roman" w:cs="Times New Roman"/>
          <w:lang w:val="es-PE"/>
        </w:rPr>
        <w:t>al,(</w:t>
      </w:r>
      <w:proofErr w:type="gramEnd"/>
      <w:r w:rsidRPr="00EC7E7E">
        <w:rPr>
          <w:rFonts w:ascii="Times New Roman" w:eastAsia="Aptos" w:hAnsi="Times New Roman" w:cs="Times New Roman"/>
          <w:lang w:val="es-PE"/>
        </w:rPr>
        <w:t xml:space="preserve">2022) realizaron una investigación cuyo objetivo fue caracterizar las competencias laborales necesarias para el Contador Público en la región de Urabá en el contexto de la cuarta revolución industrial (4RI). Utilizaron una metodología cualitativa con entrevistas semiestructuradas dirigidas a seis académicos y seis profesionales de contaduría pública con experiencia relevante. Los resultados indicaron que las competencias tecnológicas y analíticas, como manejo de Big Data, inteligencia artificial y </w:t>
      </w:r>
      <w:proofErr w:type="spellStart"/>
      <w:r w:rsidRPr="00EC7E7E">
        <w:rPr>
          <w:rFonts w:ascii="Times New Roman" w:eastAsia="Aptos" w:hAnsi="Times New Roman" w:cs="Times New Roman"/>
          <w:lang w:val="es-PE"/>
        </w:rPr>
        <w:t>blockchain</w:t>
      </w:r>
      <w:proofErr w:type="spellEnd"/>
      <w:r w:rsidRPr="00EC7E7E">
        <w:rPr>
          <w:rFonts w:ascii="Times New Roman" w:eastAsia="Aptos" w:hAnsi="Times New Roman" w:cs="Times New Roman"/>
          <w:lang w:val="es-PE"/>
        </w:rPr>
        <w:t>, son esenciales para responder a las demandas de la 4RI en esa región, destacando su papel en la toma de decisiones y adaptación a contextos económicos específicos.</w:t>
      </w:r>
    </w:p>
    <w:p w14:paraId="67DA1834"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Arias (2024) se propone delinear y evaluar tendencias importantes, oportunidades y desafíos en la profesión contable a mediano plazo, considerando la perspectiva de la Federación Internacional de Contadores (IFAC). La metodología se basa en una revisión documental y análisis de las estrategias y planes globales propuestos por IFAC que deben implementarse en preparación para el cambio tecnológico y social. También destaca la necesidad de atraer y retener talento humano, la necesidad de actualizaciones en sostenibilidad, gestión de riesgos y tecnologías emergentes, y la interacción con la academia, asociaciones profesionales y organismos reguladores. Dado que se basa en un </w:t>
      </w:r>
      <w:r w:rsidRPr="00EC7E7E">
        <w:rPr>
          <w:rFonts w:ascii="Times New Roman" w:eastAsia="Aptos" w:hAnsi="Times New Roman" w:cs="Times New Roman"/>
          <w:lang w:val="es-PE"/>
        </w:rPr>
        <w:lastRenderedPageBreak/>
        <w:t>análisis teórico y documental, este método no involucra métodos tradicionales de población y muestra. En consecuencia, afirma que la profesión tendrá que adaptarse a un entorno dinámico e implementar competencias integrales para seguir siendo relevante y competitiva en el futuro.</w:t>
      </w:r>
    </w:p>
    <w:p w14:paraId="34DF79BA" w14:textId="77777777" w:rsidR="00EC7E7E" w:rsidRPr="00EC7E7E" w:rsidRDefault="00EC7E7E" w:rsidP="00EC7E7E">
      <w:pPr>
        <w:keepNext/>
        <w:keepLines/>
        <w:spacing w:after="0" w:line="276" w:lineRule="auto"/>
        <w:jc w:val="both"/>
        <w:outlineLvl w:val="0"/>
        <w:rPr>
          <w:rFonts w:ascii="Times New Roman" w:eastAsia="Times New Roman" w:hAnsi="Times New Roman" w:cs="Times New Roman"/>
          <w:b/>
          <w:bCs/>
          <w:lang w:val="es-PE"/>
        </w:rPr>
      </w:pPr>
      <w:bookmarkStart w:id="3" w:name="_Toc208284105"/>
      <w:r w:rsidRPr="00EC7E7E">
        <w:rPr>
          <w:rFonts w:ascii="Times New Roman" w:eastAsia="Times New Roman" w:hAnsi="Times New Roman" w:cs="Times New Roman"/>
          <w:b/>
          <w:bCs/>
          <w:lang w:val="es-PE"/>
        </w:rPr>
        <w:t>2.1. Marco teórico</w:t>
      </w:r>
      <w:bookmarkEnd w:id="3"/>
      <w:r w:rsidRPr="00EC7E7E">
        <w:rPr>
          <w:rFonts w:ascii="Times New Roman" w:eastAsia="Times New Roman" w:hAnsi="Times New Roman" w:cs="Times New Roman"/>
          <w:b/>
          <w:bCs/>
          <w:lang w:val="es-PE"/>
        </w:rPr>
        <w:t xml:space="preserve"> </w:t>
      </w:r>
    </w:p>
    <w:p w14:paraId="7C4DB18E" w14:textId="77777777" w:rsidR="00EC7E7E" w:rsidRPr="00EC7E7E" w:rsidRDefault="00EC7E7E" w:rsidP="00EC7E7E">
      <w:pPr>
        <w:spacing w:after="0" w:line="276" w:lineRule="auto"/>
        <w:ind w:left="360"/>
        <w:jc w:val="both"/>
        <w:rPr>
          <w:rFonts w:ascii="Times New Roman" w:eastAsia="Aptos" w:hAnsi="Times New Roman" w:cs="Times New Roman"/>
          <w:b/>
          <w:bCs/>
          <w:lang w:val="es-PE"/>
        </w:rPr>
      </w:pPr>
      <w:r w:rsidRPr="00EC7E7E">
        <w:rPr>
          <w:rFonts w:ascii="Times New Roman" w:eastAsia="Aptos" w:hAnsi="Times New Roman" w:cs="Times New Roman"/>
          <w:b/>
          <w:bCs/>
          <w:lang w:val="es-PE"/>
        </w:rPr>
        <w:t>Competencias laborales de los futuros contadores públicos.</w:t>
      </w:r>
    </w:p>
    <w:p w14:paraId="4BA17E62" w14:textId="77777777" w:rsidR="00EC7E7E" w:rsidRPr="00EC7E7E" w:rsidRDefault="00EC7E7E" w:rsidP="00EC7E7E">
      <w:pPr>
        <w:spacing w:after="0" w:line="276" w:lineRule="auto"/>
        <w:ind w:left="360"/>
        <w:jc w:val="both"/>
        <w:rPr>
          <w:rFonts w:ascii="Times New Roman" w:eastAsia="Aptos" w:hAnsi="Times New Roman" w:cs="Times New Roman"/>
          <w:b/>
          <w:bCs/>
          <w:lang w:val="es-PE"/>
        </w:rPr>
      </w:pPr>
      <w:r w:rsidRPr="00EC7E7E">
        <w:rPr>
          <w:rFonts w:ascii="Times New Roman" w:eastAsia="Aptos" w:hAnsi="Times New Roman" w:cs="Times New Roman"/>
          <w:b/>
          <w:bCs/>
          <w:lang w:val="es-PE"/>
        </w:rPr>
        <w:t>Definición</w:t>
      </w:r>
    </w:p>
    <w:p w14:paraId="0D7A61BA"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Las competencias laborales se consideran un conjunto de conocimientos, habilidades, actitudes y características de personalidad que son necesarias para desempeñarse eficazmente en un campo profesional (Spencer &amp; Spencer, 1993). Para este propósito, en el campo de la contabilidad, estas competencias se dividen en competencias técnicas relacionadas con las normas contables, auditoría, contabilidad digital y el uso de tecnologías como ERP y Big Data, y habilidades blandas como competencias socioemocionales relacionadas (es decir, comunicación, liderazgo, trabajo en equipo, pensamiento crítico y ética profesional) (Acevedo &amp; Castaño, 2022; Creswell &amp; Plano, 2018).</w:t>
      </w:r>
    </w:p>
    <w:p w14:paraId="2B03D42B" w14:textId="77777777" w:rsidR="00EC7E7E" w:rsidRPr="00EC7E7E" w:rsidRDefault="00EC7E7E" w:rsidP="00EC7E7E">
      <w:pPr>
        <w:spacing w:after="0" w:line="276" w:lineRule="auto"/>
        <w:ind w:left="360"/>
        <w:jc w:val="both"/>
        <w:rPr>
          <w:rFonts w:ascii="Times New Roman" w:eastAsia="Aptos" w:hAnsi="Times New Roman" w:cs="Times New Roman"/>
          <w:b/>
          <w:bCs/>
          <w:lang w:val="es-PE"/>
        </w:rPr>
      </w:pPr>
      <w:r w:rsidRPr="00EC7E7E">
        <w:rPr>
          <w:rFonts w:ascii="Times New Roman" w:eastAsia="Aptos" w:hAnsi="Times New Roman" w:cs="Times New Roman"/>
          <w:b/>
          <w:bCs/>
          <w:lang w:val="es-PE"/>
        </w:rPr>
        <w:t>Competencias técnicas</w:t>
      </w:r>
    </w:p>
    <w:p w14:paraId="4CEF46EB"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Las competencias técnicas son fundamentales para garantizar que los graduados puedan cumplir con los estándares profesionales exigidos por las organizaciones. Acevedo et al. (2022) destacan que los contadores deben dominar herramientas contables, auditoría y normativas internacionales para responder eficazmente a la demanda laboral. Además, Creswell y Plano Clark (2018) enfatizan que el manejo de tecnologías emergentes en contabilidad es cada vez más requerido por los empleadores, reforzando la necesidad de una formación actualizada.</w:t>
      </w:r>
    </w:p>
    <w:p w14:paraId="12808249"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Competencias blandas</w:t>
      </w:r>
    </w:p>
    <w:p w14:paraId="6712E6FC"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Las habilidades blandas ayudan a los contadores a prosperar en entornos de trabajo fluidos y colaborativos. Mariani, </w:t>
      </w:r>
      <w:proofErr w:type="spellStart"/>
      <w:r w:rsidRPr="00EC7E7E">
        <w:rPr>
          <w:rFonts w:ascii="Times New Roman" w:eastAsia="Aptos" w:hAnsi="Times New Roman" w:cs="Times New Roman"/>
          <w:lang w:val="es-PE"/>
        </w:rPr>
        <w:t>Borghi</w:t>
      </w:r>
      <w:proofErr w:type="spellEnd"/>
      <w:r w:rsidRPr="00EC7E7E">
        <w:rPr>
          <w:rFonts w:ascii="Times New Roman" w:eastAsia="Aptos" w:hAnsi="Times New Roman" w:cs="Times New Roman"/>
          <w:lang w:val="es-PE"/>
        </w:rPr>
        <w:t xml:space="preserve"> y Corsi (2021) indicaron que los graduados en nuestro estudio sobreestimaron o subestimaron algunas habilidades blandas en relación con sus empleadores, por lo que se destacó el papel de la comunicación, el liderazgo, la autoconciencia y la motivación. Asimismo, </w:t>
      </w:r>
      <w:proofErr w:type="spellStart"/>
      <w:r w:rsidRPr="00EC7E7E">
        <w:rPr>
          <w:rFonts w:ascii="Times New Roman" w:eastAsia="Aptos" w:hAnsi="Times New Roman" w:cs="Times New Roman"/>
          <w:lang w:val="es-PE"/>
        </w:rPr>
        <w:t>Tandfonline</w:t>
      </w:r>
      <w:proofErr w:type="spellEnd"/>
      <w:r w:rsidRPr="00EC7E7E">
        <w:rPr>
          <w:rFonts w:ascii="Times New Roman" w:eastAsia="Aptos" w:hAnsi="Times New Roman" w:cs="Times New Roman"/>
          <w:lang w:val="es-PE"/>
        </w:rPr>
        <w:t xml:space="preserve"> (2019) encontró una discrepancia entre lo que los graduados perciben en el lugar de trabajo y lo que el mercado espera, sugiriendo que estas habilidades deberían enfatizarse en la educación contable.</w:t>
      </w:r>
    </w:p>
    <w:p w14:paraId="5B3441CA"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Satisfacción de la demanda de profesionales</w:t>
      </w:r>
    </w:p>
    <w:p w14:paraId="7ECCBFF7"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La satisfacción de la demanda laboral es una función de la alineación entre las habilidades de los graduados y la demanda del mercado. Acevedo et al. (2022) ilustran cómo la incompatibilidad de la educación universitaria y las necesidades del sector productivo resulta en el desarrollo de brechas que impactan tanto en la empleabilidad como en el desempeño profesional. Según Hernández, Fernández y Baptista (2014), los programas académicos deben actualizarse continuamente, incorporando tanto habilidades </w:t>
      </w:r>
      <w:r w:rsidRPr="00EC7E7E">
        <w:rPr>
          <w:rFonts w:ascii="Times New Roman" w:eastAsia="Aptos" w:hAnsi="Times New Roman" w:cs="Times New Roman"/>
          <w:lang w:val="es-PE"/>
        </w:rPr>
        <w:lastRenderedPageBreak/>
        <w:t xml:space="preserve">técnicas como blandas para preparar a los graduados capaces de integrarse en entornos laborales complejos. Según </w:t>
      </w:r>
      <w:proofErr w:type="spellStart"/>
      <w:r w:rsidRPr="00EC7E7E">
        <w:rPr>
          <w:rFonts w:ascii="Times New Roman" w:eastAsia="Aptos" w:hAnsi="Times New Roman" w:cs="Times New Roman"/>
          <w:lang w:val="es-PE"/>
        </w:rPr>
        <w:t>Flick</w:t>
      </w:r>
      <w:proofErr w:type="spellEnd"/>
      <w:r w:rsidRPr="00EC7E7E">
        <w:rPr>
          <w:rFonts w:ascii="Times New Roman" w:eastAsia="Aptos" w:hAnsi="Times New Roman" w:cs="Times New Roman"/>
          <w:lang w:val="es-PE"/>
        </w:rPr>
        <w:t xml:space="preserve"> (2015), la evaluación del empleador sobre la idoneidad de los graduados es uno de los principales indicadores de la adecuación curricular.</w:t>
      </w:r>
    </w:p>
    <w:p w14:paraId="0FED61EA" w14:textId="77777777" w:rsidR="00EC7E7E" w:rsidRPr="00EC7E7E" w:rsidRDefault="00EC7E7E" w:rsidP="00EC7E7E">
      <w:pPr>
        <w:keepNext/>
        <w:keepLines/>
        <w:numPr>
          <w:ilvl w:val="0"/>
          <w:numId w:val="2"/>
        </w:numPr>
        <w:spacing w:after="0" w:line="276" w:lineRule="auto"/>
        <w:ind w:left="284" w:hanging="284"/>
        <w:jc w:val="both"/>
        <w:outlineLvl w:val="0"/>
        <w:rPr>
          <w:rFonts w:ascii="Times New Roman" w:eastAsia="Times New Roman" w:hAnsi="Times New Roman" w:cs="Times New Roman"/>
          <w:b/>
          <w:bCs/>
          <w:lang w:val="es-PE"/>
        </w:rPr>
      </w:pPr>
      <w:bookmarkStart w:id="4" w:name="_Toc208284106"/>
      <w:r w:rsidRPr="00EC7E7E">
        <w:rPr>
          <w:rFonts w:ascii="Times New Roman" w:eastAsia="Times New Roman" w:hAnsi="Times New Roman" w:cs="Times New Roman"/>
          <w:b/>
          <w:bCs/>
          <w:lang w:val="es-PE"/>
        </w:rPr>
        <w:t>Metodología</w:t>
      </w:r>
      <w:bookmarkEnd w:id="4"/>
    </w:p>
    <w:p w14:paraId="20D2192A"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La investigación es descriptiva y aplicada. Es descriptiva ya que describe las habilidades laborales de los futuros contadores públicos que trabajan en el área de Apurímac analizando habilidades técnicas y humanas. Además, es aplicada ya que el objetivo principal fue generar conocimiento práctico para facilitar la formación en la carrera de Contabilidad de la UTEA con relevancia para el empleo en el mercado del área, alineándose así con sus necesidades locales. Hernández y Baptista (2014) informaron que el estudio descriptivo contribuye a encontrar las características de los fenómenos, pero el estudio aplicado aborda problemas y el enfoque de este estudio es su aplicación. </w:t>
      </w:r>
    </w:p>
    <w:p w14:paraId="371C1ADA"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El enfoque metodológico utilizado es de naturaleza mixta, combinando métodos cuantitativos con cualitativos. La parte cuantitativa captura cuantitativamente las percepciones de estudiantes y empleadores en forma de cuestionarios estructurados, y el componente cualitativo explora la comprensión a través de entrevistas semiestructuradas. Creswell y Plano (2018) afirman que esta técnica confirma y amplía los resultados, proporcionando detalles adicionales en el panorama. El método es un diseño no experimental de corte transversal, en el sentido de que las variables no se manipulan y la información se obtiene en un momento dado, proporcionando una comprensión real y actualizada.</w:t>
      </w:r>
    </w:p>
    <w:p w14:paraId="4C3EF8AF" w14:textId="77777777" w:rsidR="00EC7E7E" w:rsidRPr="00EC7E7E" w:rsidRDefault="00EC7E7E" w:rsidP="00EC7E7E">
      <w:pPr>
        <w:spacing w:after="0" w:line="276" w:lineRule="auto"/>
        <w:ind w:firstLine="720"/>
        <w:jc w:val="both"/>
        <w:rPr>
          <w:rFonts w:ascii="Times New Roman" w:eastAsia="Aptos" w:hAnsi="Times New Roman" w:cs="Times New Roman"/>
          <w:b/>
          <w:bCs/>
          <w:lang w:val="es-PE"/>
        </w:rPr>
      </w:pPr>
      <w:proofErr w:type="spellStart"/>
      <w:r w:rsidRPr="00EC7E7E">
        <w:rPr>
          <w:rFonts w:ascii="Times New Roman" w:eastAsia="Aptos" w:hAnsi="Times New Roman" w:cs="Times New Roman"/>
          <w:b/>
          <w:bCs/>
          <w:lang w:val="es-PE"/>
        </w:rPr>
        <w:t>Hipótesis</w:t>
      </w:r>
      <w:proofErr w:type="spellEnd"/>
      <w:r w:rsidRPr="00EC7E7E">
        <w:rPr>
          <w:rFonts w:ascii="Times New Roman" w:eastAsia="Aptos" w:hAnsi="Times New Roman" w:cs="Times New Roman"/>
          <w:b/>
          <w:bCs/>
          <w:lang w:val="es-PE"/>
        </w:rPr>
        <w:t xml:space="preserve"> general</w:t>
      </w:r>
    </w:p>
    <w:p w14:paraId="26D72319"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Las habilidades laborales de los futuros contadores públicos también están muy desalineadas con las necesidades de su profesión en las organizaciones públicas y privadas de la región de Apurímac porque las habilidades técnicas, digitales y blandas en las materias de Contabilidad de la UTEA no están integradas tanto como deberían.</w:t>
      </w:r>
    </w:p>
    <w:p w14:paraId="266A4189" w14:textId="77777777" w:rsidR="00EC7E7E" w:rsidRPr="00EC7E7E" w:rsidRDefault="00EC7E7E" w:rsidP="00EC7E7E">
      <w:pPr>
        <w:spacing w:after="0" w:line="276" w:lineRule="auto"/>
        <w:ind w:firstLine="720"/>
        <w:jc w:val="both"/>
        <w:rPr>
          <w:rFonts w:ascii="Times New Roman" w:eastAsia="Aptos" w:hAnsi="Times New Roman" w:cs="Times New Roman"/>
          <w:b/>
          <w:bCs/>
          <w:lang w:val="es-PE"/>
        </w:rPr>
      </w:pPr>
      <w:proofErr w:type="spellStart"/>
      <w:r w:rsidRPr="00EC7E7E">
        <w:rPr>
          <w:rFonts w:ascii="Times New Roman" w:eastAsia="Aptos" w:hAnsi="Times New Roman" w:cs="Times New Roman"/>
          <w:b/>
          <w:bCs/>
          <w:lang w:val="es-PE"/>
        </w:rPr>
        <w:t>Hipótesis</w:t>
      </w:r>
      <w:proofErr w:type="spellEnd"/>
      <w:r w:rsidRPr="00EC7E7E">
        <w:rPr>
          <w:rFonts w:ascii="Times New Roman" w:eastAsia="Aptos" w:hAnsi="Times New Roman" w:cs="Times New Roman"/>
          <w:b/>
          <w:bCs/>
          <w:lang w:val="es-PE"/>
        </w:rPr>
        <w:t xml:space="preserve"> específicas</w:t>
      </w:r>
    </w:p>
    <w:p w14:paraId="5560FB3C"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Los futuros contadores públicos no desarrollan completamente las habilidades técnicas y digitales (normas contables, NIIF, ERP, Big Data, IA), lo que limita su capacidad para satisfacer las demandas actuales del mercado laboral.</w:t>
      </w:r>
    </w:p>
    <w:p w14:paraId="04931E2B"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Las competencias blandas (comunicación, liderazgo, adaptabilidad, ética y pensamiento crítico) son insuficientemente fomentadas en la formación académica, lo que reduce la empleabilidad de los egresados.</w:t>
      </w:r>
    </w:p>
    <w:p w14:paraId="1AF90448"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El currículo de la carrera de Contabilidad de la UTEA no está actualizado de acuerdo con las demandas profesionales actuales, lo que genera una brecha estructural entre la formación universitaria y el mercado laboral.</w:t>
      </w:r>
    </w:p>
    <w:p w14:paraId="5E25FB85"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La implementación de estrategias de actualización curricular orientadas a competencias digitales y transversales permitirá mejorar la alineación entre la formación </w:t>
      </w:r>
      <w:r w:rsidRPr="00EC7E7E">
        <w:rPr>
          <w:rFonts w:ascii="Times New Roman" w:eastAsia="Aptos" w:hAnsi="Times New Roman" w:cs="Times New Roman"/>
          <w:lang w:val="es-PE"/>
        </w:rPr>
        <w:lastRenderedPageBreak/>
        <w:t>de los futuros contadores públicos y los requerimientos profesionales de las organizaciones en Apurímac.</w:t>
      </w:r>
    </w:p>
    <w:p w14:paraId="722F1473"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3.1 Población y muestra</w:t>
      </w:r>
    </w:p>
    <w:p w14:paraId="133078A4" w14:textId="77777777" w:rsidR="00EC7E7E" w:rsidRPr="00EC7E7E" w:rsidRDefault="00EC7E7E" w:rsidP="00EC7E7E">
      <w:pPr>
        <w:spacing w:after="0"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La </w:t>
      </w:r>
      <w:r w:rsidRPr="00EC7E7E">
        <w:rPr>
          <w:rFonts w:ascii="Times New Roman" w:eastAsia="Aptos" w:hAnsi="Times New Roman" w:cs="Times New Roman"/>
          <w:b/>
          <w:bCs/>
          <w:lang w:val="es-PE"/>
        </w:rPr>
        <w:t>población</w:t>
      </w:r>
      <w:r w:rsidRPr="00EC7E7E">
        <w:rPr>
          <w:rFonts w:ascii="Times New Roman" w:eastAsia="Aptos" w:hAnsi="Times New Roman" w:cs="Times New Roman"/>
          <w:lang w:val="es-PE"/>
        </w:rPr>
        <w:t xml:space="preserve"> del estudio está conformada por tres grupos principales:</w:t>
      </w:r>
    </w:p>
    <w:p w14:paraId="4590DE9B" w14:textId="77777777" w:rsidR="00EC7E7E" w:rsidRPr="00EC7E7E" w:rsidRDefault="00EC7E7E" w:rsidP="00EC7E7E">
      <w:pPr>
        <w:numPr>
          <w:ilvl w:val="0"/>
          <w:numId w:val="1"/>
        </w:numPr>
        <w:spacing w:after="0" w:line="276" w:lineRule="auto"/>
        <w:jc w:val="both"/>
        <w:rPr>
          <w:rFonts w:ascii="Times New Roman" w:eastAsia="Aptos" w:hAnsi="Times New Roman" w:cs="Times New Roman"/>
          <w:lang w:val="es-PE"/>
        </w:rPr>
      </w:pPr>
      <w:r w:rsidRPr="00EC7E7E">
        <w:rPr>
          <w:rFonts w:ascii="Times New Roman" w:eastAsia="Aptos" w:hAnsi="Times New Roman" w:cs="Times New Roman"/>
          <w:b/>
          <w:bCs/>
          <w:lang w:val="es-PE"/>
        </w:rPr>
        <w:t>50 estudiantes</w:t>
      </w:r>
      <w:r w:rsidRPr="00EC7E7E">
        <w:rPr>
          <w:rFonts w:ascii="Times New Roman" w:eastAsia="Aptos" w:hAnsi="Times New Roman" w:cs="Times New Roman"/>
          <w:lang w:val="es-PE"/>
        </w:rPr>
        <w:t xml:space="preserve"> de los últimos ciclos de la carrera de Contabilidad en la Universidad Tecnológica de los Andes, quienes representan a los futuros egresados que se insertarán en el mercado laboral.</w:t>
      </w:r>
    </w:p>
    <w:p w14:paraId="61B8AE88" w14:textId="77777777" w:rsidR="00EC7E7E" w:rsidRPr="00EC7E7E" w:rsidRDefault="00EC7E7E" w:rsidP="00EC7E7E">
      <w:pPr>
        <w:numPr>
          <w:ilvl w:val="0"/>
          <w:numId w:val="1"/>
        </w:numPr>
        <w:spacing w:after="0" w:line="276" w:lineRule="auto"/>
        <w:jc w:val="both"/>
        <w:rPr>
          <w:rFonts w:ascii="Times New Roman" w:eastAsia="Aptos" w:hAnsi="Times New Roman" w:cs="Times New Roman"/>
          <w:lang w:val="es-PE"/>
        </w:rPr>
      </w:pPr>
      <w:r w:rsidRPr="00EC7E7E">
        <w:rPr>
          <w:rFonts w:ascii="Times New Roman" w:eastAsia="Aptos" w:hAnsi="Times New Roman" w:cs="Times New Roman"/>
          <w:b/>
          <w:bCs/>
          <w:lang w:val="es-PE"/>
        </w:rPr>
        <w:t>10 docentes</w:t>
      </w:r>
      <w:r w:rsidRPr="00EC7E7E">
        <w:rPr>
          <w:rFonts w:ascii="Times New Roman" w:eastAsia="Aptos" w:hAnsi="Times New Roman" w:cs="Times New Roman"/>
          <w:lang w:val="es-PE"/>
        </w:rPr>
        <w:t xml:space="preserve"> de la misma carrera, responsables de la formación académica y de la transmisión de competencias técnicas y blandas.</w:t>
      </w:r>
    </w:p>
    <w:p w14:paraId="050C8987" w14:textId="77777777" w:rsidR="00EC7E7E" w:rsidRPr="00EC7E7E" w:rsidRDefault="00EC7E7E" w:rsidP="00EC7E7E">
      <w:pPr>
        <w:numPr>
          <w:ilvl w:val="0"/>
          <w:numId w:val="1"/>
        </w:numPr>
        <w:spacing w:after="0" w:line="276" w:lineRule="auto"/>
        <w:jc w:val="both"/>
        <w:rPr>
          <w:rFonts w:ascii="Times New Roman" w:eastAsia="Aptos" w:hAnsi="Times New Roman" w:cs="Times New Roman"/>
          <w:lang w:val="es-PE"/>
        </w:rPr>
      </w:pPr>
      <w:r w:rsidRPr="00EC7E7E">
        <w:rPr>
          <w:rFonts w:ascii="Times New Roman" w:eastAsia="Aptos" w:hAnsi="Times New Roman" w:cs="Times New Roman"/>
          <w:b/>
          <w:bCs/>
          <w:lang w:val="es-PE"/>
        </w:rPr>
        <w:t>8 empleadores</w:t>
      </w:r>
      <w:r w:rsidRPr="00EC7E7E">
        <w:rPr>
          <w:rFonts w:ascii="Times New Roman" w:eastAsia="Aptos" w:hAnsi="Times New Roman" w:cs="Times New Roman"/>
          <w:lang w:val="es-PE"/>
        </w:rPr>
        <w:t xml:space="preserve"> de áreas contables y financieras de organizaciones públicas y privadas en Apurímac, quienes constituyen los principales demandantes de profesionales contables.</w:t>
      </w:r>
    </w:p>
    <w:p w14:paraId="4D04A5A8"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La muestra será seleccionada mediante un muestreo no probabilístico por conveniencia, lo que significa que se elegirán los participantes de acuerdo con su accesibilidad y pertinencia al problema de investigación. Según Sampieri (2018), este tipo de muestreo se utiliza en estudios exploratorios y descriptivos donde los sujetos cumplen características específicas que hacen relevante su participación.</w:t>
      </w:r>
    </w:p>
    <w:p w14:paraId="4653FEEA" w14:textId="77777777" w:rsidR="00EC7E7E" w:rsidRPr="00EC7E7E" w:rsidRDefault="00EC7E7E" w:rsidP="00EC7E7E">
      <w:pPr>
        <w:keepNext/>
        <w:keepLines/>
        <w:numPr>
          <w:ilvl w:val="0"/>
          <w:numId w:val="2"/>
        </w:numPr>
        <w:spacing w:after="0" w:line="276" w:lineRule="auto"/>
        <w:ind w:left="284" w:hanging="284"/>
        <w:jc w:val="both"/>
        <w:outlineLvl w:val="0"/>
        <w:rPr>
          <w:rFonts w:ascii="Times New Roman" w:eastAsia="Times New Roman" w:hAnsi="Times New Roman" w:cs="Times New Roman"/>
          <w:b/>
          <w:lang w:val="es-PE"/>
        </w:rPr>
      </w:pPr>
      <w:bookmarkStart w:id="5" w:name="_Toc208284107"/>
      <w:r w:rsidRPr="00EC7E7E">
        <w:rPr>
          <w:rFonts w:ascii="Times New Roman" w:eastAsia="Times New Roman" w:hAnsi="Times New Roman" w:cs="Times New Roman"/>
          <w:b/>
          <w:lang w:val="es-PE"/>
        </w:rPr>
        <w:t>Análisis</w:t>
      </w:r>
      <w:bookmarkEnd w:id="5"/>
    </w:p>
    <w:p w14:paraId="1F672B87"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A partir de entrevistas realizadas a docentes de la Universidad Tecnológica de los Andes y a expertos contables evidencian que el perfil del egresado debe superar el enfoque tradicional centrado en las NIIF, la tributación y la auditoría clásica. </w:t>
      </w:r>
      <w:proofErr w:type="gramStart"/>
      <w:r w:rsidRPr="00EC7E7E">
        <w:rPr>
          <w:rFonts w:ascii="Times New Roman" w:eastAsia="Aptos" w:hAnsi="Times New Roman" w:cs="Times New Roman"/>
          <w:lang w:val="es-PE"/>
        </w:rPr>
        <w:t>Y</w:t>
      </w:r>
      <w:proofErr w:type="gramEnd"/>
      <w:r w:rsidRPr="00EC7E7E">
        <w:rPr>
          <w:rFonts w:ascii="Times New Roman" w:eastAsia="Aptos" w:hAnsi="Times New Roman" w:cs="Times New Roman"/>
          <w:lang w:val="es-PE"/>
        </w:rPr>
        <w:t xml:space="preserve"> sin embargo, aunque estas habilidades técnicas siguen siendo esenciales, los participantes enfatizaron la necesidad de equilibrar el dominio de las tecnologías disruptivas con la relevancia. Y de estas, la inteligencia artificial se incluyó como una habilidad vital, además del manejo de Big Data, sistemas ERP y plataformas digitales basadas en la nube. Estas soluciones no solo simplifican los procesos contables, sino que también mejoran la capacidad del contador para hacer informes predictivos, asesorar sobre estrategias empresariales de alto nivel y responder a las condiciones de mercado en constante cambio de la cuarta revolución industrial. </w:t>
      </w:r>
    </w:p>
    <w:p w14:paraId="53FDAFAF"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Los entrevistados coincidieron además en que estas habilidades blandas, incluyendo liderazgo, comunicación, pensamiento crítico y adaptabilidad, deben desarrollarse en el perfil profesional. Estas son las competencias clave que se cree que son valiosas para que los graduados vayan más allá del trabajo operativo y asuman una posición de consultor estratégico dentro de una organización. El enfoque también estaba en la ética profesional y la responsabilidad social, un énfasis particularmente agudo en el sector público, donde la transparencia y la integridad son algunos de los componentes básicos de todo trabajo. En síntesis, el egresado ideal de Contabilidad debe proyectarse como un profesional integral, innovador y ético, capaz de articular conocimientos </w:t>
      </w:r>
      <w:r w:rsidRPr="00EC7E7E">
        <w:rPr>
          <w:rFonts w:ascii="Times New Roman" w:eastAsia="Aptos" w:hAnsi="Times New Roman" w:cs="Times New Roman"/>
          <w:lang w:val="es-PE"/>
        </w:rPr>
        <w:lastRenderedPageBreak/>
        <w:t>técnicos, dominio de la inteligencia artificial y habilidades socioemocionales para responder a las demandas del mercado laboral en Apurímac.</w:t>
      </w:r>
    </w:p>
    <w:p w14:paraId="4649BE04" w14:textId="77777777" w:rsidR="00EC7E7E" w:rsidRPr="00EC7E7E" w:rsidRDefault="00EC7E7E" w:rsidP="00EC7E7E">
      <w:pPr>
        <w:spacing w:after="0"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A partir de encuestas realizar a egresados de la universidad se obtuvo los siguientes resultados.</w:t>
      </w:r>
    </w:p>
    <w:p w14:paraId="160B7972" w14:textId="77777777" w:rsidR="00EC7E7E" w:rsidRPr="00EC7E7E" w:rsidRDefault="00EC7E7E" w:rsidP="00EC7E7E">
      <w:pPr>
        <w:spacing w:after="0" w:line="276" w:lineRule="auto"/>
        <w:jc w:val="both"/>
        <w:rPr>
          <w:rFonts w:ascii="Times New Roman" w:eastAsia="Aptos" w:hAnsi="Times New Roman" w:cs="Times New Roman"/>
          <w:lang w:val="es-PE"/>
        </w:rPr>
      </w:pPr>
      <w:bookmarkStart w:id="6" w:name="_Toc208283653"/>
      <w:r w:rsidRPr="00EC7E7E">
        <w:rPr>
          <w:rFonts w:ascii="Times New Roman" w:eastAsia="Aptos" w:hAnsi="Times New Roman" w:cs="Times New Roman"/>
          <w:b/>
          <w:bCs/>
          <w:lang w:val="es-PE"/>
        </w:rPr>
        <w:t xml:space="preserve">Tabla </w:t>
      </w:r>
      <w:r w:rsidRPr="00EC7E7E">
        <w:rPr>
          <w:rFonts w:ascii="Times New Roman" w:eastAsia="Aptos" w:hAnsi="Times New Roman" w:cs="Times New Roman"/>
          <w:b/>
          <w:bCs/>
          <w:lang w:val="es-PE"/>
        </w:rPr>
        <w:fldChar w:fldCharType="begin"/>
      </w:r>
      <w:r w:rsidRPr="00EC7E7E">
        <w:rPr>
          <w:rFonts w:ascii="Times New Roman" w:eastAsia="Aptos" w:hAnsi="Times New Roman" w:cs="Times New Roman"/>
          <w:b/>
          <w:bCs/>
          <w:lang w:val="es-PE"/>
        </w:rPr>
        <w:instrText xml:space="preserve"> SEQ Tabla \* ARABIC </w:instrText>
      </w:r>
      <w:r w:rsidRPr="00EC7E7E">
        <w:rPr>
          <w:rFonts w:ascii="Times New Roman" w:eastAsia="Aptos" w:hAnsi="Times New Roman" w:cs="Times New Roman"/>
          <w:b/>
          <w:bCs/>
          <w:lang w:val="es-PE"/>
        </w:rPr>
        <w:fldChar w:fldCharType="separate"/>
      </w:r>
      <w:r w:rsidRPr="00EC7E7E">
        <w:rPr>
          <w:rFonts w:ascii="Times New Roman" w:eastAsia="Aptos" w:hAnsi="Times New Roman" w:cs="Times New Roman"/>
          <w:b/>
          <w:bCs/>
          <w:noProof/>
          <w:lang w:val="es-PE"/>
        </w:rPr>
        <w:t>1</w:t>
      </w:r>
      <w:r w:rsidRPr="00EC7E7E">
        <w:rPr>
          <w:rFonts w:ascii="Times New Roman" w:eastAsia="Aptos" w:hAnsi="Times New Roman" w:cs="Times New Roman"/>
          <w:b/>
          <w:bCs/>
          <w:lang w:val="es-PE"/>
        </w:rPr>
        <w:fldChar w:fldCharType="end"/>
      </w:r>
      <w:r w:rsidRPr="00EC7E7E">
        <w:rPr>
          <w:rFonts w:ascii="Times New Roman" w:eastAsia="Aptos" w:hAnsi="Times New Roman" w:cs="Times New Roman"/>
          <w:lang w:val="es-PE"/>
        </w:rPr>
        <w:t xml:space="preserve"> </w:t>
      </w:r>
    </w:p>
    <w:p w14:paraId="513EC3A9" w14:textId="77777777" w:rsidR="00EC7E7E" w:rsidRPr="00EC7E7E" w:rsidRDefault="00EC7E7E" w:rsidP="00EC7E7E">
      <w:pPr>
        <w:spacing w:after="0" w:line="276" w:lineRule="auto"/>
        <w:jc w:val="both"/>
        <w:rPr>
          <w:rFonts w:ascii="Times New Roman" w:eastAsia="Aptos" w:hAnsi="Times New Roman" w:cs="Times New Roman"/>
          <w:i/>
          <w:iCs/>
          <w:lang w:val="es-PE"/>
        </w:rPr>
      </w:pPr>
      <w:r w:rsidRPr="00EC7E7E">
        <w:rPr>
          <w:rFonts w:ascii="Times New Roman" w:eastAsia="Aptos" w:hAnsi="Times New Roman" w:cs="Times New Roman"/>
          <w:i/>
          <w:iCs/>
          <w:lang w:val="es-PE"/>
        </w:rPr>
        <w:t>Problemas identificados en los egresados</w:t>
      </w:r>
      <w:bookmarkEnd w:id="6"/>
    </w:p>
    <w:tbl>
      <w:tblPr>
        <w:tblStyle w:val="apa"/>
        <w:tblW w:w="0" w:type="auto"/>
        <w:tblLook w:val="04A0" w:firstRow="1" w:lastRow="0" w:firstColumn="1" w:lastColumn="0" w:noHBand="0" w:noVBand="1"/>
      </w:tblPr>
      <w:tblGrid>
        <w:gridCol w:w="4662"/>
        <w:gridCol w:w="696"/>
        <w:gridCol w:w="870"/>
        <w:gridCol w:w="656"/>
        <w:gridCol w:w="741"/>
      </w:tblGrid>
      <w:tr w:rsidR="00EC7E7E" w:rsidRPr="00EC7E7E" w14:paraId="78873FCF" w14:textId="77777777" w:rsidTr="00843D6E">
        <w:trPr>
          <w:cnfStyle w:val="100000000000" w:firstRow="1" w:lastRow="0" w:firstColumn="0" w:lastColumn="0" w:oddVBand="0" w:evenVBand="0" w:oddHBand="0" w:evenHBand="0" w:firstRowFirstColumn="0" w:firstRowLastColumn="0" w:lastRowFirstColumn="0" w:lastRowLastColumn="0"/>
        </w:trPr>
        <w:tc>
          <w:tcPr>
            <w:tcW w:w="0" w:type="auto"/>
            <w:hideMark/>
          </w:tcPr>
          <w:p w14:paraId="6FE4FB8A"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Problema identificado</w:t>
            </w:r>
          </w:p>
        </w:tc>
        <w:tc>
          <w:tcPr>
            <w:tcW w:w="0" w:type="auto"/>
            <w:hideMark/>
          </w:tcPr>
          <w:p w14:paraId="3E92D279"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Bajo</w:t>
            </w:r>
          </w:p>
        </w:tc>
        <w:tc>
          <w:tcPr>
            <w:tcW w:w="0" w:type="auto"/>
            <w:hideMark/>
          </w:tcPr>
          <w:p w14:paraId="21A130D1"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Medio</w:t>
            </w:r>
          </w:p>
        </w:tc>
        <w:tc>
          <w:tcPr>
            <w:tcW w:w="0" w:type="auto"/>
            <w:hideMark/>
          </w:tcPr>
          <w:p w14:paraId="3FDA98FE"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Alto</w:t>
            </w:r>
          </w:p>
        </w:tc>
        <w:tc>
          <w:tcPr>
            <w:tcW w:w="0" w:type="auto"/>
            <w:hideMark/>
          </w:tcPr>
          <w:p w14:paraId="402C24A9"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Total</w:t>
            </w:r>
          </w:p>
        </w:tc>
      </w:tr>
      <w:tr w:rsidR="00EC7E7E" w:rsidRPr="00EC7E7E" w14:paraId="5FDE75A2" w14:textId="77777777" w:rsidTr="00843D6E">
        <w:tc>
          <w:tcPr>
            <w:tcW w:w="0" w:type="auto"/>
            <w:hideMark/>
          </w:tcPr>
          <w:p w14:paraId="77A7CEEC"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Desactualización de la malla curricular</w:t>
            </w:r>
          </w:p>
        </w:tc>
        <w:tc>
          <w:tcPr>
            <w:tcW w:w="0" w:type="auto"/>
            <w:hideMark/>
          </w:tcPr>
          <w:p w14:paraId="7BBA3522"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16</w:t>
            </w:r>
          </w:p>
        </w:tc>
        <w:tc>
          <w:tcPr>
            <w:tcW w:w="0" w:type="auto"/>
            <w:hideMark/>
          </w:tcPr>
          <w:p w14:paraId="31954DDE"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8</w:t>
            </w:r>
          </w:p>
        </w:tc>
        <w:tc>
          <w:tcPr>
            <w:tcW w:w="0" w:type="auto"/>
            <w:hideMark/>
          </w:tcPr>
          <w:p w14:paraId="47D90282"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26</w:t>
            </w:r>
          </w:p>
        </w:tc>
        <w:tc>
          <w:tcPr>
            <w:tcW w:w="0" w:type="auto"/>
            <w:hideMark/>
          </w:tcPr>
          <w:p w14:paraId="6B420C4A"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50</w:t>
            </w:r>
          </w:p>
        </w:tc>
      </w:tr>
      <w:tr w:rsidR="00EC7E7E" w:rsidRPr="00EC7E7E" w14:paraId="39A3ED8D" w14:textId="77777777" w:rsidTr="00843D6E">
        <w:tc>
          <w:tcPr>
            <w:tcW w:w="0" w:type="auto"/>
            <w:hideMark/>
          </w:tcPr>
          <w:p w14:paraId="7453A057"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Falta de competencias digitales y tecnológicas</w:t>
            </w:r>
          </w:p>
        </w:tc>
        <w:tc>
          <w:tcPr>
            <w:tcW w:w="0" w:type="auto"/>
            <w:hideMark/>
          </w:tcPr>
          <w:p w14:paraId="473B174D"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13</w:t>
            </w:r>
          </w:p>
        </w:tc>
        <w:tc>
          <w:tcPr>
            <w:tcW w:w="0" w:type="auto"/>
            <w:hideMark/>
          </w:tcPr>
          <w:p w14:paraId="40F9BBD1"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12</w:t>
            </w:r>
          </w:p>
        </w:tc>
        <w:tc>
          <w:tcPr>
            <w:tcW w:w="0" w:type="auto"/>
            <w:hideMark/>
          </w:tcPr>
          <w:p w14:paraId="47A70868"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25</w:t>
            </w:r>
          </w:p>
        </w:tc>
        <w:tc>
          <w:tcPr>
            <w:tcW w:w="0" w:type="auto"/>
            <w:hideMark/>
          </w:tcPr>
          <w:p w14:paraId="6DFA628F"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50</w:t>
            </w:r>
          </w:p>
        </w:tc>
      </w:tr>
      <w:tr w:rsidR="00EC7E7E" w:rsidRPr="00EC7E7E" w14:paraId="35F40D39" w14:textId="77777777" w:rsidTr="00843D6E">
        <w:tc>
          <w:tcPr>
            <w:tcW w:w="0" w:type="auto"/>
            <w:hideMark/>
          </w:tcPr>
          <w:p w14:paraId="60DD1FC0"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Limitada formación en habilidades blandas</w:t>
            </w:r>
          </w:p>
        </w:tc>
        <w:tc>
          <w:tcPr>
            <w:tcW w:w="0" w:type="auto"/>
            <w:hideMark/>
          </w:tcPr>
          <w:p w14:paraId="1E17E750"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11</w:t>
            </w:r>
          </w:p>
        </w:tc>
        <w:tc>
          <w:tcPr>
            <w:tcW w:w="0" w:type="auto"/>
            <w:hideMark/>
          </w:tcPr>
          <w:p w14:paraId="1611A462"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15</w:t>
            </w:r>
          </w:p>
        </w:tc>
        <w:tc>
          <w:tcPr>
            <w:tcW w:w="0" w:type="auto"/>
            <w:hideMark/>
          </w:tcPr>
          <w:p w14:paraId="3DDBFF8B"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24</w:t>
            </w:r>
          </w:p>
        </w:tc>
        <w:tc>
          <w:tcPr>
            <w:tcW w:w="0" w:type="auto"/>
            <w:hideMark/>
          </w:tcPr>
          <w:p w14:paraId="3BE75D53"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50</w:t>
            </w:r>
          </w:p>
        </w:tc>
      </w:tr>
    </w:tbl>
    <w:p w14:paraId="6EAC15E7" w14:textId="77777777" w:rsidR="00EC7E7E" w:rsidRPr="00EC7E7E" w:rsidRDefault="00EC7E7E" w:rsidP="00EC7E7E">
      <w:pPr>
        <w:spacing w:after="0" w:line="276" w:lineRule="auto"/>
        <w:jc w:val="both"/>
        <w:rPr>
          <w:rFonts w:ascii="Times New Roman" w:eastAsia="Aptos" w:hAnsi="Times New Roman" w:cs="Times New Roman"/>
          <w:b/>
          <w:bCs/>
          <w:lang w:val="es-PE"/>
        </w:rPr>
      </w:pPr>
    </w:p>
    <w:p w14:paraId="5AD122B9" w14:textId="77777777" w:rsidR="00EC7E7E" w:rsidRPr="00EC7E7E" w:rsidRDefault="00EC7E7E" w:rsidP="00EC7E7E">
      <w:pPr>
        <w:spacing w:after="0" w:line="276" w:lineRule="auto"/>
        <w:jc w:val="both"/>
        <w:rPr>
          <w:rFonts w:ascii="Times New Roman" w:eastAsia="Aptos" w:hAnsi="Times New Roman" w:cs="Times New Roman"/>
          <w:lang w:val="es-PE"/>
        </w:rPr>
      </w:pPr>
      <w:bookmarkStart w:id="7" w:name="_Toc208283670"/>
      <w:r w:rsidRPr="00EC7E7E">
        <w:rPr>
          <w:rFonts w:ascii="Times New Roman" w:eastAsia="Aptos" w:hAnsi="Times New Roman" w:cs="Times New Roman"/>
          <w:b/>
          <w:bCs/>
          <w:lang w:val="es-PE"/>
        </w:rPr>
        <w:t xml:space="preserve">Figura </w:t>
      </w:r>
      <w:r w:rsidRPr="00EC7E7E">
        <w:rPr>
          <w:rFonts w:ascii="Times New Roman" w:eastAsia="Aptos" w:hAnsi="Times New Roman" w:cs="Times New Roman"/>
          <w:b/>
          <w:bCs/>
          <w:lang w:val="es-PE"/>
        </w:rPr>
        <w:fldChar w:fldCharType="begin"/>
      </w:r>
      <w:r w:rsidRPr="00EC7E7E">
        <w:rPr>
          <w:rFonts w:ascii="Times New Roman" w:eastAsia="Aptos" w:hAnsi="Times New Roman" w:cs="Times New Roman"/>
          <w:b/>
          <w:bCs/>
          <w:lang w:val="es-PE"/>
        </w:rPr>
        <w:instrText xml:space="preserve"> SEQ Figura \* ARABIC </w:instrText>
      </w:r>
      <w:r w:rsidRPr="00EC7E7E">
        <w:rPr>
          <w:rFonts w:ascii="Times New Roman" w:eastAsia="Aptos" w:hAnsi="Times New Roman" w:cs="Times New Roman"/>
          <w:b/>
          <w:bCs/>
          <w:lang w:val="es-PE"/>
        </w:rPr>
        <w:fldChar w:fldCharType="separate"/>
      </w:r>
      <w:r w:rsidRPr="00EC7E7E">
        <w:rPr>
          <w:rFonts w:ascii="Times New Roman" w:eastAsia="Aptos" w:hAnsi="Times New Roman" w:cs="Times New Roman"/>
          <w:b/>
          <w:bCs/>
          <w:noProof/>
          <w:lang w:val="es-PE"/>
        </w:rPr>
        <w:t>2</w:t>
      </w:r>
      <w:r w:rsidRPr="00EC7E7E">
        <w:rPr>
          <w:rFonts w:ascii="Times New Roman" w:eastAsia="Aptos" w:hAnsi="Times New Roman" w:cs="Times New Roman"/>
          <w:b/>
          <w:bCs/>
          <w:lang w:val="es-PE"/>
        </w:rPr>
        <w:fldChar w:fldCharType="end"/>
      </w:r>
      <w:r w:rsidRPr="00EC7E7E">
        <w:rPr>
          <w:rFonts w:ascii="Times New Roman" w:eastAsia="Aptos" w:hAnsi="Times New Roman" w:cs="Times New Roman"/>
          <w:lang w:val="es-PE"/>
        </w:rPr>
        <w:t xml:space="preserve"> </w:t>
      </w:r>
    </w:p>
    <w:p w14:paraId="242DEAF3" w14:textId="77777777" w:rsidR="00EC7E7E" w:rsidRPr="00EC7E7E" w:rsidRDefault="00EC7E7E" w:rsidP="00EC7E7E">
      <w:pPr>
        <w:spacing w:after="0" w:line="276" w:lineRule="auto"/>
        <w:jc w:val="both"/>
        <w:rPr>
          <w:rFonts w:ascii="Times New Roman" w:eastAsia="Aptos" w:hAnsi="Times New Roman" w:cs="Times New Roman"/>
          <w:i/>
          <w:iCs/>
          <w:lang w:val="es-PE"/>
        </w:rPr>
      </w:pPr>
      <w:r w:rsidRPr="00EC7E7E">
        <w:rPr>
          <w:rFonts w:ascii="Times New Roman" w:eastAsia="Aptos" w:hAnsi="Times New Roman" w:cs="Times New Roman"/>
          <w:i/>
          <w:iCs/>
          <w:lang w:val="es-PE"/>
        </w:rPr>
        <w:t>Desactualización de la malla curricular, Falta de competencias digitales y tecnológicas y Limitada formación en habilidades blandas</w:t>
      </w:r>
      <w:bookmarkEnd w:id="7"/>
    </w:p>
    <w:p w14:paraId="109B3AA8" w14:textId="77777777" w:rsidR="00EC7E7E" w:rsidRPr="00EC7E7E" w:rsidRDefault="00EC7E7E" w:rsidP="00EC7E7E">
      <w:pPr>
        <w:keepNext/>
        <w:spacing w:after="0" w:line="276" w:lineRule="auto"/>
        <w:jc w:val="both"/>
        <w:rPr>
          <w:rFonts w:ascii="Times New Roman" w:eastAsia="Aptos" w:hAnsi="Times New Roman" w:cs="Times New Roman"/>
          <w:i/>
          <w:iCs/>
          <w:color w:val="0E2841"/>
          <w:lang w:val="es-PE"/>
        </w:rPr>
      </w:pPr>
    </w:p>
    <w:p w14:paraId="2E25F25C"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noProof/>
          <w:lang w:val="es-PE"/>
        </w:rPr>
        <w:drawing>
          <wp:inline distT="0" distB="0" distL="0" distR="0" wp14:anchorId="66F504CF" wp14:editId="60C65FED">
            <wp:extent cx="5245100" cy="1489138"/>
            <wp:effectExtent l="19050" t="19050" r="12700" b="15875"/>
            <wp:docPr id="139518238" name="Imagen 4"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8238" name="Imagen 4" descr="Gráfico, Gráfico circular&#10;&#10;El contenido generado por IA puede ser incorrect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9724"/>
                    <a:stretch>
                      <a:fillRect/>
                    </a:stretch>
                  </pic:blipFill>
                  <pic:spPr bwMode="auto">
                    <a:xfrm>
                      <a:off x="0" y="0"/>
                      <a:ext cx="5315879" cy="1509233"/>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inline>
        </w:drawing>
      </w:r>
    </w:p>
    <w:p w14:paraId="00CF7729"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Los resultados muestran que la desactualización de la malla curricular constituye el problema más crítico, ya que más de la mitad de los egresados (52%) lo califican con alto impacto, lo que refleja que el plan de estudios no responde a las exigencias actuales del mercado laboral. De igual manera, la falta de competencias digitales y tecnológicas, relacionadas con herramientas disruptivas como la inteligencia artificial, la realidad aumentada o el </w:t>
      </w:r>
      <w:proofErr w:type="spellStart"/>
      <w:r w:rsidRPr="00EC7E7E">
        <w:rPr>
          <w:rFonts w:ascii="Times New Roman" w:eastAsia="Aptos" w:hAnsi="Times New Roman" w:cs="Times New Roman"/>
          <w:lang w:val="es-PE"/>
        </w:rPr>
        <w:t>blockchain</w:t>
      </w:r>
      <w:proofErr w:type="spellEnd"/>
      <w:r w:rsidRPr="00EC7E7E">
        <w:rPr>
          <w:rFonts w:ascii="Times New Roman" w:eastAsia="Aptos" w:hAnsi="Times New Roman" w:cs="Times New Roman"/>
          <w:lang w:val="es-PE"/>
        </w:rPr>
        <w:t>, es considerada por el 50% como un problema de alto impacto, evidenciando una clara brecha frente a las demandas de la cuarta revolución industrial. Por su parte, la limitada formación en habilidades blandas también preocupa, pues el 48% la señala como un problema alto y un 30% como medio, lo que indica deficiencias en aspectos esenciales como la comunicación, el liderazgo y el trabajo en equipo. En términos globales, los datos confirman que los egresados tienen una percepción de que existe desconexión entre la formación universitaria y las competencias requeridas por el mercado laboral actual.</w:t>
      </w:r>
    </w:p>
    <w:p w14:paraId="321B1B2A"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A los empleadores</w:t>
      </w:r>
    </w:p>
    <w:p w14:paraId="54EDE7BC"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A través de entrevistas con empleadores, pudimos discernir los estándares de calidad clave que los empleadores buscan al contratar graduados en contabilidad. El </w:t>
      </w:r>
      <w:r w:rsidRPr="00EC7E7E">
        <w:rPr>
          <w:rFonts w:ascii="Times New Roman" w:eastAsia="Aptos" w:hAnsi="Times New Roman" w:cs="Times New Roman"/>
          <w:lang w:val="es-PE"/>
        </w:rPr>
        <w:lastRenderedPageBreak/>
        <w:t xml:space="preserve">primero es que las empresas, dentro de la fuerza laboral, necesitan que los profesionales se vuelvan competentes en el uso de nuevas tecnologías y sistemas digitales, incluidos los disruptivos de inteligencia artificial, sistemas ERP y </w:t>
      </w:r>
      <w:proofErr w:type="spellStart"/>
      <w:r w:rsidRPr="00EC7E7E">
        <w:rPr>
          <w:rFonts w:ascii="Times New Roman" w:eastAsia="Aptos" w:hAnsi="Times New Roman" w:cs="Times New Roman"/>
          <w:lang w:val="es-PE"/>
        </w:rPr>
        <w:t>blockchain</w:t>
      </w:r>
      <w:proofErr w:type="spellEnd"/>
      <w:r w:rsidRPr="00EC7E7E">
        <w:rPr>
          <w:rFonts w:ascii="Times New Roman" w:eastAsia="Aptos" w:hAnsi="Times New Roman" w:cs="Times New Roman"/>
          <w:lang w:val="es-PE"/>
        </w:rPr>
        <w:t xml:space="preserve">, ya que el mercado laboral requiere empleados que puedan trabajar alineados con la transformación digital de la profesión contable. </w:t>
      </w:r>
    </w:p>
    <w:p w14:paraId="45DFF598"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Asimismo, se identificaron las funciones de análisis financiero y toma de decisiones como habilidades críticas para el desempeño laboral de los contadores, para proporcionar una participación activa en la toma de decisiones estratégicas de la organización. También enfatizaron la importancia de las habilidades blandas, como la comunicación, el liderazgo y el trabajo en equipo, que los trabajadores dicen que son esenciales para trabajar en entornos organizacionales dinámicos. </w:t>
      </w:r>
    </w:p>
    <w:p w14:paraId="3BDDA5BB"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Finalmente, quizás un poco menos enfatizado por los entrevistados, fue la necesidad de conocimiento sobre regulaciones contables y fiscales, ética profesional, responsabilidad y experiencia práctica. Estos factores se han convertido en generadores de confianza y aseguran un mejor desempeño profesional por parte de los empleadores, y la capacidad de los graduados para enfrentar las cambiantes demandas del mercado laboral.</w:t>
      </w:r>
    </w:p>
    <w:p w14:paraId="412BC4C9" w14:textId="77777777" w:rsidR="00EC7E7E" w:rsidRPr="00EC7E7E" w:rsidRDefault="00EC7E7E" w:rsidP="00EC7E7E">
      <w:pPr>
        <w:spacing w:after="0"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Revisión documentaria.</w:t>
      </w:r>
    </w:p>
    <w:p w14:paraId="4729224B" w14:textId="77777777" w:rsidR="00EC7E7E" w:rsidRPr="00EC7E7E" w:rsidRDefault="00EC7E7E" w:rsidP="00EC7E7E">
      <w:pPr>
        <w:spacing w:after="0" w:line="276" w:lineRule="auto"/>
        <w:jc w:val="both"/>
        <w:rPr>
          <w:rFonts w:ascii="Times New Roman" w:eastAsia="Aptos" w:hAnsi="Times New Roman" w:cs="Times New Roman"/>
          <w:b/>
          <w:bCs/>
          <w:lang w:val="es-PE"/>
        </w:rPr>
      </w:pPr>
      <w:bookmarkStart w:id="8" w:name="_Toc208283654"/>
      <w:r w:rsidRPr="00EC7E7E">
        <w:rPr>
          <w:rFonts w:ascii="Times New Roman" w:eastAsia="Aptos" w:hAnsi="Times New Roman" w:cs="Times New Roman"/>
          <w:b/>
          <w:bCs/>
          <w:lang w:val="es-PE"/>
        </w:rPr>
        <w:t xml:space="preserve">Tabla </w:t>
      </w:r>
      <w:r w:rsidRPr="00EC7E7E">
        <w:rPr>
          <w:rFonts w:ascii="Times New Roman" w:eastAsia="Aptos" w:hAnsi="Times New Roman" w:cs="Times New Roman"/>
          <w:b/>
          <w:bCs/>
          <w:lang w:val="es-PE"/>
        </w:rPr>
        <w:fldChar w:fldCharType="begin"/>
      </w:r>
      <w:r w:rsidRPr="00EC7E7E">
        <w:rPr>
          <w:rFonts w:ascii="Times New Roman" w:eastAsia="Aptos" w:hAnsi="Times New Roman" w:cs="Times New Roman"/>
          <w:b/>
          <w:bCs/>
          <w:lang w:val="es-PE"/>
        </w:rPr>
        <w:instrText xml:space="preserve"> SEQ Tabla \* ARABIC </w:instrText>
      </w:r>
      <w:r w:rsidRPr="00EC7E7E">
        <w:rPr>
          <w:rFonts w:ascii="Times New Roman" w:eastAsia="Aptos" w:hAnsi="Times New Roman" w:cs="Times New Roman"/>
          <w:b/>
          <w:bCs/>
          <w:lang w:val="es-PE"/>
        </w:rPr>
        <w:fldChar w:fldCharType="separate"/>
      </w:r>
      <w:r w:rsidRPr="00EC7E7E">
        <w:rPr>
          <w:rFonts w:ascii="Times New Roman" w:eastAsia="Aptos" w:hAnsi="Times New Roman" w:cs="Times New Roman"/>
          <w:b/>
          <w:bCs/>
          <w:lang w:val="es-PE"/>
        </w:rPr>
        <w:t>2</w:t>
      </w:r>
      <w:r w:rsidRPr="00EC7E7E">
        <w:rPr>
          <w:rFonts w:ascii="Times New Roman" w:eastAsia="Aptos" w:hAnsi="Times New Roman" w:cs="Times New Roman"/>
          <w:b/>
          <w:bCs/>
          <w:lang w:val="es-PE"/>
        </w:rPr>
        <w:fldChar w:fldCharType="end"/>
      </w:r>
      <w:r w:rsidRPr="00EC7E7E">
        <w:rPr>
          <w:rFonts w:ascii="Times New Roman" w:eastAsia="Aptos" w:hAnsi="Times New Roman" w:cs="Times New Roman"/>
          <w:b/>
          <w:bCs/>
          <w:lang w:val="es-PE"/>
        </w:rPr>
        <w:t xml:space="preserve"> </w:t>
      </w:r>
    </w:p>
    <w:p w14:paraId="101577D5" w14:textId="77777777" w:rsidR="00EC7E7E" w:rsidRPr="00EC7E7E" w:rsidRDefault="00EC7E7E" w:rsidP="00EC7E7E">
      <w:pPr>
        <w:spacing w:after="0" w:line="276" w:lineRule="auto"/>
        <w:jc w:val="both"/>
        <w:rPr>
          <w:rFonts w:ascii="Times New Roman" w:eastAsia="Aptos" w:hAnsi="Times New Roman" w:cs="Times New Roman"/>
          <w:b/>
          <w:bCs/>
          <w:i/>
          <w:iCs/>
          <w:lang w:val="es-PE"/>
        </w:rPr>
      </w:pPr>
      <w:r w:rsidRPr="00EC7E7E">
        <w:rPr>
          <w:rFonts w:ascii="Times New Roman" w:eastAsia="Aptos" w:hAnsi="Times New Roman" w:cs="Times New Roman"/>
          <w:i/>
          <w:iCs/>
          <w:lang w:val="es-PE"/>
        </w:rPr>
        <w:t>Matriz de Análisis y revisión Documentario</w:t>
      </w:r>
      <w:bookmarkEnd w:id="8"/>
    </w:p>
    <w:tbl>
      <w:tblPr>
        <w:tblStyle w:val="apa"/>
        <w:tblW w:w="9328" w:type="dxa"/>
        <w:tblLook w:val="04A0" w:firstRow="1" w:lastRow="0" w:firstColumn="1" w:lastColumn="0" w:noHBand="0" w:noVBand="1"/>
      </w:tblPr>
      <w:tblGrid>
        <w:gridCol w:w="2055"/>
        <w:gridCol w:w="1930"/>
        <w:gridCol w:w="696"/>
        <w:gridCol w:w="2011"/>
        <w:gridCol w:w="2636"/>
      </w:tblGrid>
      <w:tr w:rsidR="00EC7E7E" w:rsidRPr="00EC7E7E" w14:paraId="3786814C" w14:textId="77777777" w:rsidTr="00843D6E">
        <w:trPr>
          <w:cnfStyle w:val="100000000000" w:firstRow="1" w:lastRow="0" w:firstColumn="0" w:lastColumn="0" w:oddVBand="0" w:evenVBand="0" w:oddHBand="0" w:evenHBand="0" w:firstRowFirstColumn="0" w:firstRowLastColumn="0" w:lastRowFirstColumn="0" w:lastRowLastColumn="0"/>
          <w:trHeight w:val="322"/>
        </w:trPr>
        <w:tc>
          <w:tcPr>
            <w:tcW w:w="0" w:type="auto"/>
            <w:vAlign w:val="center"/>
            <w:hideMark/>
          </w:tcPr>
          <w:p w14:paraId="22A2DF07"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Documento revisado</w:t>
            </w:r>
          </w:p>
        </w:tc>
        <w:tc>
          <w:tcPr>
            <w:tcW w:w="0" w:type="auto"/>
            <w:vAlign w:val="center"/>
            <w:hideMark/>
          </w:tcPr>
          <w:p w14:paraId="5D52CF4E"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Fuente/Autor</w:t>
            </w:r>
          </w:p>
        </w:tc>
        <w:tc>
          <w:tcPr>
            <w:tcW w:w="0" w:type="auto"/>
            <w:vAlign w:val="center"/>
            <w:hideMark/>
          </w:tcPr>
          <w:p w14:paraId="4CE7D347"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Año</w:t>
            </w:r>
          </w:p>
        </w:tc>
        <w:tc>
          <w:tcPr>
            <w:tcW w:w="0" w:type="auto"/>
            <w:vAlign w:val="center"/>
            <w:hideMark/>
          </w:tcPr>
          <w:p w14:paraId="74A132DE"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Pertinencia para la investigación</w:t>
            </w:r>
          </w:p>
        </w:tc>
        <w:tc>
          <w:tcPr>
            <w:tcW w:w="0" w:type="auto"/>
            <w:vAlign w:val="center"/>
            <w:hideMark/>
          </w:tcPr>
          <w:p w14:paraId="672953F3" w14:textId="77777777" w:rsidR="00EC7E7E" w:rsidRPr="00EC7E7E" w:rsidRDefault="00EC7E7E" w:rsidP="00EC7E7E">
            <w:pPr>
              <w:spacing w:line="276" w:lineRule="auto"/>
              <w:jc w:val="both"/>
              <w:rPr>
                <w:rFonts w:ascii="Times New Roman" w:eastAsia="Aptos" w:hAnsi="Times New Roman" w:cs="Times New Roman"/>
                <w:b/>
                <w:bCs/>
                <w:lang w:val="es-PE"/>
              </w:rPr>
            </w:pPr>
            <w:r w:rsidRPr="00EC7E7E">
              <w:rPr>
                <w:rFonts w:ascii="Times New Roman" w:eastAsia="Aptos" w:hAnsi="Times New Roman" w:cs="Times New Roman"/>
                <w:b/>
                <w:bCs/>
                <w:lang w:val="es-PE"/>
              </w:rPr>
              <w:t>Observaciones principales</w:t>
            </w:r>
          </w:p>
        </w:tc>
      </w:tr>
      <w:tr w:rsidR="00EC7E7E" w:rsidRPr="00EC7E7E" w14:paraId="2D92EBD7" w14:textId="77777777" w:rsidTr="00843D6E">
        <w:trPr>
          <w:trHeight w:val="1117"/>
        </w:trPr>
        <w:tc>
          <w:tcPr>
            <w:tcW w:w="0" w:type="auto"/>
            <w:hideMark/>
          </w:tcPr>
          <w:p w14:paraId="3E1B094A"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Plan de estudios de Contabilidad – UTEA</w:t>
            </w:r>
          </w:p>
        </w:tc>
        <w:tc>
          <w:tcPr>
            <w:tcW w:w="0" w:type="auto"/>
            <w:hideMark/>
          </w:tcPr>
          <w:p w14:paraId="2E403D11"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Escuela Profesional de Contabilidad, UTEA</w:t>
            </w:r>
          </w:p>
        </w:tc>
        <w:tc>
          <w:tcPr>
            <w:tcW w:w="0" w:type="auto"/>
            <w:hideMark/>
          </w:tcPr>
          <w:p w14:paraId="71737F34"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2016</w:t>
            </w:r>
          </w:p>
        </w:tc>
        <w:tc>
          <w:tcPr>
            <w:tcW w:w="0" w:type="auto"/>
            <w:hideMark/>
          </w:tcPr>
          <w:p w14:paraId="76E3D969"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Alta: permite identificar la vigencia y actualización curricular</w:t>
            </w:r>
          </w:p>
        </w:tc>
        <w:tc>
          <w:tcPr>
            <w:tcW w:w="0" w:type="auto"/>
            <w:hideMark/>
          </w:tcPr>
          <w:p w14:paraId="1E188429"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Currículo con 10 años de antigüedad. No incluye formación en IA, </w:t>
            </w:r>
            <w:proofErr w:type="spellStart"/>
            <w:r w:rsidRPr="00EC7E7E">
              <w:rPr>
                <w:rFonts w:ascii="Times New Roman" w:eastAsia="Aptos" w:hAnsi="Times New Roman" w:cs="Times New Roman"/>
                <w:lang w:val="es-PE"/>
              </w:rPr>
              <w:t>blockchain</w:t>
            </w:r>
            <w:proofErr w:type="spellEnd"/>
            <w:r w:rsidRPr="00EC7E7E">
              <w:rPr>
                <w:rFonts w:ascii="Times New Roman" w:eastAsia="Aptos" w:hAnsi="Times New Roman" w:cs="Times New Roman"/>
                <w:lang w:val="es-PE"/>
              </w:rPr>
              <w:t xml:space="preserve">, </w:t>
            </w:r>
            <w:proofErr w:type="spellStart"/>
            <w:r w:rsidRPr="00EC7E7E">
              <w:rPr>
                <w:rFonts w:ascii="Times New Roman" w:eastAsia="Aptos" w:hAnsi="Times New Roman" w:cs="Times New Roman"/>
                <w:lang w:val="es-PE"/>
              </w:rPr>
              <w:t>big</w:t>
            </w:r>
            <w:proofErr w:type="spellEnd"/>
            <w:r w:rsidRPr="00EC7E7E">
              <w:rPr>
                <w:rFonts w:ascii="Times New Roman" w:eastAsia="Aptos" w:hAnsi="Times New Roman" w:cs="Times New Roman"/>
                <w:lang w:val="es-PE"/>
              </w:rPr>
              <w:t xml:space="preserve"> data ni competencias digitales emergentes.</w:t>
            </w:r>
          </w:p>
        </w:tc>
      </w:tr>
      <w:tr w:rsidR="00EC7E7E" w:rsidRPr="00EC7E7E" w14:paraId="37E8BE99" w14:textId="77777777" w:rsidTr="00843D6E">
        <w:trPr>
          <w:trHeight w:val="693"/>
        </w:trPr>
        <w:tc>
          <w:tcPr>
            <w:tcW w:w="0" w:type="auto"/>
            <w:hideMark/>
          </w:tcPr>
          <w:p w14:paraId="786E73DD"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Reglamento Académico de la UTEA</w:t>
            </w:r>
          </w:p>
        </w:tc>
        <w:tc>
          <w:tcPr>
            <w:tcW w:w="0" w:type="auto"/>
            <w:hideMark/>
          </w:tcPr>
          <w:p w14:paraId="405FE08B"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UTEA – Consejo Universitario</w:t>
            </w:r>
          </w:p>
        </w:tc>
        <w:tc>
          <w:tcPr>
            <w:tcW w:w="0" w:type="auto"/>
            <w:hideMark/>
          </w:tcPr>
          <w:p w14:paraId="393606B1"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2015</w:t>
            </w:r>
          </w:p>
        </w:tc>
        <w:tc>
          <w:tcPr>
            <w:tcW w:w="0" w:type="auto"/>
            <w:hideMark/>
          </w:tcPr>
          <w:p w14:paraId="68AB981A"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Media: establece lineamientos de formación profesional</w:t>
            </w:r>
          </w:p>
        </w:tc>
        <w:tc>
          <w:tcPr>
            <w:tcW w:w="0" w:type="auto"/>
            <w:hideMark/>
          </w:tcPr>
          <w:p w14:paraId="19F71B8D"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Define normas generales, pero carece de ajustes frente a las nuevas demandas laborales.</w:t>
            </w:r>
          </w:p>
        </w:tc>
      </w:tr>
      <w:tr w:rsidR="00EC7E7E" w:rsidRPr="00EC7E7E" w14:paraId="70A4EC2C" w14:textId="77777777" w:rsidTr="00843D6E">
        <w:trPr>
          <w:trHeight w:val="986"/>
        </w:trPr>
        <w:tc>
          <w:tcPr>
            <w:tcW w:w="0" w:type="auto"/>
            <w:hideMark/>
          </w:tcPr>
          <w:p w14:paraId="76E4CD45"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Lineamientos de la SUNEDU para el licenciamiento</w:t>
            </w:r>
          </w:p>
        </w:tc>
        <w:tc>
          <w:tcPr>
            <w:tcW w:w="0" w:type="auto"/>
            <w:hideMark/>
          </w:tcPr>
          <w:p w14:paraId="42A3BA2A"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SUNEDU</w:t>
            </w:r>
          </w:p>
        </w:tc>
        <w:tc>
          <w:tcPr>
            <w:tcW w:w="0" w:type="auto"/>
            <w:hideMark/>
          </w:tcPr>
          <w:p w14:paraId="1E29BEE4"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2018</w:t>
            </w:r>
          </w:p>
        </w:tc>
        <w:tc>
          <w:tcPr>
            <w:tcW w:w="0" w:type="auto"/>
            <w:hideMark/>
          </w:tcPr>
          <w:p w14:paraId="428CFE4E"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Alta: referencia normativa nacional para calidad educativa</w:t>
            </w:r>
          </w:p>
        </w:tc>
        <w:tc>
          <w:tcPr>
            <w:tcW w:w="0" w:type="auto"/>
            <w:hideMark/>
          </w:tcPr>
          <w:p w14:paraId="3604C922"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Exige pertinencia curricular y actualización periódica, no cumplida en la Escuela de Contabilidad.</w:t>
            </w:r>
          </w:p>
        </w:tc>
      </w:tr>
      <w:tr w:rsidR="00EC7E7E" w:rsidRPr="00EC7E7E" w14:paraId="45637921" w14:textId="77777777" w:rsidTr="00843D6E">
        <w:trPr>
          <w:trHeight w:val="590"/>
        </w:trPr>
        <w:tc>
          <w:tcPr>
            <w:tcW w:w="0" w:type="auto"/>
            <w:hideMark/>
          </w:tcPr>
          <w:p w14:paraId="0205577D"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lastRenderedPageBreak/>
              <w:t>Normas Internacionales de Información Financiera (NIIF)</w:t>
            </w:r>
          </w:p>
        </w:tc>
        <w:tc>
          <w:tcPr>
            <w:tcW w:w="0" w:type="auto"/>
            <w:hideMark/>
          </w:tcPr>
          <w:p w14:paraId="21FA017F"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IASB</w:t>
            </w:r>
          </w:p>
        </w:tc>
        <w:tc>
          <w:tcPr>
            <w:tcW w:w="0" w:type="auto"/>
            <w:hideMark/>
          </w:tcPr>
          <w:p w14:paraId="0F1829A0"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2020</w:t>
            </w:r>
          </w:p>
        </w:tc>
        <w:tc>
          <w:tcPr>
            <w:tcW w:w="0" w:type="auto"/>
            <w:hideMark/>
          </w:tcPr>
          <w:p w14:paraId="2D01AA5B"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Alta: competencias obligatorias en el ejercicio profesional</w:t>
            </w:r>
          </w:p>
        </w:tc>
        <w:tc>
          <w:tcPr>
            <w:tcW w:w="0" w:type="auto"/>
            <w:hideMark/>
          </w:tcPr>
          <w:p w14:paraId="33F1269F"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No hay evidencia de incorporación plena en el currículo vigente.</w:t>
            </w:r>
          </w:p>
        </w:tc>
      </w:tr>
      <w:tr w:rsidR="00EC7E7E" w:rsidRPr="00EC7E7E" w14:paraId="7C75D0F2" w14:textId="77777777" w:rsidTr="00843D6E">
        <w:trPr>
          <w:trHeight w:val="144"/>
        </w:trPr>
        <w:tc>
          <w:tcPr>
            <w:tcW w:w="0" w:type="auto"/>
            <w:hideMark/>
          </w:tcPr>
          <w:p w14:paraId="142AB8E3" w14:textId="77777777" w:rsidR="00EC7E7E" w:rsidRPr="00EC7E7E" w:rsidRDefault="00EC7E7E" w:rsidP="00EC7E7E">
            <w:pPr>
              <w:spacing w:line="276" w:lineRule="auto"/>
              <w:jc w:val="both"/>
              <w:rPr>
                <w:rFonts w:ascii="Times New Roman" w:eastAsia="Aptos" w:hAnsi="Times New Roman" w:cs="Times New Roman"/>
                <w:lang w:val="es-PE"/>
              </w:rPr>
            </w:pPr>
          </w:p>
          <w:p w14:paraId="4603A465"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Informe sobre la cuarta revolución industrial y contabilidad</w:t>
            </w:r>
          </w:p>
        </w:tc>
        <w:tc>
          <w:tcPr>
            <w:tcW w:w="0" w:type="auto"/>
            <w:hideMark/>
          </w:tcPr>
          <w:p w14:paraId="14C69EEB" w14:textId="77777777" w:rsidR="00EC7E7E" w:rsidRPr="00EC7E7E" w:rsidRDefault="00EC7E7E" w:rsidP="00EC7E7E">
            <w:pPr>
              <w:spacing w:line="276" w:lineRule="auto"/>
              <w:jc w:val="both"/>
              <w:rPr>
                <w:rFonts w:ascii="Times New Roman" w:eastAsia="Aptos" w:hAnsi="Times New Roman" w:cs="Times New Roman"/>
                <w:lang w:val="es-PE"/>
              </w:rPr>
            </w:pPr>
          </w:p>
          <w:p w14:paraId="22CB6A40"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Revista Colombiana de Contabilidad (Acevedo et al.)</w:t>
            </w:r>
          </w:p>
        </w:tc>
        <w:tc>
          <w:tcPr>
            <w:tcW w:w="0" w:type="auto"/>
            <w:hideMark/>
          </w:tcPr>
          <w:p w14:paraId="70B7DAA9"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2022</w:t>
            </w:r>
          </w:p>
        </w:tc>
        <w:tc>
          <w:tcPr>
            <w:tcW w:w="0" w:type="auto"/>
            <w:hideMark/>
          </w:tcPr>
          <w:p w14:paraId="584C7530"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Alta: vincula la profesión contable con tecnologías disruptivas</w:t>
            </w:r>
          </w:p>
        </w:tc>
        <w:tc>
          <w:tcPr>
            <w:tcW w:w="0" w:type="auto"/>
            <w:hideMark/>
          </w:tcPr>
          <w:p w14:paraId="08388C94"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Recomienda formar contadores en IA, </w:t>
            </w:r>
            <w:proofErr w:type="spellStart"/>
            <w:r w:rsidRPr="00EC7E7E">
              <w:rPr>
                <w:rFonts w:ascii="Times New Roman" w:eastAsia="Aptos" w:hAnsi="Times New Roman" w:cs="Times New Roman"/>
                <w:lang w:val="es-PE"/>
              </w:rPr>
              <w:t>blockchain</w:t>
            </w:r>
            <w:proofErr w:type="spellEnd"/>
            <w:r w:rsidRPr="00EC7E7E">
              <w:rPr>
                <w:rFonts w:ascii="Times New Roman" w:eastAsia="Aptos" w:hAnsi="Times New Roman" w:cs="Times New Roman"/>
                <w:lang w:val="es-PE"/>
              </w:rPr>
              <w:t xml:space="preserve"> y </w:t>
            </w:r>
            <w:proofErr w:type="spellStart"/>
            <w:r w:rsidRPr="00EC7E7E">
              <w:rPr>
                <w:rFonts w:ascii="Times New Roman" w:eastAsia="Aptos" w:hAnsi="Times New Roman" w:cs="Times New Roman"/>
                <w:lang w:val="es-PE"/>
              </w:rPr>
              <w:t>big</w:t>
            </w:r>
            <w:proofErr w:type="spellEnd"/>
            <w:r w:rsidRPr="00EC7E7E">
              <w:rPr>
                <w:rFonts w:ascii="Times New Roman" w:eastAsia="Aptos" w:hAnsi="Times New Roman" w:cs="Times New Roman"/>
                <w:lang w:val="es-PE"/>
              </w:rPr>
              <w:t xml:space="preserve"> data.</w:t>
            </w:r>
          </w:p>
        </w:tc>
      </w:tr>
      <w:tr w:rsidR="00EC7E7E" w:rsidRPr="00EC7E7E" w14:paraId="6299EA4F" w14:textId="77777777" w:rsidTr="00843D6E">
        <w:trPr>
          <w:trHeight w:val="869"/>
        </w:trPr>
        <w:tc>
          <w:tcPr>
            <w:tcW w:w="0" w:type="auto"/>
            <w:hideMark/>
          </w:tcPr>
          <w:p w14:paraId="4EDDC32F" w14:textId="77777777" w:rsidR="00EC7E7E" w:rsidRPr="00EC7E7E" w:rsidRDefault="00EC7E7E" w:rsidP="00EC7E7E">
            <w:pPr>
              <w:spacing w:line="276" w:lineRule="auto"/>
              <w:jc w:val="both"/>
              <w:rPr>
                <w:rFonts w:ascii="Times New Roman" w:eastAsia="Aptos" w:hAnsi="Times New Roman" w:cs="Times New Roman"/>
                <w:lang w:val="es-PE"/>
              </w:rPr>
            </w:pPr>
          </w:p>
          <w:p w14:paraId="2C95B1E0"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Directrices de competencias digitales en educación superior</w:t>
            </w:r>
          </w:p>
        </w:tc>
        <w:tc>
          <w:tcPr>
            <w:tcW w:w="0" w:type="auto"/>
            <w:hideMark/>
          </w:tcPr>
          <w:p w14:paraId="05D5A303" w14:textId="77777777" w:rsidR="00EC7E7E" w:rsidRPr="00EC7E7E" w:rsidRDefault="00EC7E7E" w:rsidP="00EC7E7E">
            <w:pPr>
              <w:spacing w:line="276" w:lineRule="auto"/>
              <w:jc w:val="both"/>
              <w:rPr>
                <w:rFonts w:ascii="Times New Roman" w:eastAsia="Aptos" w:hAnsi="Times New Roman" w:cs="Times New Roman"/>
                <w:lang w:val="es-PE"/>
              </w:rPr>
            </w:pPr>
          </w:p>
          <w:p w14:paraId="6FDB6C40"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MINEDU / UNESCO</w:t>
            </w:r>
          </w:p>
        </w:tc>
        <w:tc>
          <w:tcPr>
            <w:tcW w:w="0" w:type="auto"/>
            <w:hideMark/>
          </w:tcPr>
          <w:p w14:paraId="4FD4BC00" w14:textId="77777777" w:rsidR="00EC7E7E" w:rsidRPr="00EC7E7E" w:rsidRDefault="00EC7E7E" w:rsidP="00EC7E7E">
            <w:pPr>
              <w:spacing w:line="276" w:lineRule="auto"/>
              <w:jc w:val="both"/>
              <w:rPr>
                <w:rFonts w:ascii="Times New Roman" w:eastAsia="Aptos" w:hAnsi="Times New Roman" w:cs="Times New Roman"/>
                <w:lang w:val="es-PE"/>
              </w:rPr>
            </w:pPr>
          </w:p>
          <w:p w14:paraId="2F3D2371"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2021</w:t>
            </w:r>
          </w:p>
        </w:tc>
        <w:tc>
          <w:tcPr>
            <w:tcW w:w="0" w:type="auto"/>
            <w:hideMark/>
          </w:tcPr>
          <w:p w14:paraId="57857EEA"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Alta: orienta sobre competencias digitales en formación universitaria</w:t>
            </w:r>
          </w:p>
        </w:tc>
        <w:tc>
          <w:tcPr>
            <w:tcW w:w="0" w:type="auto"/>
            <w:hideMark/>
          </w:tcPr>
          <w:p w14:paraId="3762C12F" w14:textId="77777777" w:rsidR="00EC7E7E" w:rsidRPr="00EC7E7E" w:rsidRDefault="00EC7E7E" w:rsidP="00EC7E7E">
            <w:pPr>
              <w:spacing w:line="276" w:lineRule="auto"/>
              <w:jc w:val="both"/>
              <w:rPr>
                <w:rFonts w:ascii="Times New Roman" w:eastAsia="Aptos" w:hAnsi="Times New Roman" w:cs="Times New Roman"/>
                <w:lang w:val="es-PE"/>
              </w:rPr>
            </w:pPr>
            <w:r w:rsidRPr="00EC7E7E">
              <w:rPr>
                <w:rFonts w:ascii="Times New Roman" w:eastAsia="Aptos" w:hAnsi="Times New Roman" w:cs="Times New Roman"/>
                <w:lang w:val="es-PE"/>
              </w:rPr>
              <w:t>Documento clave para orientar la modernización curricular en la UTEA.</w:t>
            </w:r>
          </w:p>
        </w:tc>
      </w:tr>
    </w:tbl>
    <w:p w14:paraId="45BEC86B" w14:textId="77777777" w:rsidR="00EC7E7E" w:rsidRPr="00EC7E7E" w:rsidRDefault="00EC7E7E" w:rsidP="00EC7E7E">
      <w:pPr>
        <w:spacing w:after="0" w:line="276" w:lineRule="auto"/>
        <w:jc w:val="both"/>
        <w:rPr>
          <w:rFonts w:ascii="Times New Roman" w:eastAsia="Aptos" w:hAnsi="Times New Roman" w:cs="Times New Roman"/>
          <w:lang w:val="es-PE"/>
        </w:rPr>
      </w:pPr>
    </w:p>
    <w:p w14:paraId="431B840B"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Según esta revisión documental, el plan curricular de la Escuela Profesional de Contabilidad de la UTEA, aprobado en 2016, muestra un retraso significativo en la demanda actual del mercado laboral. Este plan curricular, vigente durante casi 10 años, no cubre temas fundamentales de contabilidad, incluyendo inteligencia artificial, </w:t>
      </w:r>
      <w:proofErr w:type="spellStart"/>
      <w:r w:rsidRPr="00EC7E7E">
        <w:rPr>
          <w:rFonts w:ascii="Times New Roman" w:eastAsia="Aptos" w:hAnsi="Times New Roman" w:cs="Times New Roman"/>
          <w:lang w:val="es-PE"/>
        </w:rPr>
        <w:t>blockchain</w:t>
      </w:r>
      <w:proofErr w:type="spellEnd"/>
      <w:r w:rsidRPr="00EC7E7E">
        <w:rPr>
          <w:rFonts w:ascii="Times New Roman" w:eastAsia="Aptos" w:hAnsi="Times New Roman" w:cs="Times New Roman"/>
          <w:lang w:val="es-PE"/>
        </w:rPr>
        <w:t xml:space="preserve">, </w:t>
      </w:r>
      <w:proofErr w:type="spellStart"/>
      <w:r w:rsidRPr="00EC7E7E">
        <w:rPr>
          <w:rFonts w:ascii="Times New Roman" w:eastAsia="Aptos" w:hAnsi="Times New Roman" w:cs="Times New Roman"/>
          <w:lang w:val="es-PE"/>
        </w:rPr>
        <w:t>big</w:t>
      </w:r>
      <w:proofErr w:type="spellEnd"/>
      <w:r w:rsidRPr="00EC7E7E">
        <w:rPr>
          <w:rFonts w:ascii="Times New Roman" w:eastAsia="Aptos" w:hAnsi="Times New Roman" w:cs="Times New Roman"/>
          <w:lang w:val="es-PE"/>
        </w:rPr>
        <w:t xml:space="preserve"> data y sistemas ERP.</w:t>
      </w:r>
    </w:p>
    <w:p w14:paraId="11A5654D"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En segundo lugar, a pesar de que el currículo fue aprobado desde 2016, el Reglamento Académico permanece estático, contrario a las recomendaciones de SUNEDU y las competencias digitales de MINEDU/UNESCO. La falta de integración de las NIIF y las brechas de formación en desarrollo tecnológico significan que los graduados no están preparados para enfrentar los desafíos planteados por la cuarta revolución industrial. En resumen, esta investigación revela una deficiencia estructural entre la formación proporcionada en la UTEA y lo que el mercado necesita, y cuán importante es para la empleabilidad y la relevancia académica del camino contable. Los datos se recopilaron a través de cuestionarios a personal graduado, entrevistas con empleadores y docentes y de la revisión documental para revelar correlaciones sustanciales sobre las debilidades en las competencias contables enseñadas en la UTEA. Los mayores desafíos identificados por los graduados fueron el plan de estudios obsoleto (52%, a un nivel alto), la falta de competencias digitales y tecnológicas (50%, a un alto nivel de logro) y la falta de educación en habilidades blandas (48%, a un nivel alto). </w:t>
      </w:r>
    </w:p>
    <w:p w14:paraId="112C0382"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Estos hallazgos también recibieron apoyo de los empleadores, quienes mencionaron que los contadores requieren la importancia de utilizar proficientemente herramientas digitales disruptivas, estar bien versados en análisis, incluyendo la capacidad de realizar análisis financieros, así como aprender habilidades </w:t>
      </w:r>
      <w:r w:rsidRPr="00EC7E7E">
        <w:rPr>
          <w:rFonts w:ascii="Times New Roman" w:eastAsia="Aptos" w:hAnsi="Times New Roman" w:cs="Times New Roman"/>
          <w:lang w:val="es-PE"/>
        </w:rPr>
        <w:lastRenderedPageBreak/>
        <w:t>socioemocionales para desempeñarse en el trabajo. A su vez, los docentes entrevistados reconocieron que el plan curricular aprobado en 2016 hoy no responde a la demanda del mercado laboral. De manera similar, señalaron la importancia de incorporar cursos orientados a la aplicación de nuevas tecnologías y el fortalecimiento de competencias transversales, aunque también citaron las limitaciones institucionales y regulatorias encontradas que han afectado los procesos de desarrollo de revisiones curriculares. La revisión documental también confirmó la ausencia de disposiciones explícitas sobre el desarrollo de tecnología emergente y habilidades blandas, y confirmó que el plan de estudios propuesto permanece durante casi una década sin cambios significativos.</w:t>
      </w:r>
    </w:p>
    <w:p w14:paraId="608F3F1B" w14:textId="77777777" w:rsidR="00EC7E7E" w:rsidRPr="00EC7E7E" w:rsidRDefault="00EC7E7E" w:rsidP="00EC7E7E">
      <w:pPr>
        <w:keepNext/>
        <w:keepLines/>
        <w:numPr>
          <w:ilvl w:val="0"/>
          <w:numId w:val="2"/>
        </w:numPr>
        <w:spacing w:after="0" w:line="276" w:lineRule="auto"/>
        <w:ind w:left="426"/>
        <w:jc w:val="both"/>
        <w:outlineLvl w:val="0"/>
        <w:rPr>
          <w:rFonts w:ascii="Times New Roman" w:eastAsia="Times New Roman" w:hAnsi="Times New Roman" w:cs="Times New Roman"/>
          <w:b/>
          <w:lang w:val="es-PE"/>
        </w:rPr>
      </w:pPr>
      <w:bookmarkStart w:id="9" w:name="_Toc208284108"/>
      <w:r w:rsidRPr="00EC7E7E">
        <w:rPr>
          <w:rFonts w:ascii="Times New Roman" w:eastAsia="Times New Roman" w:hAnsi="Times New Roman" w:cs="Times New Roman"/>
          <w:b/>
          <w:lang w:val="es-PE"/>
        </w:rPr>
        <w:t>Discusión</w:t>
      </w:r>
      <w:bookmarkEnd w:id="9"/>
    </w:p>
    <w:p w14:paraId="7274E771" w14:textId="305977CF" w:rsid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Esta investigación encontró que, en la Universidad Tecnológica de los Andes, en el contexto de los graduados del programa de Contabilidad, no solo existen deficiencias en el área de competencias laborales, sino también en el desarrollo de habilidades blandas, lo que limita severamente la adecuada colocación de estos graduados en el mercado laboral regional. Esto coincide con lo encontrado por Mariani (2019), quien halló una brecha entre las habilidades blandas que los empleadores valoran en la contabilidad pública y las que se desarrollan en las universidades. De manera similar, Acevedo et al. (2022) revelan la urgente necesidad de adaptar los perfiles profesionales para satisfacer las necesidades de la Cuarta Revolución Industrial. Las habilidades de comunicación—los niveles pobres de competencia caracterizaron a los encuestados en el presente estudio de habilidades de comunicación, lo cual se refleja en el nivel de investigación de </w:t>
      </w:r>
      <w:proofErr w:type="spellStart"/>
      <w:r w:rsidRPr="00EC7E7E">
        <w:rPr>
          <w:rFonts w:ascii="Times New Roman" w:eastAsia="Aptos" w:hAnsi="Times New Roman" w:cs="Times New Roman"/>
          <w:lang w:val="es-PE"/>
        </w:rPr>
        <w:t>Riccio</w:t>
      </w:r>
      <w:proofErr w:type="spellEnd"/>
      <w:r w:rsidRPr="00EC7E7E">
        <w:rPr>
          <w:rFonts w:ascii="Times New Roman" w:eastAsia="Aptos" w:hAnsi="Times New Roman" w:cs="Times New Roman"/>
          <w:lang w:val="es-PE"/>
        </w:rPr>
        <w:t xml:space="preserve"> et al. (2020), en el que los empleadores priorizan la comunicación efectiva como una competencia esencial en entornos colaborativos y dinámicos. La coincidencia refuerza la necesidad de construir estas habilidades desde temprano en las trayectorias de formación profesional. De manera similar, el análisis de estadísticas descriptivas de los datos identificó habilidades de liderazgo, gestión del tiempo y resolución de problemas subdesarrolladas, en línea con los informes de Gómez et al. (2021), quienes destacaron que estas habilidades han sido tradicionalmente subvaloradas en una estructura curricular. La desalineación entre el currículo universitario actual (que ha estado funcionando sin ninguna actualización durante más de 10 años) y las condiciones productivas de la industria es una barrera fundamental en la preparación de contadores competitivos, lo cual se verifica. Además, los resultados destacan la relevancia de incorporar innovaciones digitales, nuevas y avanzadas tecnologías, como la inteligencia artificial y el análisis de datos dentro de la educación contable, como se argumenta en la investigación propuesta por Londoño y Castaño (2022), que sugiere que un contador moderno debería trabajar en ecosistemas digitales complejos. Por último, los hallazgos confirman la sugerencia teórica de que las competencias laborales no se refieren solo al conocimiento experto, sino más bien a un conjunto de habilidades transversales, actitudinales y digitales para satisfacer las demandas actuales en organizaciones públicas y privadas. Por lo tanto, existe una </w:t>
      </w:r>
      <w:r w:rsidRPr="00EC7E7E">
        <w:rPr>
          <w:rFonts w:ascii="Times New Roman" w:eastAsia="Aptos" w:hAnsi="Times New Roman" w:cs="Times New Roman"/>
          <w:lang w:val="es-PE"/>
        </w:rPr>
        <w:lastRenderedPageBreak/>
        <w:t>necesidad urgente de revisar el currículo de Contabilidad en la UTEA, y la necesidad de más módulos prácticos y talleres interdisciplinarios que aseguren el fortalecimiento de estas competencias.</w:t>
      </w:r>
    </w:p>
    <w:p w14:paraId="73560162"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p>
    <w:p w14:paraId="09DFC4D4" w14:textId="77777777" w:rsidR="00EC7E7E" w:rsidRPr="00EC7E7E" w:rsidRDefault="00EC7E7E" w:rsidP="00EC7E7E">
      <w:pPr>
        <w:keepNext/>
        <w:keepLines/>
        <w:spacing w:after="0" w:line="276" w:lineRule="auto"/>
        <w:jc w:val="both"/>
        <w:outlineLvl w:val="0"/>
        <w:rPr>
          <w:rFonts w:ascii="Times New Roman" w:eastAsia="Times New Roman" w:hAnsi="Times New Roman" w:cs="Times New Roman"/>
          <w:b/>
          <w:lang w:val="es-PE"/>
        </w:rPr>
      </w:pPr>
      <w:bookmarkStart w:id="10" w:name="_Toc208284109"/>
      <w:r w:rsidRPr="00EC7E7E">
        <w:rPr>
          <w:rFonts w:ascii="Times New Roman" w:eastAsia="Times New Roman" w:hAnsi="Times New Roman" w:cs="Times New Roman"/>
          <w:b/>
          <w:lang w:val="es-PE"/>
        </w:rPr>
        <w:t>Conclusiones</w:t>
      </w:r>
      <w:bookmarkEnd w:id="10"/>
    </w:p>
    <w:p w14:paraId="688EA658"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Los resultados de las encuestas a empleadores revelaron que 40% de las empresas consideran que los graduados en contabilidad no poseen los conocimientos técnicos suficientes en áreas clave como el uso de software contable y las normas internacionales de contabilidad (NIIF). Solo un 30% de los egresados considera tener un dominio completo en estas áreas. Este desajuste refleja la brecha significativa en la formación técnica de los graduados, lo que limita su empleabilidad en el sector. La revisión documentaria del currículo también muestra que no se han actualizado los contenidos sobre herramientas tecnológicas en los últimos 10 años.</w:t>
      </w:r>
    </w:p>
    <w:p w14:paraId="43907A0D"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En las encuestas a empleadores, un 52% destacó que las habilidades blandas como comunicación, trabajo en equipo y liderazgo son esenciales para un desempeño exitoso en el entorno laboral. Sin embargo, un 28% de los egresados no aplican estas habilidades de manera efectiva, especialmente en comunicación efectiva y resolución de problemas. Los docentes indicaron que las habilidades blandas no se abordan de manera </w:t>
      </w:r>
      <w:bookmarkStart w:id="11" w:name="_GoBack"/>
      <w:r w:rsidRPr="00EC7E7E">
        <w:rPr>
          <w:rFonts w:ascii="Times New Roman" w:eastAsia="Aptos" w:hAnsi="Times New Roman" w:cs="Times New Roman"/>
          <w:lang w:val="es-PE"/>
        </w:rPr>
        <w:t xml:space="preserve">suficientemente intensa en el currículo, lo que contribuye a una percepción de </w:t>
      </w:r>
      <w:bookmarkEnd w:id="11"/>
      <w:r w:rsidRPr="00EC7E7E">
        <w:rPr>
          <w:rFonts w:ascii="Times New Roman" w:eastAsia="Aptos" w:hAnsi="Times New Roman" w:cs="Times New Roman"/>
          <w:lang w:val="es-PE"/>
        </w:rPr>
        <w:t>insuficiencia de estas competencias en los egresados. En particular, el 74% de los docentes opinan que se debe fortalecer la enseñanza de estas habilidades en los programas de contabilidad.</w:t>
      </w:r>
    </w:p>
    <w:p w14:paraId="18A716C6"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La revisión documentaria del plan curricular muestra que el currículo de la UTEA tiene más de 10 años sin modificaciones, lo que genera una desalineación con las necesidades actuales del mercado laboral. Los resultados de las encuestas a empleadores y egresados refuerzan esta observación, ya que un 62% de los empleadores consideraron que las competencias digitales y el manejo de herramientas tecnológicas deberían ser parte fundamental del currículo. Sin embargo, el plan curricular actual no incluye módulos dedicados a la contabilidad digital ni al uso de herramientas disruptivas, lo que refleja una falta de adaptación a las exigencias del mercado.</w:t>
      </w:r>
    </w:p>
    <w:p w14:paraId="5D21596F" w14:textId="45800DDA" w:rsidR="00EC7E7E" w:rsidRDefault="00EC7E7E" w:rsidP="00EC7E7E">
      <w:pPr>
        <w:spacing w:after="0" w:line="276" w:lineRule="auto"/>
        <w:ind w:firstLine="720"/>
        <w:jc w:val="both"/>
        <w:rPr>
          <w:rFonts w:ascii="Times New Roman" w:eastAsia="Aptos" w:hAnsi="Times New Roman" w:cs="Times New Roman"/>
          <w:lang w:val="es-PE"/>
        </w:rPr>
      </w:pPr>
      <w:r w:rsidRPr="00EC7E7E">
        <w:rPr>
          <w:rFonts w:ascii="Times New Roman" w:eastAsia="Aptos" w:hAnsi="Times New Roman" w:cs="Times New Roman"/>
          <w:lang w:val="es-PE"/>
        </w:rPr>
        <w:t>A partir de los resultados obtenidos en las encuestas a empleadores, docentes y egresados, se recomienda una revisión y actualización urgente del currículo en la carrera de Contabilidad en la UTEA. Los empleadores sugirieron la incorporación de competencias digitales como el manejo de software ERP y análisis de datos, áreas que no están suficientemente cubiertas en la formación actual. Además, se debe fortalecer las habilidades blandas mediante talleres prácticos y actividades que fomenten el trabajo en equipo, la comunicación efectiva y el pensamiento crítico, ya que estas competencias son altamente valoradas en el ámbito profesional.</w:t>
      </w:r>
    </w:p>
    <w:p w14:paraId="5CA04AC5" w14:textId="77777777" w:rsidR="00EC7E7E" w:rsidRPr="00EC7E7E" w:rsidRDefault="00EC7E7E" w:rsidP="00EC7E7E">
      <w:pPr>
        <w:spacing w:after="0" w:line="276" w:lineRule="auto"/>
        <w:ind w:firstLine="720"/>
        <w:jc w:val="both"/>
        <w:rPr>
          <w:rFonts w:ascii="Times New Roman" w:eastAsia="Aptos" w:hAnsi="Times New Roman" w:cs="Times New Roman"/>
          <w:lang w:val="es-PE"/>
        </w:rPr>
      </w:pPr>
    </w:p>
    <w:p w14:paraId="6370D74E" w14:textId="77777777" w:rsidR="00EC7E7E" w:rsidRPr="00EC7E7E" w:rsidRDefault="00EC7E7E" w:rsidP="00EC7E7E">
      <w:pPr>
        <w:keepNext/>
        <w:keepLines/>
        <w:spacing w:after="0" w:line="276" w:lineRule="auto"/>
        <w:jc w:val="both"/>
        <w:outlineLvl w:val="0"/>
        <w:rPr>
          <w:rFonts w:ascii="Times New Roman" w:eastAsia="Times New Roman" w:hAnsi="Times New Roman" w:cs="Times New Roman"/>
          <w:b/>
          <w:lang w:val="en-US"/>
        </w:rPr>
      </w:pPr>
      <w:bookmarkStart w:id="12" w:name="_Toc208284110"/>
      <w:proofErr w:type="spellStart"/>
      <w:r w:rsidRPr="00EC7E7E">
        <w:rPr>
          <w:rFonts w:ascii="Times New Roman" w:eastAsia="Times New Roman" w:hAnsi="Times New Roman" w:cs="Times New Roman"/>
          <w:b/>
          <w:lang w:val="en-US"/>
        </w:rPr>
        <w:lastRenderedPageBreak/>
        <w:t>Referencias</w:t>
      </w:r>
      <w:bookmarkEnd w:id="12"/>
      <w:proofErr w:type="spellEnd"/>
    </w:p>
    <w:p w14:paraId="7B00BF52" w14:textId="77777777" w:rsidR="00EC7E7E" w:rsidRPr="00EC7E7E" w:rsidRDefault="00EC7E7E" w:rsidP="00EC7E7E">
      <w:pPr>
        <w:spacing w:after="0" w:line="276" w:lineRule="auto"/>
        <w:jc w:val="both"/>
        <w:rPr>
          <w:rFonts w:ascii="Times New Roman" w:eastAsia="Aptos" w:hAnsi="Times New Roman" w:cs="Times New Roman"/>
          <w:lang w:val="en-US"/>
        </w:rPr>
      </w:pPr>
    </w:p>
    <w:p w14:paraId="66B8B3E2"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n-US"/>
        </w:rPr>
        <w:t xml:space="preserve">American Psychological Association. (2017). </w:t>
      </w:r>
      <w:r w:rsidRPr="00EC7E7E">
        <w:rPr>
          <w:rFonts w:ascii="Times New Roman" w:eastAsia="Aptos" w:hAnsi="Times New Roman" w:cs="Times New Roman"/>
          <w:i/>
          <w:iCs/>
          <w:lang w:val="en-US"/>
        </w:rPr>
        <w:t>Ethical principles of psychologists and code of conduct</w:t>
      </w:r>
      <w:r w:rsidRPr="00EC7E7E">
        <w:rPr>
          <w:rFonts w:ascii="Times New Roman" w:eastAsia="Aptos" w:hAnsi="Times New Roman" w:cs="Times New Roman"/>
          <w:lang w:val="en-US"/>
        </w:rPr>
        <w:t xml:space="preserve">. </w:t>
      </w:r>
      <w:r w:rsidRPr="00EC7E7E">
        <w:rPr>
          <w:rFonts w:ascii="Times New Roman" w:eastAsia="Aptos" w:hAnsi="Times New Roman" w:cs="Times New Roman"/>
          <w:lang w:val="es-PE"/>
        </w:rPr>
        <w:t xml:space="preserve">American </w:t>
      </w:r>
      <w:proofErr w:type="spellStart"/>
      <w:r w:rsidRPr="00EC7E7E">
        <w:rPr>
          <w:rFonts w:ascii="Times New Roman" w:eastAsia="Aptos" w:hAnsi="Times New Roman" w:cs="Times New Roman"/>
          <w:lang w:val="es-PE"/>
        </w:rPr>
        <w:t>Psychological</w:t>
      </w:r>
      <w:proofErr w:type="spellEnd"/>
      <w:r w:rsidRPr="00EC7E7E">
        <w:rPr>
          <w:rFonts w:ascii="Times New Roman" w:eastAsia="Aptos" w:hAnsi="Times New Roman" w:cs="Times New Roman"/>
          <w:lang w:val="es-PE"/>
        </w:rPr>
        <w:t xml:space="preserve"> </w:t>
      </w:r>
      <w:proofErr w:type="spellStart"/>
      <w:r w:rsidRPr="00EC7E7E">
        <w:rPr>
          <w:rFonts w:ascii="Times New Roman" w:eastAsia="Aptos" w:hAnsi="Times New Roman" w:cs="Times New Roman"/>
          <w:lang w:val="es-PE"/>
        </w:rPr>
        <w:t>Association</w:t>
      </w:r>
      <w:proofErr w:type="spellEnd"/>
      <w:r w:rsidRPr="00EC7E7E">
        <w:rPr>
          <w:rFonts w:ascii="Times New Roman" w:eastAsia="Aptos" w:hAnsi="Times New Roman" w:cs="Times New Roman"/>
          <w:lang w:val="es-PE"/>
        </w:rPr>
        <w:t>.</w:t>
      </w:r>
    </w:p>
    <w:p w14:paraId="56D9D21F"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Castro, L., &amp; Vega, M. (2021). Competencias digitales en la formación contable universitaria en Perú. </w:t>
      </w:r>
      <w:r w:rsidRPr="00EC7E7E">
        <w:rPr>
          <w:rFonts w:ascii="Times New Roman" w:eastAsia="Aptos" w:hAnsi="Times New Roman" w:cs="Times New Roman"/>
          <w:i/>
          <w:iCs/>
          <w:lang w:val="es-PE"/>
        </w:rPr>
        <w:t>Contaduría y Administración, 66</w:t>
      </w:r>
      <w:r w:rsidRPr="00EC7E7E">
        <w:rPr>
          <w:rFonts w:ascii="Times New Roman" w:eastAsia="Aptos" w:hAnsi="Times New Roman" w:cs="Times New Roman"/>
          <w:lang w:val="es-PE"/>
        </w:rPr>
        <w:t xml:space="preserve">(4), 1–19. </w:t>
      </w:r>
      <w:hyperlink r:id="rId8" w:tgtFrame="_new" w:history="1">
        <w:r w:rsidRPr="00EC7E7E">
          <w:rPr>
            <w:rFonts w:ascii="Times New Roman" w:eastAsia="Aptos" w:hAnsi="Times New Roman" w:cs="Times New Roman"/>
            <w:color w:val="467886"/>
            <w:u w:val="single"/>
            <w:lang w:val="es-PE"/>
          </w:rPr>
          <w:t>https://doi.org/10.22201/fca.24488410e.2021.2884</w:t>
        </w:r>
      </w:hyperlink>
    </w:p>
    <w:p w14:paraId="7D5ED41D" w14:textId="77777777" w:rsidR="00EC7E7E" w:rsidRPr="00EC7E7E" w:rsidRDefault="00EC7E7E" w:rsidP="00EC7E7E">
      <w:pPr>
        <w:spacing w:after="0" w:line="276" w:lineRule="auto"/>
        <w:ind w:left="709" w:hanging="709"/>
        <w:jc w:val="both"/>
        <w:rPr>
          <w:rFonts w:ascii="Times New Roman" w:eastAsia="Aptos" w:hAnsi="Times New Roman" w:cs="Times New Roman"/>
          <w:lang w:val="en-US"/>
        </w:rPr>
      </w:pPr>
      <w:r w:rsidRPr="00EC7E7E">
        <w:rPr>
          <w:rFonts w:ascii="Times New Roman" w:eastAsia="Aptos" w:hAnsi="Times New Roman" w:cs="Times New Roman"/>
          <w:lang w:val="es-PE"/>
        </w:rPr>
        <w:t xml:space="preserve">Creswell, J. W., &amp; Plano Clark, V. L. (2018). </w:t>
      </w:r>
      <w:r w:rsidRPr="00EC7E7E">
        <w:rPr>
          <w:rFonts w:ascii="Times New Roman" w:eastAsia="Aptos" w:hAnsi="Times New Roman" w:cs="Times New Roman"/>
          <w:i/>
          <w:iCs/>
          <w:lang w:val="en-US"/>
        </w:rPr>
        <w:t>Designing and conducting mixed methods research</w:t>
      </w:r>
      <w:r w:rsidRPr="00EC7E7E">
        <w:rPr>
          <w:rFonts w:ascii="Times New Roman" w:eastAsia="Aptos" w:hAnsi="Times New Roman" w:cs="Times New Roman"/>
          <w:lang w:val="en-US"/>
        </w:rPr>
        <w:t xml:space="preserve"> (3rd ed.). SAGE Publications.</w:t>
      </w:r>
    </w:p>
    <w:p w14:paraId="39FC491B"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n-US"/>
        </w:rPr>
        <w:t xml:space="preserve">Flick, U. (2015). </w:t>
      </w:r>
      <w:r w:rsidRPr="00EC7E7E">
        <w:rPr>
          <w:rFonts w:ascii="Times New Roman" w:eastAsia="Aptos" w:hAnsi="Times New Roman" w:cs="Times New Roman"/>
          <w:i/>
          <w:iCs/>
          <w:lang w:val="en-US"/>
        </w:rPr>
        <w:t>Introducing research methodology: A beginner’s guide to doing a research project</w:t>
      </w:r>
      <w:r w:rsidRPr="00EC7E7E">
        <w:rPr>
          <w:rFonts w:ascii="Times New Roman" w:eastAsia="Aptos" w:hAnsi="Times New Roman" w:cs="Times New Roman"/>
          <w:lang w:val="en-US"/>
        </w:rPr>
        <w:t xml:space="preserve"> (2nd ed.). </w:t>
      </w:r>
      <w:r w:rsidRPr="00EC7E7E">
        <w:rPr>
          <w:rFonts w:ascii="Times New Roman" w:eastAsia="Aptos" w:hAnsi="Times New Roman" w:cs="Times New Roman"/>
          <w:lang w:val="es-PE"/>
        </w:rPr>
        <w:t xml:space="preserve">SAGE </w:t>
      </w:r>
      <w:proofErr w:type="spellStart"/>
      <w:r w:rsidRPr="00EC7E7E">
        <w:rPr>
          <w:rFonts w:ascii="Times New Roman" w:eastAsia="Aptos" w:hAnsi="Times New Roman" w:cs="Times New Roman"/>
          <w:lang w:val="es-PE"/>
        </w:rPr>
        <w:t>Publications</w:t>
      </w:r>
      <w:proofErr w:type="spellEnd"/>
      <w:r w:rsidRPr="00EC7E7E">
        <w:rPr>
          <w:rFonts w:ascii="Times New Roman" w:eastAsia="Aptos" w:hAnsi="Times New Roman" w:cs="Times New Roman"/>
          <w:lang w:val="es-PE"/>
        </w:rPr>
        <w:t>.</w:t>
      </w:r>
    </w:p>
    <w:p w14:paraId="1E8D724B"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Gómez, J., &amp; Janampa, N. (2020). El contador público frente a la cuarta revolución industrial. </w:t>
      </w:r>
      <w:proofErr w:type="spellStart"/>
      <w:r w:rsidRPr="00EC7E7E">
        <w:rPr>
          <w:rFonts w:ascii="Times New Roman" w:eastAsia="Aptos" w:hAnsi="Times New Roman" w:cs="Times New Roman"/>
          <w:i/>
          <w:iCs/>
          <w:lang w:val="es-PE"/>
        </w:rPr>
        <w:t>Quipukamayoc</w:t>
      </w:r>
      <w:proofErr w:type="spellEnd"/>
      <w:r w:rsidRPr="00EC7E7E">
        <w:rPr>
          <w:rFonts w:ascii="Times New Roman" w:eastAsia="Aptos" w:hAnsi="Times New Roman" w:cs="Times New Roman"/>
          <w:i/>
          <w:iCs/>
          <w:lang w:val="es-PE"/>
        </w:rPr>
        <w:t>, 28</w:t>
      </w:r>
      <w:r w:rsidRPr="00EC7E7E">
        <w:rPr>
          <w:rFonts w:ascii="Times New Roman" w:eastAsia="Aptos" w:hAnsi="Times New Roman" w:cs="Times New Roman"/>
          <w:lang w:val="es-PE"/>
        </w:rPr>
        <w:t xml:space="preserve">(57), 25–34. </w:t>
      </w:r>
      <w:hyperlink r:id="rId9" w:tgtFrame="_new" w:history="1">
        <w:r w:rsidRPr="00EC7E7E">
          <w:rPr>
            <w:rFonts w:ascii="Times New Roman" w:eastAsia="Aptos" w:hAnsi="Times New Roman" w:cs="Times New Roman"/>
            <w:color w:val="467886"/>
            <w:u w:val="single"/>
            <w:lang w:val="es-PE"/>
          </w:rPr>
          <w:t>https://doi.org/10.15381/quipu.v28i57.17156</w:t>
        </w:r>
      </w:hyperlink>
    </w:p>
    <w:p w14:paraId="336666C9" w14:textId="77777777" w:rsidR="00EC7E7E" w:rsidRPr="00EC7E7E" w:rsidRDefault="00EC7E7E" w:rsidP="00EC7E7E">
      <w:pPr>
        <w:spacing w:after="0" w:line="276" w:lineRule="auto"/>
        <w:ind w:left="709" w:hanging="709"/>
        <w:jc w:val="both"/>
        <w:rPr>
          <w:rFonts w:ascii="Times New Roman" w:eastAsia="Aptos" w:hAnsi="Times New Roman" w:cs="Times New Roman"/>
          <w:lang w:val="en-US"/>
        </w:rPr>
      </w:pPr>
      <w:r w:rsidRPr="00EC7E7E">
        <w:rPr>
          <w:rFonts w:ascii="Times New Roman" w:eastAsia="Aptos" w:hAnsi="Times New Roman" w:cs="Times New Roman"/>
          <w:lang w:val="es-PE"/>
        </w:rPr>
        <w:t xml:space="preserve">Hernández, R., Fernández, C., &amp; Baptista, P. (2014). </w:t>
      </w:r>
      <w:r w:rsidRPr="00EC7E7E">
        <w:rPr>
          <w:rFonts w:ascii="Times New Roman" w:eastAsia="Aptos" w:hAnsi="Times New Roman" w:cs="Times New Roman"/>
          <w:i/>
          <w:iCs/>
          <w:lang w:val="es-PE"/>
        </w:rPr>
        <w:t>Metodología de la investigación</w:t>
      </w:r>
      <w:r w:rsidRPr="00EC7E7E">
        <w:rPr>
          <w:rFonts w:ascii="Times New Roman" w:eastAsia="Aptos" w:hAnsi="Times New Roman" w:cs="Times New Roman"/>
          <w:lang w:val="es-PE"/>
        </w:rPr>
        <w:t xml:space="preserve"> (6.ª ed.). </w:t>
      </w:r>
      <w:r w:rsidRPr="00EC7E7E">
        <w:rPr>
          <w:rFonts w:ascii="Times New Roman" w:eastAsia="Aptos" w:hAnsi="Times New Roman" w:cs="Times New Roman"/>
          <w:lang w:val="en-US"/>
        </w:rPr>
        <w:t>McGraw-Hill.</w:t>
      </w:r>
    </w:p>
    <w:p w14:paraId="7A82080E" w14:textId="77777777" w:rsidR="00EC7E7E" w:rsidRPr="00EC7E7E" w:rsidRDefault="00EC7E7E" w:rsidP="00EC7E7E">
      <w:pPr>
        <w:spacing w:after="0" w:line="276" w:lineRule="auto"/>
        <w:ind w:left="709" w:hanging="709"/>
        <w:jc w:val="both"/>
        <w:rPr>
          <w:rFonts w:ascii="Times New Roman" w:eastAsia="Aptos" w:hAnsi="Times New Roman" w:cs="Times New Roman"/>
          <w:lang w:val="en-US"/>
        </w:rPr>
      </w:pPr>
      <w:r w:rsidRPr="00EC7E7E">
        <w:rPr>
          <w:rFonts w:ascii="Times New Roman" w:eastAsia="Aptos" w:hAnsi="Times New Roman" w:cs="Times New Roman"/>
          <w:lang w:val="en-US"/>
        </w:rPr>
        <w:t xml:space="preserve">Kerlinger, F. N., &amp; Lee, H. B. (2002). </w:t>
      </w:r>
      <w:r w:rsidRPr="00EC7E7E">
        <w:rPr>
          <w:rFonts w:ascii="Times New Roman" w:eastAsia="Aptos" w:hAnsi="Times New Roman" w:cs="Times New Roman"/>
          <w:i/>
          <w:iCs/>
          <w:lang w:val="en-US"/>
        </w:rPr>
        <w:t>Foundations of behavioral research</w:t>
      </w:r>
      <w:r w:rsidRPr="00EC7E7E">
        <w:rPr>
          <w:rFonts w:ascii="Times New Roman" w:eastAsia="Aptos" w:hAnsi="Times New Roman" w:cs="Times New Roman"/>
          <w:lang w:val="en-US"/>
        </w:rPr>
        <w:t xml:space="preserve"> (4th ed.). Holt, Rinehart and Winston.</w:t>
      </w:r>
    </w:p>
    <w:p w14:paraId="697BF586"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n-US"/>
        </w:rPr>
        <w:t xml:space="preserve">Miles, M. B., Huberman, A. M., &amp; </w:t>
      </w:r>
      <w:proofErr w:type="spellStart"/>
      <w:r w:rsidRPr="00EC7E7E">
        <w:rPr>
          <w:rFonts w:ascii="Times New Roman" w:eastAsia="Aptos" w:hAnsi="Times New Roman" w:cs="Times New Roman"/>
          <w:lang w:val="en-US"/>
        </w:rPr>
        <w:t>Saldaña</w:t>
      </w:r>
      <w:proofErr w:type="spellEnd"/>
      <w:r w:rsidRPr="00EC7E7E">
        <w:rPr>
          <w:rFonts w:ascii="Times New Roman" w:eastAsia="Aptos" w:hAnsi="Times New Roman" w:cs="Times New Roman"/>
          <w:lang w:val="en-US"/>
        </w:rPr>
        <w:t xml:space="preserve">, J. (2014). </w:t>
      </w:r>
      <w:r w:rsidRPr="00EC7E7E">
        <w:rPr>
          <w:rFonts w:ascii="Times New Roman" w:eastAsia="Aptos" w:hAnsi="Times New Roman" w:cs="Times New Roman"/>
          <w:i/>
          <w:iCs/>
          <w:lang w:val="en-US"/>
        </w:rPr>
        <w:t>Qualitative data analysis: A methods sourcebook</w:t>
      </w:r>
      <w:r w:rsidRPr="00EC7E7E">
        <w:rPr>
          <w:rFonts w:ascii="Times New Roman" w:eastAsia="Aptos" w:hAnsi="Times New Roman" w:cs="Times New Roman"/>
          <w:lang w:val="en-US"/>
        </w:rPr>
        <w:t xml:space="preserve"> (3rd ed.). </w:t>
      </w:r>
      <w:r w:rsidRPr="00EC7E7E">
        <w:rPr>
          <w:rFonts w:ascii="Times New Roman" w:eastAsia="Aptos" w:hAnsi="Times New Roman" w:cs="Times New Roman"/>
          <w:lang w:val="es-PE"/>
        </w:rPr>
        <w:t xml:space="preserve">SAGE </w:t>
      </w:r>
      <w:proofErr w:type="spellStart"/>
      <w:r w:rsidRPr="00EC7E7E">
        <w:rPr>
          <w:rFonts w:ascii="Times New Roman" w:eastAsia="Aptos" w:hAnsi="Times New Roman" w:cs="Times New Roman"/>
          <w:lang w:val="es-PE"/>
        </w:rPr>
        <w:t>Publications</w:t>
      </w:r>
      <w:proofErr w:type="spellEnd"/>
      <w:r w:rsidRPr="00EC7E7E">
        <w:rPr>
          <w:rFonts w:ascii="Times New Roman" w:eastAsia="Aptos" w:hAnsi="Times New Roman" w:cs="Times New Roman"/>
          <w:lang w:val="es-PE"/>
        </w:rPr>
        <w:t>.</w:t>
      </w:r>
    </w:p>
    <w:p w14:paraId="5386FA02"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Montaño, R., &amp; García, P. (2021). Brechas entre la educación contable y el mercado laboral: Un análisis desde Latinoamérica. </w:t>
      </w:r>
      <w:r w:rsidRPr="00EC7E7E">
        <w:rPr>
          <w:rFonts w:ascii="Times New Roman" w:eastAsia="Aptos" w:hAnsi="Times New Roman" w:cs="Times New Roman"/>
          <w:i/>
          <w:iCs/>
          <w:lang w:val="es-PE"/>
        </w:rPr>
        <w:t>Revista de Educación y Desarrollo, 56</w:t>
      </w:r>
      <w:r w:rsidRPr="00EC7E7E">
        <w:rPr>
          <w:rFonts w:ascii="Times New Roman" w:eastAsia="Aptos" w:hAnsi="Times New Roman" w:cs="Times New Roman"/>
          <w:lang w:val="es-PE"/>
        </w:rPr>
        <w:t xml:space="preserve">(3), 45–62. </w:t>
      </w:r>
      <w:hyperlink r:id="rId10" w:tgtFrame="_new" w:history="1">
        <w:r w:rsidRPr="00EC7E7E">
          <w:rPr>
            <w:rFonts w:ascii="Times New Roman" w:eastAsia="Aptos" w:hAnsi="Times New Roman" w:cs="Times New Roman"/>
            <w:color w:val="467886"/>
            <w:u w:val="single"/>
            <w:lang w:val="es-PE"/>
          </w:rPr>
          <w:t>https://doi.org/10.32870/reded.v56i3.1234</w:t>
        </w:r>
      </w:hyperlink>
    </w:p>
    <w:p w14:paraId="7C3200E1"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n-US"/>
        </w:rPr>
        <w:t xml:space="preserve">PricewaterhouseCoopers. (2022). </w:t>
      </w:r>
      <w:r w:rsidRPr="00EC7E7E">
        <w:rPr>
          <w:rFonts w:ascii="Times New Roman" w:eastAsia="Aptos" w:hAnsi="Times New Roman" w:cs="Times New Roman"/>
          <w:i/>
          <w:iCs/>
          <w:lang w:val="en-US"/>
        </w:rPr>
        <w:t>The future of finance: How AI and automation are reshaping accounting</w:t>
      </w:r>
      <w:r w:rsidRPr="00EC7E7E">
        <w:rPr>
          <w:rFonts w:ascii="Times New Roman" w:eastAsia="Aptos" w:hAnsi="Times New Roman" w:cs="Times New Roman"/>
          <w:lang w:val="en-US"/>
        </w:rPr>
        <w:t xml:space="preserve">. </w:t>
      </w:r>
      <w:r w:rsidRPr="00EC7E7E">
        <w:rPr>
          <w:rFonts w:ascii="Times New Roman" w:eastAsia="Aptos" w:hAnsi="Times New Roman" w:cs="Times New Roman"/>
          <w:lang w:val="es-PE"/>
        </w:rPr>
        <w:t xml:space="preserve">PwC Global </w:t>
      </w:r>
      <w:proofErr w:type="spellStart"/>
      <w:r w:rsidRPr="00EC7E7E">
        <w:rPr>
          <w:rFonts w:ascii="Times New Roman" w:eastAsia="Aptos" w:hAnsi="Times New Roman" w:cs="Times New Roman"/>
          <w:lang w:val="es-PE"/>
        </w:rPr>
        <w:t>Report</w:t>
      </w:r>
      <w:proofErr w:type="spellEnd"/>
      <w:r w:rsidRPr="00EC7E7E">
        <w:rPr>
          <w:rFonts w:ascii="Times New Roman" w:eastAsia="Aptos" w:hAnsi="Times New Roman" w:cs="Times New Roman"/>
          <w:lang w:val="es-PE"/>
        </w:rPr>
        <w:t xml:space="preserve">. </w:t>
      </w:r>
      <w:hyperlink r:id="rId11" w:tgtFrame="_new" w:history="1">
        <w:r w:rsidRPr="00EC7E7E">
          <w:rPr>
            <w:rFonts w:ascii="Times New Roman" w:eastAsia="Aptos" w:hAnsi="Times New Roman" w:cs="Times New Roman"/>
            <w:color w:val="467886"/>
            <w:u w:val="single"/>
            <w:lang w:val="es-PE"/>
          </w:rPr>
          <w:t>https://www.pwc.com/future-of-finance</w:t>
        </w:r>
      </w:hyperlink>
    </w:p>
    <w:p w14:paraId="2558B5FF"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Quispe, J. (2023). Retos de la profesión contable en el Perú: Digitalización y globalización. </w:t>
      </w:r>
      <w:r w:rsidRPr="00EC7E7E">
        <w:rPr>
          <w:rFonts w:ascii="Times New Roman" w:eastAsia="Aptos" w:hAnsi="Times New Roman" w:cs="Times New Roman"/>
          <w:i/>
          <w:iCs/>
          <w:lang w:val="es-PE"/>
        </w:rPr>
        <w:t>Contabilidad y Sociedad, 15</w:t>
      </w:r>
      <w:r w:rsidRPr="00EC7E7E">
        <w:rPr>
          <w:rFonts w:ascii="Times New Roman" w:eastAsia="Aptos" w:hAnsi="Times New Roman" w:cs="Times New Roman"/>
          <w:lang w:val="es-PE"/>
        </w:rPr>
        <w:t>(2), 88–104.</w:t>
      </w:r>
    </w:p>
    <w:p w14:paraId="574AADA9" w14:textId="77777777" w:rsidR="00EC7E7E" w:rsidRPr="00EC7E7E" w:rsidRDefault="00EC7E7E" w:rsidP="00EC7E7E">
      <w:pPr>
        <w:spacing w:after="0" w:line="276" w:lineRule="auto"/>
        <w:ind w:left="709" w:hanging="709"/>
        <w:jc w:val="both"/>
        <w:rPr>
          <w:rFonts w:ascii="Times New Roman" w:eastAsia="Aptos" w:hAnsi="Times New Roman" w:cs="Times New Roman"/>
          <w:lang w:val="es-PE"/>
        </w:rPr>
      </w:pPr>
      <w:r w:rsidRPr="00EC7E7E">
        <w:rPr>
          <w:rFonts w:ascii="Times New Roman" w:eastAsia="Aptos" w:hAnsi="Times New Roman" w:cs="Times New Roman"/>
          <w:lang w:val="es-PE"/>
        </w:rPr>
        <w:t xml:space="preserve">Sampieri, R. H. (2018). </w:t>
      </w:r>
      <w:r w:rsidRPr="00EC7E7E">
        <w:rPr>
          <w:rFonts w:ascii="Times New Roman" w:eastAsia="Aptos" w:hAnsi="Times New Roman" w:cs="Times New Roman"/>
          <w:i/>
          <w:iCs/>
          <w:lang w:val="es-PE"/>
        </w:rPr>
        <w:t>Metodología de la investigación: Las rutas cuantitativa, cualitativa y mixta</w:t>
      </w:r>
      <w:r w:rsidRPr="00EC7E7E">
        <w:rPr>
          <w:rFonts w:ascii="Times New Roman" w:eastAsia="Aptos" w:hAnsi="Times New Roman" w:cs="Times New Roman"/>
          <w:lang w:val="es-PE"/>
        </w:rPr>
        <w:t xml:space="preserve"> (7.ª ed.). McGraw-Hill.</w:t>
      </w:r>
    </w:p>
    <w:p w14:paraId="1B43FD84" w14:textId="1E6C2BCF" w:rsidR="001923DC" w:rsidRDefault="001923DC" w:rsidP="00EC7E7E">
      <w:pPr>
        <w:tabs>
          <w:tab w:val="center" w:pos="4252"/>
          <w:tab w:val="right" w:pos="8504"/>
        </w:tabs>
        <w:spacing w:after="0" w:line="276" w:lineRule="auto"/>
        <w:rPr>
          <w:rFonts w:ascii="Times New Roman" w:hAnsi="Times New Roman" w:cs="Times New Roman"/>
        </w:rPr>
      </w:pPr>
    </w:p>
    <w:p w14:paraId="36D95A86" w14:textId="4B72949B" w:rsidR="00EC7E7E" w:rsidRDefault="00EC7E7E" w:rsidP="00EC7E7E">
      <w:pPr>
        <w:tabs>
          <w:tab w:val="center" w:pos="4252"/>
          <w:tab w:val="right" w:pos="8504"/>
        </w:tabs>
        <w:spacing w:after="0" w:line="276" w:lineRule="auto"/>
        <w:rPr>
          <w:rFonts w:ascii="Times New Roman" w:hAnsi="Times New Roman" w:cs="Times New Roman"/>
        </w:rPr>
      </w:pPr>
    </w:p>
    <w:p w14:paraId="05BBD48E" w14:textId="77777777" w:rsidR="00EC7E7E" w:rsidRPr="00BA642E" w:rsidRDefault="00EC7E7E" w:rsidP="00403485">
      <w:pPr>
        <w:tabs>
          <w:tab w:val="center" w:pos="4252"/>
          <w:tab w:val="right" w:pos="8504"/>
        </w:tabs>
        <w:spacing w:after="0" w:line="240" w:lineRule="auto"/>
        <w:rPr>
          <w:rFonts w:ascii="Times New Roman" w:hAnsi="Times New Roman" w:cs="Times New Roman"/>
        </w:rPr>
      </w:pPr>
    </w:p>
    <w:p w14:paraId="7E83515B" w14:textId="7BF59CCC" w:rsidR="001923DC" w:rsidRPr="00BA642E" w:rsidRDefault="005F3B2E" w:rsidP="007B5B5F">
      <w:pPr>
        <w:spacing w:line="240" w:lineRule="auto"/>
        <w:jc w:val="center"/>
        <w:rPr>
          <w:rFonts w:ascii="Times New Roman" w:hAnsi="Times New Roman" w:cs="Times New Roman"/>
          <w:lang w:val="pt-BR"/>
        </w:rPr>
      </w:pPr>
      <w:r w:rsidRPr="00BA642E">
        <w:rPr>
          <w:rFonts w:ascii="Times New Roman" w:hAnsi="Times New Roman" w:cs="Times New Roman"/>
          <w:highlight w:val="yellow"/>
        </w:rPr>
        <w:t>/SUBIR EN FORMATO WORD</w:t>
      </w:r>
      <w:r w:rsidRPr="00BA642E">
        <w:rPr>
          <w:rFonts w:ascii="Times New Roman" w:hAnsi="Times New Roman" w:cs="Times New Roman"/>
        </w:rPr>
        <w:t>/</w:t>
      </w:r>
    </w:p>
    <w:sectPr w:rsidR="001923DC"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CCEFC" w14:textId="77777777" w:rsidR="00E77F37" w:rsidRPr="00BA642E" w:rsidRDefault="00E77F37" w:rsidP="00C802F5">
      <w:pPr>
        <w:spacing w:after="0" w:line="240" w:lineRule="auto"/>
      </w:pPr>
      <w:r w:rsidRPr="00BA642E">
        <w:separator/>
      </w:r>
    </w:p>
  </w:endnote>
  <w:endnote w:type="continuationSeparator" w:id="0">
    <w:p w14:paraId="2338B921" w14:textId="77777777" w:rsidR="00E77F37" w:rsidRPr="00BA642E" w:rsidRDefault="00E77F3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C9E78" w14:textId="77777777" w:rsidR="00E77F37" w:rsidRPr="00BA642E" w:rsidRDefault="00E77F37" w:rsidP="00C802F5">
      <w:pPr>
        <w:spacing w:after="0" w:line="240" w:lineRule="auto"/>
      </w:pPr>
      <w:r w:rsidRPr="00BA642E">
        <w:separator/>
      </w:r>
    </w:p>
  </w:footnote>
  <w:footnote w:type="continuationSeparator" w:id="0">
    <w:p w14:paraId="3E696BCA" w14:textId="77777777" w:rsidR="00E77F37" w:rsidRPr="00BA642E" w:rsidRDefault="00E77F3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5437DE"/>
    <w:multiLevelType w:val="hybridMultilevel"/>
    <w:tmpl w:val="9C783618"/>
    <w:lvl w:ilvl="0" w:tplc="0938E2A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73B834E6"/>
    <w:multiLevelType w:val="multilevel"/>
    <w:tmpl w:val="EC98440A"/>
    <w:lvl w:ilvl="0">
      <w:start w:val="1"/>
      <w:numFmt w:val="decimal"/>
      <w:lvlText w:val="%1."/>
      <w:lvlJc w:val="left"/>
      <w:pPr>
        <w:tabs>
          <w:tab w:val="num" w:pos="720"/>
        </w:tabs>
        <w:ind w:left="720" w:hanging="360"/>
      </w:pPr>
    </w:lvl>
    <w:lvl w:ilvl="1">
      <w:start w:val="8"/>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3485"/>
    <w:rsid w:val="004040C0"/>
    <w:rsid w:val="00437E9C"/>
    <w:rsid w:val="00550766"/>
    <w:rsid w:val="005913F4"/>
    <w:rsid w:val="005F3B2E"/>
    <w:rsid w:val="00701F64"/>
    <w:rsid w:val="007B5B5F"/>
    <w:rsid w:val="007D233B"/>
    <w:rsid w:val="0085070B"/>
    <w:rsid w:val="00A17247"/>
    <w:rsid w:val="00B27732"/>
    <w:rsid w:val="00BA642E"/>
    <w:rsid w:val="00BC236F"/>
    <w:rsid w:val="00C802F5"/>
    <w:rsid w:val="00C96B2C"/>
    <w:rsid w:val="00CC04C1"/>
    <w:rsid w:val="00D843EC"/>
    <w:rsid w:val="00E77F37"/>
    <w:rsid w:val="00EC7E7E"/>
    <w:rsid w:val="00F827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customStyle="1" w:styleId="apa">
    <w:name w:val="apa"/>
    <w:basedOn w:val="Tablanormal"/>
    <w:uiPriority w:val="99"/>
    <w:rsid w:val="00EC7E7E"/>
    <w:pPr>
      <w:spacing w:after="0" w:line="240" w:lineRule="auto"/>
    </w:pPr>
    <w:rPr>
      <w:lang w:val="es-PE"/>
    </w:rPr>
    <w:tblPr>
      <w:tblBorders>
        <w:top w:val="single" w:sz="4" w:space="0" w:color="auto"/>
        <w:bottom w:val="single" w:sz="4" w:space="0" w:color="auto"/>
      </w:tblBorders>
    </w:tblPr>
    <w:tblStylePr w:type="firstRow">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201/fca.24488410e.2021.288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wc.com/future-of-finan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32870/reded.v56i3.1234" TargetMode="External"/><Relationship Id="rId4" Type="http://schemas.openxmlformats.org/officeDocument/2006/relationships/webSettings" Target="webSettings.xml"/><Relationship Id="rId9" Type="http://schemas.openxmlformats.org/officeDocument/2006/relationships/hyperlink" Target="https://doi.org/10.15381/quipu.v28i57.17156"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6119</Words>
  <Characters>33660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2</cp:revision>
  <dcterms:created xsi:type="dcterms:W3CDTF">2026-07-02T01:56:00Z</dcterms:created>
  <dcterms:modified xsi:type="dcterms:W3CDTF">2026-07-02T01:56:00Z</dcterms:modified>
</cp:coreProperties>
</file>