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2F5" w:rsidRPr="00BA642E" w:rsidRDefault="00C802F5" w:rsidP="001923DC">
      <w:pPr>
        <w:jc w:val="center"/>
        <w:rPr>
          <w:rFonts w:ascii="Times New Roman" w:hAnsi="Times New Roman" w:cs="Times New Roman"/>
        </w:rPr>
      </w:pPr>
    </w:p>
    <w:p w:rsidR="005F3B2E" w:rsidRPr="00BA642E" w:rsidRDefault="002A63A0" w:rsidP="001923DC">
      <w:pPr>
        <w:jc w:val="center"/>
        <w:rPr>
          <w:rFonts w:ascii="Times New Roman" w:hAnsi="Times New Roman" w:cs="Times New Roman"/>
        </w:rPr>
      </w:pPr>
      <w:r w:rsidRPr="002A63A0">
        <w:rPr>
          <w:rFonts w:ascii="Times New Roman" w:hAnsi="Times New Roman" w:cs="Times New Roman"/>
          <w:b/>
          <w:bCs/>
        </w:rPr>
        <w:t>Entre la movilidad educativa, el acceso al empleo y la estratificación social: el Sistema Argentino de Créditos Académicos Universitarios (SACAU) y la reorganización de los trayectos formativos</w:t>
      </w:r>
    </w:p>
    <w:p w:rsidR="005F3B2E" w:rsidRPr="00BA642E" w:rsidRDefault="002A63A0" w:rsidP="005F3B2E">
      <w:pPr>
        <w:spacing w:after="0" w:line="240" w:lineRule="auto"/>
        <w:jc w:val="right"/>
        <w:rPr>
          <w:rFonts w:ascii="Times New Roman" w:hAnsi="Times New Roman" w:cs="Times New Roman"/>
        </w:rPr>
      </w:pPr>
      <w:r>
        <w:rPr>
          <w:rFonts w:ascii="Times New Roman" w:hAnsi="Times New Roman" w:cs="Times New Roman"/>
        </w:rPr>
        <w:t>Pablo Molina Derteanon</w:t>
      </w:r>
    </w:p>
    <w:p w:rsidR="005F3B2E" w:rsidRPr="00BA642E" w:rsidRDefault="002A63A0" w:rsidP="005F3B2E">
      <w:pPr>
        <w:spacing w:after="0" w:line="240" w:lineRule="auto"/>
        <w:jc w:val="right"/>
        <w:rPr>
          <w:rFonts w:ascii="Times New Roman" w:hAnsi="Times New Roman" w:cs="Times New Roman"/>
        </w:rPr>
      </w:pPr>
      <w:r>
        <w:rPr>
          <w:rFonts w:ascii="Times New Roman" w:hAnsi="Times New Roman" w:cs="Times New Roman"/>
        </w:rPr>
        <w:t>IIGG-UBA</w:t>
      </w:r>
    </w:p>
    <w:p w:rsidR="005F3B2E" w:rsidRPr="00BA642E" w:rsidRDefault="006A4320" w:rsidP="002A63A0">
      <w:pPr>
        <w:jc w:val="right"/>
        <w:rPr>
          <w:rFonts w:ascii="Times New Roman" w:hAnsi="Times New Roman" w:cs="Times New Roman"/>
        </w:rPr>
      </w:pPr>
      <w:hyperlink r:id="rId7" w:history="1">
        <w:r w:rsidR="002A63A0" w:rsidRPr="00051134">
          <w:rPr>
            <w:rStyle w:val="Hipervnculo"/>
            <w:rFonts w:ascii="Times New Roman" w:hAnsi="Times New Roman" w:cs="Times New Roman"/>
          </w:rPr>
          <w:t>pablomd2009@gmail.com</w:t>
        </w:r>
      </w:hyperlink>
      <w:r w:rsidR="002A63A0">
        <w:rPr>
          <w:rFonts w:ascii="Times New Roman" w:hAnsi="Times New Roman" w:cs="Times New Roman"/>
        </w:rPr>
        <w:t xml:space="preserve"> </w:t>
      </w:r>
    </w:p>
    <w:p w:rsidR="005F3B2E" w:rsidRPr="00993C6C" w:rsidRDefault="002A63A0" w:rsidP="005F3B2E">
      <w:pPr>
        <w:spacing w:after="0" w:line="240" w:lineRule="auto"/>
        <w:jc w:val="right"/>
        <w:rPr>
          <w:rFonts w:ascii="Times New Roman" w:hAnsi="Times New Roman" w:cs="Times New Roman"/>
        </w:rPr>
      </w:pPr>
      <w:r w:rsidRPr="00993C6C">
        <w:rPr>
          <w:rFonts w:ascii="Times New Roman" w:hAnsi="Times New Roman" w:cs="Times New Roman"/>
        </w:rPr>
        <w:t>Victoria Matozo</w:t>
      </w:r>
    </w:p>
    <w:p w:rsidR="002A63A0" w:rsidRPr="00993C6C" w:rsidRDefault="002A63A0" w:rsidP="002A63A0">
      <w:pPr>
        <w:spacing w:after="0" w:line="240" w:lineRule="auto"/>
        <w:jc w:val="right"/>
        <w:rPr>
          <w:rFonts w:ascii="Times New Roman" w:hAnsi="Times New Roman" w:cs="Times New Roman"/>
        </w:rPr>
      </w:pPr>
      <w:r w:rsidRPr="00993C6C">
        <w:rPr>
          <w:rFonts w:ascii="Times New Roman" w:hAnsi="Times New Roman" w:cs="Times New Roman"/>
        </w:rPr>
        <w:t>IIGG-UBA</w:t>
      </w:r>
    </w:p>
    <w:p w:rsidR="005F3B2E" w:rsidRPr="00993C6C" w:rsidRDefault="006A4320" w:rsidP="005F3B2E">
      <w:pPr>
        <w:spacing w:after="0" w:line="240" w:lineRule="auto"/>
        <w:jc w:val="right"/>
        <w:rPr>
          <w:rFonts w:ascii="Times New Roman" w:hAnsi="Times New Roman" w:cs="Times New Roman"/>
        </w:rPr>
      </w:pPr>
      <w:hyperlink r:id="rId8" w:history="1">
        <w:r w:rsidR="002A63A0" w:rsidRPr="00993C6C">
          <w:rPr>
            <w:rStyle w:val="Hipervnculo"/>
            <w:rFonts w:ascii="Times New Roman" w:hAnsi="Times New Roman" w:cs="Times New Roman"/>
          </w:rPr>
          <w:t>Victoria.matozo@gmail.com</w:t>
        </w:r>
      </w:hyperlink>
      <w:r w:rsidR="002A63A0" w:rsidRPr="00993C6C">
        <w:rPr>
          <w:rFonts w:ascii="Times New Roman" w:hAnsi="Times New Roman" w:cs="Times New Roman"/>
        </w:rPr>
        <w:t xml:space="preserve"> </w:t>
      </w:r>
    </w:p>
    <w:p w:rsidR="00993C6C" w:rsidRDefault="00993C6C" w:rsidP="007B5B5F">
      <w:pPr>
        <w:spacing w:line="240" w:lineRule="auto"/>
        <w:jc w:val="both"/>
        <w:rPr>
          <w:rFonts w:ascii="Times New Roman" w:hAnsi="Times New Roman" w:cs="Times New Roman"/>
          <w:b/>
          <w:bCs/>
          <w:lang w:val="es-ES"/>
        </w:rPr>
      </w:pPr>
    </w:p>
    <w:p w:rsidR="00993C6C" w:rsidRPr="00993C6C" w:rsidRDefault="00993C6C" w:rsidP="00993C6C">
      <w:pPr>
        <w:spacing w:after="0" w:line="240" w:lineRule="auto"/>
        <w:jc w:val="right"/>
        <w:rPr>
          <w:rFonts w:ascii="Times New Roman" w:hAnsi="Times New Roman" w:cs="Times New Roman"/>
          <w:i/>
          <w:iCs/>
          <w:sz w:val="20"/>
          <w:szCs w:val="20"/>
          <w:lang w:val="es-ES"/>
        </w:rPr>
      </w:pPr>
      <w:r w:rsidRPr="00993C6C">
        <w:rPr>
          <w:rFonts w:ascii="Times New Roman" w:hAnsi="Times New Roman" w:cs="Times New Roman"/>
          <w:i/>
          <w:iCs/>
          <w:sz w:val="20"/>
          <w:szCs w:val="20"/>
          <w:lang w:val="es-ES"/>
        </w:rPr>
        <w:t>“¿Debe la filosofía guiar los experimentos, o deben los e</w:t>
      </w:r>
      <w:r w:rsidR="002866E7">
        <w:rPr>
          <w:rFonts w:ascii="Times New Roman" w:hAnsi="Times New Roman" w:cs="Times New Roman"/>
          <w:i/>
          <w:iCs/>
          <w:sz w:val="20"/>
          <w:szCs w:val="20"/>
          <w:lang w:val="es-ES"/>
        </w:rPr>
        <w:t>xperimentos guiar la filosofía?</w:t>
      </w:r>
    </w:p>
    <w:p w:rsidR="00993C6C" w:rsidRPr="00993C6C" w:rsidRDefault="00993C6C" w:rsidP="00993C6C">
      <w:pPr>
        <w:spacing w:after="0" w:line="240" w:lineRule="auto"/>
        <w:jc w:val="right"/>
        <w:rPr>
          <w:rFonts w:ascii="Times New Roman" w:hAnsi="Times New Roman" w:cs="Times New Roman"/>
          <w:sz w:val="20"/>
          <w:szCs w:val="20"/>
          <w:lang w:val="es-ES"/>
        </w:rPr>
      </w:pPr>
      <w:r w:rsidRPr="00993C6C">
        <w:rPr>
          <w:rFonts w:asciiTheme="majorBidi" w:hAnsiTheme="majorBidi" w:cstheme="majorBidi"/>
          <w:sz w:val="20"/>
          <w:szCs w:val="20"/>
        </w:rPr>
        <w:t>Lui Cixin, El problema de los tres cuerpos</w:t>
      </w:r>
    </w:p>
    <w:p w:rsidR="00993C6C" w:rsidRDefault="00993C6C" w:rsidP="007B5B5F">
      <w:pPr>
        <w:spacing w:line="240" w:lineRule="auto"/>
        <w:jc w:val="both"/>
        <w:rPr>
          <w:rFonts w:ascii="Times New Roman" w:hAnsi="Times New Roman" w:cs="Times New Roman"/>
          <w:b/>
          <w:bCs/>
          <w:lang w:val="es-ES"/>
        </w:rPr>
      </w:pPr>
    </w:p>
    <w:p w:rsidR="00993C6C" w:rsidRDefault="00993C6C" w:rsidP="007B5B5F">
      <w:pPr>
        <w:spacing w:line="240" w:lineRule="auto"/>
        <w:jc w:val="both"/>
        <w:rPr>
          <w:rFonts w:ascii="Times New Roman" w:hAnsi="Times New Roman" w:cs="Times New Roman"/>
          <w:b/>
          <w:bCs/>
          <w:lang w:val="es-ES"/>
        </w:rPr>
      </w:pPr>
    </w:p>
    <w:p w:rsidR="002A63A0" w:rsidRDefault="00BA642E" w:rsidP="007B5B5F">
      <w:pPr>
        <w:spacing w:line="240" w:lineRule="auto"/>
        <w:jc w:val="both"/>
        <w:rPr>
          <w:rFonts w:ascii="Times New Roman" w:hAnsi="Times New Roman" w:cs="Times New Roman"/>
          <w:lang w:val="es-ES"/>
        </w:rPr>
      </w:pPr>
      <w:r w:rsidRPr="002A63A0">
        <w:rPr>
          <w:rFonts w:ascii="Times New Roman" w:hAnsi="Times New Roman" w:cs="Times New Roman"/>
          <w:b/>
          <w:bCs/>
          <w:lang w:val="es-ES"/>
        </w:rPr>
        <w:t>Resumen:</w:t>
      </w:r>
      <w:r w:rsidR="007B5B5F" w:rsidRPr="002A63A0">
        <w:rPr>
          <w:rFonts w:ascii="Times New Roman" w:hAnsi="Times New Roman" w:cs="Times New Roman"/>
          <w:b/>
          <w:bCs/>
          <w:lang w:val="es-ES"/>
        </w:rPr>
        <w:t xml:space="preserve"> </w:t>
      </w:r>
      <w:r w:rsidR="002A63A0" w:rsidRPr="002A63A0">
        <w:rPr>
          <w:rFonts w:ascii="Times New Roman" w:hAnsi="Times New Roman" w:cs="Times New Roman"/>
          <w:lang w:val="es-ES"/>
        </w:rPr>
        <w:t xml:space="preserve">En los últimos años se han producido cambios significativos en la organización del currículum universitario en Argentina, cuya implementación se prevé para 2027. En particular, la creación del Sistema Argentino de Créditos Académicos Universitarios (SACAU) y el rediseño de los planes de estudio a partir del Crédito de Referencia del/la Estudiante (CRE) plantean nuevos interrogantes respecto de la organización de las trayectorias formativas, la estructura curricular de las carreras y el sentido de las titulaciones universitarias. La adopción de un sistema de créditos académicos —presente desde hace más de un siglo en universidades de Estados Unidos y promovido en Europa a partir del Bologna </w:t>
      </w:r>
      <w:proofErr w:type="spellStart"/>
      <w:r w:rsidR="002A63A0" w:rsidRPr="002A63A0">
        <w:rPr>
          <w:rFonts w:ascii="Times New Roman" w:hAnsi="Times New Roman" w:cs="Times New Roman"/>
          <w:lang w:val="es-ES"/>
        </w:rPr>
        <w:t>Process</w:t>
      </w:r>
      <w:proofErr w:type="spellEnd"/>
      <w:r w:rsidR="002A63A0" w:rsidRPr="002A63A0">
        <w:rPr>
          <w:rFonts w:ascii="Times New Roman" w:hAnsi="Times New Roman" w:cs="Times New Roman"/>
          <w:lang w:val="es-ES"/>
        </w:rPr>
        <w:t xml:space="preserve"> mediante el </w:t>
      </w:r>
      <w:proofErr w:type="spellStart"/>
      <w:r w:rsidR="002A63A0" w:rsidRPr="002A63A0">
        <w:rPr>
          <w:rFonts w:ascii="Times New Roman" w:hAnsi="Times New Roman" w:cs="Times New Roman"/>
          <w:lang w:val="es-ES"/>
        </w:rPr>
        <w:t>European</w:t>
      </w:r>
      <w:proofErr w:type="spellEnd"/>
      <w:r w:rsidR="002A63A0" w:rsidRPr="002A63A0">
        <w:rPr>
          <w:rFonts w:ascii="Times New Roman" w:hAnsi="Times New Roman" w:cs="Times New Roman"/>
          <w:lang w:val="es-ES"/>
        </w:rPr>
        <w:t xml:space="preserve"> </w:t>
      </w:r>
      <w:proofErr w:type="spellStart"/>
      <w:r w:rsidR="002A63A0" w:rsidRPr="002A63A0">
        <w:rPr>
          <w:rFonts w:ascii="Times New Roman" w:hAnsi="Times New Roman" w:cs="Times New Roman"/>
          <w:lang w:val="es-ES"/>
        </w:rPr>
        <w:t>Credit</w:t>
      </w:r>
      <w:proofErr w:type="spellEnd"/>
      <w:r w:rsidR="002A63A0" w:rsidRPr="002A63A0">
        <w:rPr>
          <w:rFonts w:ascii="Times New Roman" w:hAnsi="Times New Roman" w:cs="Times New Roman"/>
          <w:lang w:val="es-ES"/>
        </w:rPr>
        <w:t xml:space="preserve"> Transfer and </w:t>
      </w:r>
      <w:proofErr w:type="spellStart"/>
      <w:r w:rsidR="002A63A0" w:rsidRPr="002A63A0">
        <w:rPr>
          <w:rFonts w:ascii="Times New Roman" w:hAnsi="Times New Roman" w:cs="Times New Roman"/>
          <w:lang w:val="es-ES"/>
        </w:rPr>
        <w:t>Accumulation</w:t>
      </w:r>
      <w:proofErr w:type="spellEnd"/>
      <w:r w:rsidR="002A63A0" w:rsidRPr="002A63A0">
        <w:rPr>
          <w:rFonts w:ascii="Times New Roman" w:hAnsi="Times New Roman" w:cs="Times New Roman"/>
          <w:lang w:val="es-ES"/>
        </w:rPr>
        <w:t xml:space="preserve"> </w:t>
      </w:r>
      <w:proofErr w:type="spellStart"/>
      <w:r w:rsidR="002A63A0" w:rsidRPr="002A63A0">
        <w:rPr>
          <w:rFonts w:ascii="Times New Roman" w:hAnsi="Times New Roman" w:cs="Times New Roman"/>
          <w:lang w:val="es-ES"/>
        </w:rPr>
        <w:t>System</w:t>
      </w:r>
      <w:proofErr w:type="spellEnd"/>
      <w:r w:rsidR="002A63A0" w:rsidRPr="002A63A0">
        <w:rPr>
          <w:rFonts w:ascii="Times New Roman" w:hAnsi="Times New Roman" w:cs="Times New Roman"/>
          <w:lang w:val="es-ES"/>
        </w:rPr>
        <w:t xml:space="preserve"> (ECTS)— introduce una transformación en la lógica de organización curricular. Mientras los modelos tradicionales de educación superior se estructuran en torno a trayectorias disciplinares relativamente cerradas y secuenciales, los sistemas basados en créditos tienden a promover trayectorias más flexibles, organizadas mediante la acumulación de unidades de aprendizaje y una mayor capacidad de elección por parte de los estudiantes. En este marco, el pasaje desde un currículum disciplinar relativamente estructurado hacia un modelo basado en la acumulación de créditos y la elección de trayectos formativos plantea nuevas tensiones en la educación superior. Por un lado, estos sistemas se presentan como instrumentos que favorecen la movilidad académica, la comparabilidad internacional de las titulaciones y la flexibilidad de las trayectorias estudiantiles. Por otro lado, la literatura comparada ha señalado que distintos modos de estructuración curricular pueden producir efectos diferenciados en términos de inserción laboral de los graduados y de reproducción de desigualdades sociales. A partir de este debate, la ponencia propone analizar teóricamente dos dimensiones centrales vinculadas a la reorganización curricular en la educación superior. En primer lugar, se analizarán los efectos de los distintos modelos de estructuración del currículum sobre la transición entre educación y </w:t>
      </w:r>
      <w:r w:rsidR="002A63A0" w:rsidRPr="002A63A0">
        <w:rPr>
          <w:rFonts w:ascii="Times New Roman" w:hAnsi="Times New Roman" w:cs="Times New Roman"/>
          <w:lang w:val="es-ES"/>
        </w:rPr>
        <w:lastRenderedPageBreak/>
        <w:t>empleo, partir de una revisión bibliográfica y de experiencias en otros países prestando especial atención al caso español y la implementación del Marco Español de Cualificación para la Educación Superior (MECES). En segundo lugar, se examinará de qué manera estas formas de organización curricular pueden incidir en los procesos de movilidad educativa y en la reproducción o reducción de las desigualdades sociales en la educación superior. Desde esta perspectiva, el trabajo busca situar las transformaciones recientes del sistema universitario argentino en un debate más amplio sobre la relación entre organización curricular, mercado de trabajo y desigualdad educativa.</w:t>
      </w:r>
    </w:p>
    <w:p w:rsidR="002A63A0" w:rsidRDefault="00BA642E" w:rsidP="002A63A0">
      <w:pPr>
        <w:spacing w:line="240" w:lineRule="auto"/>
        <w:jc w:val="both"/>
        <w:rPr>
          <w:rFonts w:ascii="Times New Roman" w:hAnsi="Times New Roman" w:cs="Times New Roman"/>
        </w:rPr>
      </w:pPr>
      <w:r w:rsidRPr="007B5B5F">
        <w:rPr>
          <w:rFonts w:ascii="Times New Roman" w:hAnsi="Times New Roman" w:cs="Times New Roman"/>
          <w:b/>
          <w:bCs/>
        </w:rPr>
        <w:t xml:space="preserve">Palabras clave: </w:t>
      </w:r>
      <w:r w:rsidR="002A63A0" w:rsidRPr="002A63A0">
        <w:rPr>
          <w:rFonts w:ascii="Times New Roman" w:hAnsi="Times New Roman" w:cs="Times New Roman"/>
        </w:rPr>
        <w:t>Sistema Argentino de Créditos Académicos Universitarios (SACAU), curriculum, SBTC, mercado de trabajo, desigualdades.</w:t>
      </w:r>
    </w:p>
    <w:p w:rsidR="00BA642E" w:rsidRPr="007B5B5F" w:rsidRDefault="00BA642E" w:rsidP="002A63A0">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rsidR="00993C6C" w:rsidRPr="00993C6C" w:rsidRDefault="00993C6C" w:rsidP="002866E7">
      <w:pPr>
        <w:spacing w:line="240" w:lineRule="auto"/>
        <w:jc w:val="both"/>
        <w:rPr>
          <w:rFonts w:ascii="Times New Roman" w:hAnsi="Times New Roman" w:cs="Times New Roman"/>
          <w:lang w:val="es-ES"/>
        </w:rPr>
      </w:pPr>
      <w:r w:rsidRPr="00993C6C">
        <w:rPr>
          <w:rFonts w:ascii="Times New Roman" w:hAnsi="Times New Roman" w:cs="Times New Roman"/>
          <w:lang w:val="es-ES"/>
        </w:rPr>
        <w:t>En los últimos años, la organización del currículum universitario en Argentina ha experimentado cambios importantes, con una implementación prevista para el año 2027. Uno de los principales aspectos de esta transformación es la creación del Sistema Argentino de Créditos Académicos Universitarios (SACAU) y el rediseño de los planes de estudio basados en el Crédito de Referencia del/la Estudiante (CRE). Estas modificaciones generan interrogantes sobre cómo se estructurarán las trayectorias formativas, la composición curricular de las carreras y el significado de los títulos universitarios.</w:t>
      </w:r>
    </w:p>
    <w:p w:rsidR="00993C6C" w:rsidRPr="00993C6C" w:rsidRDefault="00993C6C" w:rsidP="002866E7">
      <w:pPr>
        <w:spacing w:line="240" w:lineRule="auto"/>
        <w:jc w:val="both"/>
        <w:rPr>
          <w:rFonts w:ascii="Times New Roman" w:hAnsi="Times New Roman" w:cs="Times New Roman"/>
          <w:lang w:val="es-ES"/>
        </w:rPr>
      </w:pPr>
      <w:r w:rsidRPr="00993C6C">
        <w:rPr>
          <w:rFonts w:ascii="Times New Roman" w:hAnsi="Times New Roman" w:cs="Times New Roman"/>
          <w:lang w:val="es-ES"/>
        </w:rPr>
        <w:t>La introducción de un sistema de créditos académicos supone un cambio en la lógica tradicional de la educación superior. Este tipo de modelo, utilizado desde hace más de un siglo en Estados Unidos y promovido en Europa a través del Proceso de Bolonia con el Sistema Europeo de Transferencia y Acumulación de Créditos (ECTS), favorece trayectorias académicas más flexibles. A diferencia de los planes de estudio tradicionales, que suelen ser cerrados y secuenciales, los sistemas basados en créditos permiten acumular unidades de aprendizaje y brindan a los estudiantes mayor autonomía para elegir sus caminos formativos.</w:t>
      </w:r>
    </w:p>
    <w:p w:rsidR="00993C6C" w:rsidRPr="00993C6C" w:rsidRDefault="00993C6C" w:rsidP="002866E7">
      <w:pPr>
        <w:spacing w:line="240" w:lineRule="auto"/>
        <w:jc w:val="both"/>
        <w:rPr>
          <w:rFonts w:ascii="Times New Roman" w:hAnsi="Times New Roman" w:cs="Times New Roman"/>
          <w:lang w:val="es-ES"/>
        </w:rPr>
      </w:pPr>
      <w:r w:rsidRPr="00993C6C">
        <w:rPr>
          <w:rFonts w:ascii="Times New Roman" w:hAnsi="Times New Roman" w:cs="Times New Roman"/>
          <w:lang w:val="es-ES"/>
        </w:rPr>
        <w:t>Sin embargo, esta transición genera tensiones. Por un lado, facilita la movilidad académica, la comparabilidad internacional de títulos y la personalización del recorrido educativo. Por otro lado, investigaciones internacionales señalan que diferentes formas de estructurar el currículum pueden influir en la salida laboral de los graduados y en la perpetuación o reducción de desigualdades sociales.</w:t>
      </w:r>
    </w:p>
    <w:p w:rsidR="00220002" w:rsidRPr="00220002" w:rsidRDefault="00993C6C" w:rsidP="00993C6C">
      <w:pPr>
        <w:spacing w:line="240" w:lineRule="auto"/>
        <w:jc w:val="both"/>
        <w:rPr>
          <w:rFonts w:ascii="Times New Roman" w:hAnsi="Times New Roman" w:cs="Times New Roman"/>
          <w:lang w:val="es-ES"/>
        </w:rPr>
      </w:pPr>
      <w:r w:rsidRPr="00993C6C">
        <w:rPr>
          <w:rFonts w:ascii="Times New Roman" w:hAnsi="Times New Roman" w:cs="Times New Roman"/>
          <w:lang w:val="es-ES"/>
        </w:rPr>
        <w:t>En respuesta a este debate, se propone analizar dos dimensiones clave: primero, cómo los distintos modelos curriculares afectan la transición entre educación y empleo, con especial atención a experiencias internacionales como el caso español y su Marco Español de Cualificación para la Educación Superior (MECES); y segundo, cómo estas formas curriculares influyen en la movilidad educativa y en la reproducción o disminución de inequidades sociales. De esta manera, se busca situar los cambios recientes en el sistema universitario argentino dentro de una discusión global sobre la relación entre la organización curricular, el mercado laboral y la desigualdad educativa.</w:t>
      </w:r>
    </w:p>
    <w:p w:rsidR="005F3B2E" w:rsidRPr="00220002" w:rsidRDefault="005F3B2E" w:rsidP="007B5B5F">
      <w:pPr>
        <w:spacing w:line="240" w:lineRule="auto"/>
        <w:rPr>
          <w:rFonts w:ascii="Times New Roman" w:hAnsi="Times New Roman" w:cs="Times New Roman"/>
          <w:b/>
          <w:bCs/>
          <w:lang w:val="es-ES"/>
        </w:rPr>
      </w:pPr>
      <w:r w:rsidRPr="00220002">
        <w:rPr>
          <w:rFonts w:ascii="Times New Roman" w:hAnsi="Times New Roman" w:cs="Times New Roman"/>
          <w:b/>
          <w:bCs/>
          <w:lang w:val="es-ES"/>
        </w:rPr>
        <w:lastRenderedPageBreak/>
        <w:t>Desarrollo</w:t>
      </w:r>
    </w:p>
    <w:p w:rsidR="00220002" w:rsidRPr="00220002" w:rsidRDefault="00220002" w:rsidP="00220002">
      <w:pPr>
        <w:jc w:val="both"/>
        <w:rPr>
          <w:rFonts w:ascii="Times New Roman" w:hAnsi="Times New Roman" w:cs="Times New Roman"/>
          <w:b/>
        </w:rPr>
      </w:pPr>
      <w:r w:rsidRPr="00220002">
        <w:rPr>
          <w:rFonts w:ascii="Times New Roman" w:hAnsi="Times New Roman" w:cs="Times New Roman"/>
          <w:b/>
        </w:rPr>
        <w:t>Introducción y metodología: mirar en sentido inverso.</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A pesar de que no puede negarse la autonomía del sistema universitario argentino, las interacciones con otros actores, en especial del mercado, han sido una constante. Este paper se propone analizar tres giros de sentido y sus articulaciones en </w:t>
      </w:r>
      <w:proofErr w:type="gramStart"/>
      <w:r w:rsidRPr="00220002">
        <w:rPr>
          <w:rFonts w:ascii="Times New Roman" w:hAnsi="Times New Roman" w:cs="Times New Roman"/>
        </w:rPr>
        <w:t>el diseños</w:t>
      </w:r>
      <w:proofErr w:type="gramEnd"/>
      <w:r w:rsidRPr="00220002">
        <w:rPr>
          <w:rFonts w:ascii="Times New Roman" w:hAnsi="Times New Roman" w:cs="Times New Roman"/>
        </w:rPr>
        <w:t xml:space="preserve"> por competencias:</w:t>
      </w:r>
    </w:p>
    <w:p w:rsidR="00220002" w:rsidRPr="00220002" w:rsidRDefault="00220002" w:rsidP="00220002">
      <w:pPr>
        <w:pStyle w:val="Prrafodelista"/>
        <w:numPr>
          <w:ilvl w:val="0"/>
          <w:numId w:val="1"/>
        </w:numPr>
        <w:spacing w:after="0" w:line="240" w:lineRule="auto"/>
        <w:jc w:val="both"/>
        <w:rPr>
          <w:rFonts w:ascii="Times New Roman" w:hAnsi="Times New Roman" w:cs="Times New Roman"/>
        </w:rPr>
      </w:pPr>
      <w:r w:rsidRPr="00220002">
        <w:rPr>
          <w:rFonts w:ascii="Times New Roman" w:hAnsi="Times New Roman" w:cs="Times New Roman"/>
        </w:rPr>
        <w:t>El pasaje de la formación rutinaria “on the job” a la demanda de habilidades y empleabilidad</w:t>
      </w:r>
    </w:p>
    <w:p w:rsidR="00220002" w:rsidRPr="00220002" w:rsidRDefault="00220002" w:rsidP="00220002">
      <w:pPr>
        <w:pStyle w:val="Prrafodelista"/>
        <w:numPr>
          <w:ilvl w:val="0"/>
          <w:numId w:val="1"/>
        </w:numPr>
        <w:spacing w:after="0" w:line="240" w:lineRule="auto"/>
        <w:jc w:val="both"/>
        <w:rPr>
          <w:rFonts w:ascii="Times New Roman" w:hAnsi="Times New Roman" w:cs="Times New Roman"/>
        </w:rPr>
      </w:pPr>
      <w:r w:rsidRPr="00220002">
        <w:rPr>
          <w:rFonts w:ascii="Times New Roman" w:hAnsi="Times New Roman" w:cs="Times New Roman"/>
        </w:rPr>
        <w:t>El lobby de las corporaciones europeas en la formación por créditos</w:t>
      </w:r>
    </w:p>
    <w:p w:rsidR="00220002" w:rsidRPr="00220002" w:rsidRDefault="00220002" w:rsidP="00220002">
      <w:pPr>
        <w:pStyle w:val="Prrafodelista"/>
        <w:numPr>
          <w:ilvl w:val="0"/>
          <w:numId w:val="1"/>
        </w:numPr>
        <w:spacing w:after="0" w:line="240" w:lineRule="auto"/>
        <w:jc w:val="both"/>
        <w:rPr>
          <w:rFonts w:ascii="Times New Roman" w:hAnsi="Times New Roman" w:cs="Times New Roman"/>
        </w:rPr>
      </w:pPr>
      <w:r w:rsidRPr="00220002">
        <w:rPr>
          <w:rFonts w:ascii="Times New Roman" w:hAnsi="Times New Roman" w:cs="Times New Roman"/>
        </w:rPr>
        <w:t>Más en formato de pregunta ¿Cuánto de esto nos estamos comprando en Argentina? ¿O se trata de una demanda “desde abajo”?</w:t>
      </w:r>
    </w:p>
    <w:p w:rsidR="00220002" w:rsidRPr="00220002" w:rsidRDefault="00220002" w:rsidP="00220002">
      <w:pPr>
        <w:jc w:val="both"/>
        <w:rPr>
          <w:rFonts w:ascii="Times New Roman" w:hAnsi="Times New Roman" w:cs="Times New Roman"/>
          <w:lang w:val="en-US"/>
        </w:rPr>
      </w:pPr>
    </w:p>
    <w:p w:rsidR="00220002" w:rsidRPr="00220002" w:rsidRDefault="00220002" w:rsidP="00220002">
      <w:pPr>
        <w:jc w:val="both"/>
        <w:rPr>
          <w:rFonts w:ascii="Times New Roman" w:hAnsi="Times New Roman" w:cs="Times New Roman"/>
          <w:b/>
          <w:bCs/>
          <w:lang w:val="en-US"/>
        </w:rPr>
      </w:pPr>
      <w:r w:rsidRPr="00220002">
        <w:rPr>
          <w:rFonts w:ascii="Times New Roman" w:hAnsi="Times New Roman" w:cs="Times New Roman"/>
          <w:b/>
          <w:bCs/>
          <w:lang w:val="en-US"/>
        </w:rPr>
        <w:t>1. Skill Biased Technological Change (SBTC)</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El enfoque SBTC (</w:t>
      </w:r>
      <w:r w:rsidRPr="00220002">
        <w:rPr>
          <w:rFonts w:ascii="Times New Roman" w:hAnsi="Times New Roman" w:cs="Times New Roman"/>
          <w:i/>
          <w:iCs/>
        </w:rPr>
        <w:t>Skill-Biased Technological Change</w:t>
      </w:r>
      <w:r w:rsidRPr="00220002">
        <w:rPr>
          <w:rFonts w:ascii="Times New Roman" w:hAnsi="Times New Roman" w:cs="Times New Roman"/>
        </w:rPr>
        <w:t>) sostiene que el cambio tecnológico no impacta de manera homogénea sobre todos los trabajadores, sino que favorece ciertas habilidades y desplaza o transforma otras. Su supuesto central es que las tecnologías tienden a complementar tareas que requieren mayor calificación, capacidad analítica, resolución de problemas, supervisión y toma de decisiones, mientras automatizan tareas rutinarias, repetitivas o fácilmente codificables. Por eso, el análisis no debe limitarse a preguntar si una ocupación “desaparece” o “permanece”, sino que debe observar qué tareas componen cada puesto y qué habilidades son requeridas para realizarlas. (Autor et al; 2001; Violante, 2008; Piovani, 2018; Marinakis, 2019; Molina Derteano, 2025).</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Desarrollado teórica y políticamente durante fines de la década de los 80, planteaba la “obsolencia” de las titulaciones en términos prácticos y una nueva de forma de estratificación de las competencias. Según Acemoglu (2002), el SBTC no es un fenómeno natural sino un proceso socialmente construido, impulsado por decisiones empresariales, políticas públicas y dinámicas de innovación.</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El SBTC describe un patrón de cambio tecnológico que aumenta la demanda de habilidades cognitivas, analíticas y digitales, mientras reduce la demanda de tareas rutinarias, repetitivas o fácilmente automatizables (Autor, 2014). Este proceso genera: 1) polarización ocupacional, 2) aumento de la desigualdad salarial, 3) mayor retorno a la educación superior y, 4) presión sobre los sistemas educativos para actualizar contenidos y competencias.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Desde la sociología crítica, autores como Brown, Lauder y Ashton (2011) sostienen que la educación se ha convertido en un mecanismo de clasificación en mercados laborales </w:t>
      </w:r>
      <w:r w:rsidRPr="00220002">
        <w:rPr>
          <w:rFonts w:ascii="Times New Roman" w:hAnsi="Times New Roman" w:cs="Times New Roman"/>
        </w:rPr>
        <w:lastRenderedPageBreak/>
        <w:t xml:space="preserve">altamente competitivos. Los sistemas de créditos contribuyen a esta clasificación al estandarizar trayectorias, hacer comparables los perfiles y permitir la acumulación de </w:t>
      </w:r>
      <w:proofErr w:type="spellStart"/>
      <w:r w:rsidRPr="00220002">
        <w:rPr>
          <w:rFonts w:ascii="Times New Roman" w:hAnsi="Times New Roman" w:cs="Times New Roman"/>
        </w:rPr>
        <w:t>microcredenciales</w:t>
      </w:r>
      <w:proofErr w:type="spellEnd"/>
      <w:r w:rsidRPr="00220002">
        <w:rPr>
          <w:rFonts w:ascii="Times New Roman" w:hAnsi="Times New Roman" w:cs="Times New Roman"/>
        </w:rPr>
        <w:t>.</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Conjuntamente, se va legitimando el discurso de la empleabilidad que se alinea con el SBTC al responsabilizar al individuo por su actualización permanente (Laval, 2004). Los sistemas de créditos facilitan esta lógica al permitir que los estudiantes “gestionen” su formación como un portafolio de habilidades.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Esta gestión puede llevar a cierta individualización y la flexibilidad curricular, desplazando la responsabilidad de la formación desde el Estado y las instituciones hacia los individuos, y de esta manera reforzando desigualdades preexistentes (Bernstein, 2000). En contextos como el argentino, donde existen fuertes brechas socioeconómicas y digitales, este riesgo es especialmente relevante. </w:t>
      </w:r>
    </w:p>
    <w:p w:rsidR="00220002" w:rsidRDefault="00220002" w:rsidP="00220002">
      <w:pPr>
        <w:jc w:val="both"/>
        <w:rPr>
          <w:rFonts w:ascii="Times New Roman" w:hAnsi="Times New Roman" w:cs="Times New Roman"/>
        </w:rPr>
      </w:pPr>
      <w:r w:rsidRPr="00220002">
        <w:rPr>
          <w:rFonts w:ascii="Times New Roman" w:hAnsi="Times New Roman" w:cs="Times New Roman"/>
        </w:rPr>
        <w:t>Es probable que se asuma que la transferencia inmediata a la empleabilidad no sea algo general a todas las carreras; sin embargo, el sistema científico técnico también se guía por esta lógica derivada del SBTC, aunque sea en otros términos y excede a este trabajo.</w:t>
      </w:r>
    </w:p>
    <w:p w:rsidR="00220002" w:rsidRPr="00220002" w:rsidRDefault="00220002" w:rsidP="00220002">
      <w:pPr>
        <w:jc w:val="both"/>
        <w:rPr>
          <w:rFonts w:ascii="Times New Roman" w:hAnsi="Times New Roman" w:cs="Times New Roman"/>
        </w:rPr>
      </w:pPr>
    </w:p>
    <w:p w:rsidR="00220002" w:rsidRPr="00220002" w:rsidRDefault="00220002" w:rsidP="00220002">
      <w:pPr>
        <w:jc w:val="both"/>
        <w:rPr>
          <w:rFonts w:ascii="Times New Roman" w:hAnsi="Times New Roman" w:cs="Times New Roman"/>
          <w:b/>
          <w:bCs/>
        </w:rPr>
      </w:pPr>
      <w:r w:rsidRPr="00220002">
        <w:rPr>
          <w:rFonts w:ascii="Times New Roman" w:hAnsi="Times New Roman" w:cs="Times New Roman"/>
          <w:b/>
          <w:bCs/>
        </w:rPr>
        <w:t xml:space="preserve">2) Del mundo del trabajo al mundo de la formación superior: Bologna. </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El Proceso de Bolonia se formalizó en 1999 con la firma de 29 ministros europeos de educación. Su objetivo central era crear un espacio común que facilitara la comparabilidad de títulos, la movilidad estudiantil y la competitividad internacional de las universidades europeas (Neave, 2003). La Declaración de Bolonia estableció cinco metas iniciales, entre ellas:</w:t>
      </w:r>
    </w:p>
    <w:p w:rsidR="00220002" w:rsidRPr="00220002" w:rsidRDefault="00220002" w:rsidP="00220002">
      <w:pPr>
        <w:pStyle w:val="Prrafodelista"/>
        <w:numPr>
          <w:ilvl w:val="0"/>
          <w:numId w:val="3"/>
        </w:numPr>
        <w:spacing w:after="0" w:line="240" w:lineRule="auto"/>
        <w:jc w:val="both"/>
        <w:rPr>
          <w:rFonts w:ascii="Times New Roman" w:hAnsi="Times New Roman" w:cs="Times New Roman"/>
        </w:rPr>
      </w:pPr>
      <w:r w:rsidRPr="00220002">
        <w:rPr>
          <w:rFonts w:ascii="Times New Roman" w:hAnsi="Times New Roman" w:cs="Times New Roman"/>
        </w:rPr>
        <w:t>Adopción de un sistema de titulaciones comprensible y comparable.</w:t>
      </w:r>
    </w:p>
    <w:p w:rsidR="00220002" w:rsidRPr="00220002" w:rsidRDefault="00220002" w:rsidP="00220002">
      <w:pPr>
        <w:pStyle w:val="Prrafodelista"/>
        <w:numPr>
          <w:ilvl w:val="0"/>
          <w:numId w:val="3"/>
        </w:numPr>
        <w:spacing w:after="0" w:line="240" w:lineRule="auto"/>
        <w:jc w:val="both"/>
        <w:rPr>
          <w:rFonts w:ascii="Times New Roman" w:hAnsi="Times New Roman" w:cs="Times New Roman"/>
        </w:rPr>
      </w:pPr>
      <w:r w:rsidRPr="00220002">
        <w:rPr>
          <w:rFonts w:ascii="Times New Roman" w:hAnsi="Times New Roman" w:cs="Times New Roman"/>
        </w:rPr>
        <w:t>Implementación de un sistema de créditos compatible (ECTS).</w:t>
      </w:r>
    </w:p>
    <w:p w:rsidR="00220002" w:rsidRPr="00220002" w:rsidRDefault="00220002" w:rsidP="00220002">
      <w:pPr>
        <w:pStyle w:val="Prrafodelista"/>
        <w:numPr>
          <w:ilvl w:val="0"/>
          <w:numId w:val="3"/>
        </w:numPr>
        <w:spacing w:after="0" w:line="240" w:lineRule="auto"/>
        <w:jc w:val="both"/>
        <w:rPr>
          <w:rFonts w:ascii="Times New Roman" w:hAnsi="Times New Roman" w:cs="Times New Roman"/>
        </w:rPr>
      </w:pPr>
      <w:r w:rsidRPr="00220002">
        <w:rPr>
          <w:rFonts w:ascii="Times New Roman" w:hAnsi="Times New Roman" w:cs="Times New Roman"/>
        </w:rPr>
        <w:t>Promoción de la movilidad.</w:t>
      </w:r>
    </w:p>
    <w:p w:rsidR="00220002" w:rsidRPr="00220002" w:rsidRDefault="00220002" w:rsidP="00220002">
      <w:pPr>
        <w:pStyle w:val="Prrafodelista"/>
        <w:numPr>
          <w:ilvl w:val="0"/>
          <w:numId w:val="3"/>
        </w:numPr>
        <w:spacing w:after="0" w:line="240" w:lineRule="auto"/>
        <w:jc w:val="both"/>
        <w:rPr>
          <w:rFonts w:ascii="Times New Roman" w:hAnsi="Times New Roman" w:cs="Times New Roman"/>
        </w:rPr>
      </w:pPr>
      <w:r w:rsidRPr="00220002">
        <w:rPr>
          <w:rFonts w:ascii="Times New Roman" w:hAnsi="Times New Roman" w:cs="Times New Roman"/>
        </w:rPr>
        <w:t>Aseguramiento de la calidad.</w:t>
      </w:r>
    </w:p>
    <w:p w:rsidR="00220002" w:rsidRPr="00220002" w:rsidRDefault="00220002" w:rsidP="00220002">
      <w:pPr>
        <w:pStyle w:val="Prrafodelista"/>
        <w:numPr>
          <w:ilvl w:val="0"/>
          <w:numId w:val="3"/>
        </w:numPr>
        <w:spacing w:after="0" w:line="240" w:lineRule="auto"/>
        <w:jc w:val="both"/>
        <w:rPr>
          <w:rFonts w:ascii="Times New Roman" w:hAnsi="Times New Roman" w:cs="Times New Roman"/>
        </w:rPr>
      </w:pPr>
      <w:r w:rsidRPr="00220002">
        <w:rPr>
          <w:rFonts w:ascii="Times New Roman" w:hAnsi="Times New Roman" w:cs="Times New Roman"/>
        </w:rPr>
        <w:t>Promover una dimensión europea de la educación superior</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Sin desdeñar otros aspectos respectivos a lo político institucional o a lo pedagógico, nos interesa centrarnos en el rol del SBTC como paradigma de validación de los conocimientos en el enfoque de </w:t>
      </w:r>
      <w:proofErr w:type="spellStart"/>
      <w:r w:rsidRPr="00220002">
        <w:rPr>
          <w:rFonts w:ascii="Times New Roman" w:hAnsi="Times New Roman" w:cs="Times New Roman"/>
        </w:rPr>
        <w:t>Skills</w:t>
      </w:r>
      <w:proofErr w:type="spellEnd"/>
      <w:r w:rsidRPr="00220002">
        <w:rPr>
          <w:rFonts w:ascii="Times New Roman" w:hAnsi="Times New Roman" w:cs="Times New Roman"/>
        </w:rPr>
        <w:t xml:space="preserve"> (Habilidades) que se tradujo en el punto 2 “Implementación de un sistema de créditos compatibles” y se buscará analizarlas desde una lógica documental de los actores.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Hay relaciones claras, documentadas y estudiadas entre el mundo laboral, los intereses empresariales y la arquitectura del sistema de créditos europeo (ECTS) y del Proceso de Bolonia, tanto en Europa en general como en España en particular. Hubo lobbies en el sentido de presiones estructuradas de actores empresariales, cámaras sectoriales, </w:t>
      </w:r>
      <w:r w:rsidRPr="00220002">
        <w:rPr>
          <w:rFonts w:ascii="Times New Roman" w:hAnsi="Times New Roman" w:cs="Times New Roman"/>
        </w:rPr>
        <w:lastRenderedPageBreak/>
        <w:t xml:space="preserve">organismos económicos y consultoras que influyeron en el diseño del Espacio Europeo de Educación Superior (EEES). En este sentido, el ECTS y el Proceso de Bolonia fueron diseñados explícitamente para alinear la educación superior con las necesidades del mercado laboral europeo. Documentos oficiales de Bolonia lo mencionan en forma explícita, por ejemplo la Declaración de Bolonia (1999) menciona la empleabilidad como objetivo central. Asimismo, el Comunicado de Berlín (2003) y el de Bergen (2005) refuerzan la idea de que los títulos deben ser “comprensibles para empleadores” y “adaptados a las demandas del mercado”. </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La Comisión Europea impulsó la reforma desde una lógica económica. Keeling (2006) muestra que Bolonia fue parte de la Estrategia de Lisboa, cuyo objetivo era convertir a Europa en “</w:t>
      </w:r>
      <w:r w:rsidRPr="00220002">
        <w:rPr>
          <w:rFonts w:ascii="Times New Roman" w:hAnsi="Times New Roman" w:cs="Times New Roman"/>
          <w:iCs/>
        </w:rPr>
        <w:t>la economía del conocimiento más competitiva del mundo</w:t>
      </w:r>
      <w:r w:rsidRPr="00220002">
        <w:rPr>
          <w:rFonts w:ascii="Times New Roman" w:hAnsi="Times New Roman" w:cs="Times New Roman"/>
        </w:rPr>
        <w:t xml:space="preserve">” (Consejo Europeo, 2000, párr. 5). Esto implicaba: 1) movilidad laboral, 2) certificación homogénea de competencias, 3) transparencia para empleadores y, 4) formación continua a partir del </w:t>
      </w:r>
      <w:proofErr w:type="spellStart"/>
      <w:r w:rsidRPr="00220002">
        <w:rPr>
          <w:rFonts w:ascii="Times New Roman" w:hAnsi="Times New Roman" w:cs="Times New Roman"/>
          <w:i/>
        </w:rPr>
        <w:t>reskilling</w:t>
      </w:r>
      <w:proofErr w:type="spellEnd"/>
      <w:r w:rsidRPr="00220002">
        <w:rPr>
          <w:rFonts w:ascii="Times New Roman" w:hAnsi="Times New Roman" w:cs="Times New Roman"/>
        </w:rPr>
        <w:t xml:space="preserve"> actualización o ampliación de habilidades dentro de un mismo puesto de trabajo- y </w:t>
      </w:r>
      <w:proofErr w:type="spellStart"/>
      <w:r w:rsidRPr="00220002">
        <w:rPr>
          <w:rFonts w:ascii="Times New Roman" w:hAnsi="Times New Roman" w:cs="Times New Roman"/>
          <w:i/>
        </w:rPr>
        <w:t>upskilling</w:t>
      </w:r>
      <w:proofErr w:type="spellEnd"/>
      <w:r w:rsidRPr="00220002">
        <w:rPr>
          <w:rFonts w:ascii="Times New Roman" w:hAnsi="Times New Roman" w:cs="Times New Roman"/>
          <w:i/>
        </w:rPr>
        <w:t xml:space="preserve"> </w:t>
      </w:r>
      <w:r w:rsidRPr="00220002">
        <w:rPr>
          <w:rFonts w:ascii="Times New Roman" w:hAnsi="Times New Roman" w:cs="Times New Roman"/>
        </w:rPr>
        <w:t>-adquisición de nuevas competencias para desempeñar una ocupación o función diferente de la actual-. Según Witte (2006), el crédito europeo no es solo un instrumento académico: es un mecanismo de estandarización de habilidades para facilitar la circulación de trabajadores en el mercado europeo. En este sentido, el ECTS como herramienta de gobernanza laboral.</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Reafirmamos que no sólo fueron meras declaraciones o elaboraciones conceptuales: en la creación del EEES y el ECTS hubo influencia directa e indirecta de actores empresariales y económicos. Los estudios de Robertson (2010) y Dale (2007) muestran que participaron:</w:t>
      </w:r>
    </w:p>
    <w:p w:rsidR="00220002" w:rsidRPr="00220002" w:rsidRDefault="00220002" w:rsidP="00220002">
      <w:pPr>
        <w:pStyle w:val="Prrafodelista"/>
        <w:numPr>
          <w:ilvl w:val="0"/>
          <w:numId w:val="2"/>
        </w:numPr>
        <w:spacing w:after="0" w:line="240" w:lineRule="auto"/>
        <w:jc w:val="both"/>
        <w:rPr>
          <w:rFonts w:ascii="Times New Roman" w:hAnsi="Times New Roman" w:cs="Times New Roman"/>
        </w:rPr>
      </w:pPr>
      <w:r w:rsidRPr="00220002">
        <w:rPr>
          <w:rFonts w:ascii="Times New Roman" w:hAnsi="Times New Roman" w:cs="Times New Roman"/>
        </w:rPr>
        <w:t>Business Europe (la mayor organización empresarial europea),</w:t>
      </w:r>
    </w:p>
    <w:p w:rsidR="00220002" w:rsidRPr="00220002" w:rsidRDefault="00220002" w:rsidP="00220002">
      <w:pPr>
        <w:pStyle w:val="Prrafodelista"/>
        <w:numPr>
          <w:ilvl w:val="0"/>
          <w:numId w:val="2"/>
        </w:numPr>
        <w:spacing w:after="0" w:line="240" w:lineRule="auto"/>
        <w:jc w:val="both"/>
        <w:rPr>
          <w:rFonts w:ascii="Times New Roman" w:hAnsi="Times New Roman" w:cs="Times New Roman"/>
          <w:lang w:val="en-US"/>
        </w:rPr>
      </w:pPr>
      <w:r w:rsidRPr="00220002">
        <w:rPr>
          <w:rFonts w:ascii="Times New Roman" w:hAnsi="Times New Roman" w:cs="Times New Roman"/>
          <w:lang w:val="en-US"/>
        </w:rPr>
        <w:t>European Round Table of Industrialists (ERT),</w:t>
      </w:r>
    </w:p>
    <w:p w:rsidR="00220002" w:rsidRPr="00220002" w:rsidRDefault="00220002" w:rsidP="00220002">
      <w:pPr>
        <w:pStyle w:val="Prrafodelista"/>
        <w:numPr>
          <w:ilvl w:val="0"/>
          <w:numId w:val="2"/>
        </w:numPr>
        <w:spacing w:after="0" w:line="240" w:lineRule="auto"/>
        <w:jc w:val="both"/>
        <w:rPr>
          <w:rFonts w:ascii="Times New Roman" w:hAnsi="Times New Roman" w:cs="Times New Roman"/>
        </w:rPr>
      </w:pPr>
      <w:r w:rsidRPr="00220002">
        <w:rPr>
          <w:rFonts w:ascii="Times New Roman" w:hAnsi="Times New Roman" w:cs="Times New Roman"/>
        </w:rPr>
        <w:t>Cámaras sectoriales (tecnología, ingeniería, finanzas),</w:t>
      </w:r>
    </w:p>
    <w:p w:rsidR="00220002" w:rsidRPr="00220002" w:rsidRDefault="00220002" w:rsidP="00220002">
      <w:pPr>
        <w:pStyle w:val="Prrafodelista"/>
        <w:numPr>
          <w:ilvl w:val="0"/>
          <w:numId w:val="2"/>
        </w:numPr>
        <w:spacing w:after="0" w:line="240" w:lineRule="auto"/>
        <w:jc w:val="both"/>
        <w:rPr>
          <w:rFonts w:ascii="Times New Roman" w:hAnsi="Times New Roman" w:cs="Times New Roman"/>
        </w:rPr>
      </w:pPr>
      <w:r w:rsidRPr="00220002">
        <w:rPr>
          <w:rFonts w:ascii="Times New Roman" w:hAnsi="Times New Roman" w:cs="Times New Roman"/>
        </w:rPr>
        <w:t>Grandes consultoras (PwC, McKinsey) en informes de competencias,</w:t>
      </w:r>
    </w:p>
    <w:p w:rsidR="00220002" w:rsidRPr="00220002" w:rsidRDefault="00220002" w:rsidP="00220002">
      <w:pPr>
        <w:pStyle w:val="Prrafodelista"/>
        <w:numPr>
          <w:ilvl w:val="0"/>
          <w:numId w:val="2"/>
        </w:numPr>
        <w:spacing w:after="0" w:line="240" w:lineRule="auto"/>
        <w:jc w:val="both"/>
        <w:rPr>
          <w:rFonts w:ascii="Times New Roman" w:hAnsi="Times New Roman" w:cs="Times New Roman"/>
        </w:rPr>
      </w:pPr>
      <w:r w:rsidRPr="00220002">
        <w:rPr>
          <w:rFonts w:ascii="Times New Roman" w:hAnsi="Times New Roman" w:cs="Times New Roman"/>
        </w:rPr>
        <w:t xml:space="preserve">Organismos económicos de la UE (DG Enterprise, DG </w:t>
      </w:r>
      <w:proofErr w:type="spellStart"/>
      <w:r w:rsidRPr="00220002">
        <w:rPr>
          <w:rFonts w:ascii="Times New Roman" w:hAnsi="Times New Roman" w:cs="Times New Roman"/>
        </w:rPr>
        <w:t>Employment</w:t>
      </w:r>
      <w:proofErr w:type="spellEnd"/>
      <w:r w:rsidRPr="00220002">
        <w:rPr>
          <w:rFonts w:ascii="Times New Roman" w:hAnsi="Times New Roman" w:cs="Times New Roman"/>
        </w:rPr>
        <w:t>).</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Estos actores presionaron para introducir el enfoque por competencias y de empleabilidad. Con ello se sumó la flexibilización de trayectorias y la facilitación de la movilidad laboral intraeuropea. El cuadro 1 a continuación muestra los lobbies y sus presiones.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Cuadro 1. Esquema de lobby corporativo en el diseño del Programa de Bologna.</w:t>
      </w:r>
    </w:p>
    <w:tbl>
      <w:tblPr>
        <w:tblStyle w:val="Tablanormal41"/>
        <w:tblW w:w="0" w:type="auto"/>
        <w:tblBorders>
          <w:top w:val="single" w:sz="4" w:space="0" w:color="auto"/>
          <w:bottom w:val="single" w:sz="4" w:space="0" w:color="auto"/>
          <w:insideH w:val="single" w:sz="4" w:space="0" w:color="auto"/>
          <w:insideV w:val="single" w:sz="4" w:space="0" w:color="auto"/>
        </w:tblBorders>
        <w:tblLook w:val="04A0"/>
      </w:tblPr>
      <w:tblGrid>
        <w:gridCol w:w="2646"/>
        <w:gridCol w:w="2047"/>
        <w:gridCol w:w="1731"/>
        <w:gridCol w:w="2296"/>
      </w:tblGrid>
      <w:tr w:rsidR="00220002" w:rsidRPr="00220002" w:rsidTr="00174C2A">
        <w:trPr>
          <w:cnfStyle w:val="100000000000"/>
        </w:trPr>
        <w:tc>
          <w:tcPr>
            <w:cnfStyle w:val="001000000000"/>
            <w:tcW w:w="0" w:type="auto"/>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Actor empresarial / económico</w:t>
            </w:r>
          </w:p>
        </w:tc>
        <w:tc>
          <w:tcPr>
            <w:tcW w:w="0" w:type="auto"/>
            <w:hideMark/>
          </w:tcPr>
          <w:p w:rsidR="00220002" w:rsidRPr="00220002" w:rsidRDefault="00220002" w:rsidP="00220002">
            <w:pPr>
              <w:jc w:val="both"/>
              <w:cnfStyle w:val="100000000000"/>
              <w:rPr>
                <w:rFonts w:ascii="Times New Roman" w:hAnsi="Times New Roman" w:cs="Times New Roman"/>
              </w:rPr>
            </w:pPr>
            <w:r w:rsidRPr="00220002">
              <w:rPr>
                <w:rFonts w:ascii="Times New Roman" w:hAnsi="Times New Roman" w:cs="Times New Roman"/>
              </w:rPr>
              <w:t>Mecanismo de influencia</w:t>
            </w:r>
          </w:p>
        </w:tc>
        <w:tc>
          <w:tcPr>
            <w:tcW w:w="0" w:type="auto"/>
            <w:hideMark/>
          </w:tcPr>
          <w:p w:rsidR="00220002" w:rsidRPr="00220002" w:rsidRDefault="00220002" w:rsidP="00220002">
            <w:pPr>
              <w:jc w:val="both"/>
              <w:cnfStyle w:val="100000000000"/>
              <w:rPr>
                <w:rFonts w:ascii="Times New Roman" w:hAnsi="Times New Roman" w:cs="Times New Roman"/>
              </w:rPr>
            </w:pPr>
            <w:r w:rsidRPr="00220002">
              <w:rPr>
                <w:rFonts w:ascii="Times New Roman" w:hAnsi="Times New Roman" w:cs="Times New Roman"/>
              </w:rPr>
              <w:t>Evidencia documentada</w:t>
            </w:r>
          </w:p>
        </w:tc>
        <w:tc>
          <w:tcPr>
            <w:tcW w:w="0" w:type="auto"/>
            <w:hideMark/>
          </w:tcPr>
          <w:p w:rsidR="00220002" w:rsidRPr="00220002" w:rsidRDefault="00220002" w:rsidP="00220002">
            <w:pPr>
              <w:jc w:val="both"/>
              <w:cnfStyle w:val="100000000000"/>
              <w:rPr>
                <w:rFonts w:ascii="Times New Roman" w:hAnsi="Times New Roman" w:cs="Times New Roman"/>
              </w:rPr>
            </w:pPr>
            <w:r w:rsidRPr="00220002">
              <w:rPr>
                <w:rFonts w:ascii="Times New Roman" w:hAnsi="Times New Roman" w:cs="Times New Roman"/>
              </w:rPr>
              <w:t xml:space="preserve">Impacto en el ECTS </w:t>
            </w:r>
          </w:p>
        </w:tc>
      </w:tr>
      <w:tr w:rsidR="00220002" w:rsidRPr="00220002" w:rsidTr="00174C2A">
        <w:trPr>
          <w:cnfStyle w:val="000000100000"/>
        </w:trPr>
        <w:tc>
          <w:tcPr>
            <w:cnfStyle w:val="001000000000"/>
            <w:tcW w:w="0" w:type="auto"/>
            <w:hideMark/>
          </w:tcPr>
          <w:p w:rsidR="00220002" w:rsidRPr="00220002" w:rsidRDefault="00220002" w:rsidP="00220002">
            <w:pPr>
              <w:jc w:val="both"/>
              <w:rPr>
                <w:rFonts w:ascii="Times New Roman" w:hAnsi="Times New Roman" w:cs="Times New Roman"/>
                <w:lang w:val="en-US"/>
              </w:rPr>
            </w:pPr>
            <w:r w:rsidRPr="00220002">
              <w:rPr>
                <w:rFonts w:ascii="Times New Roman" w:hAnsi="Times New Roman" w:cs="Times New Roman"/>
                <w:lang w:val="en-US"/>
              </w:rPr>
              <w:t>European Round Table of Industrialists (ERT)</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 xml:space="preserve">Lobby directo ante Comisión Europea; informes </w:t>
            </w:r>
            <w:r w:rsidRPr="00220002">
              <w:rPr>
                <w:rFonts w:ascii="Times New Roman" w:hAnsi="Times New Roman" w:cs="Times New Roman"/>
              </w:rPr>
              <w:lastRenderedPageBreak/>
              <w:t>estratégicos sobre competencias</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lastRenderedPageBreak/>
              <w:t xml:space="preserve">ERT (2001), citado en Robertson </w:t>
            </w:r>
            <w:r w:rsidRPr="00220002">
              <w:rPr>
                <w:rFonts w:ascii="Times New Roman" w:hAnsi="Times New Roman" w:cs="Times New Roman"/>
              </w:rPr>
              <w:lastRenderedPageBreak/>
              <w:t>(2010)</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lastRenderedPageBreak/>
              <w:t xml:space="preserve">Impulso a competencias transversales, </w:t>
            </w:r>
            <w:r w:rsidRPr="00220002">
              <w:rPr>
                <w:rFonts w:ascii="Times New Roman" w:hAnsi="Times New Roman" w:cs="Times New Roman"/>
              </w:rPr>
              <w:lastRenderedPageBreak/>
              <w:t>empleabilidad y movilidad laboral.</w:t>
            </w:r>
          </w:p>
        </w:tc>
      </w:tr>
      <w:tr w:rsidR="00220002" w:rsidRPr="00220002" w:rsidTr="00174C2A">
        <w:tc>
          <w:tcPr>
            <w:cnfStyle w:val="001000000000"/>
            <w:tcW w:w="0" w:type="auto"/>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lastRenderedPageBreak/>
              <w:t>Business Europe (antes UNICE)</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Participación en grupos de trabajo de la UE; presión para vincular educación y competitividad</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Dale (2007); Keeling (2006)</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Refuerzo del enfoque por competencias y de la lógica de “empleabilidad”.</w:t>
            </w:r>
          </w:p>
        </w:tc>
      </w:tr>
      <w:tr w:rsidR="00220002" w:rsidRPr="00220002" w:rsidTr="00174C2A">
        <w:trPr>
          <w:cnfStyle w:val="000000100000"/>
        </w:trPr>
        <w:tc>
          <w:tcPr>
            <w:cnfStyle w:val="001000000000"/>
            <w:tcW w:w="0" w:type="auto"/>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Grandes consultoras (PwC, McKinsey)</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Informes sobre “</w:t>
            </w:r>
            <w:proofErr w:type="spellStart"/>
            <w:r w:rsidRPr="00220002">
              <w:rPr>
                <w:rFonts w:ascii="Times New Roman" w:hAnsi="Times New Roman" w:cs="Times New Roman"/>
              </w:rPr>
              <w:t>skills</w:t>
            </w:r>
            <w:proofErr w:type="spellEnd"/>
            <w:r w:rsidRPr="00220002">
              <w:rPr>
                <w:rFonts w:ascii="Times New Roman" w:hAnsi="Times New Roman" w:cs="Times New Roman"/>
              </w:rPr>
              <w:t xml:space="preserve"> gap”; asesoría a la Comisión Europea</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McKinsey (2007–2010)</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 xml:space="preserve">Justificación técnica para </w:t>
            </w:r>
            <w:proofErr w:type="spellStart"/>
            <w:r w:rsidRPr="00220002">
              <w:rPr>
                <w:rFonts w:ascii="Times New Roman" w:hAnsi="Times New Roman" w:cs="Times New Roman"/>
              </w:rPr>
              <w:t>modularización</w:t>
            </w:r>
            <w:proofErr w:type="spellEnd"/>
            <w:r w:rsidRPr="00220002">
              <w:rPr>
                <w:rFonts w:ascii="Times New Roman" w:hAnsi="Times New Roman" w:cs="Times New Roman"/>
              </w:rPr>
              <w:t xml:space="preserve"> y </w:t>
            </w:r>
            <w:proofErr w:type="spellStart"/>
            <w:r w:rsidRPr="00220002">
              <w:rPr>
                <w:rFonts w:ascii="Times New Roman" w:hAnsi="Times New Roman" w:cs="Times New Roman"/>
              </w:rPr>
              <w:t>microcredenciales</w:t>
            </w:r>
            <w:proofErr w:type="spellEnd"/>
            <w:r w:rsidRPr="00220002">
              <w:rPr>
                <w:rFonts w:ascii="Times New Roman" w:hAnsi="Times New Roman" w:cs="Times New Roman"/>
              </w:rPr>
              <w:t>.</w:t>
            </w:r>
          </w:p>
        </w:tc>
      </w:tr>
      <w:tr w:rsidR="00220002" w:rsidRPr="00220002" w:rsidTr="00174C2A">
        <w:tc>
          <w:tcPr>
            <w:cnfStyle w:val="001000000000"/>
            <w:tcW w:w="0" w:type="auto"/>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Cámaras sectoriales (ingeniería, TIC, salud)</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Participación en el Tuning Project y en el EQF</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González &amp; Wagenaar (2003)</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Definición de competencias específicas por disciplina.</w:t>
            </w:r>
          </w:p>
        </w:tc>
      </w:tr>
      <w:tr w:rsidR="00220002" w:rsidRPr="00220002" w:rsidTr="00174C2A">
        <w:trPr>
          <w:cnfStyle w:val="000000100000"/>
        </w:trPr>
        <w:tc>
          <w:tcPr>
            <w:cnfStyle w:val="001000000000"/>
            <w:tcW w:w="0" w:type="auto"/>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Consejo Europeo de la Industria Digital (DIGITALEUROPE)</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Lobby para introducir competencias digitales en todos los grados</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Documentos 2005–2015</w:t>
            </w:r>
          </w:p>
        </w:tc>
        <w:tc>
          <w:tcPr>
            <w:tcW w:w="0" w:type="auto"/>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 xml:space="preserve">Inclusión de “digital </w:t>
            </w:r>
            <w:proofErr w:type="spellStart"/>
            <w:r w:rsidRPr="00220002">
              <w:rPr>
                <w:rFonts w:ascii="Times New Roman" w:hAnsi="Times New Roman" w:cs="Times New Roman"/>
              </w:rPr>
              <w:t>literacy</w:t>
            </w:r>
            <w:proofErr w:type="spellEnd"/>
            <w:r w:rsidRPr="00220002">
              <w:rPr>
                <w:rFonts w:ascii="Times New Roman" w:hAnsi="Times New Roman" w:cs="Times New Roman"/>
              </w:rPr>
              <w:t>” como competencia transversal.</w:t>
            </w:r>
          </w:p>
        </w:tc>
      </w:tr>
      <w:tr w:rsidR="00220002" w:rsidRPr="00220002" w:rsidTr="00174C2A">
        <w:tc>
          <w:tcPr>
            <w:cnfStyle w:val="001000000000"/>
            <w:tcW w:w="0" w:type="auto"/>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Organismos económicos de la UE (DG Enterprise, DG </w:t>
            </w:r>
            <w:proofErr w:type="spellStart"/>
            <w:r w:rsidRPr="00220002">
              <w:rPr>
                <w:rFonts w:ascii="Times New Roman" w:hAnsi="Times New Roman" w:cs="Times New Roman"/>
              </w:rPr>
              <w:t>Employment</w:t>
            </w:r>
            <w:proofErr w:type="spellEnd"/>
            <w:r w:rsidRPr="00220002">
              <w:rPr>
                <w:rFonts w:ascii="Times New Roman" w:hAnsi="Times New Roman" w:cs="Times New Roman"/>
              </w:rPr>
              <w:t>)</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Vinculación entre Estrategia de Lisboa y reformas educativas</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Keeling (2006)</w:t>
            </w:r>
          </w:p>
        </w:tc>
        <w:tc>
          <w:tcPr>
            <w:tcW w:w="0" w:type="auto"/>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Alineación del ECTS con objetivos económicos y de competitividad.</w:t>
            </w:r>
          </w:p>
        </w:tc>
      </w:tr>
    </w:tbl>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Fuente: Elaboración propia a partir de Dale y Robertson (2010)</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Como señalan González y Wagenaar (2003), Bolonia no fue solo una reforma técnica, sino un proyecto político de integración regional que buscó articular educación, economía y movilidad laboral. En este sentido, el ECTS se convirtió en la herramienta clave para operacionalizar la convergencia- El programa ERASMUS+ es quizás, el ejemplo más acabado de movilidad entre estudiantes y docentes. El </w:t>
      </w:r>
      <w:proofErr w:type="spellStart"/>
      <w:r w:rsidRPr="00220002">
        <w:rPr>
          <w:rFonts w:ascii="Times New Roman" w:hAnsi="Times New Roman" w:cs="Times New Roman"/>
          <w:i/>
          <w:iCs/>
        </w:rPr>
        <w:t>European</w:t>
      </w:r>
      <w:proofErr w:type="spellEnd"/>
      <w:r w:rsidRPr="00220002">
        <w:rPr>
          <w:rFonts w:ascii="Times New Roman" w:hAnsi="Times New Roman" w:cs="Times New Roman"/>
          <w:i/>
          <w:iCs/>
        </w:rPr>
        <w:t xml:space="preserve"> </w:t>
      </w:r>
      <w:proofErr w:type="spellStart"/>
      <w:r w:rsidRPr="00220002">
        <w:rPr>
          <w:rFonts w:ascii="Times New Roman" w:hAnsi="Times New Roman" w:cs="Times New Roman"/>
          <w:i/>
          <w:iCs/>
        </w:rPr>
        <w:t>Credit</w:t>
      </w:r>
      <w:proofErr w:type="spellEnd"/>
      <w:r w:rsidRPr="00220002">
        <w:rPr>
          <w:rFonts w:ascii="Times New Roman" w:hAnsi="Times New Roman" w:cs="Times New Roman"/>
          <w:i/>
          <w:iCs/>
        </w:rPr>
        <w:t xml:space="preserve"> Transfer and </w:t>
      </w:r>
      <w:proofErr w:type="spellStart"/>
      <w:r w:rsidRPr="00220002">
        <w:rPr>
          <w:rFonts w:ascii="Times New Roman" w:hAnsi="Times New Roman" w:cs="Times New Roman"/>
          <w:i/>
          <w:iCs/>
        </w:rPr>
        <w:t>Accumulation</w:t>
      </w:r>
      <w:proofErr w:type="spellEnd"/>
      <w:r w:rsidRPr="00220002">
        <w:rPr>
          <w:rFonts w:ascii="Times New Roman" w:hAnsi="Times New Roman" w:cs="Times New Roman"/>
          <w:i/>
          <w:iCs/>
        </w:rPr>
        <w:t xml:space="preserve"> </w:t>
      </w:r>
      <w:proofErr w:type="spellStart"/>
      <w:r w:rsidRPr="00220002">
        <w:rPr>
          <w:rFonts w:ascii="Times New Roman" w:hAnsi="Times New Roman" w:cs="Times New Roman"/>
          <w:i/>
          <w:iCs/>
        </w:rPr>
        <w:t>System</w:t>
      </w:r>
      <w:proofErr w:type="spellEnd"/>
      <w:r w:rsidRPr="00220002">
        <w:rPr>
          <w:rFonts w:ascii="Times New Roman" w:hAnsi="Times New Roman" w:cs="Times New Roman"/>
        </w:rPr>
        <w:t xml:space="preserve"> fue diseñado inicialmente en 1989 como un mecanismo para facilitar la movilidad en el programa ERASMUS. Sin embargo, con Bolonia se transformó en el estándar obligatorio para todos los países participantes.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En España, el caso que vamos a tomar como ejemplo, esta influencia fue bastante explícita. En la elaboración de los Libros Blancos (2003–2006), que definieron las competencias de cada carrera, participaron: empresas, colegios profesionales, cámaras sectoriales y asociaciones empresariales, lo cual está documentado en los propios Libros Blancos de ANECA (Agencia Nacional de Evaluación de la Calidad y Acreditación). Las competencias fueron definidas en forma explícita por los colegios profesionales, desde carreras de Ingeniería hasta carreras Humanísticas. En 36 libros blancos de </w:t>
      </w:r>
      <w:r w:rsidRPr="00220002">
        <w:rPr>
          <w:rFonts w:ascii="Times New Roman" w:hAnsi="Times New Roman" w:cs="Times New Roman"/>
        </w:rPr>
        <w:lastRenderedPageBreak/>
        <w:t>distintas carreras, se encontraban sendas estrategias de proteger incumbencias y alinear competencias con demandas del mercado.</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Que la educación superior tienda puentes con el mercado y hasta con el entrenamiento laboral no es en sí mismo una novedad. Que los colegios profesionales – herederos de las guildas medievales – metan la cuchara, tampoco debería sorprendernos. Sin embargo, la especificidad del SBTC como paradigma de formación es el </w:t>
      </w:r>
      <w:proofErr w:type="spellStart"/>
      <w:r w:rsidRPr="00220002">
        <w:rPr>
          <w:rFonts w:ascii="Times New Roman" w:hAnsi="Times New Roman" w:cs="Times New Roman"/>
          <w:i/>
        </w:rPr>
        <w:t>Upskilling</w:t>
      </w:r>
      <w:proofErr w:type="spellEnd"/>
      <w:r w:rsidRPr="00220002">
        <w:rPr>
          <w:rFonts w:ascii="Times New Roman" w:hAnsi="Times New Roman" w:cs="Times New Roman"/>
        </w:rPr>
        <w:t xml:space="preserve">, una formación continua con un fuerte apoyo en los componentes de empirismo radical, adaptabilidad y un componente actitudinal central. El primer componente es que el </w:t>
      </w:r>
      <w:proofErr w:type="spellStart"/>
      <w:r w:rsidRPr="00220002">
        <w:rPr>
          <w:rFonts w:ascii="Times New Roman" w:hAnsi="Times New Roman" w:cs="Times New Roman"/>
          <w:i/>
        </w:rPr>
        <w:t>know</w:t>
      </w:r>
      <w:proofErr w:type="spellEnd"/>
      <w:r w:rsidRPr="00220002">
        <w:rPr>
          <w:rFonts w:ascii="Times New Roman" w:hAnsi="Times New Roman" w:cs="Times New Roman"/>
          <w:i/>
        </w:rPr>
        <w:t xml:space="preserve"> </w:t>
      </w:r>
      <w:proofErr w:type="spellStart"/>
      <w:r w:rsidRPr="00220002">
        <w:rPr>
          <w:rFonts w:ascii="Times New Roman" w:hAnsi="Times New Roman" w:cs="Times New Roman"/>
          <w:i/>
        </w:rPr>
        <w:t>how</w:t>
      </w:r>
      <w:proofErr w:type="spellEnd"/>
      <w:r w:rsidRPr="00220002">
        <w:rPr>
          <w:rFonts w:ascii="Times New Roman" w:hAnsi="Times New Roman" w:cs="Times New Roman"/>
        </w:rPr>
        <w:t xml:space="preserve"> de una profesión es preferentemente definido por quienes acreditan mérito profesional, y se resta valor a la formación generalista.</w:t>
      </w:r>
    </w:p>
    <w:p w:rsidR="00993C6C" w:rsidRPr="00220002" w:rsidRDefault="00993C6C" w:rsidP="00220002">
      <w:pPr>
        <w:jc w:val="both"/>
        <w:rPr>
          <w:rFonts w:ascii="Times New Roman" w:hAnsi="Times New Roman" w:cs="Times New Roman"/>
        </w:rPr>
      </w:pPr>
    </w:p>
    <w:p w:rsidR="00220002" w:rsidRPr="00220002" w:rsidRDefault="00220002" w:rsidP="00220002">
      <w:pPr>
        <w:jc w:val="both"/>
        <w:rPr>
          <w:rFonts w:ascii="Times New Roman" w:hAnsi="Times New Roman" w:cs="Times New Roman"/>
          <w:b/>
        </w:rPr>
      </w:pPr>
      <w:r w:rsidRPr="00220002">
        <w:rPr>
          <w:rFonts w:ascii="Times New Roman" w:hAnsi="Times New Roman" w:cs="Times New Roman"/>
          <w:b/>
        </w:rPr>
        <w:t>3. El caso argentino: ¿una copia barata?</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La historia reciente de las reformas universitarias argentinas puede leerse como una secuencia de intentos por reorganizar la relación entre autonomía universitaria, regulación estatal, calidad académica, movilidad estudiantil y demandas del mundo del trabajo. Desde la sanción de la Ley de Educación Superior N.º 24.521 en 1995 hasta la creación del Sistema Argentino de Créditos Académicos Universitarios (SACAU) en 2023 y su flexibilización normativa posterior, se advierte una transformación gradual del modo en que el Estado y las universidades conciben los planes de estudio, las titulaciones y las trayectorias formativas.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La Ley de Educación Superior (LES), sancionada en 1995, constituyó el principal marco jurídico de la educación superior argentina en el período democrático reciente. En su formulación original, la ley integró en un mismo sistema a universidades e instituciones no universitarias y definió como fines de la educación superior la formación científica, profesional, humanística y técnica, la promoción del conocimiento y la garantía de calidad y excelencia (Ley N.º 24.521, 1995). Su aprobación se produjo en un contexto de reformas estatales de orientación neoliberal, expansión de mecanismos de evaluación y redefinición del papel del Estado en la coordinación del sistema universitario. Diversos estudios han interpretado este ciclo como parte de una agenda internacional de modernización universitaria, asociada a la evaluación, la acreditación, la diversificación institucional y la reorganización del financiamiento público (Mollis, 1999, 2003; Krotsch, 2001). La LES no eliminó la autonomía universitaria, pero sí introdujo una arquitectura de regulación más intensa, en particular mediante procedimientos de evaluación institucional, acreditación de carreras de interés público y reconocimiento oficial de títulos.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lastRenderedPageBreak/>
        <w:t>Uno de los rasgos centrales de la reforma de los años noventa fue la creación y consolidación de dispositivos de aseguramiento de la calidad. La Comisión Nacional de Evaluación y Acreditación Universitaria (CONEAU), prevista por la LES, se convirtió en el organismo encargado de evaluar instituciones universitarias, acreditar carreras de grado reguladas por el Estado y acreditar posgrados. Este giro supuso un desplazamiento desde una concepción de la universidad basada casi exclusivamente en la autonomía académica hacia un modelo en el que la autonomía convive con estándares externos, rendición de cuentas y comparabilidad institucional. Para Krotsch (2001), estas reformas deben comprenderse en el marco del pasaje de la universidad de élite a sistemas de educación superior masificados, diferenciados y crecientemente regulados. En términos históricos, la LES instaló la idea de que el sistema universitario debía ser coordinado, evaluado y ordenado mediante criterios comunes, aunque esta orientación fue resistida por sectores universitarios que la interpretaron como una intervención estatal sobre el autogobierno universitario.</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Durante los años posteriores, el sistema universitario argentino atravesó un proceso de expansión institucional, crecimiento de la matrícula y diversificación de ofertas académicas. La masificación del acceso intensificó problemas estructurales: bajas tasas de graduación, prolongación de la duración real de las carreras, superposición de contenidos, rigidez curricular y dificultades para reconocer trayectos formativos entre instituciones. Estas tensiones se volvieron cada vez más visibles en un sistema que mantenía planes de estudio organizados principalmente por horas de clase, asignaturas relativamente cerradas y carreras extensas, mientras crecían las demandas de movilidad, internacionalización y formación permanente. En esta línea, Chiroleu y Marquina han mostrado que la expansión de la oferta universitaria y las políticas de inclusión no eliminan por sí mismas las desigualdades, sino que reconfiguran el problema de la democratización del nivel superior (Chiroleu, 2009, 2018; Chiroleu &amp; Marquina, 2017).</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Una segunda etapa de reformas se abrió con la Ley de Educación Nacional N.º 26.206 y con la modificación de la LES mediante la Ley N.º 27.204, sancionada en 2015. Esta reforma redefinió a la educación superior como un bien público y un derecho humano personal y social, y reforzó la responsabilidad principal e indelegable del Estado en la garantía de igualdad de oportunidades, permanencia, graduación y egreso (Ley N.º 27.204, 2015). Frente al clima de los años noventa, esta modificación introdujo un lenguaje de derechos, inclusión y democratización. Sin embargo, no desarmó los dispositivos de evaluación y acreditación creados por la LES, sino que los reubicó dentro de una matriz discursiva más orientada a la expansión de derechos y a la responsabilidad pública del sistema. Esta tensión entre expansión, inclusión, calidad y regulación ha sido señalada por Chiroleu (2012, 2018) como uno de los ejes persistentes de las políticas universitarias latinoamericanas recientes.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lastRenderedPageBreak/>
        <w:t>En paralelo, la agenda internacional de la educación superior comenzó a influir con mayor fuerza en las discusiones locales. El Proceso de Bolonia ya mencionado, promovió la comparabilidad de títulos, la movilidad estudiantil, la organización por ciclos y el uso de ECTS. Aunque Argentina no formó parte de ese proceso, sus efectos se proyectaron sobre debates regionales acerca de reconocimiento de estudios, créditos académicos y articulación de trayectorias. Experiencias como el Crédito Latinoamericano de Referencia (CLAR) y los debates sobre reconocimiento de trayectos formativos fueron preparando el terreno para pensar un sistema nacional de créditos, no solo como mecanismo administrativo, sino como tecnología curricular orientada a medir el trabajo académico total del estudiante.</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La creación del SACAU mediante la Resolución Ministerial N.º 2598/2023 debe situarse en esta trayectoria. La norma dejó sin efecto la Resolución Ministerial N.º 6/1997 y creó el Sistema Argentino de Créditos Académicos Universitarios, fijando al Crédito de Referencia del/la Estudiante (CRE) como unidad organizadora para el diseño y rediseño de planes de estudio (Ministerio de Educación, 2023). En sus considerandos, la resolución vinculó la reforma con la necesidad de reducir la distancia entre duración teórica y duración real de las carreras, flexibilizar planes de estudio, reconocer trayectos formativos y favorecer la movilidad nacional e internacional. El punto decisivo fue el pasaje desde una lógica centrada en horas de cursada hacia otra basada en el tiempo total de trabajo académico del estudiante, incluyendo actividades presenciales, virtuales, prácticas, estudio autónomo y preparación de evaluaciones.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El SACAU implicó, por lo tanto, una reforma curricular de amplio alcance. Su objetivo no fue únicamente traducir horas a créditos, sino reordenar la estructura de las carreras a partir de una medida común. En términos académicos, esto abre posibilidades de articulación entre carreras, reconocimiento de certificaciones, titulaciones intermedias, movilidad entre instituciones y trayectorias más flexibles. En términos políticos, introduce nuevas preguntas sobre quién define el valor del trabajo estudiantil, cómo se garantiza la calidad de trayectos más flexibles y de qué modo se evita que la individualización de las trayectorias profundice desigualdades preexistentes. La flexibilidad puede ampliar oportunidades para estudiantes con recorridos heterogéneos, pero también puede favorecer a quienes cuentan con más información, capital cultural y capacidad de gestionar su propio itinerario formativo.</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La evolución normativa posterior confirma que la implementación del SACAU fue objeto de negociación dentro del sistema universitario. La Resolución N.º 556/2025 de la Secretaría de Educación retomó la Resolución N.º 2598/2023 y los Acuerdos Plenarios N.º 270 y 274 del Consejo de Universidades, introduciendo criterios de mayor flexibilidad para su aplicación. Entre los cambios más relevantes se encuentran la definición del CRE como una unidad estimativa del tiempo de trabajo del estudiante, la </w:t>
      </w:r>
      <w:r w:rsidRPr="00220002">
        <w:rPr>
          <w:rFonts w:ascii="Times New Roman" w:hAnsi="Times New Roman" w:cs="Times New Roman"/>
        </w:rPr>
        <w:lastRenderedPageBreak/>
        <w:t>posibilidad de asignarle un valor de entre 25 y 30 horas, el establecimiento de 60 CRE anuales como promedio y la implementación a partir del 1 de enero de 2027, con posibilidad de prórroga por dos años (Secretaría de Educación, 2025). Además, se fijaron mínimos para carreras de pregrado y grado, evitando una reducción mecánica de la duración de las carreras y procurando preservar calidad, profundidad y pertinencia de contenidos.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Desde una perspectiva histórica, puede afirmarse que las reformas universitarias argentinas desde la LES hasta el SACAU muestran una continuidad y, al mismo tiempo, una reorientación. La continuidad reside en la búsqueda de parámetros comunes de regulación, evaluación y comparabilidad del sistema. La reorientación aparece en el desplazamiento desde la calidad institucional y la acreditación de carreras hacia la organización de las trayectorias estudiantiles, el reconocimiento de aprendizajes y la flexibilidad curricular. Si la LES de 1995 instaló el problema de la calidad y la coordinación estatal, el SACAU instala el problema de la trayectoria: cómo se mide, cómo se reconoce, cómo se acumula y cómo se traduce en titulaciones.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En conclusión, el SACAU no debe entenderse como una innovación aislada, sino como el resultado de una historia de reformas que comenzó con la institucionalización de la evaluación y la acreditación en los años noventa, continuó con la ampliación del lenguaje de derechos e inclusión en la década de 2010 y desembocó en una agenda centrada en créditos, movilidad, reconocimiento y rediseño curricular. El desafío para las universidades argentinas será implementar esta transformación sin reducirla a una conversión administrativa de horas en créditos. La cuestión central será si el nuevo sistema logra mejorar la permanencia, el egreso y la movilidad sin debilitar la formación integral, sin subordinar por completo el currículum a la empleabilidad y sin profundizar las desigualdades entre instituciones y estudiantes.</w:t>
      </w:r>
    </w:p>
    <w:p w:rsidR="00220002" w:rsidRPr="00220002" w:rsidRDefault="00220002" w:rsidP="00220002">
      <w:pPr>
        <w:jc w:val="both"/>
        <w:rPr>
          <w:rFonts w:ascii="Times New Roman" w:hAnsi="Times New Roman" w:cs="Times New Roman"/>
          <w:lang w:val="es-ES"/>
        </w:rPr>
      </w:pPr>
      <w:r w:rsidRPr="00220002">
        <w:rPr>
          <w:rFonts w:ascii="Times New Roman" w:hAnsi="Times New Roman" w:cs="Times New Roman"/>
        </w:rPr>
        <w:t xml:space="preserve">La comparación entre el SACAU y el ECTS permite observar tanto convergencias formales como diferencias históricas e institucionales relevantes. Ambos sistemas comparten una definición semejante del crédito académico, entendido como una medida del trabajo total del estudiante, y se apoyan en la organización de los planes de estudio por resultados de aprendizaje, competencias, modularización y criterios de transparencia curricular. Esta arquitectura facilita la comparabilidad de titulaciones, la movilidad estudiantil y el reconocimiento de trayectorias formativas, siguiendo una lógica ya consolidada en el Espacio Europeo de Educación Superior (González &amp; Wagenaar, 2003; Teichler, 2012). </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Tabla 2. Comparación entre SACAU Argentina y ECTS España</w:t>
      </w:r>
    </w:p>
    <w:tbl>
      <w:tblPr>
        <w:tblStyle w:val="Tablanormal21"/>
        <w:tblW w:w="0" w:type="auto"/>
        <w:tblBorders>
          <w:insideH w:val="single" w:sz="4" w:space="0" w:color="7F7F7F" w:themeColor="text1" w:themeTint="80"/>
        </w:tblBorders>
        <w:tblLook w:val="04A0"/>
      </w:tblPr>
      <w:tblGrid>
        <w:gridCol w:w="1740"/>
        <w:gridCol w:w="3619"/>
        <w:gridCol w:w="3361"/>
      </w:tblGrid>
      <w:tr w:rsidR="00220002" w:rsidRPr="00220002" w:rsidTr="00174C2A">
        <w:trPr>
          <w:cnfStyle w:val="100000000000"/>
        </w:trPr>
        <w:tc>
          <w:tcPr>
            <w:cnfStyle w:val="001000000000"/>
            <w:tcW w:w="0" w:type="auto"/>
            <w:tcBorders>
              <w:bottom w:val="none" w:sz="0" w:space="0" w:color="auto"/>
              <w:right w:val="single" w:sz="4" w:space="0" w:color="auto"/>
            </w:tcBorders>
            <w:shd w:val="clear" w:color="auto" w:fill="D9D9D9" w:themeFill="background1" w:themeFillShade="D9"/>
            <w:hideMark/>
          </w:tcPr>
          <w:p w:rsidR="00220002" w:rsidRPr="00220002" w:rsidRDefault="00220002" w:rsidP="00220002">
            <w:pPr>
              <w:jc w:val="both"/>
              <w:rPr>
                <w:rFonts w:ascii="Times New Roman" w:hAnsi="Times New Roman" w:cs="Times New Roman"/>
                <w:b w:val="0"/>
                <w:bCs w:val="0"/>
              </w:rPr>
            </w:pPr>
            <w:r w:rsidRPr="00220002">
              <w:rPr>
                <w:rFonts w:ascii="Times New Roman" w:hAnsi="Times New Roman" w:cs="Times New Roman"/>
              </w:rPr>
              <w:t>Dimensión</w:t>
            </w:r>
          </w:p>
        </w:tc>
        <w:tc>
          <w:tcPr>
            <w:tcW w:w="0" w:type="auto"/>
            <w:tcBorders>
              <w:left w:val="single" w:sz="4" w:space="0" w:color="auto"/>
              <w:bottom w:val="none" w:sz="0" w:space="0" w:color="auto"/>
              <w:right w:val="single" w:sz="4" w:space="0" w:color="auto"/>
            </w:tcBorders>
            <w:shd w:val="clear" w:color="auto" w:fill="D9D9D9" w:themeFill="background1" w:themeFillShade="D9"/>
            <w:hideMark/>
          </w:tcPr>
          <w:p w:rsidR="00220002" w:rsidRPr="00220002" w:rsidRDefault="00220002" w:rsidP="00220002">
            <w:pPr>
              <w:jc w:val="both"/>
              <w:cnfStyle w:val="100000000000"/>
              <w:rPr>
                <w:rFonts w:ascii="Times New Roman" w:hAnsi="Times New Roman" w:cs="Times New Roman"/>
                <w:b w:val="0"/>
                <w:bCs w:val="0"/>
              </w:rPr>
            </w:pPr>
            <w:r w:rsidRPr="00220002">
              <w:rPr>
                <w:rFonts w:ascii="Times New Roman" w:hAnsi="Times New Roman" w:cs="Times New Roman"/>
              </w:rPr>
              <w:t>SACAU (Argentina)</w:t>
            </w:r>
          </w:p>
        </w:tc>
        <w:tc>
          <w:tcPr>
            <w:tcW w:w="0" w:type="auto"/>
            <w:tcBorders>
              <w:left w:val="single" w:sz="4" w:space="0" w:color="auto"/>
              <w:bottom w:val="none" w:sz="0" w:space="0" w:color="auto"/>
            </w:tcBorders>
            <w:shd w:val="clear" w:color="auto" w:fill="D9D9D9" w:themeFill="background1" w:themeFillShade="D9"/>
            <w:hideMark/>
          </w:tcPr>
          <w:p w:rsidR="00220002" w:rsidRPr="00220002" w:rsidRDefault="00220002" w:rsidP="00220002">
            <w:pPr>
              <w:jc w:val="both"/>
              <w:cnfStyle w:val="100000000000"/>
              <w:rPr>
                <w:rFonts w:ascii="Times New Roman" w:hAnsi="Times New Roman" w:cs="Times New Roman"/>
                <w:b w:val="0"/>
                <w:bCs w:val="0"/>
              </w:rPr>
            </w:pPr>
            <w:r w:rsidRPr="00220002">
              <w:rPr>
                <w:rFonts w:ascii="Times New Roman" w:hAnsi="Times New Roman" w:cs="Times New Roman"/>
              </w:rPr>
              <w:t>ECTS (España)</w:t>
            </w:r>
          </w:p>
        </w:tc>
      </w:tr>
      <w:tr w:rsidR="00220002" w:rsidRPr="00220002" w:rsidTr="00174C2A">
        <w:trPr>
          <w:cnfStyle w:val="000000100000"/>
        </w:trPr>
        <w:tc>
          <w:tcPr>
            <w:cnfStyle w:val="001000000000"/>
            <w:tcW w:w="0" w:type="auto"/>
            <w:tcBorders>
              <w:top w:val="none" w:sz="0" w:space="0" w:color="auto"/>
              <w:bottom w:val="none" w:sz="0" w:space="0" w:color="auto"/>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Origen</w:t>
            </w:r>
          </w:p>
        </w:tc>
        <w:tc>
          <w:tcPr>
            <w:tcW w:w="0" w:type="auto"/>
            <w:tcBorders>
              <w:top w:val="none" w:sz="0" w:space="0" w:color="auto"/>
              <w:left w:val="single" w:sz="4" w:space="0" w:color="auto"/>
              <w:bottom w:val="none" w:sz="0" w:space="0" w:color="auto"/>
              <w:right w:val="single" w:sz="4"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 xml:space="preserve">Resoluciones 2598/2023 y </w:t>
            </w:r>
            <w:r w:rsidRPr="00220002">
              <w:rPr>
                <w:rFonts w:ascii="Times New Roman" w:hAnsi="Times New Roman" w:cs="Times New Roman"/>
              </w:rPr>
              <w:lastRenderedPageBreak/>
              <w:t>556/2025; recomendaciones del Consejo de Universidades</w:t>
            </w:r>
          </w:p>
        </w:tc>
        <w:tc>
          <w:tcPr>
            <w:tcW w:w="0" w:type="auto"/>
            <w:tcBorders>
              <w:top w:val="none" w:sz="0" w:space="0" w:color="auto"/>
              <w:left w:val="single" w:sz="4" w:space="0" w:color="auto"/>
              <w:bottom w:val="none" w:sz="0"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lastRenderedPageBreak/>
              <w:t xml:space="preserve">Proceso de Bolonia (1999); RD </w:t>
            </w:r>
            <w:r w:rsidRPr="00220002">
              <w:rPr>
                <w:rFonts w:ascii="Times New Roman" w:hAnsi="Times New Roman" w:cs="Times New Roman"/>
              </w:rPr>
              <w:lastRenderedPageBreak/>
              <w:t>1393/2007</w:t>
            </w:r>
          </w:p>
        </w:tc>
      </w:tr>
      <w:tr w:rsidR="00220002" w:rsidRPr="00220002" w:rsidTr="00174C2A">
        <w:tc>
          <w:tcPr>
            <w:cnfStyle w:val="001000000000"/>
            <w:tcW w:w="0" w:type="auto"/>
            <w:tcBorders>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lastRenderedPageBreak/>
              <w:t>Unidad de medida</w:t>
            </w:r>
          </w:p>
        </w:tc>
        <w:tc>
          <w:tcPr>
            <w:tcW w:w="0" w:type="auto"/>
            <w:tcBorders>
              <w:left w:val="single" w:sz="4" w:space="0" w:color="auto"/>
              <w:righ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Crédito de Referencia del Estudiante (CRE)</w:t>
            </w:r>
          </w:p>
        </w:tc>
        <w:tc>
          <w:tcPr>
            <w:tcW w:w="0" w:type="auto"/>
            <w:tcBorders>
              <w:lef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European Credit (ECTS)</w:t>
            </w:r>
          </w:p>
        </w:tc>
      </w:tr>
      <w:tr w:rsidR="00220002" w:rsidRPr="00220002" w:rsidTr="00174C2A">
        <w:trPr>
          <w:cnfStyle w:val="000000100000"/>
        </w:trPr>
        <w:tc>
          <w:tcPr>
            <w:cnfStyle w:val="001000000000"/>
            <w:tcW w:w="0" w:type="auto"/>
            <w:tcBorders>
              <w:top w:val="none" w:sz="0" w:space="0" w:color="auto"/>
              <w:bottom w:val="none" w:sz="0" w:space="0" w:color="auto"/>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Horas por crédito</w:t>
            </w:r>
          </w:p>
        </w:tc>
        <w:tc>
          <w:tcPr>
            <w:tcW w:w="0" w:type="auto"/>
            <w:tcBorders>
              <w:top w:val="none" w:sz="0" w:space="0" w:color="auto"/>
              <w:left w:val="single" w:sz="4" w:space="0" w:color="auto"/>
              <w:bottom w:val="none" w:sz="0" w:space="0" w:color="auto"/>
              <w:right w:val="single" w:sz="4"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25–30 horas (Ministerio de Educación, 2023)</w:t>
            </w:r>
          </w:p>
        </w:tc>
        <w:tc>
          <w:tcPr>
            <w:tcW w:w="0" w:type="auto"/>
            <w:tcBorders>
              <w:top w:val="none" w:sz="0" w:space="0" w:color="auto"/>
              <w:left w:val="single" w:sz="4" w:space="0" w:color="auto"/>
              <w:bottom w:val="none" w:sz="0"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25–30 horas (Bologna Working Group, 2005)</w:t>
            </w:r>
          </w:p>
        </w:tc>
      </w:tr>
      <w:tr w:rsidR="00220002" w:rsidRPr="00220002" w:rsidTr="00174C2A">
        <w:tc>
          <w:tcPr>
            <w:cnfStyle w:val="001000000000"/>
            <w:tcW w:w="0" w:type="auto"/>
            <w:tcBorders>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Créditos por año</w:t>
            </w:r>
          </w:p>
        </w:tc>
        <w:tc>
          <w:tcPr>
            <w:tcW w:w="0" w:type="auto"/>
            <w:tcBorders>
              <w:left w:val="single" w:sz="4" w:space="0" w:color="auto"/>
              <w:righ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60</w:t>
            </w:r>
          </w:p>
        </w:tc>
        <w:tc>
          <w:tcPr>
            <w:tcW w:w="0" w:type="auto"/>
            <w:tcBorders>
              <w:lef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60</w:t>
            </w:r>
          </w:p>
        </w:tc>
      </w:tr>
      <w:tr w:rsidR="00220002" w:rsidRPr="00220002" w:rsidTr="00174C2A">
        <w:trPr>
          <w:cnfStyle w:val="000000100000"/>
        </w:trPr>
        <w:tc>
          <w:tcPr>
            <w:cnfStyle w:val="001000000000"/>
            <w:tcW w:w="0" w:type="auto"/>
            <w:tcBorders>
              <w:top w:val="none" w:sz="0" w:space="0" w:color="auto"/>
              <w:bottom w:val="none" w:sz="0" w:space="0" w:color="auto"/>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Asignación</w:t>
            </w:r>
          </w:p>
        </w:tc>
        <w:tc>
          <w:tcPr>
            <w:tcW w:w="0" w:type="auto"/>
            <w:tcBorders>
              <w:top w:val="none" w:sz="0" w:space="0" w:color="auto"/>
              <w:left w:val="single" w:sz="4" w:space="0" w:color="auto"/>
              <w:bottom w:val="none" w:sz="0" w:space="0" w:color="auto"/>
              <w:right w:val="single" w:sz="4"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Resultados de aprendizaje y carga total</w:t>
            </w:r>
          </w:p>
        </w:tc>
        <w:tc>
          <w:tcPr>
            <w:tcW w:w="0" w:type="auto"/>
            <w:tcBorders>
              <w:top w:val="none" w:sz="0" w:space="0" w:color="auto"/>
              <w:left w:val="single" w:sz="4" w:space="0" w:color="auto"/>
              <w:bottom w:val="none" w:sz="0"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Resultados de aprendizaje y carga total</w:t>
            </w:r>
          </w:p>
        </w:tc>
      </w:tr>
      <w:tr w:rsidR="00220002" w:rsidRPr="00220002" w:rsidTr="00174C2A">
        <w:tc>
          <w:tcPr>
            <w:cnfStyle w:val="001000000000"/>
            <w:tcW w:w="0" w:type="auto"/>
            <w:tcBorders>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Carácter</w:t>
            </w:r>
          </w:p>
        </w:tc>
        <w:tc>
          <w:tcPr>
            <w:tcW w:w="0" w:type="auto"/>
            <w:tcBorders>
              <w:left w:val="single" w:sz="4" w:space="0" w:color="auto"/>
              <w:righ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Obligatorio para carreras nuevas desde 2027</w:t>
            </w:r>
          </w:p>
        </w:tc>
        <w:tc>
          <w:tcPr>
            <w:tcW w:w="0" w:type="auto"/>
            <w:tcBorders>
              <w:lef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Obligatorio en todo el sistema</w:t>
            </w:r>
          </w:p>
        </w:tc>
      </w:tr>
      <w:tr w:rsidR="00220002" w:rsidRPr="00220002" w:rsidTr="00174C2A">
        <w:trPr>
          <w:cnfStyle w:val="000000100000"/>
        </w:trPr>
        <w:tc>
          <w:tcPr>
            <w:cnfStyle w:val="001000000000"/>
            <w:tcW w:w="0" w:type="auto"/>
            <w:tcBorders>
              <w:top w:val="none" w:sz="0" w:space="0" w:color="auto"/>
              <w:bottom w:val="none" w:sz="0" w:space="0" w:color="auto"/>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Objetivos declarados</w:t>
            </w:r>
          </w:p>
        </w:tc>
        <w:tc>
          <w:tcPr>
            <w:tcW w:w="0" w:type="auto"/>
            <w:tcBorders>
              <w:top w:val="none" w:sz="0" w:space="0" w:color="auto"/>
              <w:left w:val="single" w:sz="4" w:space="0" w:color="auto"/>
              <w:bottom w:val="none" w:sz="0" w:space="0" w:color="auto"/>
              <w:right w:val="single" w:sz="4"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Transparencia, movilidad, comparabilidad, modernización</w:t>
            </w:r>
          </w:p>
        </w:tc>
        <w:tc>
          <w:tcPr>
            <w:tcW w:w="0" w:type="auto"/>
            <w:tcBorders>
              <w:top w:val="none" w:sz="0" w:space="0" w:color="auto"/>
              <w:left w:val="single" w:sz="4" w:space="0" w:color="auto"/>
              <w:bottom w:val="none" w:sz="0"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Movilidad, comparabilidad, empleabilidad</w:t>
            </w:r>
          </w:p>
        </w:tc>
      </w:tr>
      <w:tr w:rsidR="00220002" w:rsidRPr="00220002" w:rsidTr="00174C2A">
        <w:tc>
          <w:tcPr>
            <w:cnfStyle w:val="001000000000"/>
            <w:tcW w:w="0" w:type="auto"/>
            <w:tcBorders>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Críticas</w:t>
            </w:r>
          </w:p>
        </w:tc>
        <w:tc>
          <w:tcPr>
            <w:tcW w:w="0" w:type="auto"/>
            <w:tcBorders>
              <w:left w:val="single" w:sz="4" w:space="0" w:color="auto"/>
              <w:righ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Mercantilización, individualización, riesgo de arancelamiento (Soler Carmona, 2025)</w:t>
            </w:r>
          </w:p>
        </w:tc>
        <w:tc>
          <w:tcPr>
            <w:tcW w:w="0" w:type="auto"/>
            <w:tcBorders>
              <w:lef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Burocratización, sobrecarga, orientación al mercado (Rodríguez Espinar, 2008)</w:t>
            </w:r>
          </w:p>
        </w:tc>
      </w:tr>
      <w:tr w:rsidR="00220002" w:rsidRPr="00220002" w:rsidTr="00174C2A">
        <w:trPr>
          <w:cnfStyle w:val="000000100000"/>
        </w:trPr>
        <w:tc>
          <w:tcPr>
            <w:cnfStyle w:val="001000000000"/>
            <w:tcW w:w="0" w:type="auto"/>
            <w:tcBorders>
              <w:top w:val="none" w:sz="0" w:space="0" w:color="auto"/>
              <w:bottom w:val="none" w:sz="0" w:space="0" w:color="auto"/>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Contexto institucional</w:t>
            </w:r>
          </w:p>
        </w:tc>
        <w:tc>
          <w:tcPr>
            <w:tcW w:w="0" w:type="auto"/>
            <w:tcBorders>
              <w:top w:val="none" w:sz="0" w:space="0" w:color="auto"/>
              <w:left w:val="single" w:sz="4" w:space="0" w:color="auto"/>
              <w:bottom w:val="none" w:sz="0" w:space="0" w:color="auto"/>
              <w:right w:val="single" w:sz="4"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Alta autonomía universitaria; fuerte tradición pública</w:t>
            </w:r>
          </w:p>
        </w:tc>
        <w:tc>
          <w:tcPr>
            <w:tcW w:w="0" w:type="auto"/>
            <w:tcBorders>
              <w:top w:val="none" w:sz="0" w:space="0" w:color="auto"/>
              <w:left w:val="single" w:sz="4" w:space="0" w:color="auto"/>
              <w:bottom w:val="none" w:sz="0" w:space="0" w:color="auto"/>
            </w:tcBorders>
            <w:hideMark/>
          </w:tcPr>
          <w:p w:rsidR="00220002" w:rsidRPr="00220002" w:rsidRDefault="00220002" w:rsidP="00220002">
            <w:pPr>
              <w:jc w:val="both"/>
              <w:cnfStyle w:val="000000100000"/>
              <w:rPr>
                <w:rFonts w:ascii="Times New Roman" w:hAnsi="Times New Roman" w:cs="Times New Roman"/>
              </w:rPr>
            </w:pPr>
            <w:r w:rsidRPr="00220002">
              <w:rPr>
                <w:rFonts w:ascii="Times New Roman" w:hAnsi="Times New Roman" w:cs="Times New Roman"/>
              </w:rPr>
              <w:t>Integración europea; gobernanza multinivel</w:t>
            </w:r>
          </w:p>
        </w:tc>
      </w:tr>
      <w:tr w:rsidR="00220002" w:rsidRPr="00220002" w:rsidTr="00174C2A">
        <w:tc>
          <w:tcPr>
            <w:cnfStyle w:val="001000000000"/>
            <w:tcW w:w="0" w:type="auto"/>
            <w:tcBorders>
              <w:right w:val="single" w:sz="4" w:space="0" w:color="auto"/>
            </w:tcBorders>
            <w:hideMark/>
          </w:tcPr>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Impacto esperado</w:t>
            </w:r>
          </w:p>
        </w:tc>
        <w:tc>
          <w:tcPr>
            <w:tcW w:w="0" w:type="auto"/>
            <w:tcBorders>
              <w:left w:val="single" w:sz="4" w:space="0" w:color="auto"/>
              <w:righ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Homologación regional e internacional; reorganización curricular</w:t>
            </w:r>
          </w:p>
        </w:tc>
        <w:tc>
          <w:tcPr>
            <w:tcW w:w="0" w:type="auto"/>
            <w:tcBorders>
              <w:left w:val="single" w:sz="4" w:space="0" w:color="auto"/>
            </w:tcBorders>
            <w:hideMark/>
          </w:tcPr>
          <w:p w:rsidR="00220002" w:rsidRPr="00220002" w:rsidRDefault="00220002" w:rsidP="00220002">
            <w:pPr>
              <w:jc w:val="both"/>
              <w:cnfStyle w:val="000000000000"/>
              <w:rPr>
                <w:rFonts w:ascii="Times New Roman" w:hAnsi="Times New Roman" w:cs="Times New Roman"/>
              </w:rPr>
            </w:pPr>
            <w:r w:rsidRPr="00220002">
              <w:rPr>
                <w:rFonts w:ascii="Times New Roman" w:hAnsi="Times New Roman" w:cs="Times New Roman"/>
              </w:rPr>
              <w:t>Integración plena al EEES; movilidad intraeuropea</w:t>
            </w:r>
          </w:p>
        </w:tc>
      </w:tr>
    </w:tbl>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Fuente: Elaboración propia.</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Sin embargo, la adopción argentina del sistema de créditos no puede leerse como una simple trasposición del modelo europeo. Mientras el ECTS se desarrolló en un contexto de gobernanza supranacional, articulado por la Unión Europea y orientado a la construcción de un mercado educativo y laboral común, el SACAU se inserta en un sistema universitario caracterizado por una fuerte autonomía institucional, una tradición de gratuidad en el sector público y profundas heterogeneidades entre universidades. En este sentido, la implementación argentina depende menos de una autoridad regional externa que de acuerdos internos, capacidades institucionales desiguales y negociaciones entre el Estado, el Consejo de Universidades y las propias instituciones (García de Fanelli, 2014; Chiroleu, 2018).</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Desde una perspectiva sociológica, la adopción del SACAU puede interpretarse como un proceso de isomorfismo institucional: responde a presiones internacionales de comparabilidad, a la imitación de modelos considerados exitosos y a la circulación de expertos y lenguajes técnicos propios de la gestión universitaria global (DiMaggio &amp; Powell, 1983). Pero sus efectos no están predeterminados. El nuevo sistema puede favorecer la movilidad, la articulación entre instituciones y el reconocimiento de aprendizajes previos; al mismo tiempo, puede profundizar desigualdades si la </w:t>
      </w:r>
      <w:r w:rsidRPr="00220002">
        <w:rPr>
          <w:rFonts w:ascii="Times New Roman" w:hAnsi="Times New Roman" w:cs="Times New Roman"/>
        </w:rPr>
        <w:lastRenderedPageBreak/>
        <w:t>flexibilidad curricular traslada a los estudiantes la responsabilidad de gestionar trayectorias complejas en condiciones sociales e institucionales desiguales. Por ello, la cuestión central no es solo si el SACAU se parece al ECTS, sino bajo qué condiciones políticas, pedagógicas y materiales se implementa en Argentina.</w:t>
      </w:r>
    </w:p>
    <w:p w:rsidR="00220002" w:rsidRPr="00220002" w:rsidRDefault="00220002" w:rsidP="00220002">
      <w:pPr>
        <w:jc w:val="both"/>
        <w:rPr>
          <w:rFonts w:ascii="Times New Roman" w:hAnsi="Times New Roman" w:cs="Times New Roman"/>
        </w:rPr>
      </w:pPr>
    </w:p>
    <w:p w:rsidR="00220002" w:rsidRPr="00993C6C" w:rsidRDefault="00220002" w:rsidP="00220002">
      <w:pPr>
        <w:spacing w:line="240" w:lineRule="auto"/>
        <w:rPr>
          <w:rFonts w:ascii="Times New Roman" w:hAnsi="Times New Roman" w:cs="Times New Roman"/>
          <w:b/>
          <w:bCs/>
        </w:rPr>
      </w:pPr>
      <w:r w:rsidRPr="00993C6C">
        <w:rPr>
          <w:rFonts w:ascii="Times New Roman" w:hAnsi="Times New Roman" w:cs="Times New Roman"/>
          <w:b/>
          <w:bCs/>
        </w:rPr>
        <w:t>Conclusiones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La expansión de los sistemas de créditos universitarios, como el ECTS en Europa y el SACAU en Argentina, no puede comprenderse únicamente como una reforma técnica orientada a ordenar planes de estudio o facilitar equivalencias administrativas. Estos dispositivos forman parte de una transformación más amplia en la relación entre educación superior, mercado de trabajo y cambio tecnológico. El enfoque del </w:t>
      </w:r>
      <w:r w:rsidRPr="00220002">
        <w:rPr>
          <w:rFonts w:ascii="Times New Roman" w:hAnsi="Times New Roman" w:cs="Times New Roman"/>
          <w:i/>
          <w:iCs/>
        </w:rPr>
        <w:t>Skill Biased Technological Change</w:t>
      </w:r>
      <w:r w:rsidRPr="00220002">
        <w:rPr>
          <w:rFonts w:ascii="Times New Roman" w:hAnsi="Times New Roman" w:cs="Times New Roman"/>
        </w:rPr>
        <w:t xml:space="preserve"> (SBTC) permite situar esta discusión en un marco más general: el cambio tecnológico no afecta por igual a todas las ocupaciones, sino que tiende a valorizar habilidades cognitivas, analíticas, digitales y no rutinarias, mientras reduce la demanda de tareas repetitivas o fácilmente automatizables (Acemoglu, 2002; Autor et al., 2003; Autor, 2014). Desde esta perspectiva, los sistemas de créditos pueden leerse como una respuesta curricular a un mercado laboral que demanda trayectorias más flexibles, perfiles comparables y actualización permanente de competencias.</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En este sentido, la modularización de la formación no es neutral. Al organizar los aprendizajes en unidades acumulables, transferibles y reconocibles, los sistemas de créditos facilitan la construcción de trayectorias personalizadas, la certificación parcial de saberes y la articulación entre formación universitaria, educación continua y experiencias profesionales. Esta lógica resulta coherente con las nociones de </w:t>
      </w:r>
      <w:r w:rsidRPr="00220002">
        <w:rPr>
          <w:rFonts w:ascii="Times New Roman" w:hAnsi="Times New Roman" w:cs="Times New Roman"/>
          <w:i/>
          <w:iCs/>
        </w:rPr>
        <w:t>reskilling</w:t>
      </w:r>
      <w:r w:rsidRPr="00220002">
        <w:rPr>
          <w:rFonts w:ascii="Times New Roman" w:hAnsi="Times New Roman" w:cs="Times New Roman"/>
        </w:rPr>
        <w:t xml:space="preserve"> y </w:t>
      </w:r>
      <w:r w:rsidRPr="00220002">
        <w:rPr>
          <w:rFonts w:ascii="Times New Roman" w:hAnsi="Times New Roman" w:cs="Times New Roman"/>
          <w:i/>
          <w:iCs/>
        </w:rPr>
        <w:t>upskilling</w:t>
      </w:r>
      <w:r w:rsidRPr="00220002">
        <w:rPr>
          <w:rFonts w:ascii="Times New Roman" w:hAnsi="Times New Roman" w:cs="Times New Roman"/>
        </w:rPr>
        <w:t>, que colocan la actualización de habilidades como condición permanente de empleabilidad. Sin embargo, esa misma flexibilidad puede desplazar parte de la responsabilidad de la formación desde las instituciones hacia los individuos, quienes deben gestionar su propio itinerario educativo como si se tratara de un portafolio de competencias. Desde una mirada crítica, esto puede reforzar la función clasificatoria de la educación en mercados laborales altamente competitivos, en los que las credenciales no solo habilitan saberes, sino que ordenan jerarquías sociales y oportunidades de inserción (Brown et al., 2011; Laval, 2004).</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 xml:space="preserve">El vínculo entre créditos, competencias y SBTC se expresa con claridad en el Proceso de Bolonia. Allí, el ECTS no funcionó solamente como una herramienta académica para medir carga de trabajo estudiantil, sino como un mecanismo de convergencia entre sistemas universitarios, movilidad estudiantil y circulación laboral intraeuropea. La estandarización de créditos, resultados de aprendizaje y competencias hizo más legibles las titulaciones para universidades, Estados y empleadores, articulando la reforma </w:t>
      </w:r>
      <w:r w:rsidRPr="00220002">
        <w:rPr>
          <w:rFonts w:ascii="Times New Roman" w:hAnsi="Times New Roman" w:cs="Times New Roman"/>
        </w:rPr>
        <w:lastRenderedPageBreak/>
        <w:t>universitaria con la agenda de la economía del conocimiento promovida por la Estrategia de Lisboa (Keeling, 2006; Witte, 2006). En ese marco, la movilidad Erasmus y la comparabilidad internacional de títulos no solo ampliaron experiencias educativas, sino que también contribuyeron a producir perfiles laborales valorados por sectores intensivos en conocimiento, asociados a adaptabilidad, manejo intercultural, competencias lingüísticas y autonomía (Teichler, 2012).</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El caso argentino presenta una tensión particular. El SACAU retoma varios rasgos de esa arquitectura internacional —créditos, resultados de aprendizaje, medición del trabajo total del estudiante, reconocimiento de trayectos y movilidad—, pero los inserta en un sistema universitario con fuerte tradición pública, autonomía institucional, gratuidad en el sector estatal y profundas desigualdades entre instituciones y estudiantes. Por ello, su implementación no puede evaluarse solo por su semejanza formal con el ECTS, sino por sus efectos concretos sobre las trayectorias educativas. En un contexto atravesado por brechas socioeconómicas, digitales y territoriales, la flexibilidad curricular puede ampliar oportunidades de movilidad y reconocimiento, pero también segmentar recorridos si las universidades cuentan con capacidades desiguales para rediseñar planes, orientar estudiantes y sostener trayectorias complejas (García de Fanelli, 2014; Chiroleu, 2018).</w:t>
      </w:r>
    </w:p>
    <w:p w:rsidR="00220002" w:rsidRPr="00220002" w:rsidRDefault="00220002" w:rsidP="00220002">
      <w:pPr>
        <w:jc w:val="both"/>
        <w:rPr>
          <w:rFonts w:ascii="Times New Roman" w:hAnsi="Times New Roman" w:cs="Times New Roman"/>
        </w:rPr>
      </w:pPr>
      <w:r w:rsidRPr="00220002">
        <w:rPr>
          <w:rFonts w:ascii="Times New Roman" w:hAnsi="Times New Roman" w:cs="Times New Roman"/>
        </w:rPr>
        <w:t>Desde esta perspectiva, los sistemas de créditos universitarios y el SBTC forman parte de un mismo proceso histórico de reorganización de la educación y del trabajo. Ambos promueven flexibilidad, comparabilidad, actualización permanente y valorización diferencial de habilidades. No obstante, sus consecuencias no están predeterminadas. El problema central es si estos dispositivos serán utilizados para democratizar trayectorias, mejorar la permanencia y reconocer aprendizajes diversos, o si terminarán reforzando una lógica de empleabilidad individualizada en la que cada estudiante deba acumular credenciales para competir en mercados laborales más inciertos. En Argentina, el desafío consiste en implementar el SACAU sin reducirlo a una traducción administrativa de horas en créditos ni subordinar el currículum universitario a las demandas inmediatas del mercado, preservando la función crítica, pública e igualadora de la educación superior.</w:t>
      </w:r>
    </w:p>
    <w:p w:rsidR="00BC236F" w:rsidRPr="00993C6C" w:rsidRDefault="00BC236F" w:rsidP="007B5B5F">
      <w:pPr>
        <w:spacing w:line="240" w:lineRule="auto"/>
        <w:jc w:val="both"/>
        <w:rPr>
          <w:rFonts w:ascii="Times New Roman" w:hAnsi="Times New Roman" w:cs="Times New Roman"/>
        </w:rPr>
      </w:pPr>
    </w:p>
    <w:p w:rsidR="005F3B2E" w:rsidRPr="00EA6FC6" w:rsidRDefault="005F3B2E" w:rsidP="007B5B5F">
      <w:pPr>
        <w:spacing w:line="240" w:lineRule="auto"/>
        <w:rPr>
          <w:rFonts w:ascii="Times New Roman" w:hAnsi="Times New Roman" w:cs="Times New Roman"/>
          <w:b/>
          <w:bCs/>
          <w:lang w:val="pt-BR"/>
        </w:rPr>
      </w:pPr>
      <w:r w:rsidRPr="00EA6FC6">
        <w:rPr>
          <w:rFonts w:ascii="Times New Roman" w:hAnsi="Times New Roman" w:cs="Times New Roman"/>
          <w:b/>
          <w:bCs/>
          <w:lang w:val="pt-BR"/>
        </w:rPr>
        <w:t>Referencias Bibliográficas (APA 7)</w:t>
      </w:r>
    </w:p>
    <w:p w:rsidR="00EA6FC6" w:rsidRPr="000E5A21" w:rsidRDefault="00EA6FC6" w:rsidP="00EA6FC6">
      <w:pPr>
        <w:jc w:val="both"/>
        <w:rPr>
          <w:rFonts w:asciiTheme="majorBidi" w:hAnsiTheme="majorBidi" w:cstheme="majorBidi"/>
          <w:lang w:val="en-US"/>
        </w:rPr>
      </w:pPr>
      <w:r w:rsidRPr="00993C6C">
        <w:rPr>
          <w:rFonts w:ascii="Times New Roman" w:hAnsi="Times New Roman"/>
          <w:lang w:val="pt-PT"/>
        </w:rPr>
        <w:t xml:space="preserve">Acemoglu, D. (2002). </w:t>
      </w:r>
      <w:r w:rsidRPr="00412E7E">
        <w:rPr>
          <w:rFonts w:ascii="Times New Roman" w:hAnsi="Times New Roman"/>
          <w:lang w:val="en-US"/>
        </w:rPr>
        <w:t xml:space="preserve">Technical change, inequality, and the labor market. </w:t>
      </w:r>
      <w:r w:rsidRPr="000E5A21">
        <w:rPr>
          <w:rFonts w:ascii="Times New Roman" w:hAnsi="Times New Roman"/>
          <w:i/>
          <w:iCs/>
          <w:lang w:val="en-US"/>
        </w:rPr>
        <w:t>Journal of Economic Literature, 40</w:t>
      </w:r>
      <w:r w:rsidRPr="000E5A21">
        <w:rPr>
          <w:rFonts w:ascii="Times New Roman" w:hAnsi="Times New Roman"/>
          <w:lang w:val="en-US"/>
        </w:rPr>
        <w:t>(1), 7-72.</w:t>
      </w:r>
    </w:p>
    <w:p w:rsidR="00EA6FC6" w:rsidRPr="000E5A21" w:rsidRDefault="00EA6FC6" w:rsidP="00EA6FC6">
      <w:pPr>
        <w:jc w:val="both"/>
        <w:rPr>
          <w:rFonts w:asciiTheme="majorBidi" w:hAnsiTheme="majorBidi" w:cstheme="majorBidi"/>
          <w:lang w:val="en-US"/>
        </w:rPr>
      </w:pPr>
      <w:r w:rsidRPr="000E5A21">
        <w:rPr>
          <w:rFonts w:ascii="Times New Roman" w:hAnsi="Times New Roman"/>
          <w:lang w:val="en-US"/>
        </w:rPr>
        <w:t xml:space="preserve">Autor, D. H. (2014). Polanyi's paradox and the shape of employment growth. </w:t>
      </w:r>
      <w:r w:rsidRPr="000E5A21">
        <w:rPr>
          <w:rFonts w:ascii="Times New Roman" w:hAnsi="Times New Roman"/>
          <w:i/>
          <w:iCs/>
          <w:lang w:val="en-US"/>
        </w:rPr>
        <w:t>NBER Working Paper Series</w:t>
      </w:r>
      <w:r w:rsidRPr="000E5A21">
        <w:rPr>
          <w:rFonts w:ascii="Times New Roman" w:hAnsi="Times New Roman"/>
          <w:lang w:val="en-US"/>
        </w:rPr>
        <w:t>, No. 20485. National Bureau of Economic Research.</w:t>
      </w:r>
    </w:p>
    <w:p w:rsidR="00EA6FC6" w:rsidRPr="00FA4568" w:rsidRDefault="00EA6FC6" w:rsidP="00EA6FC6">
      <w:pPr>
        <w:jc w:val="both"/>
        <w:rPr>
          <w:rFonts w:asciiTheme="majorBidi" w:hAnsiTheme="majorBidi" w:cstheme="majorBidi"/>
          <w:lang w:val="en-US"/>
        </w:rPr>
      </w:pPr>
      <w:r w:rsidRPr="00EC167F">
        <w:rPr>
          <w:rFonts w:ascii="Times New Roman" w:hAnsi="Times New Roman"/>
          <w:lang w:val="en-US"/>
        </w:rPr>
        <w:lastRenderedPageBreak/>
        <w:t xml:space="preserve">Autor, D. H., Levy, F., &amp; Murnane, R. J. (2003). The skill content of recent technological change: An empirical exploration. </w:t>
      </w:r>
      <w:r w:rsidRPr="00FA4568">
        <w:rPr>
          <w:rFonts w:ascii="Times New Roman" w:hAnsi="Times New Roman"/>
          <w:i/>
          <w:iCs/>
          <w:lang w:val="en-US"/>
        </w:rPr>
        <w:t>The Quarterly Journal of Economics, 118</w:t>
      </w:r>
      <w:r w:rsidRPr="00FA4568">
        <w:rPr>
          <w:rFonts w:ascii="Times New Roman" w:hAnsi="Times New Roman"/>
          <w:lang w:val="en-US"/>
        </w:rPr>
        <w:t>(4), 1279-1333.</w:t>
      </w:r>
    </w:p>
    <w:p w:rsidR="00EA6FC6" w:rsidRPr="00BF660E" w:rsidRDefault="00EA6FC6" w:rsidP="00EA6FC6">
      <w:pPr>
        <w:jc w:val="both"/>
        <w:rPr>
          <w:rFonts w:asciiTheme="majorBidi" w:hAnsiTheme="majorBidi" w:cstheme="majorBidi"/>
          <w:lang w:val="en-US"/>
        </w:rPr>
      </w:pPr>
      <w:r w:rsidRPr="00FA4568">
        <w:rPr>
          <w:rFonts w:ascii="Times New Roman" w:hAnsi="Times New Roman"/>
          <w:lang w:val="en-US"/>
        </w:rPr>
        <w:t xml:space="preserve">Bernstein, B. (2000). </w:t>
      </w:r>
      <w:r w:rsidRPr="00FA4568">
        <w:rPr>
          <w:rFonts w:ascii="Times New Roman" w:hAnsi="Times New Roman"/>
          <w:i/>
          <w:iCs/>
          <w:lang w:val="en-US"/>
        </w:rPr>
        <w:t>Pedagogy, symbolic control and identity: Theory, research, critique</w:t>
      </w:r>
      <w:r w:rsidRPr="00FA4568">
        <w:rPr>
          <w:rFonts w:ascii="Times New Roman" w:hAnsi="Times New Roman"/>
          <w:lang w:val="en-US"/>
        </w:rPr>
        <w:t xml:space="preserve"> (Rev. ed.). </w:t>
      </w:r>
      <w:r w:rsidRPr="00BF660E">
        <w:rPr>
          <w:rFonts w:ascii="Times New Roman" w:hAnsi="Times New Roman"/>
          <w:lang w:val="en-US"/>
        </w:rPr>
        <w:t>Rowman &amp; Littlefield.</w:t>
      </w:r>
    </w:p>
    <w:p w:rsidR="00EA6FC6" w:rsidRPr="00913856" w:rsidRDefault="00EA6FC6" w:rsidP="00EA6FC6">
      <w:pPr>
        <w:jc w:val="both"/>
        <w:rPr>
          <w:rFonts w:asciiTheme="majorBidi" w:hAnsiTheme="majorBidi" w:cstheme="majorBidi"/>
        </w:rPr>
      </w:pPr>
      <w:r w:rsidRPr="00BF660E">
        <w:rPr>
          <w:rFonts w:ascii="Times New Roman" w:hAnsi="Times New Roman"/>
          <w:lang w:val="en-US"/>
        </w:rPr>
        <w:t xml:space="preserve">Brown, P., Lauder, H., &amp; Ashton, D. (2011). </w:t>
      </w:r>
      <w:r w:rsidRPr="00BF660E">
        <w:rPr>
          <w:rFonts w:ascii="Times New Roman" w:hAnsi="Times New Roman"/>
          <w:i/>
          <w:iCs/>
          <w:lang w:val="en-US"/>
        </w:rPr>
        <w:t>The global auction: The broken promises of education, jobs, and incomes</w:t>
      </w:r>
      <w:r w:rsidRPr="00BF660E">
        <w:rPr>
          <w:rFonts w:ascii="Times New Roman" w:hAnsi="Times New Roman"/>
          <w:lang w:val="en-US"/>
        </w:rPr>
        <w:t xml:space="preserve">. </w:t>
      </w:r>
      <w:r w:rsidRPr="00BF660E">
        <w:rPr>
          <w:rFonts w:ascii="Times New Roman" w:hAnsi="Times New Roman"/>
        </w:rPr>
        <w:t>Oxford University Press.</w:t>
      </w:r>
    </w:p>
    <w:p w:rsidR="00EA6FC6" w:rsidRPr="00913856" w:rsidRDefault="00EA6FC6" w:rsidP="00EA6FC6">
      <w:pPr>
        <w:jc w:val="both"/>
        <w:rPr>
          <w:rFonts w:asciiTheme="majorBidi" w:hAnsiTheme="majorBidi" w:cstheme="majorBidi"/>
        </w:rPr>
      </w:pPr>
      <w:r w:rsidRPr="00F03A1C">
        <w:rPr>
          <w:rFonts w:ascii="Times New Roman" w:hAnsi="Times New Roman"/>
        </w:rPr>
        <w:t xml:space="preserve">Chiroleu, A. (2009). Políticas públicas de inclusión en la educación superior: los casos de Argentina y Brasil. </w:t>
      </w:r>
      <w:r w:rsidRPr="00F03A1C">
        <w:rPr>
          <w:rFonts w:ascii="Times New Roman" w:hAnsi="Times New Roman"/>
          <w:i/>
          <w:iCs/>
        </w:rPr>
        <w:t>Pro-Posições, 20</w:t>
      </w:r>
      <w:r w:rsidRPr="00F03A1C">
        <w:rPr>
          <w:rFonts w:ascii="Times New Roman" w:hAnsi="Times New Roman"/>
        </w:rPr>
        <w:t>, 141-166.</w:t>
      </w:r>
    </w:p>
    <w:p w:rsidR="00EA6FC6" w:rsidRPr="00913856" w:rsidRDefault="00EA6FC6" w:rsidP="00EA6FC6">
      <w:pPr>
        <w:jc w:val="both"/>
        <w:rPr>
          <w:rFonts w:asciiTheme="majorBidi" w:hAnsiTheme="majorBidi" w:cstheme="majorBidi"/>
        </w:rPr>
      </w:pPr>
      <w:r w:rsidRPr="001D40B0">
        <w:rPr>
          <w:rFonts w:ascii="Times New Roman" w:hAnsi="Times New Roman"/>
        </w:rPr>
        <w:t xml:space="preserve">Chiroleu, A. (2012). Políticas de educación superior en América Latina en el siglo XXI: ¿inclusión o calidad? </w:t>
      </w:r>
      <w:r w:rsidRPr="001D40B0">
        <w:rPr>
          <w:rFonts w:ascii="Times New Roman" w:hAnsi="Times New Roman"/>
          <w:i/>
          <w:iCs/>
        </w:rPr>
        <w:t>Education Policy Analysis Archives, 20</w:t>
      </w:r>
      <w:r w:rsidRPr="001D40B0">
        <w:rPr>
          <w:rFonts w:ascii="Times New Roman" w:hAnsi="Times New Roman"/>
        </w:rPr>
        <w:t>(13).</w:t>
      </w:r>
    </w:p>
    <w:p w:rsidR="00EA6FC6" w:rsidRPr="00A1200B" w:rsidRDefault="00EA6FC6" w:rsidP="00EA6FC6">
      <w:pPr>
        <w:jc w:val="both"/>
        <w:rPr>
          <w:rFonts w:asciiTheme="majorBidi" w:hAnsiTheme="majorBidi" w:cstheme="majorBidi"/>
          <w:lang w:val="pt-PT"/>
        </w:rPr>
      </w:pPr>
      <w:r w:rsidRPr="007547DE">
        <w:rPr>
          <w:rFonts w:ascii="Times New Roman" w:hAnsi="Times New Roman"/>
        </w:rPr>
        <w:t xml:space="preserve">Chiroleu, A. (2018). Democratización e inclusión en la universidad argentina: sus alcances durante los gobiernos Kirchner (2003-2015). </w:t>
      </w:r>
      <w:r w:rsidRPr="00A1200B">
        <w:rPr>
          <w:rFonts w:ascii="Times New Roman" w:hAnsi="Times New Roman"/>
          <w:i/>
          <w:iCs/>
          <w:lang w:val="pt-PT"/>
        </w:rPr>
        <w:t>Educação em Revista, 34</w:t>
      </w:r>
      <w:r w:rsidRPr="00A1200B">
        <w:rPr>
          <w:rFonts w:ascii="Times New Roman" w:hAnsi="Times New Roman"/>
          <w:lang w:val="pt-PT"/>
        </w:rPr>
        <w:t>, e176003.</w:t>
      </w:r>
    </w:p>
    <w:p w:rsidR="00EA6FC6" w:rsidRPr="00EA6FC6" w:rsidRDefault="00EA6FC6" w:rsidP="00EA6FC6">
      <w:pPr>
        <w:jc w:val="both"/>
        <w:rPr>
          <w:rFonts w:asciiTheme="majorBidi" w:hAnsiTheme="majorBidi" w:cstheme="majorBidi"/>
          <w:lang w:val="es-ES"/>
        </w:rPr>
      </w:pPr>
      <w:proofErr w:type="spellStart"/>
      <w:r w:rsidRPr="00993C6C">
        <w:rPr>
          <w:rFonts w:ascii="Times New Roman" w:hAnsi="Times New Roman"/>
          <w:lang w:val="en-US"/>
        </w:rPr>
        <w:t>Chiroleu</w:t>
      </w:r>
      <w:proofErr w:type="spellEnd"/>
      <w:r w:rsidRPr="00993C6C">
        <w:rPr>
          <w:rFonts w:ascii="Times New Roman" w:hAnsi="Times New Roman"/>
          <w:lang w:val="en-US"/>
        </w:rPr>
        <w:t xml:space="preserve">, A., &amp; Marquina, M. (2017). </w:t>
      </w:r>
      <w:proofErr w:type="spellStart"/>
      <w:r w:rsidRPr="00993C6C">
        <w:rPr>
          <w:rFonts w:ascii="Times New Roman" w:hAnsi="Times New Roman"/>
          <w:lang w:val="en-US"/>
        </w:rPr>
        <w:t>Democratisation</w:t>
      </w:r>
      <w:proofErr w:type="spellEnd"/>
      <w:r w:rsidRPr="00993C6C">
        <w:rPr>
          <w:rFonts w:ascii="Times New Roman" w:hAnsi="Times New Roman"/>
          <w:lang w:val="en-US"/>
        </w:rPr>
        <w:t xml:space="preserve"> or </w:t>
      </w:r>
      <w:proofErr w:type="spellStart"/>
      <w:r w:rsidRPr="00993C6C">
        <w:rPr>
          <w:rFonts w:ascii="Times New Roman" w:hAnsi="Times New Roman"/>
          <w:lang w:val="en-US"/>
        </w:rPr>
        <w:t>credentialism</w:t>
      </w:r>
      <w:proofErr w:type="spellEnd"/>
      <w:r w:rsidRPr="00993C6C">
        <w:rPr>
          <w:rFonts w:ascii="Times New Roman" w:hAnsi="Times New Roman"/>
          <w:lang w:val="en-US"/>
        </w:rPr>
        <w:t xml:space="preserve">? </w:t>
      </w:r>
      <w:proofErr w:type="gramStart"/>
      <w:r w:rsidRPr="00A1200B">
        <w:rPr>
          <w:rFonts w:ascii="Times New Roman" w:hAnsi="Times New Roman"/>
          <w:lang w:val="en-US"/>
        </w:rPr>
        <w:t>Public policies of expansion of higher education in Latin America.</w:t>
      </w:r>
      <w:proofErr w:type="gramEnd"/>
      <w:r w:rsidRPr="00A1200B">
        <w:rPr>
          <w:rFonts w:ascii="Times New Roman" w:hAnsi="Times New Roman"/>
          <w:lang w:val="en-US"/>
        </w:rPr>
        <w:t xml:space="preserve"> </w:t>
      </w:r>
      <w:proofErr w:type="spellStart"/>
      <w:r w:rsidRPr="00EA6FC6">
        <w:rPr>
          <w:rFonts w:ascii="Times New Roman" w:hAnsi="Times New Roman"/>
          <w:i/>
          <w:iCs/>
          <w:lang w:val="es-ES"/>
        </w:rPr>
        <w:t>Policy</w:t>
      </w:r>
      <w:proofErr w:type="spellEnd"/>
      <w:r w:rsidRPr="00EA6FC6">
        <w:rPr>
          <w:rFonts w:ascii="Times New Roman" w:hAnsi="Times New Roman"/>
          <w:i/>
          <w:iCs/>
          <w:lang w:val="es-ES"/>
        </w:rPr>
        <w:t xml:space="preserve"> </w:t>
      </w:r>
      <w:proofErr w:type="spellStart"/>
      <w:r w:rsidRPr="00EA6FC6">
        <w:rPr>
          <w:rFonts w:ascii="Times New Roman" w:hAnsi="Times New Roman"/>
          <w:i/>
          <w:iCs/>
          <w:lang w:val="es-ES"/>
        </w:rPr>
        <w:t>Reviews</w:t>
      </w:r>
      <w:proofErr w:type="spellEnd"/>
      <w:r w:rsidRPr="00EA6FC6">
        <w:rPr>
          <w:rFonts w:ascii="Times New Roman" w:hAnsi="Times New Roman"/>
          <w:i/>
          <w:iCs/>
          <w:lang w:val="es-ES"/>
        </w:rPr>
        <w:t xml:space="preserve"> in </w:t>
      </w:r>
      <w:proofErr w:type="spellStart"/>
      <w:r w:rsidRPr="00EA6FC6">
        <w:rPr>
          <w:rFonts w:ascii="Times New Roman" w:hAnsi="Times New Roman"/>
          <w:i/>
          <w:iCs/>
          <w:lang w:val="es-ES"/>
        </w:rPr>
        <w:t>Higher</w:t>
      </w:r>
      <w:proofErr w:type="spellEnd"/>
      <w:r w:rsidRPr="00EA6FC6">
        <w:rPr>
          <w:rFonts w:ascii="Times New Roman" w:hAnsi="Times New Roman"/>
          <w:i/>
          <w:iCs/>
          <w:lang w:val="es-ES"/>
        </w:rPr>
        <w:t xml:space="preserve"> </w:t>
      </w:r>
      <w:proofErr w:type="spellStart"/>
      <w:r w:rsidRPr="00EA6FC6">
        <w:rPr>
          <w:rFonts w:ascii="Times New Roman" w:hAnsi="Times New Roman"/>
          <w:i/>
          <w:iCs/>
          <w:lang w:val="es-ES"/>
        </w:rPr>
        <w:t>Education</w:t>
      </w:r>
      <w:proofErr w:type="spellEnd"/>
      <w:r w:rsidRPr="00EA6FC6">
        <w:rPr>
          <w:rFonts w:ascii="Times New Roman" w:hAnsi="Times New Roman"/>
          <w:i/>
          <w:iCs/>
          <w:lang w:val="es-ES"/>
        </w:rPr>
        <w:t>, 1</w:t>
      </w:r>
      <w:r w:rsidRPr="00EA6FC6">
        <w:rPr>
          <w:rFonts w:ascii="Times New Roman" w:hAnsi="Times New Roman"/>
          <w:lang w:val="es-ES"/>
        </w:rPr>
        <w:t>(2), 139-160.</w:t>
      </w:r>
    </w:p>
    <w:p w:rsidR="00EA6FC6" w:rsidRDefault="00EA6FC6" w:rsidP="00EA6FC6">
      <w:pPr>
        <w:jc w:val="both"/>
        <w:rPr>
          <w:rFonts w:ascii="Times New Roman" w:hAnsi="Times New Roman"/>
          <w:lang w:val="en-US"/>
        </w:rPr>
      </w:pPr>
      <w:r w:rsidRPr="002941E5">
        <w:rPr>
          <w:rFonts w:ascii="Times New Roman" w:hAnsi="Times New Roman"/>
          <w:lang w:val="es-ES"/>
        </w:rPr>
        <w:t xml:space="preserve">Consejo Europeo. (2000, 23 y 24 de marzo). Conclusiones de la Presidencia del Consejo Europeo de Lisboa. </w:t>
      </w:r>
      <w:proofErr w:type="spellStart"/>
      <w:r w:rsidRPr="002941E5">
        <w:rPr>
          <w:rFonts w:ascii="Times New Roman" w:hAnsi="Times New Roman"/>
          <w:lang w:val="en-US"/>
        </w:rPr>
        <w:t>Parlamento</w:t>
      </w:r>
      <w:proofErr w:type="spellEnd"/>
      <w:r w:rsidRPr="002941E5">
        <w:rPr>
          <w:rFonts w:ascii="Times New Roman" w:hAnsi="Times New Roman"/>
          <w:lang w:val="en-US"/>
        </w:rPr>
        <w:t xml:space="preserve"> </w:t>
      </w:r>
      <w:proofErr w:type="spellStart"/>
      <w:r w:rsidRPr="002941E5">
        <w:rPr>
          <w:rFonts w:ascii="Times New Roman" w:hAnsi="Times New Roman"/>
          <w:lang w:val="en-US"/>
        </w:rPr>
        <w:t>Europeo</w:t>
      </w:r>
      <w:proofErr w:type="spellEnd"/>
      <w:r w:rsidRPr="002941E5">
        <w:rPr>
          <w:rFonts w:ascii="Times New Roman" w:hAnsi="Times New Roman"/>
          <w:lang w:val="en-US"/>
        </w:rPr>
        <w:t>. europa.eu</w:t>
      </w:r>
    </w:p>
    <w:p w:rsidR="00EA6FC6" w:rsidRPr="00913856" w:rsidRDefault="00EA6FC6" w:rsidP="00EA6FC6">
      <w:pPr>
        <w:jc w:val="both"/>
        <w:rPr>
          <w:rFonts w:asciiTheme="majorBidi" w:hAnsiTheme="majorBidi" w:cstheme="majorBidi"/>
        </w:rPr>
      </w:pPr>
      <w:r w:rsidRPr="00F366AE">
        <w:rPr>
          <w:rFonts w:ascii="Times New Roman" w:hAnsi="Times New Roman"/>
          <w:lang w:val="en-US"/>
        </w:rPr>
        <w:t xml:space="preserve">DiMaggio, P. J., &amp; Powell, W. W. (1983). The iron cage revisited: Institutional isomorphism and collective rationality in organizational fields. </w:t>
      </w:r>
      <w:r w:rsidRPr="00F366AE">
        <w:rPr>
          <w:rFonts w:ascii="Times New Roman" w:hAnsi="Times New Roman"/>
          <w:i/>
          <w:iCs/>
        </w:rPr>
        <w:t>American Sociological Review, 48</w:t>
      </w:r>
      <w:r w:rsidRPr="00F366AE">
        <w:rPr>
          <w:rFonts w:ascii="Times New Roman" w:hAnsi="Times New Roman"/>
        </w:rPr>
        <w:t>(2), 147-160.</w:t>
      </w:r>
    </w:p>
    <w:p w:rsidR="00EA6FC6" w:rsidRPr="00913856" w:rsidRDefault="00EA6FC6" w:rsidP="00EA6FC6">
      <w:pPr>
        <w:jc w:val="both"/>
        <w:rPr>
          <w:rFonts w:asciiTheme="majorBidi" w:hAnsiTheme="majorBidi" w:cstheme="majorBidi"/>
        </w:rPr>
      </w:pPr>
      <w:r w:rsidRPr="006F791E">
        <w:rPr>
          <w:rFonts w:ascii="Times New Roman" w:hAnsi="Times New Roman"/>
        </w:rPr>
        <w:t xml:space="preserve">García de Fanelli, A. M. (2014). Inclusión social en la educación superior argentina: Indicadores y políticas en torno al acceso y a la graduación. </w:t>
      </w:r>
      <w:r w:rsidRPr="006F791E">
        <w:rPr>
          <w:rFonts w:ascii="Times New Roman" w:hAnsi="Times New Roman"/>
          <w:i/>
          <w:iCs/>
        </w:rPr>
        <w:t>Páginas de Educación, 7</w:t>
      </w:r>
      <w:r w:rsidRPr="006F791E">
        <w:rPr>
          <w:rFonts w:ascii="Times New Roman" w:hAnsi="Times New Roman"/>
        </w:rPr>
        <w:t>(2), 275-297.</w:t>
      </w:r>
    </w:p>
    <w:p w:rsidR="00EA6FC6" w:rsidRPr="006F791E" w:rsidRDefault="00EA6FC6" w:rsidP="00EA6FC6">
      <w:pPr>
        <w:jc w:val="both"/>
        <w:rPr>
          <w:lang w:val="en-US"/>
        </w:rPr>
      </w:pPr>
      <w:r>
        <w:rPr>
          <w:rFonts w:ascii="Times New Roman" w:hAnsi="Times New Roman"/>
        </w:rPr>
        <w:t xml:space="preserve">González, J., &amp; Wagenaar, R. (Eds.). </w:t>
      </w:r>
      <w:r w:rsidRPr="00993C6C">
        <w:rPr>
          <w:rFonts w:ascii="Times New Roman" w:hAnsi="Times New Roman"/>
          <w:lang w:val="en-US"/>
        </w:rPr>
        <w:t xml:space="preserve">(2003). </w:t>
      </w:r>
      <w:proofErr w:type="gramStart"/>
      <w:r w:rsidRPr="00993C6C">
        <w:rPr>
          <w:rFonts w:ascii="Times New Roman" w:hAnsi="Times New Roman"/>
          <w:i/>
          <w:iCs/>
          <w:lang w:val="en-US"/>
        </w:rPr>
        <w:t>Tuning</w:t>
      </w:r>
      <w:proofErr w:type="gramEnd"/>
      <w:r w:rsidRPr="00993C6C">
        <w:rPr>
          <w:rFonts w:ascii="Times New Roman" w:hAnsi="Times New Roman"/>
          <w:i/>
          <w:iCs/>
          <w:lang w:val="en-US"/>
        </w:rPr>
        <w:t xml:space="preserve"> educational structures in Europe: Final report. </w:t>
      </w:r>
      <w:r w:rsidRPr="006F791E">
        <w:rPr>
          <w:rFonts w:ascii="Times New Roman" w:hAnsi="Times New Roman"/>
          <w:i/>
          <w:iCs/>
          <w:lang w:val="en-US"/>
        </w:rPr>
        <w:t>Phase one</w:t>
      </w:r>
      <w:r w:rsidRPr="006F791E">
        <w:rPr>
          <w:rFonts w:ascii="Times New Roman" w:hAnsi="Times New Roman"/>
          <w:lang w:val="en-US"/>
        </w:rPr>
        <w:t>. Universidad de Deusto.</w:t>
      </w:r>
    </w:p>
    <w:p w:rsidR="00EA6FC6" w:rsidRDefault="00EA6FC6" w:rsidP="00EA6FC6">
      <w:pPr>
        <w:jc w:val="both"/>
      </w:pPr>
      <w:r w:rsidRPr="006F791E">
        <w:rPr>
          <w:rFonts w:ascii="Times New Roman" w:hAnsi="Times New Roman"/>
          <w:lang w:val="en-US"/>
        </w:rPr>
        <w:t xml:space="preserve">Keeling, R. (2006). The Bologna Process and the Lisbon research agenda: The European Commission's expanding role in higher education discourse. </w:t>
      </w:r>
      <w:r>
        <w:rPr>
          <w:rFonts w:ascii="Times New Roman" w:hAnsi="Times New Roman"/>
          <w:i/>
          <w:iCs/>
        </w:rPr>
        <w:t>European Journal of Education, 41</w:t>
      </w:r>
      <w:r>
        <w:rPr>
          <w:rFonts w:ascii="Times New Roman" w:hAnsi="Times New Roman"/>
        </w:rPr>
        <w:t>(2), 203-223.</w:t>
      </w:r>
    </w:p>
    <w:p w:rsidR="00EA6FC6" w:rsidRDefault="00EA6FC6" w:rsidP="00EA6FC6">
      <w:pPr>
        <w:jc w:val="both"/>
      </w:pPr>
      <w:r>
        <w:rPr>
          <w:rFonts w:ascii="Times New Roman" w:hAnsi="Times New Roman"/>
        </w:rPr>
        <w:t xml:space="preserve">Krotsch, P. (2001). </w:t>
      </w:r>
      <w:r>
        <w:rPr>
          <w:rFonts w:ascii="Times New Roman" w:hAnsi="Times New Roman"/>
          <w:i/>
          <w:iCs/>
        </w:rPr>
        <w:t>Educación superior y reformas comparadas</w:t>
      </w:r>
      <w:r>
        <w:rPr>
          <w:rFonts w:ascii="Times New Roman" w:hAnsi="Times New Roman"/>
        </w:rPr>
        <w:t>. Universidad Nacional de Quilmes.</w:t>
      </w:r>
    </w:p>
    <w:p w:rsidR="00EA6FC6" w:rsidRDefault="00EA6FC6" w:rsidP="00EA6FC6">
      <w:pPr>
        <w:jc w:val="both"/>
      </w:pPr>
      <w:r>
        <w:rPr>
          <w:rFonts w:ascii="Times New Roman" w:hAnsi="Times New Roman"/>
        </w:rPr>
        <w:lastRenderedPageBreak/>
        <w:t xml:space="preserve">Laval, C. (2004). </w:t>
      </w:r>
      <w:r>
        <w:rPr>
          <w:rFonts w:ascii="Times New Roman" w:hAnsi="Times New Roman"/>
          <w:i/>
          <w:iCs/>
        </w:rPr>
        <w:t>La escuela no es una empresa: El ataque neoliberal a la enseñanza pública</w:t>
      </w:r>
      <w:r>
        <w:rPr>
          <w:rFonts w:ascii="Times New Roman" w:hAnsi="Times New Roman"/>
        </w:rPr>
        <w:t>. Paidós.</w:t>
      </w:r>
    </w:p>
    <w:p w:rsidR="00EA6FC6" w:rsidRDefault="00EA6FC6" w:rsidP="00EA6FC6">
      <w:pPr>
        <w:jc w:val="both"/>
      </w:pPr>
      <w:r>
        <w:rPr>
          <w:rFonts w:ascii="Times New Roman" w:hAnsi="Times New Roman"/>
        </w:rPr>
        <w:t>Ley N.º 24.521. Ley de Educación Superior. Boletín Oficial de la República Argentina, 10 de agosto de 1995.</w:t>
      </w:r>
    </w:p>
    <w:p w:rsidR="00EA6FC6" w:rsidRDefault="00EA6FC6" w:rsidP="00EA6FC6">
      <w:pPr>
        <w:jc w:val="both"/>
      </w:pPr>
      <w:r>
        <w:rPr>
          <w:rFonts w:ascii="Times New Roman" w:hAnsi="Times New Roman"/>
        </w:rPr>
        <w:t>Ley N.º 27.204. Implementación efectiva de la responsabilidad del Estado en el nivel de educación superior. Boletín Oficial de la República Argentina, 11 de noviembre de 2015.</w:t>
      </w:r>
    </w:p>
    <w:p w:rsidR="00EA6FC6" w:rsidRDefault="00EA6FC6" w:rsidP="00EA6FC6">
      <w:pPr>
        <w:jc w:val="both"/>
      </w:pPr>
      <w:r>
        <w:rPr>
          <w:rFonts w:ascii="Times New Roman" w:hAnsi="Times New Roman"/>
        </w:rPr>
        <w:t>Ministerio de Educación. (2023). Resolución N.º 2598/2023. Sistema Argentino de Créditos Académicos Universitarios (SACAU). Boletín Oficial de la República Argentina.</w:t>
      </w:r>
    </w:p>
    <w:p w:rsidR="00EA6FC6" w:rsidRPr="006F791E" w:rsidRDefault="00EA6FC6" w:rsidP="00EA6FC6">
      <w:pPr>
        <w:jc w:val="both"/>
        <w:rPr>
          <w:lang w:val="pt-PT"/>
        </w:rPr>
      </w:pPr>
      <w:r>
        <w:rPr>
          <w:rFonts w:ascii="Times New Roman" w:hAnsi="Times New Roman"/>
        </w:rPr>
        <w:t xml:space="preserve">Mollis, M. (1999). Las políticas de reforma universitaria: la lógica global y la respuesta local. </w:t>
      </w:r>
      <w:r w:rsidRPr="006F791E">
        <w:rPr>
          <w:rFonts w:ascii="Times New Roman" w:hAnsi="Times New Roman"/>
          <w:lang w:val="pt-PT"/>
        </w:rPr>
        <w:t xml:space="preserve">El caso de la Argentina. </w:t>
      </w:r>
      <w:r w:rsidRPr="006F791E">
        <w:rPr>
          <w:rFonts w:ascii="Times New Roman" w:hAnsi="Times New Roman"/>
          <w:i/>
          <w:iCs/>
          <w:lang w:val="pt-PT"/>
        </w:rPr>
        <w:t>Interface: Comunicação, Saúde, Educação, 3</w:t>
      </w:r>
      <w:r w:rsidRPr="006F791E">
        <w:rPr>
          <w:rFonts w:ascii="Times New Roman" w:hAnsi="Times New Roman"/>
          <w:lang w:val="pt-PT"/>
        </w:rPr>
        <w:t>(5), 75-94.</w:t>
      </w:r>
    </w:p>
    <w:p w:rsidR="00EA6FC6" w:rsidRDefault="00EA6FC6" w:rsidP="00EA6FC6">
      <w:pPr>
        <w:jc w:val="both"/>
      </w:pPr>
      <w:r w:rsidRPr="006F791E">
        <w:rPr>
          <w:rFonts w:ascii="Times New Roman" w:hAnsi="Times New Roman"/>
          <w:lang w:val="pt-PT"/>
        </w:rPr>
        <w:t xml:space="preserve">Mollis, M. (Comp.). </w:t>
      </w:r>
      <w:r>
        <w:rPr>
          <w:rFonts w:ascii="Times New Roman" w:hAnsi="Times New Roman"/>
        </w:rPr>
        <w:t xml:space="preserve">(2003). </w:t>
      </w:r>
      <w:r>
        <w:rPr>
          <w:rFonts w:ascii="Times New Roman" w:hAnsi="Times New Roman"/>
          <w:i/>
          <w:iCs/>
        </w:rPr>
        <w:t>Las universidades en América Latina: ¿reformadas o alteradas?</w:t>
      </w:r>
      <w:r>
        <w:rPr>
          <w:rFonts w:ascii="Times New Roman" w:hAnsi="Times New Roman"/>
        </w:rPr>
        <w:t xml:space="preserve"> CLACSO.</w:t>
      </w:r>
    </w:p>
    <w:p w:rsidR="00EA6FC6" w:rsidRPr="006F791E" w:rsidRDefault="00EA6FC6" w:rsidP="00EA6FC6">
      <w:pPr>
        <w:jc w:val="both"/>
        <w:rPr>
          <w:lang w:val="en-US"/>
        </w:rPr>
      </w:pPr>
      <w:r>
        <w:rPr>
          <w:rFonts w:ascii="Times New Roman" w:hAnsi="Times New Roman"/>
        </w:rPr>
        <w:t xml:space="preserve">Secretaría de Educación. (2025). Resolución N.º 556/2025. Modificaciones y criterios de implementación del Sistema Argentino de Créditos Académicos Universitarios. </w:t>
      </w:r>
      <w:proofErr w:type="spellStart"/>
      <w:r w:rsidRPr="006F791E">
        <w:rPr>
          <w:rFonts w:ascii="Times New Roman" w:hAnsi="Times New Roman"/>
          <w:lang w:val="en-US"/>
        </w:rPr>
        <w:t>Boletín</w:t>
      </w:r>
      <w:proofErr w:type="spellEnd"/>
      <w:r w:rsidRPr="006F791E">
        <w:rPr>
          <w:rFonts w:ascii="Times New Roman" w:hAnsi="Times New Roman"/>
          <w:lang w:val="en-US"/>
        </w:rPr>
        <w:t xml:space="preserve"> </w:t>
      </w:r>
      <w:proofErr w:type="spellStart"/>
      <w:r w:rsidRPr="006F791E">
        <w:rPr>
          <w:rFonts w:ascii="Times New Roman" w:hAnsi="Times New Roman"/>
          <w:lang w:val="en-US"/>
        </w:rPr>
        <w:t>Oficial</w:t>
      </w:r>
      <w:proofErr w:type="spellEnd"/>
      <w:r w:rsidRPr="006F791E">
        <w:rPr>
          <w:rFonts w:ascii="Times New Roman" w:hAnsi="Times New Roman"/>
          <w:lang w:val="en-US"/>
        </w:rPr>
        <w:t xml:space="preserve"> de la República Argentina.</w:t>
      </w:r>
    </w:p>
    <w:p w:rsidR="00EA6FC6" w:rsidRPr="006F791E" w:rsidRDefault="00EA6FC6" w:rsidP="00EA6FC6">
      <w:pPr>
        <w:jc w:val="both"/>
        <w:rPr>
          <w:lang w:val="en-US"/>
        </w:rPr>
      </w:pPr>
      <w:proofErr w:type="spellStart"/>
      <w:r w:rsidRPr="006F791E">
        <w:rPr>
          <w:rFonts w:ascii="Times New Roman" w:hAnsi="Times New Roman"/>
          <w:lang w:val="en-US"/>
        </w:rPr>
        <w:t>Teichler</w:t>
      </w:r>
      <w:proofErr w:type="spellEnd"/>
      <w:r w:rsidRPr="006F791E">
        <w:rPr>
          <w:rFonts w:ascii="Times New Roman" w:hAnsi="Times New Roman"/>
          <w:lang w:val="en-US"/>
        </w:rPr>
        <w:t xml:space="preserve">, U. (2012). International student mobility and the Bologna Process. </w:t>
      </w:r>
      <w:r w:rsidRPr="006F791E">
        <w:rPr>
          <w:rFonts w:ascii="Times New Roman" w:hAnsi="Times New Roman"/>
          <w:i/>
          <w:iCs/>
          <w:lang w:val="en-US"/>
        </w:rPr>
        <w:t>Research in Comparative and International Education, 7</w:t>
      </w:r>
      <w:r w:rsidRPr="006F791E">
        <w:rPr>
          <w:rFonts w:ascii="Times New Roman" w:hAnsi="Times New Roman"/>
          <w:lang w:val="en-US"/>
        </w:rPr>
        <w:t>(1), 34-49.</w:t>
      </w:r>
    </w:p>
    <w:p w:rsidR="00EA6FC6" w:rsidRPr="00993C6C" w:rsidRDefault="00EA6FC6" w:rsidP="00EA6FC6">
      <w:pPr>
        <w:jc w:val="both"/>
        <w:rPr>
          <w:rFonts w:ascii="Times New Roman" w:hAnsi="Times New Roman"/>
          <w:lang w:val="en-US"/>
        </w:rPr>
      </w:pPr>
      <w:r w:rsidRPr="006F791E">
        <w:rPr>
          <w:rFonts w:ascii="Times New Roman" w:hAnsi="Times New Roman"/>
          <w:lang w:val="en-US"/>
        </w:rPr>
        <w:t xml:space="preserve">Witte, J. K. (2006). </w:t>
      </w:r>
      <w:r w:rsidRPr="006F791E">
        <w:rPr>
          <w:rFonts w:ascii="Times New Roman" w:hAnsi="Times New Roman"/>
          <w:i/>
          <w:iCs/>
          <w:lang w:val="en-US"/>
        </w:rPr>
        <w:t>Change of degrees and degrees of change: Comparing adaptations of European higher education systems in the context of the Bologna Process</w:t>
      </w:r>
      <w:r w:rsidRPr="006F791E">
        <w:rPr>
          <w:rFonts w:ascii="Times New Roman" w:hAnsi="Times New Roman"/>
          <w:lang w:val="en-US"/>
        </w:rPr>
        <w:t xml:space="preserve"> [Doctoral dissertation, University of Twente]. </w:t>
      </w:r>
      <w:r w:rsidRPr="00993C6C">
        <w:rPr>
          <w:rFonts w:ascii="Times New Roman" w:hAnsi="Times New Roman"/>
          <w:lang w:val="en-US"/>
        </w:rPr>
        <w:t>Center for Higher Education Policy Studies.</w:t>
      </w:r>
    </w:p>
    <w:p w:rsidR="008B0FAB" w:rsidRPr="00993C6C" w:rsidRDefault="008B0FAB" w:rsidP="00EA6FC6">
      <w:pPr>
        <w:jc w:val="both"/>
        <w:rPr>
          <w:rFonts w:ascii="Times New Roman" w:hAnsi="Times New Roman" w:cs="Times New Roman"/>
          <w:b/>
          <w:lang w:val="en-US"/>
        </w:rPr>
      </w:pPr>
      <w:proofErr w:type="spellStart"/>
      <w:r w:rsidRPr="00993C6C">
        <w:rPr>
          <w:rFonts w:ascii="Times New Roman" w:hAnsi="Times New Roman" w:cs="Times New Roman"/>
          <w:b/>
          <w:lang w:val="en-US"/>
        </w:rPr>
        <w:t>Reconocimientos</w:t>
      </w:r>
      <w:proofErr w:type="spellEnd"/>
    </w:p>
    <w:p w:rsidR="008B0FAB" w:rsidRPr="008B0FAB" w:rsidRDefault="008B0FAB" w:rsidP="00EA6FC6">
      <w:pPr>
        <w:jc w:val="both"/>
        <w:rPr>
          <w:rFonts w:ascii="Times New Roman" w:hAnsi="Times New Roman" w:cs="Times New Roman"/>
          <w:lang w:val="en-US"/>
        </w:rPr>
      </w:pPr>
      <w:r w:rsidRPr="008B0FAB">
        <w:rPr>
          <w:rFonts w:ascii="Times New Roman" w:hAnsi="Times New Roman" w:cs="Times New Roman"/>
          <w:lang w:val="en-US"/>
        </w:rPr>
        <w:t xml:space="preserve">This paper was elaborated in the context of the INCASI2 project that has received funding from the European Union’s Horizon Europe research and innovation </w:t>
      </w:r>
      <w:proofErr w:type="spellStart"/>
      <w:r w:rsidRPr="008B0FAB">
        <w:rPr>
          <w:rFonts w:ascii="Times New Roman" w:hAnsi="Times New Roman" w:cs="Times New Roman"/>
          <w:lang w:val="en-US"/>
        </w:rPr>
        <w:t>programme</w:t>
      </w:r>
      <w:proofErr w:type="spellEnd"/>
      <w:r w:rsidRPr="008B0FAB">
        <w:rPr>
          <w:rFonts w:ascii="Times New Roman" w:hAnsi="Times New Roman" w:cs="Times New Roman"/>
          <w:lang w:val="en-US"/>
        </w:rPr>
        <w:t xml:space="preserve"> under the Marie Sklodowska-Curie grant agreement No 101130456 (https://incasi.uab.es). Views and opinions expressed are however those of the author(s) only and do not necessarily reflect those of the European Union or the European Research Executive Agency. Neither the European Union nor the granting authority can be held responsible for them.</w:t>
      </w:r>
    </w:p>
    <w:p w:rsidR="001923DC" w:rsidRPr="008B0FAB" w:rsidRDefault="001923DC" w:rsidP="002866E7">
      <w:pPr>
        <w:spacing w:line="240" w:lineRule="auto"/>
        <w:rPr>
          <w:rFonts w:ascii="Times New Roman" w:hAnsi="Times New Roman" w:cs="Times New Roman"/>
          <w:lang w:val="es-ES"/>
        </w:rPr>
      </w:pPr>
    </w:p>
    <w:sectPr w:rsidR="001923DC" w:rsidRPr="008B0FAB"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127" w:rsidRPr="00BA642E" w:rsidRDefault="00FB2127" w:rsidP="00C802F5">
      <w:pPr>
        <w:spacing w:after="0" w:line="240" w:lineRule="auto"/>
      </w:pPr>
      <w:r w:rsidRPr="00BA642E">
        <w:separator/>
      </w:r>
    </w:p>
  </w:endnote>
  <w:endnote w:type="continuationSeparator" w:id="0">
    <w:p w:rsidR="00FB2127" w:rsidRPr="00BA642E" w:rsidRDefault="00FB2127" w:rsidP="00C802F5">
      <w:pPr>
        <w:spacing w:after="0" w:line="240" w:lineRule="auto"/>
      </w:pPr>
      <w:r w:rsidRPr="00BA642E">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F64" w:rsidRPr="00BA642E" w:rsidRDefault="00BA642E">
    <w:pPr>
      <w:pStyle w:val="Piedepgina"/>
    </w:pPr>
    <w:r w:rsidRPr="00BA642E">
      <w:rPr>
        <w:noProof/>
        <w:lang w:val="es-ES" w:eastAsia="es-ES"/>
      </w:rPr>
      <w:drawing>
        <wp:inline distT="0" distB="0" distL="0" distR="0">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rsidR="00C802F5" w:rsidRPr="00BA642E" w:rsidRDefault="00C802F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127" w:rsidRPr="00BA642E" w:rsidRDefault="00FB2127" w:rsidP="00C802F5">
      <w:pPr>
        <w:spacing w:after="0" w:line="240" w:lineRule="auto"/>
      </w:pPr>
      <w:r w:rsidRPr="00BA642E">
        <w:separator/>
      </w:r>
    </w:p>
  </w:footnote>
  <w:footnote w:type="continuationSeparator" w:id="0">
    <w:p w:rsidR="00FB2127" w:rsidRPr="00BA642E" w:rsidRDefault="00FB2127" w:rsidP="00C802F5">
      <w:pPr>
        <w:spacing w:after="0" w:line="240" w:lineRule="auto"/>
      </w:pPr>
      <w:r w:rsidRPr="00BA642E">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2F5" w:rsidRPr="00BA642E" w:rsidRDefault="00C802F5" w:rsidP="00C802F5">
    <w:pPr>
      <w:pStyle w:val="Encabezado"/>
      <w:jc w:val="center"/>
    </w:pPr>
    <w:r w:rsidRPr="00BA642E">
      <w:rPr>
        <w:noProof/>
        <w:lang w:val="es-ES" w:eastAsia="es-ES"/>
      </w:rPr>
      <w:drawing>
        <wp:inline distT="0" distB="0" distL="0" distR="0">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805001"/>
    <w:multiLevelType w:val="hybridMultilevel"/>
    <w:tmpl w:val="EDCE7644"/>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60240EBB"/>
    <w:multiLevelType w:val="hybridMultilevel"/>
    <w:tmpl w:val="F844DD0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6A18708D"/>
    <w:multiLevelType w:val="hybridMultilevel"/>
    <w:tmpl w:val="47E23434"/>
    <w:lvl w:ilvl="0" w:tplc="2C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1923DC"/>
    <w:rsid w:val="00053B53"/>
    <w:rsid w:val="001816D6"/>
    <w:rsid w:val="00185F5E"/>
    <w:rsid w:val="001923DC"/>
    <w:rsid w:val="00220002"/>
    <w:rsid w:val="002327C3"/>
    <w:rsid w:val="002866E7"/>
    <w:rsid w:val="002A63A0"/>
    <w:rsid w:val="00312392"/>
    <w:rsid w:val="004040C0"/>
    <w:rsid w:val="00437E9C"/>
    <w:rsid w:val="004C43C1"/>
    <w:rsid w:val="00550766"/>
    <w:rsid w:val="005D7A15"/>
    <w:rsid w:val="005F3B2E"/>
    <w:rsid w:val="006A4320"/>
    <w:rsid w:val="00701F64"/>
    <w:rsid w:val="007B5B5F"/>
    <w:rsid w:val="007D233B"/>
    <w:rsid w:val="0085070B"/>
    <w:rsid w:val="008B0FAB"/>
    <w:rsid w:val="008C7F15"/>
    <w:rsid w:val="00993C6C"/>
    <w:rsid w:val="00A17247"/>
    <w:rsid w:val="00A4350F"/>
    <w:rsid w:val="00BA642E"/>
    <w:rsid w:val="00BC236F"/>
    <w:rsid w:val="00C802F5"/>
    <w:rsid w:val="00C96B2C"/>
    <w:rsid w:val="00CC04C1"/>
    <w:rsid w:val="00D843EC"/>
    <w:rsid w:val="00E951EA"/>
    <w:rsid w:val="00EA6FC6"/>
    <w:rsid w:val="00F435AA"/>
    <w:rsid w:val="00F54FFF"/>
    <w:rsid w:val="00FB212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A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5AA"/>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A435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350F"/>
    <w:rPr>
      <w:rFonts w:ascii="Tahoma" w:hAnsi="Tahoma" w:cs="Tahoma"/>
      <w:sz w:val="16"/>
      <w:szCs w:val="16"/>
    </w:rPr>
  </w:style>
  <w:style w:type="table" w:customStyle="1" w:styleId="Tablanormal21">
    <w:name w:val="Tabla normal 21"/>
    <w:basedOn w:val="Tablanormal"/>
    <w:uiPriority w:val="42"/>
    <w:rsid w:val="00220002"/>
    <w:pPr>
      <w:spacing w:after="0" w:line="240" w:lineRule="auto"/>
    </w:pPr>
    <w:rPr>
      <w:rFonts w:eastAsiaTheme="minorEastAsia"/>
      <w:lang w:eastAsia="zh-CN" w:bidi="he-I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41">
    <w:name w:val="Tabla normal 41"/>
    <w:basedOn w:val="Tablanormal"/>
    <w:uiPriority w:val="44"/>
    <w:rsid w:val="00220002"/>
    <w:pPr>
      <w:spacing w:after="0" w:line="240" w:lineRule="auto"/>
    </w:pPr>
    <w:rPr>
      <w:rFonts w:eastAsiaTheme="minorEastAsia"/>
      <w:lang w:eastAsia="zh-CN" w:bidi="he-I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toria.matozo@gmail.com" TargetMode="External"/><Relationship Id="rId3" Type="http://schemas.openxmlformats.org/officeDocument/2006/relationships/settings" Target="settings.xml"/><Relationship Id="rId7" Type="http://schemas.openxmlformats.org/officeDocument/2006/relationships/hyperlink" Target="mailto:pablomd2009@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5631</Words>
  <Characters>33956</Characters>
  <Application>Microsoft Office Word</Application>
  <DocSecurity>0</DocSecurity>
  <Lines>692</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Victoria Matozo</cp:lastModifiedBy>
  <cp:revision>2</cp:revision>
  <dcterms:created xsi:type="dcterms:W3CDTF">2026-06-24T13:59:00Z</dcterms:created>
  <dcterms:modified xsi:type="dcterms:W3CDTF">2026-06-24T13:59:00Z</dcterms:modified>
</cp:coreProperties>
</file>