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3D72EB42" w14:textId="66405C53" w:rsidR="00833BBD" w:rsidRPr="00833BBD" w:rsidRDefault="00833BBD" w:rsidP="00833BBD">
      <w:pPr>
        <w:jc w:val="center"/>
        <w:rPr>
          <w:rFonts w:ascii="Times New Roman" w:hAnsi="Times New Roman" w:cs="Times New Roman"/>
          <w:b/>
          <w:bCs/>
          <w:lang w:val="es-AR"/>
        </w:rPr>
      </w:pPr>
      <w:r w:rsidRPr="00833BBD">
        <w:rPr>
          <w:rFonts w:ascii="Times New Roman" w:hAnsi="Times New Roman" w:cs="Times New Roman"/>
          <w:b/>
          <w:bCs/>
          <w:lang w:val="es-AR"/>
        </w:rPr>
        <w:t>La institucionalización de la internacionalización del currículum en universidades argentinas: una propuesta analítica desde la gestión académica</w:t>
      </w:r>
    </w:p>
    <w:p w14:paraId="43C49479" w14:textId="77777777" w:rsidR="005F3B2E" w:rsidRPr="00BA642E" w:rsidRDefault="005F3B2E" w:rsidP="001923DC">
      <w:pPr>
        <w:jc w:val="center"/>
        <w:rPr>
          <w:rFonts w:ascii="Times New Roman" w:hAnsi="Times New Roman" w:cs="Times New Roman"/>
        </w:rPr>
      </w:pPr>
    </w:p>
    <w:p w14:paraId="4E738780" w14:textId="6A4A1640" w:rsidR="005F3B2E" w:rsidRPr="00BA642E" w:rsidRDefault="00833BBD" w:rsidP="005F3B2E">
      <w:pPr>
        <w:spacing w:after="0" w:line="240" w:lineRule="auto"/>
        <w:jc w:val="right"/>
        <w:rPr>
          <w:rFonts w:ascii="Times New Roman" w:hAnsi="Times New Roman" w:cs="Times New Roman"/>
        </w:rPr>
      </w:pPr>
      <w:r>
        <w:rPr>
          <w:rFonts w:ascii="Times New Roman" w:hAnsi="Times New Roman" w:cs="Times New Roman"/>
        </w:rPr>
        <w:t>Perrotta Daniela Vanesa</w:t>
      </w:r>
    </w:p>
    <w:p w14:paraId="14FA78EA" w14:textId="77777777" w:rsidR="00833BBD" w:rsidRDefault="00833BBD" w:rsidP="005F3B2E">
      <w:pPr>
        <w:spacing w:after="0" w:line="240" w:lineRule="auto"/>
        <w:jc w:val="right"/>
        <w:rPr>
          <w:rFonts w:ascii="Times New Roman" w:hAnsi="Times New Roman" w:cs="Times New Roman"/>
          <w:lang w:val="es-AR"/>
        </w:rPr>
      </w:pPr>
      <w:r w:rsidRPr="00833BBD">
        <w:rPr>
          <w:rFonts w:ascii="Times New Roman" w:hAnsi="Times New Roman" w:cs="Times New Roman"/>
          <w:lang w:val="es-AR"/>
        </w:rPr>
        <w:t>Instituto de Investigaciones en Ciencias de la Educación (IICE), Facultad de Filosofía y Letras, Universidad de Buenos Aires (UBA) – Consejo Nacional de Investigaciones Científicas y Técnicas (CONICET)</w:t>
      </w:r>
    </w:p>
    <w:p w14:paraId="7D0026CD" w14:textId="14A80774" w:rsidR="005F3B2E" w:rsidRPr="00833BBD" w:rsidRDefault="00833BBD" w:rsidP="005F3B2E">
      <w:pPr>
        <w:spacing w:after="0" w:line="240" w:lineRule="auto"/>
        <w:jc w:val="right"/>
        <w:rPr>
          <w:rFonts w:ascii="Times New Roman" w:hAnsi="Times New Roman" w:cs="Times New Roman"/>
          <w:lang w:val="pt-BR"/>
        </w:rPr>
      </w:pPr>
      <w:r w:rsidRPr="00833BBD">
        <w:rPr>
          <w:rFonts w:ascii="Times New Roman" w:hAnsi="Times New Roman" w:cs="Times New Roman"/>
          <w:lang w:val="pt-BR"/>
        </w:rPr>
        <w:t>danielaperrotta@gmail.com</w:t>
      </w:r>
    </w:p>
    <w:p w14:paraId="1FA0F857" w14:textId="77777777" w:rsidR="005F3B2E" w:rsidRPr="00833BBD" w:rsidRDefault="005F3B2E" w:rsidP="005F3B2E">
      <w:pPr>
        <w:rPr>
          <w:rFonts w:ascii="Times New Roman" w:hAnsi="Times New Roman" w:cs="Times New Roman"/>
          <w:lang w:val="pt-BR"/>
        </w:rPr>
      </w:pPr>
    </w:p>
    <w:p w14:paraId="1275A9C7" w14:textId="7FB3FB8F" w:rsidR="005F3B2E" w:rsidRPr="00833BBD" w:rsidRDefault="00833BBD" w:rsidP="005F3B2E">
      <w:pPr>
        <w:spacing w:after="0" w:line="240" w:lineRule="auto"/>
        <w:jc w:val="right"/>
        <w:rPr>
          <w:rFonts w:ascii="Times New Roman" w:hAnsi="Times New Roman" w:cs="Times New Roman"/>
          <w:lang w:val="es-AR"/>
        </w:rPr>
      </w:pPr>
      <w:proofErr w:type="spellStart"/>
      <w:r w:rsidRPr="00833BBD">
        <w:rPr>
          <w:rFonts w:ascii="Times New Roman" w:hAnsi="Times New Roman" w:cs="Times New Roman"/>
          <w:lang w:val="es-AR"/>
        </w:rPr>
        <w:t>Waisberg</w:t>
      </w:r>
      <w:proofErr w:type="spellEnd"/>
      <w:r w:rsidRPr="00833BBD">
        <w:rPr>
          <w:rFonts w:ascii="Times New Roman" w:hAnsi="Times New Roman" w:cs="Times New Roman"/>
          <w:lang w:val="es-AR"/>
        </w:rPr>
        <w:t xml:space="preserve"> Iara</w:t>
      </w:r>
    </w:p>
    <w:p w14:paraId="46FEEBE4" w14:textId="239CAC53" w:rsidR="005F3B2E" w:rsidRPr="00BA642E" w:rsidRDefault="00833BBD" w:rsidP="005F3B2E">
      <w:pPr>
        <w:spacing w:after="0" w:line="240" w:lineRule="auto"/>
        <w:jc w:val="right"/>
        <w:rPr>
          <w:rFonts w:ascii="Times New Roman" w:hAnsi="Times New Roman" w:cs="Times New Roman"/>
        </w:rPr>
      </w:pPr>
      <w:r w:rsidRPr="00833BBD">
        <w:rPr>
          <w:rFonts w:ascii="Times New Roman" w:hAnsi="Times New Roman" w:cs="Times New Roman"/>
          <w:lang w:val="es-AR"/>
        </w:rPr>
        <w:t>Doctorado en Ciencias Sociales de la Facultad de Ciencias Sociales de la Universidad de Buenos Aires (UBA) – Universidad Nacional de San Martín (UNSAM) – Red Argentina de Profesionales para la Política Exterior (REDAPPE)</w:t>
      </w:r>
    </w:p>
    <w:p w14:paraId="3CAC774D" w14:textId="2529F5C7" w:rsidR="005F3B2E" w:rsidRPr="00833BBD" w:rsidRDefault="00833BBD" w:rsidP="005F3B2E">
      <w:pPr>
        <w:spacing w:after="0" w:line="240" w:lineRule="auto"/>
        <w:jc w:val="right"/>
        <w:rPr>
          <w:rFonts w:ascii="Times New Roman" w:hAnsi="Times New Roman" w:cs="Times New Roman"/>
          <w:lang w:val="es-AR"/>
        </w:rPr>
      </w:pPr>
      <w:r w:rsidRPr="00833BBD">
        <w:rPr>
          <w:rFonts w:ascii="Times New Roman" w:hAnsi="Times New Roman" w:cs="Times New Roman"/>
          <w:lang w:val="es-AR"/>
        </w:rPr>
        <w:t>waisbergiaram@gmail.com</w:t>
      </w:r>
      <w:r w:rsidRPr="00833BBD">
        <w:rPr>
          <w:rFonts w:ascii="Times New Roman" w:hAnsi="Times New Roman" w:cs="Times New Roman"/>
          <w:lang w:val="es-AR"/>
        </w:rPr>
        <w:t xml:space="preserve"> </w:t>
      </w:r>
    </w:p>
    <w:p w14:paraId="7B9027E2" w14:textId="77777777" w:rsidR="00BA642E" w:rsidRPr="00BA642E" w:rsidRDefault="00BA642E" w:rsidP="005F3B2E">
      <w:pPr>
        <w:rPr>
          <w:rFonts w:ascii="Times New Roman" w:hAnsi="Times New Roman" w:cs="Times New Roman"/>
          <w:b/>
          <w:bCs/>
        </w:rPr>
      </w:pPr>
    </w:p>
    <w:p w14:paraId="6AE8CD1E" w14:textId="77777777" w:rsidR="00833BBD" w:rsidRPr="00833BBD" w:rsidRDefault="00BA642E" w:rsidP="00833BBD">
      <w:pPr>
        <w:spacing w:line="240" w:lineRule="auto"/>
        <w:jc w:val="both"/>
        <w:rPr>
          <w:rFonts w:ascii="Times New Roman" w:hAnsi="Times New Roman" w:cs="Times New Roman"/>
          <w:lang w:val="es-AR"/>
        </w:rPr>
      </w:pPr>
      <w:r w:rsidRPr="00833BBD">
        <w:rPr>
          <w:rFonts w:ascii="Times New Roman" w:hAnsi="Times New Roman" w:cs="Times New Roman"/>
          <w:b/>
          <w:bCs/>
          <w:lang w:val="es-AR"/>
        </w:rPr>
        <w:t>Resumen:</w:t>
      </w:r>
      <w:r w:rsidR="007B5B5F" w:rsidRPr="00833BBD">
        <w:rPr>
          <w:rFonts w:ascii="Times New Roman" w:hAnsi="Times New Roman" w:cs="Times New Roman"/>
          <w:b/>
          <w:bCs/>
          <w:lang w:val="es-AR"/>
        </w:rPr>
        <w:t xml:space="preserve"> </w:t>
      </w:r>
      <w:r w:rsidR="00833BBD" w:rsidRPr="00833BBD">
        <w:rPr>
          <w:rFonts w:ascii="Times New Roman" w:hAnsi="Times New Roman" w:cs="Times New Roman"/>
          <w:lang w:val="es-AR"/>
        </w:rPr>
        <w:t>La internacionalización de la educación superior ha experimentado una progresiva ampliación conceptual que desplazó el foco desde la movilidad internacional hacia estrategias orientadas a incorporar dimensiones internacionales e interculturales al conjunto de las funciones universitarias. En este proceso, la internacionalización del currículum se consolidó como una de las principales respuestas al desafío de democratizar el acceso a experiencias internacionales, promoviendo la integración de perspectivas globales en los procesos de enseñanza y aprendizaje.</w:t>
      </w:r>
    </w:p>
    <w:p w14:paraId="0011EFB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Si bien este campo ha alcanzado un importante desarrollo, la mayor parte de la literatura se ha concentrado en las dimensiones pedagógicas de la internacionalización del currículum, prestando menor atención a las condiciones institucionales que hacen posible su implementación y sostenibilidad. A partir de esta vacancia, la presente ponencia propone explorar la institucionalización de la internacionalización del currículum como un problema de investigación y analizar la potencialidad de abordarlo desde la perspectiva de la gestión académica universitaria.</w:t>
      </w:r>
    </w:p>
    <w:p w14:paraId="4B25DDAD"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trabajo presenta los avances conceptuales y metodológicos de una investigación doctoral en curso. A partir de una revisión crítica de la literatura especializada, se propone un marco analítico orientado a comprender los procesos mediante los cuales la internacionalización del currículum se incorpora de manera estable a las prácticas y estructuras universitarias. En este marco, se identifican cuatro capacidades institucionales —normativa, organizacional, académico-curricular y de articulación institucional— como categorías analíticas iniciales para orientar el estudio de dichos procesos.</w:t>
      </w:r>
    </w:p>
    <w:p w14:paraId="35A6682C" w14:textId="06B61769" w:rsidR="00BA642E"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lang w:val="es-AR"/>
        </w:rPr>
        <w:t xml:space="preserve">Desde un enfoque cualitativo, la investigación adopta un estudio de caso centrado en el Programa de Intercambio Académico Latinoamericano (PILA) en su modalidad virtual, implementado en universidades argentinas a partir de 2020. Más que analizar el </w:t>
      </w:r>
      <w:r w:rsidRPr="00833BBD">
        <w:rPr>
          <w:rFonts w:ascii="Times New Roman" w:hAnsi="Times New Roman" w:cs="Times New Roman"/>
          <w:lang w:val="es-AR"/>
        </w:rPr>
        <w:lastRenderedPageBreak/>
        <w:t>funcionamiento del programa en sí mismo, el interés radica en utilizar esta experiencia para observar cómo las universidades construyen mecanismos de reconocimiento académico, coordinación institucional e integración curricular que permiten sostener la internacionalización del currículum. La ponencia no presenta resultados empíricos, sino que propone una agenda de investigación y una estrategia analítica para estudiar la institucionalización de la internacionalización del currículum en universidades argentinas desde una perspectiva situada</w:t>
      </w:r>
      <w:r w:rsidR="00BA642E" w:rsidRPr="00833BBD">
        <w:rPr>
          <w:rFonts w:ascii="Times New Roman" w:hAnsi="Times New Roman" w:cs="Times New Roman"/>
          <w:lang w:val="es-AR"/>
        </w:rPr>
        <w:t>.</w:t>
      </w:r>
    </w:p>
    <w:p w14:paraId="2994BAB3" w14:textId="43DC86DD"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833BBD" w:rsidRPr="00833BBD">
        <w:rPr>
          <w:rFonts w:ascii="Times New Roman" w:hAnsi="Times New Roman" w:cs="Times New Roman"/>
          <w:lang w:val="es-AR"/>
        </w:rPr>
        <w:t>internacionalización del currículum; institucionalización; gestión académica; movilidad virtual; PILA</w:t>
      </w:r>
      <w:r w:rsidRPr="007B5B5F">
        <w:rPr>
          <w:rFonts w:ascii="Times New Roman" w:hAnsi="Times New Roman" w:cs="Times New Roman"/>
        </w:rPr>
        <w:t xml:space="preserve">. </w:t>
      </w:r>
    </w:p>
    <w:p w14:paraId="71590D69"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1. Introducción</w:t>
      </w:r>
    </w:p>
    <w:p w14:paraId="00646FB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internacionalización de la educación superior constituye uno de los procesos de transformación más relevantes de las universidades contemporáneas. Durante las últimas décadas, este campo ha experimentado profundas modificaciones conceptuales, desplazando progresivamente el foco desde la movilidad internacional hacia formas más amplias e inclusivas de incorporar la dimensión internacional a las funciones universitarias. Tradicionalmente asociada a la movilidad de estudiantes, docentes e investigadores, la internacionalización fue concebida durante largo tiempo como un conjunto de políticas e iniciativas orientadas a promover la circulación académica entre instituciones de distintos países. Bajo esta perspectiva, la movilidad física se consolidó como uno de los principales indicadores del grado de internacionalización alcanzado por las universidades, al tiempo que las oficinas de relaciones internacionales asumieron un papel central en la planificación y gestión de estos procesos.</w:t>
      </w:r>
    </w:p>
    <w:p w14:paraId="281F12B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Sin embargo, esta concepción comenzó a ser objeto de crecientes cuestionamientos. Diversos estudios señalaron que la centralidad otorgada a la movilidad internacional tendía a beneficiar a un número relativamente reducido de estudiantes, reproduciendo desigualdades económicas, sociales y territoriales en el acceso a experiencias internacionales. Al mismo tiempo, las transformaciones derivadas de la expansión de las tecnologías digitales, la creciente interdependencia de los sistemas de educación superior y, más recientemente, la pandemia de COVID-19, impulsaron la búsqueda de modalidades de internacionalización capaces de alcanzar al conjunto de la comunidad universitaria y no únicamente a quienes participan en programas de movilidad presencial.</w:t>
      </w:r>
    </w:p>
    <w:p w14:paraId="4B1D5EF4"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Como respuesta a estas limitaciones, adquirieron creciente relevancia enfoques como la internacionalización en casa (</w:t>
      </w:r>
      <w:proofErr w:type="spellStart"/>
      <w:r w:rsidRPr="00833BBD">
        <w:rPr>
          <w:rFonts w:ascii="Times New Roman" w:hAnsi="Times New Roman" w:cs="Times New Roman"/>
          <w:i/>
          <w:iCs/>
          <w:lang w:val="es-AR"/>
        </w:rPr>
        <w:t>Internationalization</w:t>
      </w:r>
      <w:proofErr w:type="spellEnd"/>
      <w:r w:rsidRPr="00833BBD">
        <w:rPr>
          <w:rFonts w:ascii="Times New Roman" w:hAnsi="Times New Roman" w:cs="Times New Roman"/>
          <w:i/>
          <w:iCs/>
          <w:lang w:val="es-AR"/>
        </w:rPr>
        <w:t xml:space="preserve"> at Home</w:t>
      </w:r>
      <w:r w:rsidRPr="00833BBD">
        <w:rPr>
          <w:rFonts w:ascii="Times New Roman" w:hAnsi="Times New Roman" w:cs="Times New Roman"/>
          <w:lang w:val="es-AR"/>
        </w:rPr>
        <w:t>) y la internacionalización del currículum (</w:t>
      </w:r>
      <w:proofErr w:type="spellStart"/>
      <w:r w:rsidRPr="00833BBD">
        <w:rPr>
          <w:rFonts w:ascii="Times New Roman" w:hAnsi="Times New Roman" w:cs="Times New Roman"/>
          <w:i/>
          <w:iCs/>
          <w:lang w:val="es-AR"/>
        </w:rPr>
        <w:t>Internationalization</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of</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the</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Curriculum</w:t>
      </w:r>
      <w:proofErr w:type="spellEnd"/>
      <w:r w:rsidRPr="00833BBD">
        <w:rPr>
          <w:rFonts w:ascii="Times New Roman" w:hAnsi="Times New Roman" w:cs="Times New Roman"/>
          <w:lang w:val="es-AR"/>
        </w:rPr>
        <w:t>), que desplazaron el foco desde la movilidad física hacia la incorporación de dimensiones internacionales, interculturales y globales en los procesos de enseñanza y aprendizaje. Desde esta perspectiva, la internacionalización deja de concebirse exclusivamente como una experiencia asociada al desplazamiento geográfico para convertirse en una dimensión constitutiva de la formación universitaria, integrada al diseño curricular, las estrategias pedagógicas, los resultados de aprendizaje y las experiencias educativas ofrecidas al conjunto del estudiantado.</w:t>
      </w:r>
    </w:p>
    <w:p w14:paraId="40D09D84"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La consolidación de estos enfoques dio lugar a un importante desarrollo conceptual y empírico. Diversos autores contribuyeron a delimitar un campo de estudios centrado en la internacionalización del currículum, destacando su potencial para democratizar el acceso a experiencias internacionales y fortalecer la formación de graduados capaces de desenvolverse en contextos globales e interculturales. En América Latina, estos debates dialogaron con las discusiones sobre cooperación regional, inclusión educativa y función social de las universidades, incorporando una mirada situada sobre los sentidos de la internacionalización.</w:t>
      </w:r>
    </w:p>
    <w:p w14:paraId="1E37B9D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No obstante, una revisión de esta literatura permite advertir que la mayor parte de las investigaciones ha privilegiado las dimensiones pedagógicas de la internacionalización del currículum. Los estudios se han concentrado principalmente en el rediseño curricular, el desarrollo de competencias interculturales, las innovaciones en las prácticas de enseñanza y aprendizaje y las experiencias de estudiantes y docentes. Comparativamente, han recibido menor atención las implicancias organizacionales e institucionales que supone incorporar estas estrategias en el funcionamiento cotidiano de las universidades.</w:t>
      </w:r>
    </w:p>
    <w:p w14:paraId="5AE1C56C"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 vacancia resulta especialmente relevante porque la internacionalización del currículum no se limita a modificar lo que ocurre en el aula. Su implementación supone generar condiciones institucionales que permitan integrar experiencias internacionales en las trayectorias formativas mediante mecanismos de reconocimiento académico, sistemas de créditos, reglamentaciones específicas, procedimientos administrativos, modalidades de evaluación y nuevas formas de coordinación entre actores que tradicionalmente han actuado en ámbitos diferenciados, como las oficinas de relaciones internacionales, las secretarías académicas, las unidades académicas y los equipos docentes. En consecuencia, la institucionalización de estas iniciativas plantea interrogantes que exceden el plano pedagógico y remiten a la organización misma de la vida académica universitaria.</w:t>
      </w:r>
    </w:p>
    <w:p w14:paraId="225FA94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A partir de este diagnóstico, la presente ponencia propone explorar una perspectiva analítica todavía escasamente desarrollada en los estudios sobre internacionalización de la educación superior. En lugar de abordar la internacionalización del currículum exclusivamente como una estrategia pedagógica, se propone analizar los procesos mediante los cuales estas iniciativas se institucionalizan en las universidades. El supuesto que orienta la investigación es que la internacionalización del currículum solo adquiere capacidad transformadora cuando logra incorporarse de manera estable a las normas, procedimientos, estructuras y prácticas que organizan la vida académica universitaria. Desde esta perspectiva, el interés se desplaza desde las innovaciones pedagógicas hacia las condiciones institucionales que hacen posible su sostenibilidad, poniendo el foco en las capacidades organizacionales, los mecanismos de coordinación y las formas de regulación que permiten integrar la dimensión internacional a las trayectorias formativas.</w:t>
      </w:r>
    </w:p>
    <w:p w14:paraId="4AEE225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consecuencia, el objeto de interés de la investigación no es la gestión académica en sí misma, sino los procesos de institucionalización de la internacionalización del currículum en las universidades. La gestión académica constituye la perspectiva desde la cual dichos procesos pueden hacerse observables, al materializarse en dispositivos de reconocimiento académico, mecanismos de coordinación interinstitucional, regulaciones curriculares y </w:t>
      </w:r>
      <w:r w:rsidRPr="00833BBD">
        <w:rPr>
          <w:rFonts w:ascii="Times New Roman" w:hAnsi="Times New Roman" w:cs="Times New Roman"/>
          <w:lang w:val="es-AR"/>
        </w:rPr>
        <w:lastRenderedPageBreak/>
        <w:t>formas de articulación entre los distintos actores universitarios. Más que un ámbito meramente administrativo, la gestión académica se concibe aquí como el espacio donde la internacionalización del currículum adquiere consistencia institucional y pasa a formar parte de la organización de las trayectorias formativas.</w:t>
      </w:r>
    </w:p>
    <w:p w14:paraId="2CA7849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Con este propósito, la ponencia presenta los avances conceptuales y metodológicos de un proyecto doctoral actualmente en curso que busca analizar los procesos de institucionalización de la internacionalización del currículum en universidades argentinas, explorando de qué manera estos se expresan en las prácticas y dispositivos de gestión académica. La investigación toma como estudio de caso el Programa de Intercambio Académico Latinoamericano (PILA) en su modalidad virtual, implementado a partir de 2020, por considerar que constituye un escenario particularmente fértil para observar los desafíos institucionales que emergen cuando las experiencias internacionales pasan a formar parte de las trayectorias académicas de un número creciente de estudiantes. Más que estudiar el funcionamiento del programa en sí mismo, la investigación lo considera un caso instrumental para comprender procesos más amplios de institucionalización de la internacionalización del currículum. La creación del PILA Virtual durante la pandemia amplió las oportunidades de participación en experiencias internacionales y, simultáneamente, exigió a las universidades desarrollar nuevos mecanismos de reconocimiento académico, coordinación curricular y validación institucional, configurando un espacio privilegiado para analizar estas dinámicas.</w:t>
      </w:r>
    </w:p>
    <w:p w14:paraId="3196AF2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Dado que la investigación se encuentra actualmente en una etapa de construcción de su objeto de estudio, esta ponencia no presenta resultados empíricos, sino que expone la construcción del problema de investigación, la revisión crítica de la literatura, la elaboración del marco conceptual y el diseño metodológico que orientará el trabajo de campo. Las categorías analíticas aquí propuestas constituyen herramientas iniciales de análisis que serán contrastadas, ajustadas y enriquecidas a partir de la evidencia empírica. En este sentido, el aporte del trabajo consiste en poner en diálogo campos de estudio que habitualmente han evolucionado de manera relativamente independiente —la internacionalización de la educación superior, la internacionalización del currículum, la movilidad virtual y la gestión académica universitaria— con el propósito de construir una perspectiva analítica que permita comprender cómo se institucionalizan las estrategias de internacionalización del currículum en las universidades contemporáneas.</w:t>
      </w:r>
    </w:p>
    <w:p w14:paraId="7CC9851D" w14:textId="77777777" w:rsid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artículo se organiza en cinco apartados. Tras esta introducción, el segundo apartado reconstruye la evolución conceptual de la internacionalización de la educación superior y desarrolla el marco analítico que orienta la investigación. El tercer apartado presenta el diseño metodológico y fundamenta la elección del Programa de Intercambio Académico Latinoamericano (PILA) en su modalidad virtual como estudio de caso. El cuarto apartado discute las potencialidades analíticas del trabajo de campo y delimita la agenda empírica de la investigación. Finalmente, el quinto apartado presenta las reflexiones finales y las proyecciones del estudio.</w:t>
      </w:r>
    </w:p>
    <w:p w14:paraId="5323F5A1" w14:textId="77777777" w:rsidR="009A6488" w:rsidRPr="00833BBD" w:rsidRDefault="009A6488" w:rsidP="00833BBD">
      <w:pPr>
        <w:spacing w:line="240" w:lineRule="auto"/>
        <w:jc w:val="both"/>
        <w:rPr>
          <w:rFonts w:ascii="Times New Roman" w:hAnsi="Times New Roman" w:cs="Times New Roman"/>
          <w:lang w:val="es-AR"/>
        </w:rPr>
      </w:pPr>
    </w:p>
    <w:p w14:paraId="5A049A9A"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lastRenderedPageBreak/>
        <w:t>2. De la internacionalización de la educación superior a la internacionalización del currículum: evolución conceptual y agenda de investigación</w:t>
      </w:r>
    </w:p>
    <w:p w14:paraId="7DABE387"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2.1. De la movilidad internacional a la internacionalización integral: la ampliación del concepto de internacionalización de la educación superior</w:t>
      </w:r>
    </w:p>
    <w:p w14:paraId="4644AD3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internacionalización de la educación superior constituye uno de los procesos más significativos en la transformación contemporánea de las universidades. Sin embargo, lejos de tratarse de un concepto estable o unívoco, su significado ha experimentado profundas transformaciones durante las últimas décadas. Más que una sucesión de definiciones o enfoques, la evolución del campo puede comprenderse como un proceso de ampliaciones conceptuales sucesivas. Cada una de ellas buscó responder a las limitaciones de la etapa precedente y amplió la comprensión acerca de qué significa internacionalizar una universidad, quiénes participan de esos procesos y cuáles son sus finalidades. Desde esta perspectiva, la historia reciente de la internacionalización no puede entenderse como una sucesión de conceptos que se reemplazan entre sí, sino como un proceso acumulativo de expansión del propio objeto de estudio.</w:t>
      </w:r>
    </w:p>
    <w:p w14:paraId="53B6553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sus primeras formulaciones, la internacionalización fue entendida principalmente como el conjunto de actividades que vinculaban a las instituciones de educación superior con actores de otros países. Durante las décadas de 1980 y 1990, el énfasis estuvo puesto en la cooperación internacional, la firma de convenios, la movilidad de estudiantes y profesores, el intercambio científico y la creación de programas conjuntos. La dimensión internacional aparecía así como un conjunto de actividades complementarias a las funciones sustantivas de la universidad, cuya expresión más visible era el desplazamiento físico de personas entre instituciones.</w:t>
      </w:r>
    </w:p>
    <w:p w14:paraId="14F04CA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consolidación de este enfoque estuvo acompañada por la búsqueda de definiciones que permitieran delimitar conceptualmente el campo. Entre ellas, la propuesta de Jane Knight (2004) se convirtió en una referencia ineludible al definir la internacionalización como el proceso de integrar una dimensión internacional, intercultural o global en los propósitos, funciones y provisión de la educación superior. Esta definición representó un punto de inflexión porque desplazó la atención desde la enumeración de actividades internacionales hacia la idea de un proceso institucional de integración. La internacionalización dejó así de entenderse exclusivamente como un conjunto de acciones aisladas para comenzar a concebirse como un componente transversal del desarrollo universitario. </w:t>
      </w:r>
    </w:p>
    <w:p w14:paraId="61B9F13E"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 primera ampliación conceptual desplazó el foco desde las actividades internacionales hacia la internacionalización como un proceso institucional. La pregunta dejó de ser únicamente qué acciones internacionales desarrollan las universidades y pasó a centrarse en cómo integrar la dimensión internacional a su funcionamiento cotidiano</w:t>
      </w:r>
    </w:p>
    <w:p w14:paraId="3568CF6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Sobre esta base, diversos autores profundizaron la necesidad de superar una comprensión restringida de la internacionalización. Hans de Wit (2002; 2011) advirtió tempranamente los riesgos de identificar la internacionalización únicamente con indicadores cuantitativos como la movilidad, la cantidad de convenios o el número de estudiantes extranjeros, señalando que estos no daban cuenta de la complejidad de los procesos institucionales </w:t>
      </w:r>
      <w:r w:rsidRPr="00833BBD">
        <w:rPr>
          <w:rFonts w:ascii="Times New Roman" w:hAnsi="Times New Roman" w:cs="Times New Roman"/>
          <w:lang w:val="es-AR"/>
        </w:rPr>
        <w:lastRenderedPageBreak/>
        <w:t xml:space="preserve">involucrados. En una línea convergente, John Hudzik (2011) propuso el concepto de </w:t>
      </w:r>
      <w:r w:rsidRPr="00833BBD">
        <w:rPr>
          <w:rFonts w:ascii="Times New Roman" w:hAnsi="Times New Roman" w:cs="Times New Roman"/>
          <w:i/>
          <w:iCs/>
          <w:lang w:val="es-AR"/>
        </w:rPr>
        <w:t xml:space="preserve">Comprehensive </w:t>
      </w:r>
      <w:proofErr w:type="spellStart"/>
      <w:r w:rsidRPr="00833BBD">
        <w:rPr>
          <w:rFonts w:ascii="Times New Roman" w:hAnsi="Times New Roman" w:cs="Times New Roman"/>
          <w:i/>
          <w:iCs/>
          <w:lang w:val="es-AR"/>
        </w:rPr>
        <w:t>Internationalization</w:t>
      </w:r>
      <w:proofErr w:type="spellEnd"/>
      <w:r w:rsidRPr="00833BBD">
        <w:rPr>
          <w:rFonts w:ascii="Times New Roman" w:hAnsi="Times New Roman" w:cs="Times New Roman"/>
          <w:lang w:val="es-AR"/>
        </w:rPr>
        <w:t>, enfatizando que la dimensión internacional debía permear todas las funciones universitarias e involucrar al conjunto de la institución, desde las autoridades hasta los equipos docentes y administrativos. Esta perspectiva puso de relieve que la internacionalización no podía seguir siendo responsabilidad exclusiva de las oficinas de relaciones internacionales, sino que debía incorporarse a la planificación estratégica, la gestión institucional y las políticas académicas.</w:t>
      </w:r>
    </w:p>
    <w:p w14:paraId="10E9BA9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Sin embargo, aun esta ampliación dejaba abierta una cuestión central. Aunque la internacionalización comenzaba a pensarse como una estrategia transversal, seguía dependiendo, en gran medida, de la participación de una minoría de estudiantes en experiencias de movilidad internacional. Esta tensión abriría paso a una nueva ampliación del campo, centrada ya no en la institución sino en la formación de todos los estudiantes</w:t>
      </w:r>
    </w:p>
    <w:p w14:paraId="71A8560C"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Sin embargo, a medida que estas concepciones se consolidaban, comenzaron a hacerse visibles nuevas tensiones. Aunque la movilidad internacional continuó siendo uno de los instrumentos más valorados de la internacionalización, múltiples investigaciones evidenciaron que solo una proporción reducida del estudiantado accedía efectivamente a este tipo de experiencias. Las restricciones económicas, las desigualdades sociales y territoriales, las responsabilidades familiares y laborales y las diferencias entre disciplinas limitaban considerablemente las oportunidades de participación. En consecuencia, la movilidad aparecía simultáneamente como uno de los mayores logros de las políticas de internacionalización y como uno de sus principales límites en términos de equidad.</w:t>
      </w:r>
    </w:p>
    <w:p w14:paraId="61F9FBB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 constatación dio lugar a un cambio significativo en las preguntas que orientaban el campo. El problema dejó de ser exclusivamente cómo aumentar el número de movilidades y pasó a centrarse en cómo garantizar que todos los estudiantes pudieran acceder a experiencias de aprendizaje con dimensión internacional durante su formación universitaria. Comenzó así a consolidarse una concepción más amplia de la internacionalización, orientada no solo a favorecer la circulación académica sino también a transformar los procesos de enseñanza, aprendizaje y organización institucional para incorporar perspectivas internacionales e interculturales de manera sistemática.</w:t>
      </w:r>
    </w:p>
    <w:p w14:paraId="4E3AE1A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Este desplazamiento conceptual coincidió, además, con una revisión crítica de las finalidades atribuidas a la internacionalización. Mientras algunos enfoques continuaban privilegiando objetivos asociados a la competitividad internacional, el posicionamiento institucional y la captación de talento, otros comenzaron a destacar su contribución a la calidad de la formación, el desarrollo de competencias interculturales, la cooperación académica y la construcción de ciudadanía global. La internacionalización pasó así a concebirse crecientemente como un medio para fortalecer las funciones sustantivas de la universidad y no únicamente como una estrategia de inserción en un mercado internacional de educación superior.</w:t>
      </w:r>
    </w:p>
    <w:p w14:paraId="43F0217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Las ampliaciones conceptuales del campo también adquirieron significados diferentes en América Latina. La internacionalización se desarrolló históricamente en estrecha relación con los procesos de integración regional, la cooperación académica y la defensa de la educación superior como bien público y derecho humano. En este marco, las </w:t>
      </w:r>
      <w:r w:rsidRPr="00833BBD">
        <w:rPr>
          <w:rFonts w:ascii="Times New Roman" w:hAnsi="Times New Roman" w:cs="Times New Roman"/>
          <w:lang w:val="es-AR"/>
        </w:rPr>
        <w:lastRenderedPageBreak/>
        <w:t>Conferencias Regionales de Educación Superior (CRES 2008 y CRES 2018) consolidaron una visión de la internacionalización basada en la cooperación solidaria, la reciprocidad y la construcción de capacidades compartidas, en contraste con enfoques orientados prioritariamente por la competencia entre instituciones. Desde esta perspectiva, la internacionalización constituye una herramienta para fortalecer los sistemas universitarios y contribuir al desarrollo social, científico y cultural de la región.</w:t>
      </w:r>
    </w:p>
    <w:p w14:paraId="6E405227" w14:textId="1ADE6996"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Estos debates también han sido desarrollados por diversos autores latinoamericanos. Jocelyne Gacel-Ávila </w:t>
      </w:r>
      <w:r w:rsidR="009A6488">
        <w:rPr>
          <w:rFonts w:ascii="Times New Roman" w:hAnsi="Times New Roman" w:cs="Times New Roman"/>
          <w:lang w:val="es-AR"/>
        </w:rPr>
        <w:t xml:space="preserve">(2022) </w:t>
      </w:r>
      <w:r w:rsidRPr="00833BBD">
        <w:rPr>
          <w:rFonts w:ascii="Times New Roman" w:hAnsi="Times New Roman" w:cs="Times New Roman"/>
          <w:lang w:val="es-AR"/>
        </w:rPr>
        <w:t>ha destacado la necesidad de avanzar hacia formas de internacionalización más integrales, articuladas con las funciones sustantivas de las universidades y con la formación de ciudadanos capaces de desenvolverse en sociedades culturalmente diversas. Pablo Beneitone</w:t>
      </w:r>
      <w:r w:rsidR="009A6488">
        <w:rPr>
          <w:rFonts w:ascii="Times New Roman" w:hAnsi="Times New Roman" w:cs="Times New Roman"/>
          <w:lang w:val="es-AR"/>
        </w:rPr>
        <w:t xml:space="preserve"> (2022)</w:t>
      </w:r>
      <w:r w:rsidRPr="00833BBD">
        <w:rPr>
          <w:rFonts w:ascii="Times New Roman" w:hAnsi="Times New Roman" w:cs="Times New Roman"/>
          <w:lang w:val="es-AR"/>
        </w:rPr>
        <w:t xml:space="preserve">, por su parte, ha subrayado que la internacionalización del currículum constituye una oportunidad para democratizar el acceso a experiencias internacionales y superar las limitaciones de un modelo centrado exclusivamente en la movilidad física. </w:t>
      </w:r>
      <w:r w:rsidR="009A6488" w:rsidRPr="009A6488">
        <w:rPr>
          <w:rFonts w:ascii="Times New Roman" w:hAnsi="Times New Roman" w:cs="Times New Roman"/>
        </w:rPr>
        <w:t>Como muestra la evolución del campo reconstruida en este trabajo, la internacionalización de la educación superior puede comprenderse como un proceso de ampliaciones conceptuales sucesivas que desplazó progresivamente el foco desde la movilidad internacional hacia la internacionalización institucional, la formación y, como propone esta investigación, los procesos de institucionalización</w:t>
      </w:r>
      <w:r w:rsidRPr="00833BBD">
        <w:rPr>
          <w:rFonts w:ascii="Times New Roman" w:hAnsi="Times New Roman" w:cs="Times New Roman"/>
          <w:lang w:val="es-AR"/>
        </w:rPr>
        <w:t>.</w:t>
      </w:r>
    </w:p>
    <w:p w14:paraId="349C9B67" w14:textId="52A27599"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diálogo con estas perspectivas, distintos trabajos producidos desde América Latina han planteado la necesidad de analizar críticamente los sentidos que adquiere la internacionalización en contextos periféricos. En particular, Perrotta (2016) propone comprender la internacionalización desde una perspectiva situada, vinculada con la integración regional, la autonomía académica y la función social de la universidad. Desde este enfoque, la internacionalización no constituye un objetivo en sí mismo ni puede reducirse a indicadores de movilidad o posicionamiento global, sino que debe contribuir a fortalecer las capacidades institucionales, democratizar el acceso al conocimiento y ampliar la contribución social de las universidades. Esta perspectiva resulta especialmente relevante para la presente investigación, ya que permite comprender la internacionalización del currículum no solo como una transformación de los procesos formativos, sino también como un proceso de institucionalización vinculado con la construcción de capacidades académicas y organizacionales en las universidades.</w:t>
      </w:r>
    </w:p>
    <w:p w14:paraId="7702945C"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conjunto, estos desarrollos muestran que la evolución de la internacionalización de la educación superior puede interpretarse como una secuencia de ampliaciones conceptuales. En una primera etapa, el interés estuvo centrado en la movilidad y la cooperación internacional; posteriormente, la atención se desplazó hacia la internacionalización institucional y la incorporación transversal de la dimensión internacional en las funciones universitarias; más tarde, el foco pasó a la formación mediante el desarrollo de la internacionalización en casa y la internacionalización del currículum. La presente investigación se inscribe en esa trayectoria proponiendo una nueva ampliación analítica: comprender cómo estas estrategias se institucionalizan en las universidades y de qué manera estos procesos pueden estudiarse desde la perspectiva de la gestión académica. Esta propuesta no sustituye los desarrollos anteriores, sino que </w:t>
      </w:r>
      <w:r w:rsidRPr="00833BBD">
        <w:rPr>
          <w:rFonts w:ascii="Times New Roman" w:hAnsi="Times New Roman" w:cs="Times New Roman"/>
          <w:lang w:val="es-AR"/>
        </w:rPr>
        <w:lastRenderedPageBreak/>
        <w:t>busca complementarlos incorporando una dimensión organizacional que, hasta el momento, ha recibido una atención comparativamente menor.</w:t>
      </w:r>
    </w:p>
    <w:p w14:paraId="39027460" w14:textId="77777777" w:rsidR="00833BBD" w:rsidRPr="00833BBD" w:rsidRDefault="00833BBD" w:rsidP="00833BBD">
      <w:pPr>
        <w:spacing w:line="240" w:lineRule="auto"/>
        <w:jc w:val="both"/>
        <w:rPr>
          <w:rFonts w:ascii="Times New Roman" w:hAnsi="Times New Roman" w:cs="Times New Roman"/>
          <w:lang w:val="es-AR"/>
        </w:rPr>
      </w:pPr>
    </w:p>
    <w:p w14:paraId="2E375088"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2.2. La internacionalización del currículum: democratizar la internacionalización a través de la formación</w:t>
      </w:r>
    </w:p>
    <w:p w14:paraId="1B193A1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progresiva ampliación del concepto de internacionalización de la educación superior condujo inevitablemente a una nueva pregunta: si la movilidad internacional solo alcanza a una proporción reducida del estudiantado, ¿cómo incorporar la dimensión internacional a la formación universitaria de todos los estudiantes? Esta preocupación dio origen al desarrollo de la internacionalización en casa (</w:t>
      </w:r>
      <w:proofErr w:type="spellStart"/>
      <w:r w:rsidRPr="00833BBD">
        <w:rPr>
          <w:rFonts w:ascii="Times New Roman" w:hAnsi="Times New Roman" w:cs="Times New Roman"/>
          <w:i/>
          <w:iCs/>
          <w:lang w:val="es-AR"/>
        </w:rPr>
        <w:t>Internationalization</w:t>
      </w:r>
      <w:proofErr w:type="spellEnd"/>
      <w:r w:rsidRPr="00833BBD">
        <w:rPr>
          <w:rFonts w:ascii="Times New Roman" w:hAnsi="Times New Roman" w:cs="Times New Roman"/>
          <w:i/>
          <w:iCs/>
          <w:lang w:val="es-AR"/>
        </w:rPr>
        <w:t xml:space="preserve"> at Home</w:t>
      </w:r>
      <w:r w:rsidRPr="00833BBD">
        <w:rPr>
          <w:rFonts w:ascii="Times New Roman" w:hAnsi="Times New Roman" w:cs="Times New Roman"/>
          <w:lang w:val="es-AR"/>
        </w:rPr>
        <w:t>) y, posteriormente, de la internacionalización del currículum (</w:t>
      </w:r>
      <w:proofErr w:type="spellStart"/>
      <w:r w:rsidRPr="00833BBD">
        <w:rPr>
          <w:rFonts w:ascii="Times New Roman" w:hAnsi="Times New Roman" w:cs="Times New Roman"/>
          <w:i/>
          <w:iCs/>
          <w:lang w:val="es-AR"/>
        </w:rPr>
        <w:t>Internationalization</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of</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the</w:t>
      </w:r>
      <w:proofErr w:type="spellEnd"/>
      <w:r w:rsidRPr="00833BBD">
        <w:rPr>
          <w:rFonts w:ascii="Times New Roman" w:hAnsi="Times New Roman" w:cs="Times New Roman"/>
          <w:i/>
          <w:iCs/>
          <w:lang w:val="es-AR"/>
        </w:rPr>
        <w:t xml:space="preserve"> </w:t>
      </w:r>
      <w:proofErr w:type="spellStart"/>
      <w:r w:rsidRPr="00833BBD">
        <w:rPr>
          <w:rFonts w:ascii="Times New Roman" w:hAnsi="Times New Roman" w:cs="Times New Roman"/>
          <w:i/>
          <w:iCs/>
          <w:lang w:val="es-AR"/>
        </w:rPr>
        <w:t>Curriculum</w:t>
      </w:r>
      <w:proofErr w:type="spellEnd"/>
      <w:r w:rsidRPr="00833BBD">
        <w:rPr>
          <w:rFonts w:ascii="Times New Roman" w:hAnsi="Times New Roman" w:cs="Times New Roman"/>
          <w:lang w:val="es-AR"/>
        </w:rPr>
        <w:t>), dos enfoques estrechamente relacionados que desplazaron el centro del debate desde la circulación internacional hacia los procesos de enseñanza y aprendizaje.</w:t>
      </w:r>
    </w:p>
    <w:p w14:paraId="31D63F2D" w14:textId="7E3A67FA"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Aunque ambos conceptos suelen utilizarse de manera complementaria, responden a preocupaciones analíticas diferentes. La internacionalización en casa surgió a fines de la década de 1990 como una estrategia destinada a ampliar el acceso a experiencias internacionales sin requerir movilidad física. Originalmente formulada por Bengt Nilsson </w:t>
      </w:r>
      <w:r w:rsidR="0092582C">
        <w:rPr>
          <w:rFonts w:ascii="Times New Roman" w:hAnsi="Times New Roman" w:cs="Times New Roman"/>
          <w:lang w:val="es-AR"/>
        </w:rPr>
        <w:t xml:space="preserve">(2003) </w:t>
      </w:r>
      <w:r w:rsidRPr="00833BBD">
        <w:rPr>
          <w:rFonts w:ascii="Times New Roman" w:hAnsi="Times New Roman" w:cs="Times New Roman"/>
          <w:lang w:val="es-AR"/>
        </w:rPr>
        <w:t>y posteriormente desarrollada por Jos Beelen y Elspeth Jones</w:t>
      </w:r>
      <w:r w:rsidR="0092582C">
        <w:rPr>
          <w:rFonts w:ascii="Times New Roman" w:hAnsi="Times New Roman" w:cs="Times New Roman"/>
          <w:lang w:val="es-AR"/>
        </w:rPr>
        <w:t xml:space="preserve"> (2015)</w:t>
      </w:r>
      <w:r w:rsidRPr="00833BBD">
        <w:rPr>
          <w:rFonts w:ascii="Times New Roman" w:hAnsi="Times New Roman" w:cs="Times New Roman"/>
          <w:lang w:val="es-AR"/>
        </w:rPr>
        <w:t>, esta perspectiva sostiene que la internacionalización debe formar parte de la experiencia educativa cotidiana de todos los estudiantes mediante actividades académicas, intercambios interculturales, experiencias colaborativas y propuestas curriculares desarrolladas dentro de la propia institución.</w:t>
      </w:r>
    </w:p>
    <w:p w14:paraId="03426B61"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este marco, la internacionalización del currículum constituye un desarrollo posterior y conceptualmente más específico. Su preocupación central ya no consiste únicamente en ampliar el acceso a experiencias internacionales, sino en transformar el propio proceso formativo mediante la integración deliberada de dimensiones internacionales, interculturales y globales en el diseño curricular. Como señala Betty Leask (2015), la internacionalización del currículum implica incorporar estas dimensiones en los contenidos de las asignaturas, los resultados de aprendizaje, las estrategias de enseñanza, las modalidades de evaluación y las experiencias educativas, de manera que la dimensión internacional deje de constituir una actividad complementaria para convertirse en un componente estructural de la formación universitaria.</w:t>
      </w:r>
    </w:p>
    <w:p w14:paraId="261E2D66"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 redefinición representa un cambio significativo respecto de las concepciones tradicionales de la internacionalización. Mientras el paradigma de la movilidad situaba la experiencia internacional fuera del currículum —como una oportunidad extraordinaria accesible para un grupo limitado de estudiantes—, la internacionalización del currículum desplaza esa experiencia hacia el núcleo mismo de la formación. El énfasis deja de estar puesto en el desplazamiento físico y pasa a centrarse en la capacidad del currículum para ofrecer oportunidades sistemáticas de aprendizaje internacional e intercultural a lo largo de toda la trayectoria académica.</w:t>
      </w:r>
    </w:p>
    <w:p w14:paraId="6EC06EA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Desde esta perspectiva, el currículum deja de entenderse como un simple plan de estudios para concebirse como un espacio de construcción de saberes, competencias, valores y formas de comprensión del mundo. En consecuencia, internacionalizar el currículum supone revisar no solamente qué contenidos se enseñan, sino también desde qué perspectivas se producen y legitiman esos conocimientos, qué autores integran las bibliografías, qué problemas adquieren centralidad, qué experiencias de aprendizaje se promueven y qué capacidades se espera desarrollar en los futuros graduados. La internacionalización del currículum incorpora así una dimensión epistemológica que invita a cuestionar la predominancia de determinadas tradiciones académicas y a favorecer el diálogo entre diferentes perspectivas culturales y científicas.</w:t>
      </w:r>
    </w:p>
    <w:p w14:paraId="67611FC1" w14:textId="4C55B04B" w:rsidR="00833BBD" w:rsidRPr="00833BBD" w:rsidRDefault="0092582C" w:rsidP="00833BBD">
      <w:pPr>
        <w:spacing w:line="240" w:lineRule="auto"/>
        <w:jc w:val="both"/>
        <w:rPr>
          <w:rFonts w:ascii="Times New Roman" w:hAnsi="Times New Roman" w:cs="Times New Roman"/>
          <w:lang w:val="es-AR"/>
        </w:rPr>
      </w:pPr>
      <w:r w:rsidRPr="0092582C">
        <w:rPr>
          <w:rFonts w:ascii="Times New Roman" w:hAnsi="Times New Roman" w:cs="Times New Roman"/>
        </w:rPr>
        <w:t>Esta dimensión ha sido especialmente destacada por Elspeth Jones</w:t>
      </w:r>
      <w:r>
        <w:rPr>
          <w:rFonts w:ascii="Times New Roman" w:hAnsi="Times New Roman" w:cs="Times New Roman"/>
        </w:rPr>
        <w:t xml:space="preserve"> (2013)</w:t>
      </w:r>
      <w:r w:rsidRPr="0092582C">
        <w:rPr>
          <w:rFonts w:ascii="Times New Roman" w:hAnsi="Times New Roman" w:cs="Times New Roman"/>
        </w:rPr>
        <w:t>, quien sostiene que la internacionalización del currículum no debe reducirse a la incorporación de contenidos sobre otros países o regiones, sino orientarse al desarrollo de competencias interculturales, pensamiento crítico y capacidades para actuar en contextos culturalmente diversos. Desde esta perspectiva, el eje se desplaza desde los contenidos hacia los resultados de aprendizaje y la formación integral de los estudiantes</w:t>
      </w:r>
      <w:r>
        <w:rPr>
          <w:rFonts w:ascii="Times New Roman" w:hAnsi="Times New Roman" w:cs="Times New Roman"/>
        </w:rPr>
        <w:t xml:space="preserve">. </w:t>
      </w:r>
      <w:r w:rsidRPr="0092582C">
        <w:rPr>
          <w:rFonts w:ascii="Times New Roman" w:hAnsi="Times New Roman" w:cs="Times New Roman"/>
        </w:rPr>
        <w:t xml:space="preserve">Por su parte, Jos Beelen enfatiza que el principal desafío consiste en democratizar el acceso a estas oportunidades de aprendizaje. En este sentido, sostiene que la internacionalización del currículum no busca reproducir experiencias de movilidad dentro del aula, sino garantizar que todos los estudiantes desarrollen aprendizajes con dimensión internacional, independientemente de su posibilidad de participar en programas de intercambio. Esta perspectiva se articula con el concepto de </w:t>
      </w:r>
      <w:proofErr w:type="spellStart"/>
      <w:r w:rsidRPr="0092582C">
        <w:rPr>
          <w:rFonts w:ascii="Times New Roman" w:hAnsi="Times New Roman" w:cs="Times New Roman"/>
          <w:i/>
          <w:iCs/>
        </w:rPr>
        <w:t>Internationalization</w:t>
      </w:r>
      <w:proofErr w:type="spellEnd"/>
      <w:r w:rsidRPr="0092582C">
        <w:rPr>
          <w:rFonts w:ascii="Times New Roman" w:hAnsi="Times New Roman" w:cs="Times New Roman"/>
          <w:i/>
          <w:iCs/>
        </w:rPr>
        <w:t xml:space="preserve"> at Home</w:t>
      </w:r>
      <w:r w:rsidRPr="0092582C">
        <w:rPr>
          <w:rFonts w:ascii="Times New Roman" w:hAnsi="Times New Roman" w:cs="Times New Roman"/>
        </w:rPr>
        <w:t>, desarrollado junto con Elspeth Jones, que propone integrar la dimensión internacional a la experiencia educativa cotidiana de la totalidad del estudiantado</w:t>
      </w:r>
      <w:r>
        <w:rPr>
          <w:rFonts w:ascii="Times New Roman" w:hAnsi="Times New Roman" w:cs="Times New Roman"/>
        </w:rPr>
        <w:t xml:space="preserve"> (Beelen &amp; Jones, 2015)</w:t>
      </w:r>
      <w:r w:rsidR="00833BBD" w:rsidRPr="00833BBD">
        <w:rPr>
          <w:rFonts w:ascii="Times New Roman" w:hAnsi="Times New Roman" w:cs="Times New Roman"/>
          <w:lang w:val="es-AR"/>
        </w:rPr>
        <w:t>.</w:t>
      </w:r>
    </w:p>
    <w:p w14:paraId="140C2654" w14:textId="0A46FDE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América Latina, estos debates han adquirido matices particulares. La internacionalización del currículum se vincula estrechamente con las discusiones sobre inclusión educativa, cooperación regional y función social de la universidad. En este contexto, Pablo Beneitone </w:t>
      </w:r>
      <w:r w:rsidR="0092582C">
        <w:rPr>
          <w:rFonts w:ascii="Times New Roman" w:hAnsi="Times New Roman" w:cs="Times New Roman"/>
          <w:lang w:val="es-AR"/>
        </w:rPr>
        <w:t xml:space="preserve">(2022) </w:t>
      </w:r>
      <w:r w:rsidRPr="00833BBD">
        <w:rPr>
          <w:rFonts w:ascii="Times New Roman" w:hAnsi="Times New Roman" w:cs="Times New Roman"/>
          <w:lang w:val="es-AR"/>
        </w:rPr>
        <w:t>ha señalado que este enfoque constituye una oportunidad para superar las limitaciones de un modelo de internacionalización concentrado en la movilidad de una minoría de estudiantes, promoviendo una internacionalización más inclusiva e integrada a los procesos de formación. Desde esta perspectiva, el desafío no consiste únicamente en ampliar las oportunidades de intercambio internacional, sino en incorporar la dimensión internacional como parte constitutiva de la experiencia universitaria de todos los estudiantes.</w:t>
      </w:r>
    </w:p>
    <w:p w14:paraId="3127179E"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Este desplazamiento resulta particularmente significativo porque modifica el lugar que ocupa la internacionalización dentro de la universidad. Mientras los enfoques tradicionales tendían a localizarla principalmente en las oficinas de relaciones internacionales y en la gestión de programas de movilidad, la internacionalización del currículum traslada parte importante de esa responsabilidad hacia las unidades académicas, los equipos docentes y los procesos de diseño curricular. En consecuencia, la internacionalización deja de depender exclusivamente de programas específicos para comenzar a integrarse en las funciones centrales de la universidad vinculadas con la formación.</w:t>
      </w:r>
    </w:p>
    <w:p w14:paraId="43C1DD98"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Sin embargo, precisamente porque desplaza la internacionalización hacia el núcleo de la actividad académica, la implementación de estas estrategias plantea desafíos que trascienden las dimensiones estrictamente pedagógicas. Internacionalizar el currículum supone generar mecanismos institucionales que permitan reconocer trayectorias académicas desarrolladas en cooperación con otras universidades, articular calendarios y sistemas de créditos, validar aprendizajes realizados en contextos internacionales y coordinar actores que tradicionalmente han operado en ámbitos diferenciados. En otras palabras, la internacionalización del currículum no solo transforma las prácticas de enseñanza y aprendizaje, sino que también exige nuevas capacidades institucionales para sostener esos procesos de manera sistemática.</w:t>
      </w:r>
    </w:p>
    <w:p w14:paraId="7F5ED7D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A pesar de ello, la literatura especializada ha concentrado su atención principalmente en las dimensiones pedagógicas de la internacionalización del currículum. La mayor parte de las investigaciones analiza experiencias de innovación docente, desarrollo de competencias interculturales, rediseño curricular o percepciones de estudiantes y profesores, mientras que las transformaciones organizacionales requeridas para institucionalizar estas iniciativas permanecen comparativamente menos exploradas. Esta constatación permite identificar una nueva vacancia en el campo y abre la posibilidad de interrogar la internacionalización del currículum desde una perspectiva diferente: no solamente como una innovación pedagógica, sino como un proceso de institucionalización que requiere construir capacidades organizacionales y mecanismos de gestión académica capaces de sostenerla en el tiempo.</w:t>
      </w:r>
    </w:p>
    <w:p w14:paraId="748B928B"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Figura 1. Ampliaciones conceptuales en los estudios sobre internacionalización de la educación superior</w:t>
      </w:r>
    </w:p>
    <w:tbl>
      <w:tblPr>
        <w:tblStyle w:val="Tablaconcuadrcula1clara-nfasis1"/>
        <w:tblW w:w="0" w:type="auto"/>
        <w:tblLook w:val="04A0" w:firstRow="1" w:lastRow="0" w:firstColumn="1" w:lastColumn="0" w:noHBand="0" w:noVBand="1"/>
      </w:tblPr>
      <w:tblGrid>
        <w:gridCol w:w="1894"/>
        <w:gridCol w:w="2525"/>
        <w:gridCol w:w="2509"/>
        <w:gridCol w:w="1566"/>
      </w:tblGrid>
      <w:tr w:rsidR="00833BBD" w:rsidRPr="00833BBD" w14:paraId="7D4F957D" w14:textId="77777777" w:rsidTr="0092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81E24C"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Ampliación conceptual</w:t>
            </w:r>
          </w:p>
        </w:tc>
        <w:tc>
          <w:tcPr>
            <w:tcW w:w="0" w:type="auto"/>
            <w:hideMark/>
          </w:tcPr>
          <w:p w14:paraId="76D34490"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Pregunta predominante</w:t>
            </w:r>
          </w:p>
        </w:tc>
        <w:tc>
          <w:tcPr>
            <w:tcW w:w="0" w:type="auto"/>
            <w:hideMark/>
          </w:tcPr>
          <w:p w14:paraId="21FA490B"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Objeto principal de análisis</w:t>
            </w:r>
          </w:p>
        </w:tc>
        <w:tc>
          <w:tcPr>
            <w:tcW w:w="0" w:type="auto"/>
            <w:hideMark/>
          </w:tcPr>
          <w:p w14:paraId="19D0E0DF"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Autores de referencia</w:t>
            </w:r>
          </w:p>
        </w:tc>
      </w:tr>
      <w:tr w:rsidR="00833BBD" w:rsidRPr="00833BBD" w14:paraId="3B05B10B" w14:textId="77777777" w:rsidTr="0092582C">
        <w:tc>
          <w:tcPr>
            <w:cnfStyle w:val="001000000000" w:firstRow="0" w:lastRow="0" w:firstColumn="1" w:lastColumn="0" w:oddVBand="0" w:evenVBand="0" w:oddHBand="0" w:evenHBand="0" w:firstRowFirstColumn="0" w:firstRowLastColumn="0" w:lastRowFirstColumn="0" w:lastRowLastColumn="0"/>
            <w:tcW w:w="0" w:type="auto"/>
            <w:hideMark/>
          </w:tcPr>
          <w:p w14:paraId="7126CB60"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Primera ampliación</w:t>
            </w:r>
          </w:p>
        </w:tc>
        <w:tc>
          <w:tcPr>
            <w:tcW w:w="0" w:type="auto"/>
            <w:hideMark/>
          </w:tcPr>
          <w:p w14:paraId="78552286"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¿Cómo promover la cooperación internacional?</w:t>
            </w:r>
          </w:p>
        </w:tc>
        <w:tc>
          <w:tcPr>
            <w:tcW w:w="0" w:type="auto"/>
            <w:hideMark/>
          </w:tcPr>
          <w:p w14:paraId="751A6A3C"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Movilidad académica y cooperación internacional</w:t>
            </w:r>
          </w:p>
        </w:tc>
        <w:tc>
          <w:tcPr>
            <w:tcW w:w="0" w:type="auto"/>
            <w:hideMark/>
          </w:tcPr>
          <w:p w14:paraId="116A6DDF"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Knight (primeros trabajos), De Wit</w:t>
            </w:r>
          </w:p>
        </w:tc>
      </w:tr>
      <w:tr w:rsidR="00833BBD" w:rsidRPr="00833BBD" w14:paraId="560225D9" w14:textId="77777777" w:rsidTr="0092582C">
        <w:tc>
          <w:tcPr>
            <w:cnfStyle w:val="001000000000" w:firstRow="0" w:lastRow="0" w:firstColumn="1" w:lastColumn="0" w:oddVBand="0" w:evenVBand="0" w:oddHBand="0" w:evenHBand="0" w:firstRowFirstColumn="0" w:firstRowLastColumn="0" w:lastRowFirstColumn="0" w:lastRowLastColumn="0"/>
            <w:tcW w:w="0" w:type="auto"/>
            <w:hideMark/>
          </w:tcPr>
          <w:p w14:paraId="6465D334"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Segunda ampliación</w:t>
            </w:r>
          </w:p>
        </w:tc>
        <w:tc>
          <w:tcPr>
            <w:tcW w:w="0" w:type="auto"/>
            <w:hideMark/>
          </w:tcPr>
          <w:p w14:paraId="3164546C"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¿Cómo incorporar la dimensión internacional al conjunto de la universidad?</w:t>
            </w:r>
          </w:p>
        </w:tc>
        <w:tc>
          <w:tcPr>
            <w:tcW w:w="0" w:type="auto"/>
            <w:hideMark/>
          </w:tcPr>
          <w:p w14:paraId="7107879A"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Internacionalización institucional e internacionalización integral</w:t>
            </w:r>
          </w:p>
        </w:tc>
        <w:tc>
          <w:tcPr>
            <w:tcW w:w="0" w:type="auto"/>
            <w:hideMark/>
          </w:tcPr>
          <w:p w14:paraId="48EA0D04"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Knight (2004), De Wit, Hudzik</w:t>
            </w:r>
          </w:p>
        </w:tc>
      </w:tr>
      <w:tr w:rsidR="00833BBD" w:rsidRPr="00833BBD" w14:paraId="698B5039" w14:textId="77777777" w:rsidTr="0092582C">
        <w:tc>
          <w:tcPr>
            <w:cnfStyle w:val="001000000000" w:firstRow="0" w:lastRow="0" w:firstColumn="1" w:lastColumn="0" w:oddVBand="0" w:evenVBand="0" w:oddHBand="0" w:evenHBand="0" w:firstRowFirstColumn="0" w:firstRowLastColumn="0" w:lastRowFirstColumn="0" w:lastRowLastColumn="0"/>
            <w:tcW w:w="0" w:type="auto"/>
            <w:hideMark/>
          </w:tcPr>
          <w:p w14:paraId="2B72D60B"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Tercera ampliación</w:t>
            </w:r>
          </w:p>
        </w:tc>
        <w:tc>
          <w:tcPr>
            <w:tcW w:w="0" w:type="auto"/>
            <w:hideMark/>
          </w:tcPr>
          <w:p w14:paraId="6F8A2029"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¿Cómo garantizar experiencias internacionales para todos los estudiantes?</w:t>
            </w:r>
          </w:p>
        </w:tc>
        <w:tc>
          <w:tcPr>
            <w:tcW w:w="0" w:type="auto"/>
            <w:hideMark/>
          </w:tcPr>
          <w:p w14:paraId="2100BFA1"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Internacionalización en casa e internacionalización del currículum</w:t>
            </w:r>
          </w:p>
        </w:tc>
        <w:tc>
          <w:tcPr>
            <w:tcW w:w="0" w:type="auto"/>
            <w:hideMark/>
          </w:tcPr>
          <w:p w14:paraId="34C44B58"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833BBD">
              <w:rPr>
                <w:rFonts w:ascii="Times New Roman" w:hAnsi="Times New Roman" w:cs="Times New Roman"/>
                <w:lang w:val="en-US"/>
              </w:rPr>
              <w:t xml:space="preserve">Nilsson, Leask, Beelen, Jones, </w:t>
            </w:r>
            <w:proofErr w:type="spellStart"/>
            <w:r w:rsidRPr="00833BBD">
              <w:rPr>
                <w:rFonts w:ascii="Times New Roman" w:hAnsi="Times New Roman" w:cs="Times New Roman"/>
                <w:lang w:val="en-US"/>
              </w:rPr>
              <w:t>Beneitone</w:t>
            </w:r>
            <w:proofErr w:type="spellEnd"/>
          </w:p>
        </w:tc>
      </w:tr>
      <w:tr w:rsidR="00833BBD" w:rsidRPr="00833BBD" w14:paraId="68044060" w14:textId="77777777" w:rsidTr="0092582C">
        <w:tc>
          <w:tcPr>
            <w:cnfStyle w:val="001000000000" w:firstRow="0" w:lastRow="0" w:firstColumn="1" w:lastColumn="0" w:oddVBand="0" w:evenVBand="0" w:oddHBand="0" w:evenHBand="0" w:firstRowFirstColumn="0" w:firstRowLastColumn="0" w:lastRowFirstColumn="0" w:lastRowLastColumn="0"/>
            <w:tcW w:w="0" w:type="auto"/>
            <w:hideMark/>
          </w:tcPr>
          <w:p w14:paraId="20919212"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Cuarta ampliación (propuesta de esta investigación)</w:t>
            </w:r>
          </w:p>
        </w:tc>
        <w:tc>
          <w:tcPr>
            <w:tcW w:w="0" w:type="auto"/>
            <w:hideMark/>
          </w:tcPr>
          <w:p w14:paraId="0B9D7D95"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¿Cómo se institucionaliza la internacionalización del currículum?</w:t>
            </w:r>
          </w:p>
        </w:tc>
        <w:tc>
          <w:tcPr>
            <w:tcW w:w="0" w:type="auto"/>
            <w:hideMark/>
          </w:tcPr>
          <w:p w14:paraId="33E763B8"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Procesos de institucionalización observados desde la gestión académica</w:t>
            </w:r>
          </w:p>
        </w:tc>
        <w:tc>
          <w:tcPr>
            <w:tcW w:w="0" w:type="auto"/>
            <w:hideMark/>
          </w:tcPr>
          <w:p w14:paraId="4EE95239"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Elaboración propia</w:t>
            </w:r>
          </w:p>
        </w:tc>
      </w:tr>
    </w:tbl>
    <w:p w14:paraId="0626A3C1"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Fuente: elaboración propia</w:t>
      </w:r>
    </w:p>
    <w:p w14:paraId="1364E6C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Nota: La figura sintetiza la evolución conceptual del campo y sitúa el aporte analítico de la presente investigación como una ampliación orientada al estudio de los procesos de institucionalización de la internacionalización del currículum</w:t>
      </w:r>
    </w:p>
    <w:p w14:paraId="20F61498" w14:textId="77777777" w:rsidR="00833BBD" w:rsidRPr="00833BBD" w:rsidRDefault="00833BBD" w:rsidP="00833BBD">
      <w:pPr>
        <w:spacing w:line="240" w:lineRule="auto"/>
        <w:jc w:val="both"/>
        <w:rPr>
          <w:rFonts w:ascii="Times New Roman" w:hAnsi="Times New Roman" w:cs="Times New Roman"/>
          <w:lang w:val="es-AR"/>
        </w:rPr>
      </w:pPr>
    </w:p>
    <w:p w14:paraId="1B80DCD1"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2.3. Movilidad virtual e internacionalización en casa: nuevas modalidades para la internacionalización de la formación</w:t>
      </w:r>
    </w:p>
    <w:p w14:paraId="39A4105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consolidación de la internacionalización del currículum coincidió con el desarrollo de nuevas modalidades de cooperación académica mediadas por tecnologías digitales, que ampliaron significativamente las posibilidades de incorporar experiencias internacionales a los procesos de formación. En este contexto, la movilidad virtual comenzó a consolidarse como una alternativa —y, progresivamente, como un complemento— a la movilidad física tradicional, permitiendo la participación de estudiantes y docentes en actividades académicas internacionales sin necesidad de desplazarse hacia otra institución o país.</w:t>
      </w:r>
    </w:p>
    <w:p w14:paraId="6613F8AD" w14:textId="0912100A"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Si bien las primeras experiencias de cooperación académica virtual se desarrollaron con anterioridad a la pandemia de COVID-19, fue a partir de 2020 cuando estas iniciativas adquirieron una expansión sin precedentes</w:t>
      </w:r>
      <w:r w:rsidR="0092582C">
        <w:rPr>
          <w:rFonts w:ascii="Times New Roman" w:hAnsi="Times New Roman" w:cs="Times New Roman"/>
          <w:lang w:val="es-AR"/>
        </w:rPr>
        <w:t xml:space="preserve"> (Astur et al, 2020; Perrotta, 2021)</w:t>
      </w:r>
      <w:r w:rsidRPr="00833BBD">
        <w:rPr>
          <w:rFonts w:ascii="Times New Roman" w:hAnsi="Times New Roman" w:cs="Times New Roman"/>
          <w:lang w:val="es-AR"/>
        </w:rPr>
        <w:t>. Las restricciones a la movilidad internacional obligaron a las instituciones de educación superior a desarrollar rápidamente nuevas formas de colaboración académica a distancia, acelerando procesos de innovación que ya se encontraban en marcha. En pocos meses, la virtualidad dejó de constituir una estrategia complementaria para convertirse en una condición necesaria para sostener la cooperación internacional entre universidades.</w:t>
      </w:r>
    </w:p>
    <w:p w14:paraId="2737F69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Este escenario favoreció la difusión de diversas modalidades de internacionalización virtual, entre ellas los programas de intercambio académico en línea, los cursos compartidos entre universidades, las experiencias de aprendizaje colaborativo internacional y las iniciativas de </w:t>
      </w:r>
      <w:proofErr w:type="spellStart"/>
      <w:r w:rsidRPr="00833BBD">
        <w:rPr>
          <w:rFonts w:ascii="Times New Roman" w:hAnsi="Times New Roman" w:cs="Times New Roman"/>
          <w:i/>
          <w:iCs/>
          <w:lang w:val="es-AR"/>
        </w:rPr>
        <w:t>Collaborative</w:t>
      </w:r>
      <w:proofErr w:type="spellEnd"/>
      <w:r w:rsidRPr="00833BBD">
        <w:rPr>
          <w:rFonts w:ascii="Times New Roman" w:hAnsi="Times New Roman" w:cs="Times New Roman"/>
          <w:i/>
          <w:iCs/>
          <w:lang w:val="es-AR"/>
        </w:rPr>
        <w:t xml:space="preserve"> Online International </w:t>
      </w:r>
      <w:proofErr w:type="spellStart"/>
      <w:r w:rsidRPr="00833BBD">
        <w:rPr>
          <w:rFonts w:ascii="Times New Roman" w:hAnsi="Times New Roman" w:cs="Times New Roman"/>
          <w:i/>
          <w:iCs/>
          <w:lang w:val="es-AR"/>
        </w:rPr>
        <w:t>Learning</w:t>
      </w:r>
      <w:proofErr w:type="spellEnd"/>
      <w:r w:rsidRPr="00833BBD">
        <w:rPr>
          <w:rFonts w:ascii="Times New Roman" w:hAnsi="Times New Roman" w:cs="Times New Roman"/>
          <w:lang w:val="es-AR"/>
        </w:rPr>
        <w:t xml:space="preserve"> (COIL). Aunque estas propuestas presentan diferencias en sus objetivos, alcances y modalidades de implementación, comparten una característica central: permiten integrar experiencias internacionales a las trayectorias formativas sin que la movilidad física constituya una condición necesaria para la participación.</w:t>
      </w:r>
    </w:p>
    <w:p w14:paraId="28FBCE5B" w14:textId="61407525"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este sentido, la movilidad virtual no debe entenderse simplemente como una modalidad tecnológica de intercambio académico. Diversos organismos internacionales</w:t>
      </w:r>
      <w:r w:rsidR="0092582C">
        <w:rPr>
          <w:rFonts w:ascii="Times New Roman" w:hAnsi="Times New Roman" w:cs="Times New Roman"/>
          <w:lang w:val="es-AR"/>
        </w:rPr>
        <w:t xml:space="preserve"> y redes regionales</w:t>
      </w:r>
      <w:r w:rsidRPr="00833BBD">
        <w:rPr>
          <w:rFonts w:ascii="Times New Roman" w:hAnsi="Times New Roman" w:cs="Times New Roman"/>
          <w:lang w:val="es-AR"/>
        </w:rPr>
        <w:t xml:space="preserve">, </w:t>
      </w:r>
      <w:r w:rsidR="004760A5">
        <w:rPr>
          <w:rFonts w:ascii="Times New Roman" w:hAnsi="Times New Roman" w:cs="Times New Roman"/>
          <w:lang w:val="es-AR"/>
        </w:rPr>
        <w:t>como</w:t>
      </w:r>
      <w:r w:rsidRPr="00833BBD">
        <w:rPr>
          <w:rFonts w:ascii="Times New Roman" w:hAnsi="Times New Roman" w:cs="Times New Roman"/>
          <w:lang w:val="es-AR"/>
        </w:rPr>
        <w:t xml:space="preserve"> </w:t>
      </w:r>
      <w:r w:rsidR="0092582C">
        <w:rPr>
          <w:rFonts w:ascii="Times New Roman" w:hAnsi="Times New Roman" w:cs="Times New Roman"/>
          <w:lang w:val="es-AR"/>
        </w:rPr>
        <w:t>el IESALC de la UNESCO</w:t>
      </w:r>
      <w:r w:rsidR="004760A5">
        <w:rPr>
          <w:rFonts w:ascii="Times New Roman" w:hAnsi="Times New Roman" w:cs="Times New Roman"/>
          <w:lang w:val="es-AR"/>
        </w:rPr>
        <w:t xml:space="preserve"> y la</w:t>
      </w:r>
      <w:r w:rsidR="0092582C">
        <w:rPr>
          <w:rFonts w:ascii="Times New Roman" w:hAnsi="Times New Roman" w:cs="Times New Roman"/>
          <w:lang w:val="es-AR"/>
        </w:rPr>
        <w:t xml:space="preserve"> UDUALC</w:t>
      </w:r>
      <w:r w:rsidRPr="00833BBD">
        <w:rPr>
          <w:rFonts w:ascii="Times New Roman" w:hAnsi="Times New Roman" w:cs="Times New Roman"/>
          <w:lang w:val="es-AR"/>
        </w:rPr>
        <w:t>, han destacado que estas experiencias representan una oportunidad para ampliar el acceso a la internacionalización y reducir algunas de las barreras económicas, geográficas y sociales que históricamente limitaron la participación estudiantil en programas de movilidad presencial. Desde esta perspectiva, la virtualidad no reemplaza la movilidad tradicional, sino que amplía el repertorio de estrategias disponibles para internacionalizar la formación universitaria.</w:t>
      </w:r>
    </w:p>
    <w:p w14:paraId="5F28482E"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Esta ampliación resulta particularmente significativa cuando se analiza desde la perspectiva de la internacionalización del currículum. Mientras la movilidad física suele constituir una experiencia extraordinaria desarrollada fuera del plan de estudios habitual, las modalidades virtuales ofrecen mayores posibilidades de integrarse a las trayectorias académicas mediante asignaturas compartidas, proyectos colaborativos, seminarios internacionales o actividades curriculares desarrolladas conjuntamente entre instituciones. En consecuencia, la movilidad virtual aparece como una herramienta especialmente adecuada para avanzar hacia formas de internacionalización más inclusivas y sistemáticas.</w:t>
      </w:r>
    </w:p>
    <w:p w14:paraId="276605B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No obstante, la expansión de estas modalidades también plantea nuevos desafíos. La participación en experiencias académicas internacionales desarrolladas en entornos virtuales requiere que las universidades definan mecanismos para reconocer los aprendizajes realizados, establecer equivalencias entre asignaturas, compatibilizar calendarios académicos, acordar sistemas de evaluación y garantizar la validez institucional de las trayectorias formativas desarrolladas en cooperación con otras instituciones. En otras palabras, la virtualización de la cooperación internacional no elimina las exigencias de articulación institucional; por el contrario, las vuelve más visibles y, en muchos casos, más complejas.</w:t>
      </w:r>
    </w:p>
    <w:p w14:paraId="0FF64B1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América Latina, estos procesos adquirieron características particulares a partir del fortalecimiento de las redes regionales de cooperación universitaria. La creación del Programa de Intercambio Académico Latinoamericano (PILA) en su modalidad virtual durante la pandemia constituye un ejemplo significativo de esta tendencia. Impulsado conjuntamente por redes universitarias de Argentina, Colombia y México, el programa permitió ampliar las oportunidades de intercambio académico mediante la participación de estudiantes en asignaturas virtuales ofrecidas por universidades de distintos países de la región. Más allá de la continuidad de las actividades académicas durante la emergencia sanitaria, el desarrollo del PILA Virtual representó una innovación institucional que puso en evidencia nuevas posibilidades para la cooperación regional y la internacionalización de la formación.</w:t>
      </w:r>
    </w:p>
    <w:p w14:paraId="76ABBD18"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Desde la perspectiva de la presente investigación, el interés del PILA Virtual no radica únicamente en su capacidad para ampliar el acceso a experiencias internacionales. Su relevancia reside, sobre todo, en que constituye un escenario privilegiado para observar los procesos mediante los cuales la internacionalización del currículum comienza a institucionalizarse. La incorporación de asignaturas desarrolladas en otras universidades, el reconocimiento de créditos académicos, la validación institucional de trayectorias formativas, la coordinación entre áreas académicas y oficinas de relaciones internacionales y la adecuación de normativas y procedimientos hacen visibles las capacidades organizacionales que las universidades deben desarrollar para sostener estas iniciativas.</w:t>
      </w:r>
    </w:p>
    <w:p w14:paraId="358238B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este sentido, la movilidad virtual puede interpretarse como un punto de encuentro entre las transformaciones pedagógicas promovidas por la internacionalización del currículum y las transformaciones institucionales requeridas para hacerlas sostenibles. La virtualidad no constituye únicamente un cambio en el soporte tecnológico de la cooperación </w:t>
      </w:r>
      <w:r w:rsidRPr="00833BBD">
        <w:rPr>
          <w:rFonts w:ascii="Times New Roman" w:hAnsi="Times New Roman" w:cs="Times New Roman"/>
          <w:lang w:val="es-AR"/>
        </w:rPr>
        <w:lastRenderedPageBreak/>
        <w:t>académica; supone también una reconfiguración de las formas mediante las cuales las universidades organizan, reconocen e integran experiencias internacionales dentro de las trayectorias formativas. Precisamente por ello, estas iniciativas ofrecen una oportunidad privilegiada para analizar cómo la internacionalización deja de expresarse exclusivamente en programas de movilidad para comenzar a incorporarse de manera estable en las prácticas de gestión académica</w:t>
      </w:r>
    </w:p>
    <w:p w14:paraId="5FC63C50"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2.4. La institucionalización de la internacionalización del currículum: una propuesta analítica desde la gestión académica</w:t>
      </w:r>
    </w:p>
    <w:p w14:paraId="5304AA9E"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El recorrido desarrollado en los apartados anteriores permite advertir una ampliación progresiva del campo de estudios sobre internacionalización de la educación superior. Desde enfoques centrados en la movilidad internacional, la literatura avanzó hacia perspectivas que incorporan la dimensión internacional de manera transversal en las funciones universitarias y, posteriormente, hacia propuestas que sitúan el currículum como un espacio privilegiado para democratizar el acceso a experiencias internacionales. Sin embargo, esta evolución conceptual también permite identificar un aspecto que permanece relativamente poco explorado: </w:t>
      </w:r>
      <w:r w:rsidRPr="004760A5">
        <w:rPr>
          <w:rFonts w:ascii="Times New Roman" w:hAnsi="Times New Roman" w:cs="Times New Roman"/>
          <w:lang w:val="es-AR"/>
        </w:rPr>
        <w:t>las condiciones institucionales que hacen posible que estas iniciativas dejen de constituir experiencias aisladas y pasen a integrarse de manera estable en la vida académica de las universidades.</w:t>
      </w:r>
    </w:p>
    <w:p w14:paraId="75125C44"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términos generales, las investigaciones sobre internacionalización del currículum se han concentrado en analizar qué dimensiones internacionales e interculturales deberían incorporarse a la formación, cómo rediseñar los programas de estudio, qué competencias desarrollar en los estudiantes y cuáles son las estrategias pedagógicas más adecuadas para promover aprendizajes en contextos internacionales. Del mismo modo, los estudios sobre movilidad virtual han privilegiado el análisis de las experiencias de estudiantes y docentes, los beneficios asociados al aprendizaje colaborativo y las oportunidades que ofrecen las tecnologías digitales para ampliar el acceso a la internacionalización.</w:t>
      </w:r>
    </w:p>
    <w:p w14:paraId="5C6A99F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Estas contribuciones han resultado fundamentales para consolidar el campo. No obstante, también evidencian que la mayor parte de la producción académica continúa observando la internacionalización principalmente desde la perspectiva de los procesos formativos. Comparativamente, menor atención han recibido los procesos mediante los cuales estas iniciativas se incorporan, regulan y estabilizan dentro de las organizaciones universitarias. Dicho de otro modo, conocemos con bastante detalle qué significa internacionalizar el currículum y cuáles son sus potencialidades para la formación, pero sabemos mucho menos acerca de cómo las universidades logran institucionalizar estas estrategias y convertirlas en parte de su funcionamiento cotidiano.</w:t>
      </w:r>
    </w:p>
    <w:p w14:paraId="00A22700"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Esta constatación conduce a desplazar la unidad de análisis de la investigación. Más que estudiar la internacionalización del currículum exclusivamente como una innovación pedagógica, </w:t>
      </w:r>
      <w:r w:rsidRPr="004760A5">
        <w:rPr>
          <w:rFonts w:ascii="Times New Roman" w:hAnsi="Times New Roman" w:cs="Times New Roman"/>
          <w:lang w:val="es-AR"/>
        </w:rPr>
        <w:t>la presente investigación propone analizar los procesos de institucionalización mediante los cuales dicha estrategia se incorpora al funcionamiento ordinario de las</w:t>
      </w:r>
      <w:r w:rsidRPr="00833BBD">
        <w:rPr>
          <w:rFonts w:ascii="Times New Roman" w:hAnsi="Times New Roman" w:cs="Times New Roman"/>
          <w:lang w:val="es-AR"/>
        </w:rPr>
        <w:t xml:space="preserve"> universidades. Desde esta perspectiva, la internacionalización del currículum deja de ser entendida únicamente como una propuesta de transformación </w:t>
      </w:r>
      <w:r w:rsidRPr="00833BBD">
        <w:rPr>
          <w:rFonts w:ascii="Times New Roman" w:hAnsi="Times New Roman" w:cs="Times New Roman"/>
          <w:lang w:val="es-AR"/>
        </w:rPr>
        <w:lastRenderedPageBreak/>
        <w:t>educativa para concebirse como un proceso institucional que requiere la construcción de mecanismos estables de regulación, coordinación y reconocimiento académico.</w:t>
      </w:r>
    </w:p>
    <w:p w14:paraId="67BEE54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Hablar de institucionalización implica reconocer que una innovación solo adquiere estabilidad cuando deja de depender de iniciativas individuales y comienza a formar parte de las normas, procedimientos, estructuras y prácticas habituales de una organización. En el caso de la internacionalización del currículum, este proceso supone que las experiencias internacionales trasciendan proyectos impulsados por docentes o por oficinas de relaciones internacionales para integrarse de manera sistemática a los mecanismos que organizan las trayectorias académicas, el reconocimiento de estudios, la planificación curricular y la gestión cotidiana de las universidades.</w:t>
      </w:r>
    </w:p>
    <w:p w14:paraId="216F543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este marco, la </w:t>
      </w:r>
      <w:r w:rsidRPr="004760A5">
        <w:rPr>
          <w:rFonts w:ascii="Times New Roman" w:hAnsi="Times New Roman" w:cs="Times New Roman"/>
          <w:lang w:val="es-AR"/>
        </w:rPr>
        <w:t>gestión académica</w:t>
      </w:r>
      <w:r w:rsidRPr="00833BBD">
        <w:rPr>
          <w:rFonts w:ascii="Times New Roman" w:hAnsi="Times New Roman" w:cs="Times New Roman"/>
          <w:lang w:val="es-AR"/>
        </w:rPr>
        <w:t xml:space="preserve"> constituye la perspectiva desde la cual estos procesos de institucionalización pueden hacerse observables. No se trata de considerar la gestión como un ámbito meramente administrativo, sino como el espacio donde la internacionalización se traduce en decisiones institucionales concretas: reglamentos, procedimientos, mecanismos de reconocimiento académico, formas de coordinación entre áreas, dispositivos curriculares y modalidades de articulación entre actores universitarios. Observar la gestión académica permite, así, reconstruir cómo la internacionalización del currículum deja de ser una iniciativa puntual para convertirse en una práctica institucionalizada.</w:t>
      </w:r>
    </w:p>
    <w:p w14:paraId="46FEFC2D"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Con el propósito de orientar el trabajo empírico, esta investigación propone analizar estos procesos a partir de </w:t>
      </w:r>
      <w:r w:rsidRPr="004760A5">
        <w:rPr>
          <w:rFonts w:ascii="Times New Roman" w:hAnsi="Times New Roman" w:cs="Times New Roman"/>
          <w:lang w:val="es-AR"/>
        </w:rPr>
        <w:t>cuatro capacidades institucionales</w:t>
      </w:r>
      <w:r w:rsidRPr="00833BBD">
        <w:rPr>
          <w:rFonts w:ascii="Times New Roman" w:hAnsi="Times New Roman" w:cs="Times New Roman"/>
          <w:lang w:val="es-AR"/>
        </w:rPr>
        <w:t xml:space="preserve"> que hacen posible la institucionalización de la internacionalización del currículum. Estas capacidades no se presentan como categorías cerradas ni como un modelo acabado, sino como una herramienta analítica de carácter exploratorio que permitirá organizar el trabajo de campo y podrá ser revisada a partir de la evidencia empírica.</w:t>
      </w:r>
    </w:p>
    <w:p w14:paraId="3F1D32A6"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primera es la </w:t>
      </w:r>
      <w:r w:rsidRPr="004760A5">
        <w:rPr>
          <w:rFonts w:ascii="Times New Roman" w:hAnsi="Times New Roman" w:cs="Times New Roman"/>
          <w:lang w:val="es-AR"/>
        </w:rPr>
        <w:t>capacidad normativa</w:t>
      </w:r>
      <w:r w:rsidRPr="00833BBD">
        <w:rPr>
          <w:rFonts w:ascii="Times New Roman" w:hAnsi="Times New Roman" w:cs="Times New Roman"/>
          <w:lang w:val="es-AR"/>
        </w:rPr>
        <w:t>, entendida como la posibilidad de generar marcos regulatorios que otorguen legitimidad y estabilidad a las iniciativas de internacionalización. Esta capacidad comprende resoluciones, reglamentos, protocolos, convenios y demás instrumentos que formalizan la incorporación de experiencias internacionales a las trayectorias académicas.</w:t>
      </w:r>
    </w:p>
    <w:p w14:paraId="5E2CDE26"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segunda es </w:t>
      </w:r>
      <w:r w:rsidRPr="004760A5">
        <w:rPr>
          <w:rFonts w:ascii="Times New Roman" w:hAnsi="Times New Roman" w:cs="Times New Roman"/>
          <w:lang w:val="es-AR"/>
        </w:rPr>
        <w:t>la capacidad organizacional</w:t>
      </w:r>
      <w:r w:rsidRPr="00833BBD">
        <w:rPr>
          <w:rFonts w:ascii="Times New Roman" w:hAnsi="Times New Roman" w:cs="Times New Roman"/>
          <w:lang w:val="es-AR"/>
        </w:rPr>
        <w:t>, referida a la coordinación entre las distintas áreas universitarias involucradas en estos procesos. La institucionalización de la internacionalización del currículum requiere construir formas de trabajo articuladas entre oficinas de relaciones internacionales, secretarías académicas, unidades académicas, equipos docentes y áreas administrativas, superando la tradicional fragmentación de responsabilidades.</w:t>
      </w:r>
    </w:p>
    <w:p w14:paraId="7A533B7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tercera corresponde a la </w:t>
      </w:r>
      <w:r w:rsidRPr="004760A5">
        <w:rPr>
          <w:rFonts w:ascii="Times New Roman" w:hAnsi="Times New Roman" w:cs="Times New Roman"/>
          <w:lang w:val="es-AR"/>
        </w:rPr>
        <w:t>capacidad académico-curricular</w:t>
      </w:r>
      <w:r w:rsidRPr="00833BBD">
        <w:rPr>
          <w:rFonts w:ascii="Times New Roman" w:hAnsi="Times New Roman" w:cs="Times New Roman"/>
          <w:lang w:val="es-AR"/>
        </w:rPr>
        <w:t>, vinculada con la incorporación efectiva de la dimensión internacional en los procesos formativos. Incluye los mecanismos de reconocimiento académico, asignación de créditos, equivalencias, validación de trayectorias y demás procedimientos que permiten integrar experiencias internacionales al recorrido curricular de los estudiantes.</w:t>
      </w:r>
    </w:p>
    <w:p w14:paraId="661CE7A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 xml:space="preserve">Finalmente, se propone considerar una </w:t>
      </w:r>
      <w:r w:rsidRPr="004760A5">
        <w:rPr>
          <w:rFonts w:ascii="Times New Roman" w:hAnsi="Times New Roman" w:cs="Times New Roman"/>
          <w:lang w:val="es-AR"/>
        </w:rPr>
        <w:t>capacidad de articulación institucional</w:t>
      </w:r>
      <w:r w:rsidRPr="00833BBD">
        <w:rPr>
          <w:rFonts w:ascii="Times New Roman" w:hAnsi="Times New Roman" w:cs="Times New Roman"/>
          <w:lang w:val="es-AR"/>
        </w:rPr>
        <w:t>, entendida como la posibilidad de sostener vínculos de cooperación entre actores e instituciones para hacer viable la implementación de estas iniciativas. Esta capacidad comprende tanto la articulación entre diferentes dependencias de una misma universidad como la coordinación con otras instituciones de educación superior, redes universitarias y programas de cooperación académica.</w:t>
      </w:r>
    </w:p>
    <w:p w14:paraId="7DF0882C"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Estas cuatro capacidades no constituyen dimensiones independientes, sino componentes interrelacionados de un mismo proceso de institucionalización. Su desarrollo desigual puede favorecer o limitar la incorporación efectiva de la internacionalización del currículum a las prácticas universitarias, razón por la cual su análisis permitirá comprender no solo si estas iniciativas existen, sino también qué condiciones institucionales hacen posible su sostenibilidad en el tiempo.</w:t>
      </w:r>
    </w:p>
    <w:p w14:paraId="0FA5064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Desde esta perspectiva, el Programa de Intercambio Académico Latinoamericano (PILA) en su modalidad virtual constituye un escenario particularmente fértil para observar estos procesos. Más allá de ampliar las oportunidades de movilidad académica, el programa exige que las universidades desarrollen mecanismos de reconocimiento académico, articulación normativa, coordinación organizacional e integración curricular. En consecuencia, el interés de la investigación no radica exclusivamente en analizar una experiencia de movilidad virtual, sino en comprender cómo dicha experiencia permite observar los procesos de institucionalización de la internacionalización del currículum a través de las capacidades institucionales que las universidades ponen en juego para hacerla posible</w:t>
      </w:r>
    </w:p>
    <w:p w14:paraId="48EDD8A2"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Figura 2. Modelo analítico para el estudio de la institucionalización de la internacionalización del currículum</w:t>
      </w:r>
    </w:p>
    <w:tbl>
      <w:tblPr>
        <w:tblStyle w:val="Tablaconcuadrcula1clara-nfasis1"/>
        <w:tblW w:w="0" w:type="auto"/>
        <w:tblLook w:val="04A0" w:firstRow="1" w:lastRow="0" w:firstColumn="1" w:lastColumn="0" w:noHBand="0" w:noVBand="1"/>
      </w:tblPr>
      <w:tblGrid>
        <w:gridCol w:w="1558"/>
        <w:gridCol w:w="1985"/>
        <w:gridCol w:w="1789"/>
        <w:gridCol w:w="1587"/>
        <w:gridCol w:w="1575"/>
      </w:tblGrid>
      <w:tr w:rsidR="00833BBD" w:rsidRPr="00833BBD" w14:paraId="157DC5E8" w14:textId="77777777" w:rsidTr="00476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9CA3B4"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Capacidad institucional</w:t>
            </w:r>
          </w:p>
        </w:tc>
        <w:tc>
          <w:tcPr>
            <w:tcW w:w="0" w:type="auto"/>
            <w:hideMark/>
          </w:tcPr>
          <w:p w14:paraId="7F411CF5"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Expresión de la institucionalización</w:t>
            </w:r>
          </w:p>
        </w:tc>
        <w:tc>
          <w:tcPr>
            <w:tcW w:w="0" w:type="auto"/>
            <w:hideMark/>
          </w:tcPr>
          <w:p w14:paraId="0000EAC7"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Aspectos a observar</w:t>
            </w:r>
          </w:p>
        </w:tc>
        <w:tc>
          <w:tcPr>
            <w:tcW w:w="0" w:type="auto"/>
            <w:hideMark/>
          </w:tcPr>
          <w:p w14:paraId="3E3B8CDD"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Fuentes y evidencia</w:t>
            </w:r>
          </w:p>
        </w:tc>
        <w:tc>
          <w:tcPr>
            <w:tcW w:w="0" w:type="auto"/>
            <w:hideMark/>
          </w:tcPr>
          <w:p w14:paraId="0D97D973" w14:textId="77777777" w:rsidR="00833BBD" w:rsidRPr="00833BBD" w:rsidRDefault="00833BBD" w:rsidP="00833BB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Actores relevantes</w:t>
            </w:r>
          </w:p>
        </w:tc>
      </w:tr>
      <w:tr w:rsidR="00833BBD" w:rsidRPr="00833BBD" w14:paraId="4A1D85FE" w14:textId="77777777" w:rsidTr="004760A5">
        <w:tc>
          <w:tcPr>
            <w:cnfStyle w:val="001000000000" w:firstRow="0" w:lastRow="0" w:firstColumn="1" w:lastColumn="0" w:oddVBand="0" w:evenVBand="0" w:oddHBand="0" w:evenHBand="0" w:firstRowFirstColumn="0" w:firstRowLastColumn="0" w:lastRowFirstColumn="0" w:lastRowLastColumn="0"/>
            <w:tcW w:w="0" w:type="auto"/>
            <w:hideMark/>
          </w:tcPr>
          <w:p w14:paraId="151E0071"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Capacidad normativa</w:t>
            </w:r>
          </w:p>
        </w:tc>
        <w:tc>
          <w:tcPr>
            <w:tcW w:w="0" w:type="auto"/>
            <w:hideMark/>
          </w:tcPr>
          <w:p w14:paraId="3B03BA81"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Formalización institucional</w:t>
            </w:r>
          </w:p>
        </w:tc>
        <w:tc>
          <w:tcPr>
            <w:tcW w:w="0" w:type="auto"/>
            <w:hideMark/>
          </w:tcPr>
          <w:p w14:paraId="1916BD55"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Reglamentos, resoluciones, protocolos, criterios de reconocimiento académico y marcos regulatorios</w:t>
            </w:r>
          </w:p>
        </w:tc>
        <w:tc>
          <w:tcPr>
            <w:tcW w:w="0" w:type="auto"/>
            <w:hideMark/>
          </w:tcPr>
          <w:p w14:paraId="186A30E3"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Reglamentos, resoluciones, convenios, protocolos institucionales</w:t>
            </w:r>
          </w:p>
        </w:tc>
        <w:tc>
          <w:tcPr>
            <w:tcW w:w="0" w:type="auto"/>
            <w:hideMark/>
          </w:tcPr>
          <w:p w14:paraId="3CE2211F"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Autoridades, Secretarías Académicas, Asesorías Jurídicas</w:t>
            </w:r>
          </w:p>
        </w:tc>
      </w:tr>
      <w:tr w:rsidR="00833BBD" w:rsidRPr="00833BBD" w14:paraId="05BE5B2D" w14:textId="77777777" w:rsidTr="004760A5">
        <w:tc>
          <w:tcPr>
            <w:cnfStyle w:val="001000000000" w:firstRow="0" w:lastRow="0" w:firstColumn="1" w:lastColumn="0" w:oddVBand="0" w:evenVBand="0" w:oddHBand="0" w:evenHBand="0" w:firstRowFirstColumn="0" w:firstRowLastColumn="0" w:lastRowFirstColumn="0" w:lastRowLastColumn="0"/>
            <w:tcW w:w="0" w:type="auto"/>
            <w:hideMark/>
          </w:tcPr>
          <w:p w14:paraId="69AA320B"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Capacidad organizacional</w:t>
            </w:r>
          </w:p>
        </w:tc>
        <w:tc>
          <w:tcPr>
            <w:tcW w:w="0" w:type="auto"/>
            <w:hideMark/>
          </w:tcPr>
          <w:p w14:paraId="414EC8DB"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Coordinación entre estructuras institucionales</w:t>
            </w:r>
          </w:p>
        </w:tc>
        <w:tc>
          <w:tcPr>
            <w:tcW w:w="0" w:type="auto"/>
            <w:hideMark/>
          </w:tcPr>
          <w:p w14:paraId="067C52E1"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 xml:space="preserve">Distribución de responsabilidades, mecanismos de coordinación, circuitos administrativos </w:t>
            </w:r>
            <w:r w:rsidRPr="00833BBD">
              <w:rPr>
                <w:rFonts w:ascii="Times New Roman" w:hAnsi="Times New Roman" w:cs="Times New Roman"/>
                <w:lang w:val="es-AR"/>
              </w:rPr>
              <w:lastRenderedPageBreak/>
              <w:t>y toma de decisiones</w:t>
            </w:r>
          </w:p>
        </w:tc>
        <w:tc>
          <w:tcPr>
            <w:tcW w:w="0" w:type="auto"/>
            <w:hideMark/>
          </w:tcPr>
          <w:p w14:paraId="6A8422A1"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lastRenderedPageBreak/>
              <w:t>Organigramas, procedimientos, documentos institucionales</w:t>
            </w:r>
          </w:p>
        </w:tc>
        <w:tc>
          <w:tcPr>
            <w:tcW w:w="0" w:type="auto"/>
            <w:hideMark/>
          </w:tcPr>
          <w:p w14:paraId="6A3170B9"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Oficinas de Relaciones Internacionales, Secretarías Académicas, autoridades de unidades académicas</w:t>
            </w:r>
          </w:p>
        </w:tc>
      </w:tr>
      <w:tr w:rsidR="00833BBD" w:rsidRPr="00833BBD" w14:paraId="0A83565C" w14:textId="77777777" w:rsidTr="004760A5">
        <w:tc>
          <w:tcPr>
            <w:cnfStyle w:val="001000000000" w:firstRow="0" w:lastRow="0" w:firstColumn="1" w:lastColumn="0" w:oddVBand="0" w:evenVBand="0" w:oddHBand="0" w:evenHBand="0" w:firstRowFirstColumn="0" w:firstRowLastColumn="0" w:lastRowFirstColumn="0" w:lastRowLastColumn="0"/>
            <w:tcW w:w="0" w:type="auto"/>
            <w:hideMark/>
          </w:tcPr>
          <w:p w14:paraId="72BC8B63"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lastRenderedPageBreak/>
              <w:t>Capacidad académico-curricular</w:t>
            </w:r>
          </w:p>
        </w:tc>
        <w:tc>
          <w:tcPr>
            <w:tcW w:w="0" w:type="auto"/>
            <w:hideMark/>
          </w:tcPr>
          <w:p w14:paraId="463C3E17"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Integración de la dimensión internacional en las trayectorias formativas</w:t>
            </w:r>
          </w:p>
        </w:tc>
        <w:tc>
          <w:tcPr>
            <w:tcW w:w="0" w:type="auto"/>
            <w:hideMark/>
          </w:tcPr>
          <w:p w14:paraId="1026CC34"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Reconocimiento académico, créditos, equivalencias, incorporación de asignaturas y validación curricular</w:t>
            </w:r>
          </w:p>
        </w:tc>
        <w:tc>
          <w:tcPr>
            <w:tcW w:w="0" w:type="auto"/>
            <w:hideMark/>
          </w:tcPr>
          <w:p w14:paraId="3B74A42F"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Planes de estudio, programas de asignaturas, resoluciones académicas</w:t>
            </w:r>
          </w:p>
        </w:tc>
        <w:tc>
          <w:tcPr>
            <w:tcW w:w="0" w:type="auto"/>
            <w:hideMark/>
          </w:tcPr>
          <w:p w14:paraId="04CB68E2"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Docentes, coordinadores de carrera, comisiones curriculares</w:t>
            </w:r>
          </w:p>
        </w:tc>
      </w:tr>
      <w:tr w:rsidR="00833BBD" w:rsidRPr="00833BBD" w14:paraId="3F6F6177" w14:textId="77777777" w:rsidTr="004760A5">
        <w:tc>
          <w:tcPr>
            <w:cnfStyle w:val="001000000000" w:firstRow="0" w:lastRow="0" w:firstColumn="1" w:lastColumn="0" w:oddVBand="0" w:evenVBand="0" w:oddHBand="0" w:evenHBand="0" w:firstRowFirstColumn="0" w:firstRowLastColumn="0" w:lastRowFirstColumn="0" w:lastRowLastColumn="0"/>
            <w:tcW w:w="0" w:type="auto"/>
            <w:hideMark/>
          </w:tcPr>
          <w:p w14:paraId="6B94B9FF" w14:textId="77777777" w:rsidR="00833BBD" w:rsidRPr="00833BBD" w:rsidRDefault="00833BBD" w:rsidP="00833BBD">
            <w:pPr>
              <w:jc w:val="both"/>
              <w:rPr>
                <w:rFonts w:ascii="Times New Roman" w:hAnsi="Times New Roman" w:cs="Times New Roman"/>
                <w:lang w:val="es-AR"/>
              </w:rPr>
            </w:pPr>
            <w:r w:rsidRPr="00833BBD">
              <w:rPr>
                <w:rFonts w:ascii="Times New Roman" w:hAnsi="Times New Roman" w:cs="Times New Roman"/>
                <w:lang w:val="es-AR"/>
              </w:rPr>
              <w:t>Capacidad de articulación institucional</w:t>
            </w:r>
          </w:p>
        </w:tc>
        <w:tc>
          <w:tcPr>
            <w:tcW w:w="0" w:type="auto"/>
            <w:hideMark/>
          </w:tcPr>
          <w:p w14:paraId="43B05CC7"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Cooperación para la implementación de iniciativas de internacionalización</w:t>
            </w:r>
          </w:p>
        </w:tc>
        <w:tc>
          <w:tcPr>
            <w:tcW w:w="0" w:type="auto"/>
            <w:hideMark/>
          </w:tcPr>
          <w:p w14:paraId="5FE422EC"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Articulación entre áreas, universidades y redes académicas; mecanismos de cooperación interinstitucional</w:t>
            </w:r>
          </w:p>
        </w:tc>
        <w:tc>
          <w:tcPr>
            <w:tcW w:w="0" w:type="auto"/>
            <w:hideMark/>
          </w:tcPr>
          <w:p w14:paraId="4E1C8F66"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Convenios, acuerdos, actas de trabajo, documentación de programas y redes</w:t>
            </w:r>
          </w:p>
        </w:tc>
        <w:tc>
          <w:tcPr>
            <w:tcW w:w="0" w:type="auto"/>
            <w:hideMark/>
          </w:tcPr>
          <w:p w14:paraId="38B629D3" w14:textId="77777777" w:rsidR="00833BBD" w:rsidRPr="00833BBD" w:rsidRDefault="00833BBD" w:rsidP="00833B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833BBD">
              <w:rPr>
                <w:rFonts w:ascii="Times New Roman" w:hAnsi="Times New Roman" w:cs="Times New Roman"/>
                <w:lang w:val="es-AR"/>
              </w:rPr>
              <w:t>Oficinas de Relaciones Internacionales, responsables institucionales, redes universitarias, coordinadores de programas</w:t>
            </w:r>
          </w:p>
        </w:tc>
      </w:tr>
    </w:tbl>
    <w:p w14:paraId="2EFAD598"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Fuente: elaboración propia</w:t>
      </w:r>
    </w:p>
    <w:p w14:paraId="67E0E70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Nota: La figura presenta la propuesta analítica que orienta la investigación. Las capacidades institucionales constituyen categorías de análisis elaboradas para organizar el trabajo de campo y comprender los procesos de institucionalización de la internacionalización del currículum en universidades argentinas</w:t>
      </w:r>
    </w:p>
    <w:p w14:paraId="3A0B19CF" w14:textId="77777777" w:rsidR="00833BBD" w:rsidRPr="00833BBD" w:rsidRDefault="00833BBD" w:rsidP="00833BBD">
      <w:pPr>
        <w:spacing w:line="240" w:lineRule="auto"/>
        <w:jc w:val="both"/>
        <w:rPr>
          <w:rFonts w:ascii="Times New Roman" w:hAnsi="Times New Roman" w:cs="Times New Roman"/>
          <w:lang w:val="es-AR"/>
        </w:rPr>
      </w:pPr>
    </w:p>
    <w:p w14:paraId="56E9EB1F"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3. Diseño metodológico: una estrategia para estudiar la institucionalización de la internacionalización del currículum</w:t>
      </w:r>
    </w:p>
    <w:p w14:paraId="66EDE4B1"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propuesta conceptual desarrollada en los apartados anteriores plantea un desplazamiento de la unidad de análisis respecto de buena parte de la literatura sobre internacionalización de la educación superior. Mientras numerosos estudios se han centrado en las políticas de internacionalización, los programas de movilidad o las experiencias de estudiantes y docentes, esta investigación propone analizar los </w:t>
      </w:r>
      <w:r w:rsidRPr="004760A5">
        <w:rPr>
          <w:rFonts w:ascii="Times New Roman" w:hAnsi="Times New Roman" w:cs="Times New Roman"/>
          <w:lang w:val="es-AR"/>
        </w:rPr>
        <w:t>procesos de institucionalización de la internacionalización del currículum</w:t>
      </w:r>
      <w:r w:rsidRPr="00833BBD">
        <w:rPr>
          <w:rFonts w:ascii="Times New Roman" w:hAnsi="Times New Roman" w:cs="Times New Roman"/>
          <w:lang w:val="es-AR"/>
        </w:rPr>
        <w:t>, entendidos como el conjunto de transformaciones mediante las cuales estas iniciativas se incorporan de manera estable a la organización académica de las universidades.</w:t>
      </w:r>
    </w:p>
    <w:p w14:paraId="4F6B51BC"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Esta perspectiva supone que el interés de la investigación no radica únicamente en identificar la existencia de iniciativas de internacionalización del currículum, sino en comprender las condiciones institucionales que permiten su consolidación. En consecuencia, el trabajo de campo buscará reconstruir cómo las universidades generan </w:t>
      </w:r>
      <w:r w:rsidRPr="00833BBD">
        <w:rPr>
          <w:rFonts w:ascii="Times New Roman" w:hAnsi="Times New Roman" w:cs="Times New Roman"/>
          <w:lang w:val="es-AR"/>
        </w:rPr>
        <w:lastRenderedPageBreak/>
        <w:t>mecanismos de regulación, coordinación, reconocimiento académico y articulación institucional para integrar la dimensión internacional a las trayectorias formativas.</w:t>
      </w:r>
    </w:p>
    <w:p w14:paraId="632B87A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Desde este enfoque, la gestión académica constituye el espacio privilegiado para observar estos procesos. Lejos de concebirla exclusivamente como una dimensión administrativa, la investigación la entiende como el ámbito donde se materializan las decisiones institucionales que permiten transformar una iniciativa de internacionalización en una práctica académica sostenida. En este sentido, el análisis se orientará a reconstruir las formas mediante las cuales distintos actores universitarios participan en la construcción de estas capacidades institucionales.</w:t>
      </w:r>
    </w:p>
    <w:p w14:paraId="180073F4"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3.1. Estrategia metodológica</w:t>
      </w:r>
    </w:p>
    <w:p w14:paraId="646D206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investigación adopta un enfoque cualitativo, orientado a comprender procesos institucionales complejos desde la perspectiva de los actores involucrados y del análisis de los dispositivos organizacionales que estructuran su implementación. Dado que el interés del estudio no reside en medir la extensión de un fenómeno sino en comprender cómo se desarrollan los procesos de institucionalización de la internacionalización del currículum, se opta por un diseño de estudio de caso.</w:t>
      </w:r>
    </w:p>
    <w:p w14:paraId="4980AAD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estudio de caso constituye una estrategia particularmente pertinente cuando se busca analizar fenómenos contemporáneos estrechamente vinculados con su contexto institucional y cuya comprensión requiere considerar simultáneamente múltiples dimensiones de análisis. En este sentido, el objetivo no consiste en producir generalizaciones estadísticas, sino en desarrollar una comprensión analítica de los procesos mediante los cuales las universidades construyen mecanismos estables para incorporar la dimensión internacional a sus prácticas académicas.</w:t>
      </w:r>
    </w:p>
    <w:p w14:paraId="6826E660"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Desde esta perspectiva, el caso no es entendido como un ejemplo representativo de todas las experiencias de internacionalización, sino como un espacio privilegiado para observar dinámicas institucionales que difícilmente podrían analizarse de manera abstracta. El interés reside, por tanto, en las capacidades analíticas que el caso ofrece para comprender procesos más amplios de institucionalización.</w:t>
      </w:r>
    </w:p>
    <w:p w14:paraId="3760DCC6"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3.2. La selección del caso: el Programa de Intercambio Académico Latinoamericano (PILA) en su modalidad virtual</w:t>
      </w:r>
    </w:p>
    <w:p w14:paraId="1A0260FD"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caso seleccionado corresponde al Programa de Intercambio Académico Latinoamericano (PILA) en su modalidad virtual, implementado a partir de 2020 por iniciativa de redes universitarias de Argentina, Colombia y México. La incorporación de la modalidad virtual respondió inicialmente a las restricciones impuestas por la pandemia de COVID-19, pero rápidamente se consolidó como una alternativa que amplió las oportunidades de participación en experiencias internacionales para un número significativamente mayor de estudiantes.</w:t>
      </w:r>
    </w:p>
    <w:p w14:paraId="684F813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La elección de este caso responde a razones analíticas más que instrumentales. La implementación del PILA Virtual exige a las universidades resolver cuestiones vinculadas con el reconocimiento académico de asignaturas cursadas en otras instituciones, la </w:t>
      </w:r>
      <w:r w:rsidRPr="00833BBD">
        <w:rPr>
          <w:rFonts w:ascii="Times New Roman" w:hAnsi="Times New Roman" w:cs="Times New Roman"/>
          <w:lang w:val="es-AR"/>
        </w:rPr>
        <w:lastRenderedPageBreak/>
        <w:t>asignación de créditos, la compatibilización de calendarios académicos, la coordinación entre áreas de relaciones internacionales y gestión académica, así como la adecuación de procedimientos administrativos y normativos. En consecuencia, constituye un escenario particularmente fértil para analizar los procesos de institucionalización de la internacionalización del currículum.</w:t>
      </w:r>
    </w:p>
    <w:p w14:paraId="4D1CAA0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Más que estudiar el funcionamiento del programa en sí mismo, la investigación se propone utilizar el PILA Virtual como un caso instrumental que permita comprender cómo las universidades construyen capacidades institucionales para integrar experiencias internacionales a las trayectorias formativas.</w:t>
      </w:r>
    </w:p>
    <w:p w14:paraId="5FB42F07"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3.3. Producción de la evidencia empírica</w:t>
      </w:r>
    </w:p>
    <w:p w14:paraId="1E7D00E1"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trabajo de campo combinará el análisis documental con la realización de entrevistas semiestructuradas a actores institucionales involucrados en la implementación del programa.</w:t>
      </w:r>
    </w:p>
    <w:p w14:paraId="3C976957"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El análisis documental comprenderá la revisión de reglamentos, resoluciones, convenios, protocolos institucionales, normativa académica y documentación producida por las universidades participantes y por las redes responsables del desarrollo del programa. Estos documentos permitirán reconstruir los mecanismos formales mediante los cuales las instituciones regulan la incorporación de experiencias internacionales al currículum.</w:t>
      </w:r>
    </w:p>
    <w:p w14:paraId="17B111E3"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Complementariamente, se realizarán entrevistas semiestructuradas a responsables de oficinas de relaciones internacionales, autoridades académicas, coordinadores de carrera, docentes y otros actores involucrados en la implementación del programa. La diversidad de perfiles entrevistados permitirá reconstruir las distintas perspectivas institucionales sobre los procesos de coordinación, reconocimiento académico y articulación organizacional que hacen posible la implementación de estas iniciativas.</w:t>
      </w:r>
    </w:p>
    <w:p w14:paraId="7F07FEC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combinación de ambas fuentes de información busca favorecer la triangulación de evidencias, permitiendo contrastar los dispositivos formales de regulación con las prácticas institucionales desarrolladas por los distintos actores universitarios.</w:t>
      </w:r>
    </w:p>
    <w:p w14:paraId="70C6769A"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3.4. Estrategia de análisis</w:t>
      </w:r>
    </w:p>
    <w:p w14:paraId="08C0EF74"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evidencia producida será analizada a partir de la propuesta analítica presentada en la Figura 2. Las cuatro capacidades institucionales identificadas —normativa, organizacional, académico-curricular y de articulación institucional— funcionarán como categorías iniciales para organizar el análisis documental y las entrevistas.</w:t>
      </w:r>
    </w:p>
    <w:p w14:paraId="6CAEF234"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No obstante, estas categorías no constituyen un esquema cerrado de codificación. Dado el carácter exploratorio de la investigación, el trabajo de campo permitirá identificar nuevas dimensiones, reformular categorías existentes o establecer relaciones entre ellas que contribuyan a enriquecer la comprensión de los procesos de institucionalización de la internacionalización del currículum.</w:t>
      </w:r>
    </w:p>
    <w:p w14:paraId="0E8EB68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este sentido, la propuesta analítica desarrollada en esta ponencia debe entenderse como una herramienta orientadora del proceso de investigación antes que como un modelo </w:t>
      </w:r>
      <w:r w:rsidRPr="00833BBD">
        <w:rPr>
          <w:rFonts w:ascii="Times New Roman" w:hAnsi="Times New Roman" w:cs="Times New Roman"/>
          <w:lang w:val="es-AR"/>
        </w:rPr>
        <w:lastRenderedPageBreak/>
        <w:t>definitivo. Uno de los aportes esperados del trabajo empírico consiste precisamente en poner a prueba, ajustar y profundizar este marco analítico a partir de la evidencia producida en el estudio de caso.</w:t>
      </w:r>
    </w:p>
    <w:p w14:paraId="13FCC916"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4. Agenda empírica y potencialidades analíticas de la investigación</w:t>
      </w:r>
    </w:p>
    <w:p w14:paraId="63BB1061"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propuesta conceptual y metodológica desarrollada en los apartados anteriores permite delimitar una agenda de investigación orientada a comprender cómo las universidades institucionalizan la internacionalización del currículum y qué capacidades desarrollan para sostener estos procesos de manera estable. En este sentido, el trabajo de campo no se concibe únicamente como una instancia de recolección de información, sino como el espacio en el que la propuesta analítica elaborada en esta investigación será puesta en diálogo con las prácticas institucionales desarrolladas por las universidades participantes.</w:t>
      </w:r>
    </w:p>
    <w:p w14:paraId="1A704CB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Desde esta perspectiva, el estudio buscará reconstruir los procesos mediante los cuales la internacionalización del currículum se incorpora a la organización académica cotidiana. Más que identificar la existencia de iniciativas de internacionalización, el interés radica en comprender cómo dichas iniciativas adquieren legitimidad institucional, qué transformaciones producen en las formas de coordinación entre actores universitarios y cuáles son las condiciones que favorecen o limitan su sostenibilidad en el tiempo.</w:t>
      </w:r>
    </w:p>
    <w:p w14:paraId="613B6BB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particular, el análisis permitirá indagar de qué manera las universidades construyen mecanismos para resolver desafíos vinculados con el reconocimiento académico de estudios, la asignación de créditos, la validación de trayectorias formativas desarrolladas en cooperación con otras instituciones, la adecuación de las normativas vigentes y la articulación entre las oficinas de relaciones internacionales, las secretarías académicas y las unidades responsables de la gestión curricular. Estas cuestiones, frecuentemente consideradas aspectos operativos de la implementación de programas de movilidad o cooperación académica, adquieren en esta investigación un significado más amplio al entenderse como expresiones concretas de los procesos de institucionalización de la internacionalización del currículum.</w:t>
      </w:r>
    </w:p>
    <w:p w14:paraId="3F9FE22F"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propuesta analítica presentada en la Figura 2 permitirá, asimismo, explorar las relaciones existentes entre las distintas capacidades institucionales identificadas. Más que analizar cada capacidad de manera aislada, el trabajo de campo buscará comprender cómo interactúan entre sí, cómo se fortalecen o condicionan mutuamente y qué configuraciones institucionales emergen en las universidades estudiadas. De este modo, la investigación procurará reconstruir la institucionalización de la internacionalización del currículum como un proceso dinámico, resultado de la articulación entre normas, estructuras organizacionales, decisiones académicas y mecanismos de cooperación institucional.</w:t>
      </w:r>
    </w:p>
    <w:p w14:paraId="73B50056"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 xml:space="preserve">En este marco, el Programa de Intercambio Académico Latinoamericano (PILA) en su modalidad virtual constituye una oportunidad privilegiada para observar estas dinámicas. La necesidad de integrar experiencias formativas desarrolladas en otras instituciones dentro de las trayectorias académicas de los estudiantes obliga a las universidades a generar respuestas institucionales que trascienden la gestión tradicional de la movilidad internacional. En consecuencia, el caso permitirá analizar cómo una iniciativa de </w:t>
      </w:r>
      <w:r w:rsidRPr="00833BBD">
        <w:rPr>
          <w:rFonts w:ascii="Times New Roman" w:hAnsi="Times New Roman" w:cs="Times New Roman"/>
          <w:lang w:val="es-AR"/>
        </w:rPr>
        <w:lastRenderedPageBreak/>
        <w:t>cooperación regional puede convertirse en un catalizador de transformaciones organizacionales más amplias vinculadas con la internacionalización del currículum.</w:t>
      </w:r>
    </w:p>
    <w:p w14:paraId="01DAC63A"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Más allá del análisis del caso específico, esta investigación aspira a contribuir al desarrollo de una agenda de estudios que incorpore la dimensión organizacional de la internacionalización de la educación superior. En este sentido, la propuesta busca ampliar los enfoques predominantes sobre internacionalización del currículum incorporando una mirada que permita comprender no solo las transformaciones pedagógicas que estos procesos promueven, sino también las capacidades institucionales necesarias para sostenerlas. Se espera que esta perspectiva contribuya a fortalecer el diálogo entre los estudios sobre internacionalización de la educación superior, la gestión académica universitaria y las investigaciones sobre transformación institucional en las universidades latinoamericanas.</w:t>
      </w:r>
    </w:p>
    <w:p w14:paraId="40F35099"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Finalmente, el desarrollo del trabajo de campo permitirá revisar, ajustar y eventualmente reformular la propuesta analítica presentada en esta ponencia. Lejos de entender las categorías aquí elaboradas como un esquema definitivo, la investigación asume su carácter exploratorio y reconoce que el análisis empírico constituye una instancia fundamental para profundizar la comprensión de los procesos de institucionalización de la internacionalización del currículum. En este sentido, uno de los aportes esperados del estudio consiste precisamente en contribuir a la construcción de herramientas conceptuales que permitan analizar estos procesos desde una perspectiva situada y atenta a las particularidades de las universidades argentinas y latinoamericanas.</w:t>
      </w:r>
    </w:p>
    <w:p w14:paraId="5167D9E5" w14:textId="77777777" w:rsidR="00833BBD" w:rsidRPr="00833BBD" w:rsidRDefault="00833BBD" w:rsidP="00833BBD">
      <w:pPr>
        <w:spacing w:line="240" w:lineRule="auto"/>
        <w:jc w:val="both"/>
        <w:rPr>
          <w:rFonts w:ascii="Times New Roman" w:hAnsi="Times New Roman" w:cs="Times New Roman"/>
          <w:b/>
          <w:bCs/>
          <w:lang w:val="es-AR"/>
        </w:rPr>
      </w:pPr>
      <w:r w:rsidRPr="00833BBD">
        <w:rPr>
          <w:rFonts w:ascii="Times New Roman" w:hAnsi="Times New Roman" w:cs="Times New Roman"/>
          <w:b/>
          <w:bCs/>
          <w:lang w:val="es-AR"/>
        </w:rPr>
        <w:t>5. Reflexiones finales y agenda de investigación</w:t>
      </w:r>
    </w:p>
    <w:p w14:paraId="181F0EA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La internacionalización de la educación superior ha experimentado, durante las últimas décadas, una progresiva ampliación conceptual que desplazó el centro de atención desde la movilidad internacional hacia formas más integrales e inclusivas de incorporar la dimensión internacional a las funciones universitarias. En ese recorrido, la internacionalización del currículum se consolidó como una de las principales estrategias para democratizar el acceso a experiencias internacionales, integrando perspectivas interculturales y globales al conjunto de las trayectorias formativas. Sin embargo, como se ha señalado a lo largo de este trabajo, la mayor parte de la producción académica continúa privilegiando el análisis de las dimensiones pedagógicas de estos procesos, mientras que las condiciones institucionales que hacen posible su implementación y sostenibilidad han recibido una atención comparativamente menor.</w:t>
      </w:r>
    </w:p>
    <w:p w14:paraId="7A818B5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Frente a esta vacancia, la presente ponencia propuso un desplazamiento analítico orientado a comprender la internacionalización del currículum desde la perspectiva de su institucionalización. En lugar de considerar la internacionalización exclusivamente como una estrategia de innovación pedagógica, se planteó la conveniencia de analizar los procesos mediante los cuales estas iniciativas se incorporan de manera estable a las prácticas, normas y mecanismos que organizan la vida académica de las universidades. Desde esta perspectiva, la gestión académica deja de constituir únicamente un ámbito operativo para convertirse en el espacio desde el cual es posible observar cómo la internacionalización adquiere consistencia institucional.</w:t>
      </w:r>
    </w:p>
    <w:p w14:paraId="56CC23D5"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lastRenderedPageBreak/>
        <w:t>En este marco, uno de los aportes de la investigación consiste en la elaboración de una propuesta analítica inicial para estudiar dichos procesos. La identificación de cuatro capacidades institucionales —normativa, organizacional, académico-curricular y de articulación institucional— no pretende constituir un modelo definitivo, sino ofrecer una herramienta heurística que permita organizar el análisis de los procesos de institucionalización de la internacionalización del currículum. Su carácter es necesariamente exploratorio y abierto, por lo que será contrastada, ajustada y enriquecida a partir del desarrollo del trabajo de campo.</w:t>
      </w:r>
    </w:p>
    <w:p w14:paraId="7087934B"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términos metodológicos, la investigación propone asimismo un cambio en la unidad de análisis. Más que estudiar programas de movilidad o experiencias específicas de internacionalización, se plantea observar los procesos institucionales mediante los cuales las universidades incorporan la dimensión internacional a las trayectorias formativas y construyen mecanismos para sostenerla en el tiempo. Desde esta perspectiva, el Programa de Intercambio Académico Latinoamericano (PILA) en su modalidad virtual constituye un caso especialmente pertinente, no tanto por sus particularidades como programa de movilidad, sino porque permite hacer visibles las transformaciones organizacionales que acompañan la institucionalización de la internacionalización del currículum.</w:t>
      </w:r>
    </w:p>
    <w:p w14:paraId="1C2A9A30"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Es importante señalar que esta ponencia presenta los avances de un proyecto doctoral actualmente en curso. En consecuencia, su principal contribución no reside en la presentación de resultados empíricos, sino en la construcción del objeto de investigación, la sistematización del estado del arte, la elaboración de un marco analítico y el diseño de una estrategia metodológica que orientará la siguiente etapa de la investigación. Las categorías propuestas, las preguntas formuladas y las relaciones conceptuales desarrolladas deben entenderse como parte de un proceso de indagación en construcción, susceptible de ser revisado y profundizado a medida que avance el trabajo de campo y el análisis de la evidencia empírica.</w:t>
      </w:r>
    </w:p>
    <w:p w14:paraId="2969D352" w14:textId="77777777" w:rsidR="00833BBD"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En este sentido, la investigación asume que el proceso doctoral constituye también un espacio de construcción conceptual. Más que verificar hipótesis previamente establecidas, busca desarrollar herramientas analíticas que permitan comprender de manera más acabada cómo las universidades institucionalizan la internacionalización del currículum y qué capacidades desarrollan para sostener estos procesos. La evidencia empírica no solo permitirá analizar el caso seleccionado, sino también discutir, matizar y eventualmente reformular la propuesta analítica presentada en este trabajo.</w:t>
      </w:r>
    </w:p>
    <w:p w14:paraId="2724DDF8" w14:textId="0B54425A" w:rsidR="005F3B2E" w:rsidRPr="00833BBD" w:rsidRDefault="00833BBD" w:rsidP="00833BBD">
      <w:pPr>
        <w:spacing w:line="240" w:lineRule="auto"/>
        <w:jc w:val="both"/>
        <w:rPr>
          <w:rFonts w:ascii="Times New Roman" w:hAnsi="Times New Roman" w:cs="Times New Roman"/>
          <w:lang w:val="es-AR"/>
        </w:rPr>
      </w:pPr>
      <w:r w:rsidRPr="00833BBD">
        <w:rPr>
          <w:rFonts w:ascii="Times New Roman" w:hAnsi="Times New Roman" w:cs="Times New Roman"/>
          <w:lang w:val="es-AR"/>
        </w:rPr>
        <w:t>Finalmente, se espera que esta investigación contribuya a fortalecer una agenda de estudios sobre internacionalización de la educación superior desde una perspectiva situada en América Latina. En un contexto en el que las universidades enfrentan el desafío de ampliar el acceso a experiencias internacionales sin reproducir las desigualdades asociadas a los modelos tradicionales de movilidad, comprender los procesos de institucionalización de la internacionalización del currículum adquiere una relevancia creciente tanto para la investigación académica como para el diseño de políticas universitarias. Más que ofrecer respuestas definitivas, esta ponencia busca abrir un campo de preguntas y contribuir a la construcción de un marco analítico que permita estudiar estos procesos en las universidades argentinas y latinoamericanas</w:t>
      </w:r>
      <w:r>
        <w:rPr>
          <w:rFonts w:ascii="Times New Roman" w:hAnsi="Times New Roman" w:cs="Times New Roman"/>
          <w:lang w:val="es-AR"/>
        </w:rPr>
        <w:t>.</w:t>
      </w:r>
    </w:p>
    <w:p w14:paraId="544B704F" w14:textId="77777777" w:rsidR="00BC236F" w:rsidRPr="00833BBD" w:rsidRDefault="00BC236F" w:rsidP="007B5B5F">
      <w:pPr>
        <w:spacing w:line="240" w:lineRule="auto"/>
        <w:jc w:val="both"/>
        <w:rPr>
          <w:rFonts w:ascii="Times New Roman" w:hAnsi="Times New Roman" w:cs="Times New Roman"/>
          <w:lang w:val="es-AR"/>
        </w:rPr>
      </w:pPr>
    </w:p>
    <w:p w14:paraId="39B57161" w14:textId="69DC08D7" w:rsidR="005F3B2E" w:rsidRPr="00833BBD" w:rsidRDefault="005F3B2E" w:rsidP="007B5B5F">
      <w:pPr>
        <w:spacing w:line="240" w:lineRule="auto"/>
        <w:rPr>
          <w:rFonts w:ascii="Times New Roman" w:hAnsi="Times New Roman" w:cs="Times New Roman"/>
          <w:b/>
          <w:bCs/>
          <w:lang w:val="en-US"/>
        </w:rPr>
      </w:pPr>
      <w:proofErr w:type="spellStart"/>
      <w:r w:rsidRPr="00833BBD">
        <w:rPr>
          <w:rFonts w:ascii="Times New Roman" w:hAnsi="Times New Roman" w:cs="Times New Roman"/>
          <w:b/>
          <w:bCs/>
          <w:lang w:val="en-US"/>
        </w:rPr>
        <w:t>Referencias</w:t>
      </w:r>
      <w:proofErr w:type="spellEnd"/>
      <w:r w:rsidRPr="00833BBD">
        <w:rPr>
          <w:rFonts w:ascii="Times New Roman" w:hAnsi="Times New Roman" w:cs="Times New Roman"/>
          <w:b/>
          <w:bCs/>
          <w:lang w:val="en-US"/>
        </w:rPr>
        <w:t xml:space="preserve"> </w:t>
      </w:r>
      <w:proofErr w:type="spellStart"/>
      <w:r w:rsidRPr="00833BBD">
        <w:rPr>
          <w:rFonts w:ascii="Times New Roman" w:hAnsi="Times New Roman" w:cs="Times New Roman"/>
          <w:b/>
          <w:bCs/>
          <w:lang w:val="en-US"/>
        </w:rPr>
        <w:t>Bibliográficas</w:t>
      </w:r>
      <w:proofErr w:type="spellEnd"/>
      <w:r w:rsidRPr="00833BBD">
        <w:rPr>
          <w:rFonts w:ascii="Times New Roman" w:hAnsi="Times New Roman" w:cs="Times New Roman"/>
          <w:b/>
          <w:bCs/>
          <w:lang w:val="en-US"/>
        </w:rPr>
        <w:t xml:space="preserve"> (APA 7)</w:t>
      </w:r>
    </w:p>
    <w:p w14:paraId="03CFF705" w14:textId="77777777" w:rsidR="004760A5" w:rsidRPr="004760A5" w:rsidRDefault="004760A5" w:rsidP="009A6488">
      <w:pPr>
        <w:spacing w:line="240" w:lineRule="auto"/>
        <w:jc w:val="both"/>
        <w:rPr>
          <w:rFonts w:ascii="Times New Roman" w:hAnsi="Times New Roman" w:cs="Times New Roman"/>
        </w:rPr>
      </w:pPr>
      <w:r w:rsidRPr="004760A5">
        <w:rPr>
          <w:rFonts w:ascii="Times New Roman" w:hAnsi="Times New Roman" w:cs="Times New Roman"/>
        </w:rPr>
        <w:t xml:space="preserve">Astur, A., Flores, E. ., Isasmendi, G., Jakubowicz, F., Larrea, M., Lepore, E., </w:t>
      </w:r>
      <w:proofErr w:type="spellStart"/>
      <w:r w:rsidRPr="004760A5">
        <w:rPr>
          <w:rFonts w:ascii="Times New Roman" w:hAnsi="Times New Roman" w:cs="Times New Roman"/>
        </w:rPr>
        <w:t>Merega</w:t>
      </w:r>
      <w:proofErr w:type="spellEnd"/>
      <w:r w:rsidRPr="004760A5">
        <w:rPr>
          <w:rFonts w:ascii="Times New Roman" w:hAnsi="Times New Roman" w:cs="Times New Roman"/>
        </w:rPr>
        <w:t>, M., Pazos , N., &amp; Puppo, C. . (2020). Políticas de Educación Superior en la pandemia: repertorios para la contingencia. </w:t>
      </w:r>
      <w:r w:rsidRPr="004760A5">
        <w:rPr>
          <w:rFonts w:ascii="Times New Roman" w:hAnsi="Times New Roman" w:cs="Times New Roman"/>
          <w:i/>
          <w:iCs/>
        </w:rPr>
        <w:t>Integración Y Conocimiento</w:t>
      </w:r>
      <w:r w:rsidRPr="004760A5">
        <w:rPr>
          <w:rFonts w:ascii="Times New Roman" w:hAnsi="Times New Roman" w:cs="Times New Roman"/>
        </w:rPr>
        <w:t>, </w:t>
      </w:r>
      <w:r w:rsidRPr="004760A5">
        <w:rPr>
          <w:rFonts w:ascii="Times New Roman" w:hAnsi="Times New Roman" w:cs="Times New Roman"/>
          <w:i/>
          <w:iCs/>
        </w:rPr>
        <w:t>9</w:t>
      </w:r>
      <w:r w:rsidRPr="004760A5">
        <w:rPr>
          <w:rFonts w:ascii="Times New Roman" w:hAnsi="Times New Roman" w:cs="Times New Roman"/>
        </w:rPr>
        <w:t>(2), 131-147. </w:t>
      </w:r>
      <w:hyperlink r:id="rId6" w:history="1">
        <w:r w:rsidRPr="004760A5">
          <w:rPr>
            <w:rStyle w:val="Hipervnculo"/>
            <w:rFonts w:ascii="Times New Roman" w:hAnsi="Times New Roman" w:cs="Times New Roman"/>
          </w:rPr>
          <w:t>https://doi.org/10.61203/2347-0658.v9.n2.29556</w:t>
        </w:r>
      </w:hyperlink>
    </w:p>
    <w:p w14:paraId="5C441E55" w14:textId="77777777" w:rsidR="004760A5" w:rsidRPr="004760A5" w:rsidRDefault="004760A5" w:rsidP="0092582C">
      <w:pPr>
        <w:spacing w:line="240" w:lineRule="auto"/>
        <w:jc w:val="both"/>
        <w:rPr>
          <w:rFonts w:ascii="Times New Roman" w:hAnsi="Times New Roman" w:cs="Times New Roman"/>
          <w:lang w:val="en-US"/>
        </w:rPr>
      </w:pPr>
      <w:r w:rsidRPr="004760A5">
        <w:rPr>
          <w:rFonts w:ascii="Times New Roman" w:hAnsi="Times New Roman" w:cs="Times New Roman"/>
          <w:lang w:val="es-AR"/>
        </w:rPr>
        <w:t xml:space="preserve">Beelen, J., &amp; Jones, E. (2015). </w:t>
      </w:r>
      <w:r w:rsidRPr="004760A5">
        <w:rPr>
          <w:rFonts w:ascii="Times New Roman" w:hAnsi="Times New Roman" w:cs="Times New Roman"/>
          <w:lang w:val="en-US"/>
        </w:rPr>
        <w:t>Redefining internationalization at home. In </w:t>
      </w:r>
      <w:r w:rsidRPr="004760A5">
        <w:rPr>
          <w:rFonts w:ascii="Times New Roman" w:hAnsi="Times New Roman" w:cs="Times New Roman"/>
          <w:i/>
          <w:iCs/>
          <w:lang w:val="en-US"/>
        </w:rPr>
        <w:t>The European higher education area: Between critical reflections and future policies</w:t>
      </w:r>
      <w:r w:rsidRPr="004760A5">
        <w:rPr>
          <w:rFonts w:ascii="Times New Roman" w:hAnsi="Times New Roman" w:cs="Times New Roman"/>
          <w:lang w:val="en-US"/>
        </w:rPr>
        <w:t xml:space="preserve"> (pp. 59-72). Cham: Springer International Publishing. </w:t>
      </w:r>
    </w:p>
    <w:p w14:paraId="3C4C8077" w14:textId="77777777" w:rsidR="004760A5" w:rsidRPr="004760A5" w:rsidRDefault="004760A5" w:rsidP="009A6488">
      <w:pPr>
        <w:spacing w:line="240" w:lineRule="auto"/>
        <w:jc w:val="both"/>
        <w:rPr>
          <w:rFonts w:ascii="Times New Roman" w:hAnsi="Times New Roman" w:cs="Times New Roman"/>
          <w:lang w:val="en-US"/>
        </w:rPr>
      </w:pPr>
      <w:r w:rsidRPr="004760A5">
        <w:rPr>
          <w:rFonts w:ascii="Times New Roman" w:hAnsi="Times New Roman" w:cs="Times New Roman"/>
          <w:lang w:val="en-US"/>
        </w:rPr>
        <w:t xml:space="preserve">Beelen, J., &amp; Jones, E. (2015). Redefining Internationalization at Home. En A. Curaj, L. Matei, R. </w:t>
      </w:r>
      <w:proofErr w:type="spellStart"/>
      <w:r w:rsidRPr="004760A5">
        <w:rPr>
          <w:rFonts w:ascii="Times New Roman" w:hAnsi="Times New Roman" w:cs="Times New Roman"/>
          <w:lang w:val="en-US"/>
        </w:rPr>
        <w:t>Pricopie</w:t>
      </w:r>
      <w:proofErr w:type="spellEnd"/>
      <w:r w:rsidRPr="004760A5">
        <w:rPr>
          <w:rFonts w:ascii="Times New Roman" w:hAnsi="Times New Roman" w:cs="Times New Roman"/>
          <w:lang w:val="en-US"/>
        </w:rPr>
        <w:t xml:space="preserve">, J. Salmi &amp; P. Scott (Eds.), </w:t>
      </w:r>
      <w:r w:rsidRPr="004760A5">
        <w:rPr>
          <w:rFonts w:ascii="Times New Roman" w:hAnsi="Times New Roman" w:cs="Times New Roman"/>
          <w:i/>
          <w:iCs/>
          <w:lang w:val="en-US"/>
        </w:rPr>
        <w:t>The European Higher Education Area. Between Critical Reflections and Future Policies</w:t>
      </w:r>
      <w:r w:rsidRPr="004760A5">
        <w:rPr>
          <w:rFonts w:ascii="Times New Roman" w:hAnsi="Times New Roman" w:cs="Times New Roman"/>
          <w:lang w:val="en-US"/>
        </w:rPr>
        <w:t xml:space="preserve"> (pp. 59–72). Springe</w:t>
      </w:r>
      <w:r w:rsidRPr="004760A5">
        <w:rPr>
          <w:rFonts w:ascii="Times New Roman" w:hAnsi="Times New Roman" w:cs="Times New Roman"/>
          <w:lang w:val="en-US"/>
        </w:rPr>
        <w:t>r.</w:t>
      </w:r>
    </w:p>
    <w:p w14:paraId="5DE92A0C" w14:textId="77777777" w:rsidR="004760A5" w:rsidRPr="004760A5" w:rsidRDefault="004760A5" w:rsidP="009A6488">
      <w:pPr>
        <w:spacing w:line="240" w:lineRule="auto"/>
        <w:jc w:val="both"/>
        <w:rPr>
          <w:rFonts w:ascii="Times New Roman" w:hAnsi="Times New Roman" w:cs="Times New Roman"/>
          <w:lang w:val="es-AR"/>
        </w:rPr>
      </w:pPr>
      <w:proofErr w:type="spellStart"/>
      <w:r w:rsidRPr="004760A5">
        <w:rPr>
          <w:rFonts w:ascii="Times New Roman" w:hAnsi="Times New Roman" w:cs="Times New Roman"/>
          <w:lang w:val="es-AR"/>
        </w:rPr>
        <w:t>Beneitone</w:t>
      </w:r>
      <w:proofErr w:type="spellEnd"/>
      <w:r w:rsidRPr="004760A5">
        <w:rPr>
          <w:rFonts w:ascii="Times New Roman" w:hAnsi="Times New Roman" w:cs="Times New Roman"/>
          <w:lang w:val="es-AR"/>
        </w:rPr>
        <w:t xml:space="preserve">, P. (2022). Internacionalización del currículo: una respuesta democratizadora a las desigualdades resultantes de la movilidad académica elitista. </w:t>
      </w:r>
      <w:r w:rsidRPr="004760A5">
        <w:rPr>
          <w:rFonts w:ascii="Times New Roman" w:hAnsi="Times New Roman" w:cs="Times New Roman"/>
          <w:i/>
          <w:iCs/>
          <w:lang w:val="es-AR"/>
        </w:rPr>
        <w:t>Revista Educación Superior y Sociedad (ESS)</w:t>
      </w:r>
      <w:r w:rsidRPr="004760A5">
        <w:rPr>
          <w:rFonts w:ascii="Times New Roman" w:hAnsi="Times New Roman" w:cs="Times New Roman"/>
          <w:lang w:val="es-AR"/>
        </w:rPr>
        <w:t xml:space="preserve">, 34(1), 422–444. </w:t>
      </w:r>
      <w:hyperlink r:id="rId7" w:history="1">
        <w:r w:rsidRPr="004760A5">
          <w:rPr>
            <w:rStyle w:val="Hipervnculo"/>
            <w:rFonts w:ascii="Times New Roman" w:hAnsi="Times New Roman" w:cs="Times New Roman"/>
            <w:lang w:val="es-AR"/>
          </w:rPr>
          <w:t>https://doi.org/10.54674/ess.v34i1.526</w:t>
        </w:r>
      </w:hyperlink>
    </w:p>
    <w:p w14:paraId="54FEFFE0" w14:textId="77777777" w:rsidR="004760A5" w:rsidRPr="004760A5" w:rsidRDefault="004760A5" w:rsidP="009A6488">
      <w:pPr>
        <w:spacing w:line="240" w:lineRule="auto"/>
        <w:jc w:val="both"/>
        <w:rPr>
          <w:rFonts w:ascii="Times New Roman" w:hAnsi="Times New Roman" w:cs="Times New Roman"/>
          <w:lang w:val="es-AR"/>
        </w:rPr>
      </w:pPr>
      <w:r w:rsidRPr="004760A5">
        <w:rPr>
          <w:rFonts w:ascii="Times New Roman" w:hAnsi="Times New Roman" w:cs="Times New Roman"/>
          <w:lang w:val="es-AR"/>
        </w:rPr>
        <w:t xml:space="preserve">Gacel-Ávila, J. (2022). Internacionalización inclusiva en América Latina y el Caribe: desafíos y factibilidad. </w:t>
      </w:r>
      <w:r w:rsidRPr="004760A5">
        <w:rPr>
          <w:rFonts w:ascii="Times New Roman" w:hAnsi="Times New Roman" w:cs="Times New Roman"/>
          <w:i/>
          <w:iCs/>
          <w:lang w:val="es-AR"/>
        </w:rPr>
        <w:t>Educación Superior y Sociedad (ESS)</w:t>
      </w:r>
      <w:r w:rsidRPr="004760A5">
        <w:rPr>
          <w:rFonts w:ascii="Times New Roman" w:hAnsi="Times New Roman" w:cs="Times New Roman"/>
          <w:lang w:val="es-AR"/>
        </w:rPr>
        <w:t xml:space="preserve">, 34(1), 401–421. </w:t>
      </w:r>
      <w:hyperlink r:id="rId8" w:history="1">
        <w:r w:rsidRPr="004760A5">
          <w:rPr>
            <w:rStyle w:val="Hipervnculo"/>
            <w:rFonts w:ascii="Times New Roman" w:hAnsi="Times New Roman" w:cs="Times New Roman"/>
            <w:lang w:val="es-AR"/>
          </w:rPr>
          <w:t>https://doi.org/10.54674/ess.v34i1.570</w:t>
        </w:r>
      </w:hyperlink>
      <w:r w:rsidRPr="004760A5">
        <w:rPr>
          <w:rFonts w:ascii="Times New Roman" w:hAnsi="Times New Roman" w:cs="Times New Roman"/>
          <w:lang w:val="es-AR"/>
        </w:rPr>
        <w:t xml:space="preserve"> </w:t>
      </w:r>
    </w:p>
    <w:p w14:paraId="78C91C83" w14:textId="77777777" w:rsidR="004760A5" w:rsidRDefault="004760A5" w:rsidP="007B5B5F">
      <w:pPr>
        <w:spacing w:line="240" w:lineRule="auto"/>
        <w:jc w:val="both"/>
        <w:rPr>
          <w:rFonts w:ascii="Times New Roman" w:hAnsi="Times New Roman" w:cs="Times New Roman"/>
        </w:rPr>
      </w:pPr>
      <w:r w:rsidRPr="004760A5">
        <w:rPr>
          <w:rFonts w:ascii="Times New Roman" w:hAnsi="Times New Roman" w:cs="Times New Roman"/>
          <w:lang w:val="en-US"/>
        </w:rPr>
        <w:t xml:space="preserve">De Wit, H. (2002). </w:t>
      </w:r>
      <w:r w:rsidRPr="004760A5">
        <w:rPr>
          <w:rFonts w:ascii="Times New Roman" w:hAnsi="Times New Roman" w:cs="Times New Roman"/>
          <w:i/>
          <w:iCs/>
          <w:lang w:val="en-US"/>
        </w:rPr>
        <w:t>Internationalization of Higher Education in the United States of America and Europe: A Historical, Comparative, and Conceptual Analysis</w:t>
      </w:r>
      <w:r w:rsidRPr="004760A5">
        <w:rPr>
          <w:rFonts w:ascii="Times New Roman" w:hAnsi="Times New Roman" w:cs="Times New Roman"/>
          <w:lang w:val="en-US"/>
        </w:rPr>
        <w:t xml:space="preserve">. </w:t>
      </w:r>
      <w:r w:rsidRPr="004760A5">
        <w:rPr>
          <w:rFonts w:ascii="Times New Roman" w:hAnsi="Times New Roman" w:cs="Times New Roman"/>
        </w:rPr>
        <w:t>Greenwood Pres</w:t>
      </w:r>
      <w:r>
        <w:rPr>
          <w:rFonts w:ascii="Times New Roman" w:hAnsi="Times New Roman" w:cs="Times New Roman"/>
        </w:rPr>
        <w:t>s.</w:t>
      </w:r>
    </w:p>
    <w:p w14:paraId="022E0E88" w14:textId="1B1C774D" w:rsidR="004760A5" w:rsidRPr="004760A5" w:rsidRDefault="004760A5" w:rsidP="007B5B5F">
      <w:pPr>
        <w:spacing w:line="240" w:lineRule="auto"/>
        <w:jc w:val="both"/>
        <w:rPr>
          <w:rFonts w:ascii="Times New Roman" w:hAnsi="Times New Roman" w:cs="Times New Roman"/>
          <w:lang w:val="en-US"/>
        </w:rPr>
      </w:pPr>
      <w:r w:rsidRPr="004760A5">
        <w:rPr>
          <w:rFonts w:ascii="Times New Roman" w:hAnsi="Times New Roman" w:cs="Times New Roman"/>
          <w:lang w:val="en-US"/>
        </w:rPr>
        <w:t xml:space="preserve">De Wit, H. (2011). Internationalization of Higher Education: Nine Misconceptions. </w:t>
      </w:r>
      <w:r w:rsidRPr="004760A5">
        <w:rPr>
          <w:rFonts w:ascii="Times New Roman" w:hAnsi="Times New Roman" w:cs="Times New Roman"/>
          <w:i/>
          <w:iCs/>
          <w:lang w:val="en-US"/>
        </w:rPr>
        <w:t>International Higher Education</w:t>
      </w:r>
      <w:r w:rsidRPr="004760A5">
        <w:rPr>
          <w:rFonts w:ascii="Times New Roman" w:hAnsi="Times New Roman" w:cs="Times New Roman"/>
          <w:lang w:val="en-US"/>
        </w:rPr>
        <w:t>, 64, 6–7.</w:t>
      </w:r>
    </w:p>
    <w:p w14:paraId="3822BED3" w14:textId="77777777" w:rsidR="004760A5" w:rsidRDefault="004760A5" w:rsidP="009A6488">
      <w:pPr>
        <w:spacing w:line="240" w:lineRule="auto"/>
        <w:jc w:val="both"/>
        <w:rPr>
          <w:rFonts w:ascii="Times New Roman" w:hAnsi="Times New Roman" w:cs="Times New Roman"/>
        </w:rPr>
      </w:pPr>
      <w:r w:rsidRPr="004760A5">
        <w:rPr>
          <w:rFonts w:ascii="Times New Roman" w:hAnsi="Times New Roman" w:cs="Times New Roman"/>
          <w:lang w:val="en-US"/>
        </w:rPr>
        <w:t xml:space="preserve">Hudzik, J. K. (2011). </w:t>
      </w:r>
      <w:r w:rsidRPr="004760A5">
        <w:rPr>
          <w:rFonts w:ascii="Times New Roman" w:hAnsi="Times New Roman" w:cs="Times New Roman"/>
          <w:i/>
          <w:iCs/>
          <w:lang w:val="en-US"/>
        </w:rPr>
        <w:t>Comprehensive internationalization: From concept to action</w:t>
      </w:r>
      <w:r w:rsidRPr="004760A5">
        <w:rPr>
          <w:rFonts w:ascii="Times New Roman" w:hAnsi="Times New Roman" w:cs="Times New Roman"/>
          <w:lang w:val="en-US"/>
        </w:rPr>
        <w:t xml:space="preserve">. </w:t>
      </w:r>
      <w:r w:rsidRPr="004760A5">
        <w:rPr>
          <w:rFonts w:ascii="Times New Roman" w:hAnsi="Times New Roman" w:cs="Times New Roman"/>
        </w:rPr>
        <w:t xml:space="preserve">NAFSA: </w:t>
      </w:r>
      <w:proofErr w:type="spellStart"/>
      <w:r w:rsidRPr="004760A5">
        <w:rPr>
          <w:rFonts w:ascii="Times New Roman" w:hAnsi="Times New Roman" w:cs="Times New Roman"/>
        </w:rPr>
        <w:t>Association</w:t>
      </w:r>
      <w:proofErr w:type="spellEnd"/>
      <w:r w:rsidRPr="004760A5">
        <w:rPr>
          <w:rFonts w:ascii="Times New Roman" w:hAnsi="Times New Roman" w:cs="Times New Roman"/>
        </w:rPr>
        <w:t xml:space="preserve"> </w:t>
      </w:r>
      <w:proofErr w:type="spellStart"/>
      <w:r w:rsidRPr="004760A5">
        <w:rPr>
          <w:rFonts w:ascii="Times New Roman" w:hAnsi="Times New Roman" w:cs="Times New Roman"/>
        </w:rPr>
        <w:t>of</w:t>
      </w:r>
      <w:proofErr w:type="spellEnd"/>
      <w:r w:rsidRPr="004760A5">
        <w:rPr>
          <w:rFonts w:ascii="Times New Roman" w:hAnsi="Times New Roman" w:cs="Times New Roman"/>
        </w:rPr>
        <w:t xml:space="preserve"> International </w:t>
      </w:r>
      <w:proofErr w:type="spellStart"/>
      <w:r w:rsidRPr="004760A5">
        <w:rPr>
          <w:rFonts w:ascii="Times New Roman" w:hAnsi="Times New Roman" w:cs="Times New Roman"/>
        </w:rPr>
        <w:t>Educators</w:t>
      </w:r>
      <w:proofErr w:type="spellEnd"/>
      <w:r>
        <w:rPr>
          <w:rFonts w:ascii="Times New Roman" w:hAnsi="Times New Roman" w:cs="Times New Roman"/>
        </w:rPr>
        <w:t>.</w:t>
      </w:r>
    </w:p>
    <w:p w14:paraId="7CCB9CAB" w14:textId="214D9390" w:rsidR="004760A5" w:rsidRPr="004760A5" w:rsidRDefault="004760A5" w:rsidP="009A6488">
      <w:pPr>
        <w:spacing w:line="240" w:lineRule="auto"/>
        <w:jc w:val="both"/>
        <w:rPr>
          <w:rFonts w:ascii="Times New Roman" w:hAnsi="Times New Roman" w:cs="Times New Roman"/>
          <w:lang w:val="en-US"/>
        </w:rPr>
      </w:pPr>
      <w:r w:rsidRPr="004760A5">
        <w:rPr>
          <w:rFonts w:ascii="Times New Roman" w:hAnsi="Times New Roman" w:cs="Times New Roman"/>
          <w:lang w:val="en-US"/>
        </w:rPr>
        <w:t xml:space="preserve">Jones, E. (2013). Internationalization and Employability: The Role of Intercultural Experiences in the Development of Transferable Skills. </w:t>
      </w:r>
      <w:r w:rsidRPr="004760A5">
        <w:rPr>
          <w:rFonts w:ascii="Times New Roman" w:hAnsi="Times New Roman" w:cs="Times New Roman"/>
          <w:i/>
          <w:iCs/>
          <w:lang w:val="en-US"/>
        </w:rPr>
        <w:t>Public Money &amp; Management</w:t>
      </w:r>
      <w:r w:rsidRPr="004760A5">
        <w:rPr>
          <w:rFonts w:ascii="Times New Roman" w:hAnsi="Times New Roman" w:cs="Times New Roman"/>
          <w:lang w:val="en-US"/>
        </w:rPr>
        <w:t>, 33(2), 95–104.</w:t>
      </w:r>
    </w:p>
    <w:p w14:paraId="2A463DF0" w14:textId="77777777" w:rsidR="004760A5" w:rsidRPr="004760A5" w:rsidRDefault="004760A5" w:rsidP="009A6488">
      <w:pPr>
        <w:spacing w:line="240" w:lineRule="auto"/>
        <w:jc w:val="both"/>
        <w:rPr>
          <w:rFonts w:ascii="Times New Roman" w:hAnsi="Times New Roman" w:cs="Times New Roman"/>
          <w:lang w:val="en-US"/>
        </w:rPr>
      </w:pPr>
      <w:r w:rsidRPr="004760A5">
        <w:rPr>
          <w:rFonts w:ascii="Times New Roman" w:hAnsi="Times New Roman" w:cs="Times New Roman"/>
          <w:lang w:val="en-US"/>
        </w:rPr>
        <w:t xml:space="preserve">Knight, J. (2004). Internationalization Remodeled: Definition, Approaches, and Rationales. </w:t>
      </w:r>
      <w:r w:rsidRPr="004760A5">
        <w:rPr>
          <w:rFonts w:ascii="Times New Roman" w:hAnsi="Times New Roman" w:cs="Times New Roman"/>
          <w:i/>
          <w:iCs/>
          <w:lang w:val="en-US"/>
        </w:rPr>
        <w:t>Journal of Studies in International Education</w:t>
      </w:r>
      <w:r w:rsidRPr="004760A5">
        <w:rPr>
          <w:rFonts w:ascii="Times New Roman" w:hAnsi="Times New Roman" w:cs="Times New Roman"/>
          <w:lang w:val="en-US"/>
        </w:rPr>
        <w:t>,</w:t>
      </w:r>
      <w:r w:rsidRPr="004760A5">
        <w:rPr>
          <w:rFonts w:ascii="Times New Roman" w:hAnsi="Times New Roman" w:cs="Times New Roman"/>
          <w:i/>
          <w:iCs/>
          <w:lang w:val="en-US"/>
        </w:rPr>
        <w:t xml:space="preserve"> 8</w:t>
      </w:r>
      <w:r w:rsidRPr="004760A5">
        <w:rPr>
          <w:rFonts w:ascii="Times New Roman" w:hAnsi="Times New Roman" w:cs="Times New Roman"/>
          <w:lang w:val="en-US"/>
        </w:rPr>
        <w:t xml:space="preserve">(1). </w:t>
      </w:r>
    </w:p>
    <w:p w14:paraId="63C2F6BA" w14:textId="77777777" w:rsidR="004760A5" w:rsidRPr="004760A5" w:rsidRDefault="004760A5" w:rsidP="009A6488">
      <w:pPr>
        <w:spacing w:line="240" w:lineRule="auto"/>
        <w:jc w:val="both"/>
        <w:rPr>
          <w:rFonts w:ascii="Times New Roman" w:hAnsi="Times New Roman" w:cs="Times New Roman"/>
        </w:rPr>
      </w:pPr>
      <w:r w:rsidRPr="004760A5">
        <w:rPr>
          <w:rFonts w:ascii="Times New Roman" w:hAnsi="Times New Roman" w:cs="Times New Roman"/>
          <w:lang w:val="en-US"/>
        </w:rPr>
        <w:t xml:space="preserve">Leask, B. (2015). </w:t>
      </w:r>
      <w:r w:rsidRPr="004760A5">
        <w:rPr>
          <w:rFonts w:ascii="Times New Roman" w:hAnsi="Times New Roman" w:cs="Times New Roman"/>
          <w:i/>
          <w:iCs/>
          <w:lang w:val="en-US"/>
        </w:rPr>
        <w:t>Internationalizing the curriculum</w:t>
      </w:r>
      <w:r w:rsidRPr="004760A5">
        <w:rPr>
          <w:rFonts w:ascii="Times New Roman" w:hAnsi="Times New Roman" w:cs="Times New Roman"/>
          <w:lang w:val="en-US"/>
        </w:rPr>
        <w:t xml:space="preserve">. </w:t>
      </w:r>
      <w:r w:rsidRPr="004760A5">
        <w:rPr>
          <w:rFonts w:ascii="Times New Roman" w:hAnsi="Times New Roman" w:cs="Times New Roman"/>
        </w:rPr>
        <w:t>Routledge</w:t>
      </w:r>
      <w:r w:rsidRPr="004760A5">
        <w:rPr>
          <w:rFonts w:ascii="Times New Roman" w:hAnsi="Times New Roman" w:cs="Times New Roman"/>
        </w:rPr>
        <w:t>.</w:t>
      </w:r>
    </w:p>
    <w:p w14:paraId="498035E8" w14:textId="77777777" w:rsidR="004760A5" w:rsidRPr="004760A5" w:rsidRDefault="004760A5" w:rsidP="007B5B5F">
      <w:pPr>
        <w:spacing w:line="240" w:lineRule="auto"/>
        <w:jc w:val="both"/>
        <w:rPr>
          <w:rFonts w:ascii="Times New Roman" w:hAnsi="Times New Roman" w:cs="Times New Roman"/>
        </w:rPr>
      </w:pPr>
      <w:r w:rsidRPr="004760A5">
        <w:rPr>
          <w:rFonts w:ascii="Times New Roman" w:hAnsi="Times New Roman" w:cs="Times New Roman"/>
          <w:lang w:val="en-US"/>
        </w:rPr>
        <w:t xml:space="preserve">Light, M. A., &amp; Light, I. H. (2008). The geographic expansion of Mexican immigration in the United States and its </w:t>
      </w:r>
      <w:proofErr w:type="spellStart"/>
      <w:r w:rsidRPr="004760A5">
        <w:rPr>
          <w:rFonts w:ascii="Times New Roman" w:hAnsi="Times New Roman" w:cs="Times New Roman"/>
          <w:lang w:val="en-US"/>
        </w:rPr>
        <w:t>impications</w:t>
      </w:r>
      <w:proofErr w:type="spellEnd"/>
      <w:r w:rsidRPr="004760A5">
        <w:rPr>
          <w:rFonts w:ascii="Times New Roman" w:hAnsi="Times New Roman" w:cs="Times New Roman"/>
          <w:lang w:val="en-US"/>
        </w:rPr>
        <w:t xml:space="preserve"> for local law enforcement. </w:t>
      </w:r>
      <w:r w:rsidRPr="004760A5">
        <w:rPr>
          <w:rFonts w:ascii="Times New Roman" w:hAnsi="Times New Roman" w:cs="Times New Roman"/>
          <w:i/>
          <w:iCs/>
        </w:rPr>
        <w:t xml:space="preserve">Law </w:t>
      </w:r>
      <w:proofErr w:type="spellStart"/>
      <w:r w:rsidRPr="004760A5">
        <w:rPr>
          <w:rFonts w:ascii="Times New Roman" w:hAnsi="Times New Roman" w:cs="Times New Roman"/>
          <w:i/>
          <w:iCs/>
        </w:rPr>
        <w:t>Enforcement</w:t>
      </w:r>
      <w:proofErr w:type="spellEnd"/>
      <w:r w:rsidRPr="004760A5">
        <w:rPr>
          <w:rFonts w:ascii="Times New Roman" w:hAnsi="Times New Roman" w:cs="Times New Roman"/>
          <w:i/>
          <w:iCs/>
        </w:rPr>
        <w:t xml:space="preserve"> Executive Forum </w:t>
      </w:r>
      <w:proofErr w:type="spellStart"/>
      <w:r w:rsidRPr="004760A5">
        <w:rPr>
          <w:rFonts w:ascii="Times New Roman" w:hAnsi="Times New Roman" w:cs="Times New Roman"/>
          <w:i/>
          <w:iCs/>
        </w:rPr>
        <w:t>Journal</w:t>
      </w:r>
      <w:proofErr w:type="spellEnd"/>
      <w:r w:rsidRPr="004760A5">
        <w:rPr>
          <w:rFonts w:ascii="Times New Roman" w:hAnsi="Times New Roman" w:cs="Times New Roman"/>
          <w:i/>
          <w:iCs/>
        </w:rPr>
        <w:t>, 8</w:t>
      </w:r>
      <w:r w:rsidRPr="004760A5">
        <w:rPr>
          <w:rFonts w:ascii="Times New Roman" w:hAnsi="Times New Roman" w:cs="Times New Roman"/>
        </w:rPr>
        <w:t>(1), 73-82.</w:t>
      </w:r>
    </w:p>
    <w:p w14:paraId="56A0D42E" w14:textId="77777777" w:rsidR="004760A5" w:rsidRPr="004760A5" w:rsidRDefault="004760A5" w:rsidP="009A6488">
      <w:pPr>
        <w:spacing w:line="240" w:lineRule="auto"/>
        <w:jc w:val="both"/>
        <w:rPr>
          <w:rFonts w:ascii="Times New Roman" w:hAnsi="Times New Roman" w:cs="Times New Roman"/>
          <w:lang w:val="en-US"/>
        </w:rPr>
      </w:pPr>
      <w:r w:rsidRPr="004760A5">
        <w:rPr>
          <w:rFonts w:ascii="Times New Roman" w:hAnsi="Times New Roman" w:cs="Times New Roman"/>
          <w:lang w:val="en-US"/>
        </w:rPr>
        <w:t xml:space="preserve">Nilsson, B. (2003). </w:t>
      </w:r>
      <w:proofErr w:type="spellStart"/>
      <w:r w:rsidRPr="004760A5">
        <w:rPr>
          <w:rFonts w:ascii="Times New Roman" w:hAnsi="Times New Roman" w:cs="Times New Roman"/>
          <w:lang w:val="en-US"/>
        </w:rPr>
        <w:t>Internationalisation</w:t>
      </w:r>
      <w:proofErr w:type="spellEnd"/>
      <w:r w:rsidRPr="004760A5">
        <w:rPr>
          <w:rFonts w:ascii="Times New Roman" w:hAnsi="Times New Roman" w:cs="Times New Roman"/>
          <w:lang w:val="en-US"/>
        </w:rPr>
        <w:t xml:space="preserve"> at Home from a Swedish Perspective: The Case of Malmö. </w:t>
      </w:r>
      <w:r w:rsidRPr="004760A5">
        <w:rPr>
          <w:rFonts w:ascii="Times New Roman" w:hAnsi="Times New Roman" w:cs="Times New Roman"/>
          <w:i/>
          <w:iCs/>
          <w:lang w:val="en-US"/>
        </w:rPr>
        <w:t>Journal of Studies in International Education</w:t>
      </w:r>
      <w:r w:rsidRPr="004760A5">
        <w:rPr>
          <w:rFonts w:ascii="Times New Roman" w:hAnsi="Times New Roman" w:cs="Times New Roman"/>
          <w:lang w:val="en-US"/>
        </w:rPr>
        <w:t>, 7(1), 27–40</w:t>
      </w:r>
      <w:r w:rsidRPr="004760A5">
        <w:rPr>
          <w:rFonts w:ascii="Times New Roman" w:hAnsi="Times New Roman" w:cs="Times New Roman"/>
          <w:lang w:val="en-US"/>
        </w:rPr>
        <w:t>.</w:t>
      </w:r>
    </w:p>
    <w:p w14:paraId="72F8CCD0" w14:textId="77777777" w:rsidR="004760A5" w:rsidRPr="004760A5" w:rsidRDefault="004760A5" w:rsidP="00A4101A">
      <w:pPr>
        <w:spacing w:line="240" w:lineRule="auto"/>
        <w:jc w:val="both"/>
        <w:rPr>
          <w:rFonts w:ascii="Times New Roman" w:hAnsi="Times New Roman" w:cs="Times New Roman"/>
          <w:lang w:val="en-US"/>
        </w:rPr>
      </w:pPr>
      <w:r w:rsidRPr="004760A5">
        <w:rPr>
          <w:rFonts w:ascii="Times New Roman" w:hAnsi="Times New Roman" w:cs="Times New Roman"/>
          <w:lang w:val="es-AR"/>
        </w:rPr>
        <w:lastRenderedPageBreak/>
        <w:t xml:space="preserve">Perrotta, D. (2016). </w:t>
      </w:r>
      <w:r w:rsidRPr="004760A5">
        <w:rPr>
          <w:rFonts w:ascii="Times New Roman" w:hAnsi="Times New Roman" w:cs="Times New Roman"/>
          <w:i/>
          <w:iCs/>
          <w:lang w:val="es-AR"/>
        </w:rPr>
        <w:t>La internacionalización de la universidad: debates globales, acciones regionales</w:t>
      </w:r>
      <w:r w:rsidRPr="004760A5">
        <w:rPr>
          <w:rFonts w:ascii="Times New Roman" w:hAnsi="Times New Roman" w:cs="Times New Roman"/>
          <w:lang w:val="es-AR"/>
        </w:rPr>
        <w:t xml:space="preserve">. </w:t>
      </w:r>
      <w:r w:rsidRPr="004760A5">
        <w:rPr>
          <w:rFonts w:ascii="Times New Roman" w:hAnsi="Times New Roman" w:cs="Times New Roman"/>
          <w:lang w:val="en-US"/>
        </w:rPr>
        <w:t xml:space="preserve">Los </w:t>
      </w:r>
      <w:proofErr w:type="spellStart"/>
      <w:r w:rsidRPr="004760A5">
        <w:rPr>
          <w:rFonts w:ascii="Times New Roman" w:hAnsi="Times New Roman" w:cs="Times New Roman"/>
          <w:lang w:val="en-US"/>
        </w:rPr>
        <w:t>Polvorines</w:t>
      </w:r>
      <w:proofErr w:type="spellEnd"/>
      <w:r w:rsidRPr="004760A5">
        <w:rPr>
          <w:rFonts w:ascii="Times New Roman" w:hAnsi="Times New Roman" w:cs="Times New Roman"/>
          <w:lang w:val="en-US"/>
        </w:rPr>
        <w:t xml:space="preserve">: IEC-UNGS. </w:t>
      </w:r>
    </w:p>
    <w:p w14:paraId="4DD63B2D" w14:textId="77777777" w:rsidR="004760A5" w:rsidRPr="004760A5" w:rsidRDefault="004760A5" w:rsidP="0092582C">
      <w:pPr>
        <w:spacing w:line="240" w:lineRule="auto"/>
        <w:jc w:val="both"/>
        <w:rPr>
          <w:rFonts w:ascii="Times New Roman" w:hAnsi="Times New Roman" w:cs="Times New Roman"/>
          <w:lang w:val="es-AR"/>
        </w:rPr>
      </w:pPr>
      <w:r w:rsidRPr="004760A5">
        <w:rPr>
          <w:rFonts w:ascii="Times New Roman" w:hAnsi="Times New Roman" w:cs="Times New Roman"/>
          <w:lang w:val="en-US"/>
        </w:rPr>
        <w:t xml:space="preserve">Perrotta, D. (2021). Universities and Covid-19 in Argentina: from community engagement to regulation. </w:t>
      </w:r>
      <w:proofErr w:type="spellStart"/>
      <w:r w:rsidRPr="004760A5">
        <w:rPr>
          <w:rFonts w:ascii="Times New Roman" w:hAnsi="Times New Roman" w:cs="Times New Roman"/>
          <w:i/>
          <w:iCs/>
          <w:lang w:val="es-AR"/>
        </w:rPr>
        <w:t>Studies</w:t>
      </w:r>
      <w:proofErr w:type="spellEnd"/>
      <w:r w:rsidRPr="004760A5">
        <w:rPr>
          <w:rFonts w:ascii="Times New Roman" w:hAnsi="Times New Roman" w:cs="Times New Roman"/>
          <w:i/>
          <w:iCs/>
          <w:lang w:val="es-AR"/>
        </w:rPr>
        <w:t xml:space="preserve"> in </w:t>
      </w:r>
      <w:proofErr w:type="spellStart"/>
      <w:r w:rsidRPr="004760A5">
        <w:rPr>
          <w:rFonts w:ascii="Times New Roman" w:hAnsi="Times New Roman" w:cs="Times New Roman"/>
          <w:i/>
          <w:iCs/>
          <w:lang w:val="es-AR"/>
        </w:rPr>
        <w:t>Higher</w:t>
      </w:r>
      <w:proofErr w:type="spellEnd"/>
      <w:r w:rsidRPr="004760A5">
        <w:rPr>
          <w:rFonts w:ascii="Times New Roman" w:hAnsi="Times New Roman" w:cs="Times New Roman"/>
          <w:i/>
          <w:iCs/>
          <w:lang w:val="es-AR"/>
        </w:rPr>
        <w:t xml:space="preserve"> </w:t>
      </w:r>
      <w:proofErr w:type="spellStart"/>
      <w:r w:rsidRPr="004760A5">
        <w:rPr>
          <w:rFonts w:ascii="Times New Roman" w:hAnsi="Times New Roman" w:cs="Times New Roman"/>
          <w:i/>
          <w:iCs/>
          <w:lang w:val="es-AR"/>
        </w:rPr>
        <w:t>Education</w:t>
      </w:r>
      <w:proofErr w:type="spellEnd"/>
      <w:r w:rsidRPr="004760A5">
        <w:rPr>
          <w:rFonts w:ascii="Times New Roman" w:hAnsi="Times New Roman" w:cs="Times New Roman"/>
          <w:lang w:val="es-AR"/>
        </w:rPr>
        <w:t>,</w:t>
      </w:r>
      <w:r w:rsidRPr="004760A5">
        <w:rPr>
          <w:rFonts w:ascii="Times New Roman" w:hAnsi="Times New Roman" w:cs="Times New Roman"/>
          <w:i/>
          <w:iCs/>
          <w:lang w:val="es-AR"/>
        </w:rPr>
        <w:t xml:space="preserve"> 46</w:t>
      </w:r>
      <w:r w:rsidRPr="004760A5">
        <w:rPr>
          <w:rFonts w:ascii="Times New Roman" w:hAnsi="Times New Roman" w:cs="Times New Roman"/>
          <w:lang w:val="es-AR"/>
        </w:rPr>
        <w:t xml:space="preserve">(1), 30-43. </w:t>
      </w:r>
    </w:p>
    <w:p w14:paraId="2EA911AE" w14:textId="77777777" w:rsidR="004760A5" w:rsidRPr="004760A5" w:rsidRDefault="004760A5" w:rsidP="007B5B5F">
      <w:pPr>
        <w:spacing w:line="240" w:lineRule="auto"/>
        <w:jc w:val="both"/>
        <w:rPr>
          <w:rFonts w:ascii="Times New Roman" w:hAnsi="Times New Roman" w:cs="Times New Roman"/>
        </w:rPr>
      </w:pPr>
      <w:r w:rsidRPr="004760A5">
        <w:rPr>
          <w:rFonts w:ascii="Times New Roman" w:hAnsi="Times New Roman" w:cs="Times New Roman"/>
          <w:lang w:val="en-US"/>
        </w:rPr>
        <w:t>Schmid, H.-J. (Ed.). (2017). </w:t>
      </w:r>
      <w:r w:rsidRPr="004760A5">
        <w:rPr>
          <w:rFonts w:ascii="Times New Roman" w:hAnsi="Times New Roman" w:cs="Times New Roman"/>
          <w:i/>
          <w:iCs/>
          <w:lang w:val="en-US"/>
        </w:rPr>
        <w:t>Entrenchment and the psychology of language learning: How we reorganize and adapt linguistic knowledge. </w:t>
      </w:r>
      <w:r w:rsidRPr="004760A5">
        <w:rPr>
          <w:rFonts w:ascii="Times New Roman" w:hAnsi="Times New Roman" w:cs="Times New Roman"/>
        </w:rPr>
        <w:t xml:space="preserve">American </w:t>
      </w:r>
      <w:proofErr w:type="spellStart"/>
      <w:r w:rsidRPr="004760A5">
        <w:rPr>
          <w:rFonts w:ascii="Times New Roman" w:hAnsi="Times New Roman" w:cs="Times New Roman"/>
        </w:rPr>
        <w:t>Psychological</w:t>
      </w:r>
      <w:proofErr w:type="spellEnd"/>
      <w:r w:rsidRPr="004760A5">
        <w:rPr>
          <w:rFonts w:ascii="Times New Roman" w:hAnsi="Times New Roman" w:cs="Times New Roman"/>
        </w:rPr>
        <w:t xml:space="preserve"> </w:t>
      </w:r>
      <w:proofErr w:type="spellStart"/>
      <w:r w:rsidRPr="004760A5">
        <w:rPr>
          <w:rFonts w:ascii="Times New Roman" w:hAnsi="Times New Roman" w:cs="Times New Roman"/>
        </w:rPr>
        <w:t>Association</w:t>
      </w:r>
      <w:proofErr w:type="spellEnd"/>
      <w:r w:rsidRPr="004760A5">
        <w:rPr>
          <w:rFonts w:ascii="Times New Roman" w:hAnsi="Times New Roman" w:cs="Times New Roman"/>
        </w:rPr>
        <w:t xml:space="preserve">; De </w:t>
      </w:r>
      <w:proofErr w:type="spellStart"/>
      <w:r w:rsidRPr="004760A5">
        <w:rPr>
          <w:rFonts w:ascii="Times New Roman" w:hAnsi="Times New Roman" w:cs="Times New Roman"/>
        </w:rPr>
        <w:t>Gruyter</w:t>
      </w:r>
      <w:proofErr w:type="spellEnd"/>
      <w:r w:rsidRPr="004760A5">
        <w:rPr>
          <w:rFonts w:ascii="Times New Roman" w:hAnsi="Times New Roman" w:cs="Times New Roman"/>
        </w:rPr>
        <w:t xml:space="preserve"> Mouton. </w:t>
      </w:r>
      <w:hyperlink r:id="rId9" w:history="1">
        <w:r w:rsidRPr="004760A5">
          <w:rPr>
            <w:rStyle w:val="Hipervnculo"/>
            <w:rFonts w:ascii="Times New Roman" w:hAnsi="Times New Roman" w:cs="Times New Roman"/>
          </w:rPr>
          <w:t>https://doi.org/10.1037/15969-000</w:t>
        </w:r>
      </w:hyperlink>
    </w:p>
    <w:p w14:paraId="2717FC01" w14:textId="77777777" w:rsidR="004760A5" w:rsidRPr="004760A5" w:rsidRDefault="004760A5" w:rsidP="007B5B5F">
      <w:pPr>
        <w:spacing w:line="240" w:lineRule="auto"/>
        <w:jc w:val="both"/>
        <w:rPr>
          <w:rFonts w:ascii="Times New Roman" w:hAnsi="Times New Roman" w:cs="Times New Roman"/>
          <w:lang w:val="en-US"/>
        </w:rPr>
      </w:pPr>
      <w:r w:rsidRPr="004760A5">
        <w:rPr>
          <w:rFonts w:ascii="Times New Roman" w:hAnsi="Times New Roman" w:cs="Times New Roman"/>
        </w:rPr>
        <w:t>Stapley, A. (2018). Liofilización. En J. A. Evans (Ed.), </w:t>
      </w:r>
      <w:r w:rsidRPr="004760A5">
        <w:rPr>
          <w:rFonts w:ascii="Times New Roman" w:hAnsi="Times New Roman" w:cs="Times New Roman"/>
          <w:i/>
          <w:iCs/>
        </w:rPr>
        <w:t>Ciencia y tecnología de los alimentos congelados </w:t>
      </w:r>
      <w:r w:rsidRPr="004760A5">
        <w:rPr>
          <w:rFonts w:ascii="Times New Roman" w:hAnsi="Times New Roman" w:cs="Times New Roman"/>
        </w:rPr>
        <w:t xml:space="preserve">(pp. 305-336). </w:t>
      </w:r>
      <w:proofErr w:type="spellStart"/>
      <w:r w:rsidRPr="004760A5">
        <w:rPr>
          <w:rFonts w:ascii="Times New Roman" w:hAnsi="Times New Roman" w:cs="Times New Roman"/>
          <w:lang w:val="en-US"/>
        </w:rPr>
        <w:t>Acribia</w:t>
      </w:r>
      <w:proofErr w:type="spellEnd"/>
      <w:r w:rsidRPr="004760A5">
        <w:rPr>
          <w:rFonts w:ascii="Times New Roman" w:hAnsi="Times New Roman" w:cs="Times New Roman"/>
          <w:lang w:val="en-US"/>
        </w:rPr>
        <w:t>.</w:t>
      </w:r>
    </w:p>
    <w:sectPr w:rsidR="004760A5" w:rsidRPr="004760A5"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501E" w14:textId="77777777" w:rsidR="00C51E2F" w:rsidRPr="00BA642E" w:rsidRDefault="00C51E2F" w:rsidP="00C802F5">
      <w:pPr>
        <w:spacing w:after="0" w:line="240" w:lineRule="auto"/>
      </w:pPr>
      <w:r w:rsidRPr="00BA642E">
        <w:separator/>
      </w:r>
    </w:p>
  </w:endnote>
  <w:endnote w:type="continuationSeparator" w:id="0">
    <w:p w14:paraId="2A75C74B" w14:textId="77777777" w:rsidR="00C51E2F" w:rsidRPr="00BA642E" w:rsidRDefault="00C51E2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8ED9" w14:textId="77777777" w:rsidR="00C51E2F" w:rsidRPr="00BA642E" w:rsidRDefault="00C51E2F" w:rsidP="00C802F5">
      <w:pPr>
        <w:spacing w:after="0" w:line="240" w:lineRule="auto"/>
      </w:pPr>
      <w:r w:rsidRPr="00BA642E">
        <w:separator/>
      </w:r>
    </w:p>
  </w:footnote>
  <w:footnote w:type="continuationSeparator" w:id="0">
    <w:p w14:paraId="7890C80D" w14:textId="77777777" w:rsidR="00C51E2F" w:rsidRPr="00BA642E" w:rsidRDefault="00C51E2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0706E"/>
    <w:rsid w:val="00437E9C"/>
    <w:rsid w:val="004760A5"/>
    <w:rsid w:val="00550766"/>
    <w:rsid w:val="005F3B2E"/>
    <w:rsid w:val="00701F64"/>
    <w:rsid w:val="007B5B5F"/>
    <w:rsid w:val="007D233B"/>
    <w:rsid w:val="00833BBD"/>
    <w:rsid w:val="0085070B"/>
    <w:rsid w:val="0092582C"/>
    <w:rsid w:val="009A6488"/>
    <w:rsid w:val="00A17247"/>
    <w:rsid w:val="00A4101A"/>
    <w:rsid w:val="00BA642E"/>
    <w:rsid w:val="00BC236F"/>
    <w:rsid w:val="00C51E2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1clara-nfasis1">
    <w:name w:val="Grid Table 1 Light Accent 1"/>
    <w:basedOn w:val="Tablanormal"/>
    <w:uiPriority w:val="46"/>
    <w:rsid w:val="0092582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674/ess.v34i1.57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54674/ess.v34i1.52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61203/2347-0658.v9.n2.29556"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1037/15969-0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10774</Words>
  <Characters>59261</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Daniela Perrotta</cp:lastModifiedBy>
  <cp:revision>4</cp:revision>
  <dcterms:created xsi:type="dcterms:W3CDTF">2026-07-12T20:14:00Z</dcterms:created>
  <dcterms:modified xsi:type="dcterms:W3CDTF">2026-07-12T20:34:00Z</dcterms:modified>
</cp:coreProperties>
</file>