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61BB" w14:textId="77777777" w:rsidR="0054507B" w:rsidRPr="008B15B7" w:rsidRDefault="0054507B" w:rsidP="0054507B">
      <w:pPr>
        <w:jc w:val="center"/>
      </w:pPr>
      <w:r w:rsidRPr="008B15B7">
        <w:rPr>
          <w:b/>
          <w:bCs/>
        </w:rPr>
        <w:t>SISTEMA ARGENTINO DE CRÉDITOS ACADÉMICOS UNIVERSITARIOS (SACAU): REPRESENTACIONES DOCENTES SOBRE EL CAMBIO CURRICULAR EN EL CONTEXTO DE SU IMPLEMENTACIÓN</w:t>
      </w:r>
    </w:p>
    <w:p w14:paraId="43C49479" w14:textId="77777777" w:rsidR="005F3B2E" w:rsidRPr="00BA642E" w:rsidRDefault="005F3B2E" w:rsidP="001923DC">
      <w:pPr>
        <w:jc w:val="center"/>
        <w:rPr>
          <w:rFonts w:ascii="Times New Roman" w:hAnsi="Times New Roman" w:cs="Times New Roman"/>
        </w:rPr>
      </w:pPr>
    </w:p>
    <w:p w14:paraId="58789EF6" w14:textId="77777777" w:rsidR="0054507B" w:rsidRDefault="0054507B" w:rsidP="0054507B">
      <w:pPr>
        <w:spacing w:after="0"/>
        <w:jc w:val="right"/>
      </w:pPr>
      <w:r w:rsidRPr="0054507B">
        <w:t xml:space="preserve">Sager, Carolina </w:t>
      </w:r>
      <w:r w:rsidRPr="0054507B">
        <w:br/>
        <w:t>Universidad Nacional de Rosario/Universidad Tecnológica Nacional</w:t>
      </w:r>
    </w:p>
    <w:p w14:paraId="10C5D6A9" w14:textId="5780CD8F" w:rsidR="0054507B" w:rsidRDefault="0054507B" w:rsidP="0054507B">
      <w:pPr>
        <w:spacing w:after="0"/>
        <w:jc w:val="right"/>
      </w:pPr>
      <w:hyperlink r:id="rId6" w:history="1">
        <w:r w:rsidRPr="00516C48">
          <w:rPr>
            <w:rStyle w:val="Hipervnculo"/>
          </w:rPr>
          <w:t>carolinasager24@gmail.com</w:t>
        </w:r>
      </w:hyperlink>
    </w:p>
    <w:p w14:paraId="2833A40E" w14:textId="77777777" w:rsidR="0054507B" w:rsidRPr="0054507B" w:rsidRDefault="0054507B" w:rsidP="0054507B">
      <w:pPr>
        <w:spacing w:after="0"/>
        <w:jc w:val="right"/>
      </w:pPr>
    </w:p>
    <w:p w14:paraId="45882AD1" w14:textId="77777777" w:rsidR="0054507B" w:rsidRDefault="0054507B" w:rsidP="0054507B">
      <w:pPr>
        <w:spacing w:after="0"/>
        <w:jc w:val="right"/>
      </w:pPr>
      <w:r w:rsidRPr="0054507B">
        <w:t>Saldivar, Débora Solange</w:t>
      </w:r>
      <w:r w:rsidRPr="0054507B">
        <w:br/>
      </w:r>
      <w:proofErr w:type="spellStart"/>
      <w:r w:rsidRPr="0054507B">
        <w:t>UNaM</w:t>
      </w:r>
      <w:proofErr w:type="spellEnd"/>
      <w:r w:rsidRPr="0054507B">
        <w:t>-Facultad de Humanidades y Ciencias Sociales</w:t>
      </w:r>
    </w:p>
    <w:p w14:paraId="7AAEB043" w14:textId="46098AE9" w:rsidR="0054507B" w:rsidRPr="0054507B" w:rsidRDefault="0054507B" w:rsidP="0054507B">
      <w:pPr>
        <w:spacing w:after="0"/>
        <w:jc w:val="right"/>
      </w:pPr>
      <w:r>
        <w:t>dssaldivar@fhycs.unam.edu.ar</w:t>
      </w:r>
    </w:p>
    <w:p w14:paraId="469BC59B" w14:textId="77777777" w:rsidR="0054507B" w:rsidRDefault="0054507B" w:rsidP="0054507B">
      <w:pPr>
        <w:spacing w:line="240" w:lineRule="auto"/>
        <w:jc w:val="both"/>
        <w:rPr>
          <w:rFonts w:ascii="Times New Roman" w:hAnsi="Times New Roman" w:cs="Times New Roman"/>
          <w:b/>
          <w:bCs/>
          <w:lang w:val="es-AR"/>
        </w:rPr>
      </w:pPr>
    </w:p>
    <w:p w14:paraId="7C93FF42" w14:textId="1250F38B" w:rsidR="0054507B" w:rsidRPr="0054507B" w:rsidRDefault="00BA642E" w:rsidP="0054507B">
      <w:pPr>
        <w:spacing w:line="240" w:lineRule="auto"/>
        <w:jc w:val="both"/>
        <w:rPr>
          <w:rFonts w:ascii="Times New Roman" w:hAnsi="Times New Roman" w:cs="Times New Roman"/>
          <w:lang w:val="es-AR"/>
        </w:rPr>
      </w:pPr>
      <w:r w:rsidRPr="0054507B">
        <w:rPr>
          <w:rFonts w:ascii="Times New Roman" w:hAnsi="Times New Roman" w:cs="Times New Roman"/>
          <w:b/>
          <w:bCs/>
          <w:lang w:val="es-AR"/>
        </w:rPr>
        <w:t>Resumen:</w:t>
      </w:r>
      <w:r w:rsidR="007B5B5F" w:rsidRPr="0054507B">
        <w:rPr>
          <w:rFonts w:ascii="Times New Roman" w:hAnsi="Times New Roman" w:cs="Times New Roman"/>
          <w:b/>
          <w:bCs/>
          <w:lang w:val="es-AR"/>
        </w:rPr>
        <w:t xml:space="preserve"> </w:t>
      </w:r>
      <w:r w:rsidR="0054507B" w:rsidRPr="0054507B">
        <w:rPr>
          <w:rFonts w:ascii="Times New Roman" w:hAnsi="Times New Roman" w:cs="Times New Roman"/>
          <w:lang w:val="es-AR"/>
        </w:rPr>
        <w:t>El trabajo se propone explorar las representaciones que los y las docentes de la universidad construyen en torno al Sistema Argentino de Créditos Académicos Universitarios (SACAU) en el contexto de su implementación progresiva en distintas universidades nacionales. A partir de una reconstrucción conceptual y normativa del proceso de instalación del sistema en el período 2024–2025, el estudio busca abrir el análisis hacia el modo en que esta política curricular es interpretada y resignificada en el plano de las prácticas docentes.</w:t>
      </w:r>
    </w:p>
    <w:p w14:paraId="54B490FE"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este sentido, y tomando como marco los aportes de los estudios sobre implementación de políticas educativas y representaciones sociales, se indagan los sentidos que los docentes atribuyen al SACAU, particularmente en relación con su dimensión pedagógico-didáctica. Desde esta perspectiva, el trabajo parte del supuesto de que la introducción del sistema de créditos no constituye únicamente una modificación administrativa de los planes de estudio, sino que implica un cambio en la forma de concebir la planificación de la enseñanza, el tiempo de trabajo del estudiante y la organización de las trayectorias formativas. En consecuencia, el análisis se orienta a comprender cómo una política curricular reciente es interpretada por quienes ocupan un lugar central en su puesta en marcha y en la reconfiguración de las prácticas académicas.</w:t>
      </w:r>
    </w:p>
    <w:p w14:paraId="2E2B509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El estudio se desarrolla a partir de un diseño exploratorio de corte transversal basado en la aplicación de una encuesta autoadministrada dirigida a docentes universitarios. El relevamiento se realiza entre marzo y junio de 2026 en dos universidades públicas argentinas, seleccionadas con el propósito de observar la circulación e interpretación de esta política curricular en distintos contextos institucionales. El instrumento se estructura en torno a cuatro dimensiones analíticas: conocimiento de la política, representación del cambio pedagógico, percepción de impacto en la práctica docente y valoración general del SACAU. Asimismo, el cuestionario incorpora preguntas abiertas orientadas a captar interpretaciones, inquietudes y expectativas frente a la futura implementación del sistema. Este abordaje se complementa con un análisis histórico-documental que permite </w:t>
      </w:r>
      <w:r w:rsidRPr="0054507B">
        <w:rPr>
          <w:rFonts w:ascii="Times New Roman" w:hAnsi="Times New Roman" w:cs="Times New Roman"/>
          <w:lang w:val="es-AR"/>
        </w:rPr>
        <w:lastRenderedPageBreak/>
        <w:t>contextualizar el proceso de institucionalización del SACAU en el sistema universitario argentino.</w:t>
      </w:r>
    </w:p>
    <w:p w14:paraId="4EBF956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análisis del material empírico busca identificar diferentes modos de interpretación del sistema de créditos, así como posibles tensiones en torno a su carácter pedagógico, administrativo y organizacional. En este marco, se procura observar cómo las representaciones docentes expresan distintos niveles de conocimiento sobre la política y diversas formas de comprender su potencial impacto en la planificación de la enseñanza, en la organización de las trayectorias estudiantiles y en la redefinición del trabajo académico.</w:t>
      </w:r>
    </w:p>
    <w:p w14:paraId="049CCE1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Finalmente, el trabajo propone considerar el estudio de las representaciones como una vía relevante para comprender cómo las reformas curriculares se procesan en el nivel de las prácticas universitarias. Desde esta perspectiva, analizar las interpretaciones que se construyen en torno al SACAU permite iluminar los modos en que las políticas educativas son apropiadas, discutidas y resignificadas en el interior del campo académico, aportando elementos para comprender los procesos contemporáneos de transformación de la educación superior en Argentina. </w:t>
      </w:r>
    </w:p>
    <w:p w14:paraId="2994BAB3" w14:textId="120962A9" w:rsidR="00BA642E" w:rsidRPr="007B5B5F" w:rsidRDefault="00BA642E" w:rsidP="0054507B">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54507B" w:rsidRPr="0054507B">
        <w:rPr>
          <w:rFonts w:ascii="Times New Roman" w:hAnsi="Times New Roman" w:cs="Times New Roman"/>
        </w:rPr>
        <w:t>Sistema Argentino de Créditos Académicos Universitarios (SACAU) - Representaciones docentes - Políticas curriculares</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049287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El Sistema Argentino de Créditos Académicos Universitarios (SACAU) constituye una de las transformaciones curriculares más significativas impulsadas recientemente en el sistema universitario argentino. Su creación se formalizó mediante la Resolución Ministerial </w:t>
      </w:r>
      <w:proofErr w:type="spellStart"/>
      <w:r w:rsidRPr="0054507B">
        <w:rPr>
          <w:rFonts w:ascii="Times New Roman" w:hAnsi="Times New Roman" w:cs="Times New Roman"/>
          <w:lang w:val="es-AR"/>
        </w:rPr>
        <w:t>Nº</w:t>
      </w:r>
      <w:proofErr w:type="spellEnd"/>
      <w:r w:rsidRPr="0054507B">
        <w:rPr>
          <w:rFonts w:ascii="Times New Roman" w:hAnsi="Times New Roman" w:cs="Times New Roman"/>
          <w:lang w:val="es-AR"/>
        </w:rPr>
        <w:t xml:space="preserve"> 2598/2023 y fue posteriormente modificada por la Resolución </w:t>
      </w:r>
      <w:proofErr w:type="spellStart"/>
      <w:r w:rsidRPr="0054507B">
        <w:rPr>
          <w:rFonts w:ascii="Times New Roman" w:hAnsi="Times New Roman" w:cs="Times New Roman"/>
          <w:lang w:val="es-AR"/>
        </w:rPr>
        <w:t>Nº</w:t>
      </w:r>
      <w:proofErr w:type="spellEnd"/>
      <w:r w:rsidRPr="0054507B">
        <w:rPr>
          <w:rFonts w:ascii="Times New Roman" w:hAnsi="Times New Roman" w:cs="Times New Roman"/>
          <w:lang w:val="es-AR"/>
        </w:rPr>
        <w:t xml:space="preserve"> 556/2025 de la Secretaría de Educación, normativa actualmente vigente. Sin embargo, la emergencia del SACAU no puede comprenderse únicamente a partir de estas disposiciones normativas, sino como el resultado de un proceso de discusión y construcción colectiva desarrollado durante varios años en el seno del sistema universitario argentino. </w:t>
      </w:r>
    </w:p>
    <w:p w14:paraId="01A2599E"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Para comenzar, es importante resaltar que el surgimiento del (SACAU) se apoyó en una serie de diagnósticos producidos por el propio sistema universitario argentino. Entre ellos se destacan la persistente brecha entre la duración teórica y la duración real de las carreras, las dificultades de permanencia y graduación, la creciente heterogeneidad del estudiantado y la necesidad de flexibilizar las trayectorias formativas y fortalecer los mecanismos de reconocimiento académico (Consejo Interuniversitario Nacional, 2023; Departamento de Información Universitaria, 2021; Ministerio de Educación &amp; Consejo Interuniversitario Nacional, 2021). En este sentido, Pérez Rasetti (2025) señala que la política no constituye una iniciativa exclusiva de la actual gestión gubernamental, sino que fue “la concreción de una política pública iniciada en diciembre de 2021 en el gobierno del Frente de Todos, con un acuerdo entre el Ministerio de Educación, la Secretaría de Políticas Universitarias y el Consejo Interuniversitario Nacional (CIN) para impulsar un conjunto de iniciativas para el sistema universitario” (Rasetti, 2025, pp. 130-131). </w:t>
      </w:r>
    </w:p>
    <w:p w14:paraId="4C54A39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lastRenderedPageBreak/>
        <w:t>En este contexto, el SACAU se propone como una herramienta orientada a favorecer la flexibilización curricular, el reconocimiento de trayectorias formativas y la movilidad estudiantil entre instituciones universitarias. La Resolución 556/2025 define al Crédito de Referencia del Estudiante (CRE) como “la unidad de tiempo total de trabajo académico que estimativamente dedican los estudiantes para alcanzar los objetivos formativos de cada una de las unidades y/o actividades curriculares que componen el plan de estudios.” (Secretaría de Educación, 2025, art. 2). A diferencia de los modelos tradicionales basados exclusivamente en la carga horaria presencial, el CRE incorpora tanto las horas de interacción pedagógica entre docentes y estudiantes como el tiempo destinado al estudio autónomo, las prácticas, la investigación y las actividades de extensión.</w:t>
      </w:r>
    </w:p>
    <w:p w14:paraId="6614C39A"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La incorporación del trabajo autónomo estudiantil constituye uno de los principales desplazamientos conceptuales introducidos por el sistema. Como señalan </w:t>
      </w:r>
      <w:proofErr w:type="spellStart"/>
      <w:r w:rsidRPr="0054507B">
        <w:rPr>
          <w:rFonts w:ascii="Times New Roman" w:hAnsi="Times New Roman" w:cs="Times New Roman"/>
          <w:lang w:val="es-AR"/>
        </w:rPr>
        <w:t>Doulián</w:t>
      </w:r>
      <w:proofErr w:type="spellEnd"/>
      <w:r w:rsidRPr="0054507B">
        <w:rPr>
          <w:rFonts w:ascii="Times New Roman" w:hAnsi="Times New Roman" w:cs="Times New Roman"/>
          <w:lang w:val="es-AR"/>
        </w:rPr>
        <w:t xml:space="preserve"> y Terigi (2025), el SACAU propone “visibilizar el trabajo autónomo estudiantil”, reconociendo que los procesos de aprendizaje universitario exceden ampliamente la asistencia a clases presenciales (p. 2). Desde esta perspectiva, el crédito académico deja de ser concebido únicamente como una equivalencia horaria para transformarse en una medida del esfuerzo académico </w:t>
      </w:r>
      <w:proofErr w:type="gramStart"/>
      <w:r w:rsidRPr="0054507B">
        <w:rPr>
          <w:rFonts w:ascii="Times New Roman" w:hAnsi="Times New Roman" w:cs="Times New Roman"/>
          <w:lang w:val="es-AR"/>
        </w:rPr>
        <w:t>integral requerido</w:t>
      </w:r>
      <w:proofErr w:type="gramEnd"/>
      <w:r w:rsidRPr="0054507B">
        <w:rPr>
          <w:rFonts w:ascii="Times New Roman" w:hAnsi="Times New Roman" w:cs="Times New Roman"/>
          <w:lang w:val="es-AR"/>
        </w:rPr>
        <w:t xml:space="preserve"> para alcanzar determinados resultados de aprendizaje.</w:t>
      </w:r>
    </w:p>
    <w:p w14:paraId="45A0D7E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La normativa vigente establece, además, que cada crédito debe equivaler a entre 25 y 30 horas de trabajo académico total y dispone una referencia de 60 créditos anuales para la organización de los planes de estudio (Secretaría de Educación, 2025). No obstante, se advierte que el sistema de créditos no debe ser interpretado exclusivamente como un instrumento técnico o administrativo. </w:t>
      </w:r>
      <w:proofErr w:type="spellStart"/>
      <w:r w:rsidRPr="0054507B">
        <w:rPr>
          <w:rFonts w:ascii="Times New Roman" w:hAnsi="Times New Roman" w:cs="Times New Roman"/>
          <w:lang w:val="es-AR"/>
        </w:rPr>
        <w:t>Doulián</w:t>
      </w:r>
      <w:proofErr w:type="spellEnd"/>
      <w:r w:rsidRPr="0054507B">
        <w:rPr>
          <w:rFonts w:ascii="Times New Roman" w:hAnsi="Times New Roman" w:cs="Times New Roman"/>
          <w:lang w:val="es-AR"/>
        </w:rPr>
        <w:t xml:space="preserve"> y Terigi (2025) sostienen que el SACAU constituye una política curricular atravesada por dimensiones pedagógicas, políticas e institucionales, por lo que su implementación no puede reducirse a “una lógica de cuantificación mecánica” (p. 2). Las autoras marcan que el riesgo de limitar la reforma a una mera adecuación formal de los planes de estudio podría desvirtuar sus potencialidades para promover transformaciones pedagógicas más profundas. </w:t>
      </w:r>
    </w:p>
    <w:p w14:paraId="468723B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Las discusiones en torno al SACAU también han dado lugar a diferentes posicionamientos dentro del campo universitario. Mientras algunos sectores destacan su potencial para transparentar la carga académica real, favorecer trayectorias más flexibles y contribuir a la democratización del acceso y el egreso (</w:t>
      </w:r>
      <w:proofErr w:type="spellStart"/>
      <w:r w:rsidRPr="0054507B">
        <w:rPr>
          <w:rFonts w:ascii="Times New Roman" w:hAnsi="Times New Roman" w:cs="Times New Roman"/>
          <w:lang w:val="es-AR"/>
        </w:rPr>
        <w:t>Spasiuk</w:t>
      </w:r>
      <w:proofErr w:type="spellEnd"/>
      <w:r w:rsidRPr="0054507B">
        <w:rPr>
          <w:rFonts w:ascii="Times New Roman" w:hAnsi="Times New Roman" w:cs="Times New Roman"/>
          <w:lang w:val="es-AR"/>
        </w:rPr>
        <w:t xml:space="preserve">, 2025) otros expresan preocupaciones vinculadas con posibles procesos de mercantilización de la educación superior, la importación acrítica de modelos internacionales o la reducción de la duración de las carreras sin una discusión pedagógica sustantiva (ANFHE, 2025). A estas tensiones se suma el particular contexto político e institucional en el que comenzó a implementarse la política. Como señala Pérez Rasetti (2025), el SACAU fue concebido y aprobado en un escenario político diferente de aquel en el que comenzó efectivamente a discutirse e implementarse en las universidades. Este desacople entre el contexto de formulación y el de implementación habría incidido en la recepción de la política, en un escenario caracterizado por la reducción de las capacidades estatales de acompañamiento técnico e institucional. En consecuencia, gran parte de las discusiones, incertidumbres y prevenciones en torno al sistema de créditos han debido ser procesadas principalmente </w:t>
      </w:r>
      <w:r w:rsidRPr="0054507B">
        <w:rPr>
          <w:rFonts w:ascii="Times New Roman" w:hAnsi="Times New Roman" w:cs="Times New Roman"/>
          <w:lang w:val="es-AR"/>
        </w:rPr>
        <w:lastRenderedPageBreak/>
        <w:t xml:space="preserve">por las propias universidades, que asumieron un papel importante en la generación de espacios de debate, formación e intercambio sobre la implementación del SACAU (Pérez Rasetti, 2025). </w:t>
      </w:r>
    </w:p>
    <w:p w14:paraId="4971EDCF"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Esta perspectiva supone comprender que las políticas públicas no se implementan de manera lineal ni automática, sino que son permanentemente reinterpretadas por los actores que participan en los distintos contextos de su producción y puesta en práctica. Desde el enfoque de Ball (2002), las políticas son objeto de procesos continuos de traducción, negociación y resignificación, en los que intervienen no sólo las autoridades gubernamentales y universitarias, sino también docentes, estudiantes, medios de comunicación, organismos internacionales, empresas y múltiples actores más. </w:t>
      </w:r>
    </w:p>
    <w:p w14:paraId="32BCFF3C" w14:textId="77777777" w:rsidR="0054507B" w:rsidRPr="0054507B" w:rsidRDefault="0054507B" w:rsidP="0054507B">
      <w:pPr>
        <w:spacing w:line="240" w:lineRule="auto"/>
        <w:jc w:val="both"/>
        <w:rPr>
          <w:rFonts w:ascii="Times New Roman" w:hAnsi="Times New Roman" w:cs="Times New Roman"/>
          <w:lang w:val="es-AR"/>
        </w:rPr>
      </w:pPr>
    </w:p>
    <w:p w14:paraId="17985CE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Representaciones sociales y construcción de sentidos sobre las políticas educativas</w:t>
      </w:r>
    </w:p>
    <w:p w14:paraId="4B30643B"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Como ya se ha expresado, la implementación de nuevas políticas curriculares en la universidad no puede comprenderse exclusivamente a partir de sus definiciones normativas ni de los cambios formales que introducen en los planes de estudio. Su incorporación efectiva se encuentra mediada por los modos en que los distintos actores interpretan, valoran y atribuyen significado a dichas transformaciones. En este sentido, el estudio de las representaciones sociales constituye una perspectiva pertinente para analizar cómo los docentes comprenden y resignifican propuestas de cambio como el SACAU.</w:t>
      </w:r>
    </w:p>
    <w:p w14:paraId="1A81F743"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Desde los aportes de Moscovici (1979), las representaciones sociales pueden entenderse como formas de conocimiento socialmente elaboradas que permiten a los sujetos interpretar la realidad, orientarse en ella y comunicarse con otros. Posteriormente, Jodelet (1986) profundizó esta perspectiva al definirlas como modalidades de conocimiento práctico que emergen en la interacción social y que contribuyen a la construcción de una realidad compartida. Desde esta mirada, las representaciones no constituyen simples opiniones individuales ni reproducciones mecánicas de discursos externos, sino sistemas de significados construidos colectivamente a partir de experiencias, trayectorias, prácticas e intercambios sociales.</w:t>
      </w:r>
    </w:p>
    <w:p w14:paraId="06F7984A"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Diversos estudios desarrollados en el ámbito universitario han señalado que las representaciones sociales permiten comprender cómo los actores interpretan fenómenos vinculados con la educación superior y organizan sus prácticas en función de dichos significados. Arancibia, Rodríguez, Fritis, Tenorio y Poblete (2013) sostienen que las representaciones se configuran a partir de las condiciones de vida, las experiencias y los contextos en los que se desarrollan los sujetos, constituyéndose en marcos de referencia desde los cuales interpretan la realidad social y educativa. En consecuencia, las representaciones no sólo expresan formas de conocimiento, sino también modos de comprender e intervenir sobre situaciones concretas.</w:t>
      </w:r>
    </w:p>
    <w:p w14:paraId="639A054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En el ámbito universitario, estas construcciones adquieren particular relevancia porque intervienen en la manera en que los docentes interpretan las políticas educativas y las vinculan con sus prácticas cotidianas. Las concepciones sobre la enseñanza, el </w:t>
      </w:r>
      <w:r w:rsidRPr="0054507B">
        <w:rPr>
          <w:rFonts w:ascii="Times New Roman" w:hAnsi="Times New Roman" w:cs="Times New Roman"/>
          <w:lang w:val="es-AR"/>
        </w:rPr>
        <w:lastRenderedPageBreak/>
        <w:t>aprendizaje, la evaluación, el conocimiento o el propio rol docente operan como marcos desde los cuales se evalúan, aceptan, cuestionan o resignifican las propuestas de reforma. Desde esta perspectiva, el interés no radica exclusivamente en determinar cuánto conocen los docentes acerca de una determinada política, sino en comprender qué sentidos le atribuyen y cómo articulan esos significados con sus experiencias profesionales.</w:t>
      </w:r>
    </w:p>
    <w:p w14:paraId="26C9700D"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Por su parte, </w:t>
      </w:r>
      <w:proofErr w:type="spellStart"/>
      <w:r w:rsidRPr="0054507B">
        <w:rPr>
          <w:rFonts w:ascii="Times New Roman" w:hAnsi="Times New Roman" w:cs="Times New Roman"/>
          <w:lang w:val="es-AR"/>
        </w:rPr>
        <w:t>Abric</w:t>
      </w:r>
      <w:proofErr w:type="spellEnd"/>
      <w:r w:rsidRPr="0054507B">
        <w:rPr>
          <w:rFonts w:ascii="Times New Roman" w:hAnsi="Times New Roman" w:cs="Times New Roman"/>
          <w:lang w:val="es-AR"/>
        </w:rPr>
        <w:t xml:space="preserve"> (2001) plantea que toda representación social se organiza en torno a un núcleo central y un sistema periférico. Mientras el núcleo reúne aquellos elementos más estables y consensuados, vinculados con los valores y significados compartidos por un grupo, los elementos periféricos presentan mayor flexibilidad y permiten la adaptación frente a situaciones nuevas. Esta distinción resulta especialmente útil para pensar los procesos de innovación curricular, en tanto las reformas educativas suelen introducir modificaciones en aspectos operativos de la enseñanza que pueden entrar en tensión con concepciones profundamente arraigadas acerca de qué significa enseñar, aprender o ejercer la docencia universitaria.</w:t>
      </w:r>
    </w:p>
    <w:p w14:paraId="18DC74D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Desde este punto de vista, el presente estudio se interesa por las representaciones que los docentes construyen en torno al SACAU, entendiendo que dichas interpretaciones constituyen una vía de acceso para comprender cómo una política curricular reciente comienza a ser apropiada, discutida y dotada de sentido en el ámbito universitario.</w:t>
      </w:r>
    </w:p>
    <w:p w14:paraId="5C7B5F4E" w14:textId="77777777" w:rsidR="0054507B" w:rsidRPr="0054507B" w:rsidRDefault="0054507B" w:rsidP="0054507B">
      <w:pPr>
        <w:spacing w:line="240" w:lineRule="auto"/>
        <w:jc w:val="both"/>
        <w:rPr>
          <w:rFonts w:ascii="Times New Roman" w:hAnsi="Times New Roman" w:cs="Times New Roman"/>
          <w:lang w:val="es-AR"/>
        </w:rPr>
      </w:pPr>
    </w:p>
    <w:p w14:paraId="04040F3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Desarrollo</w:t>
      </w:r>
    </w:p>
    <w:p w14:paraId="2AC7E58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presente trabajo se realizó sobre la base de un estudio exploratorio de corte transversal orientado a indagar las representaciones que los docentes universitarios construyen en torno SACAU en una etapa previa a su implementación plena. Este tipo de abordaje resulta pertinente en contextos donde los fenómenos estudiados han sido escasamente investigados o cuando se busca obtener una primera aproximación a las interpretaciones y significados construidos por los actores involucrados.</w:t>
      </w:r>
    </w:p>
    <w:p w14:paraId="51BD4941"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relevamiento se realizó entre los meses de marzo y junio de 2026 mediante la aplicación de una encuesta autoadministrada en formato digital dirigida a docentes de universidades públicas argentinas. La participación fue voluntaria y anónima, garantizándose la confidencialidad de la información suministrada.</w:t>
      </w:r>
    </w:p>
    <w:p w14:paraId="65B01AF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instrumento fue diseñado específicamente para este estudio y se estructuró en cuatro dimensiones de análisis. La primera estuvo orientada a relevar información general de los participantes, incluyendo aspectos vinculados con su trayectoria docente y pertenencia institucional. La segunda indagó el nivel de conocimiento y familiaridad con el SACAU. La tercera se centró en las interpretaciones construidas en torno a los posibles cambios pedagógicos asociados a su implementación. Finalmente, la cuarta dimensión abordó las percepciones sobre el impacto que esta política podría tener en las prácticas docentes, así como las principales expectativas, inquietudes y desafíos identificados por los participantes.</w:t>
      </w:r>
    </w:p>
    <w:p w14:paraId="3006E266"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lastRenderedPageBreak/>
        <w:t>Las preguntas combinaron opciones de respuesta cerrada y abierta. Mientras las primeras permitieron identificar tendencias generales en relación con el conocimiento y valoración del sistema, las segundas posibilitaron recuperar apreciaciones, argumentos y sentidos construidos por los docentes frente a esta política curricular.</w:t>
      </w:r>
    </w:p>
    <w:p w14:paraId="1328422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análisis se desarrolló a partir de una estrategia descriptiva. En el caso de las preguntas cerradas se realizó un procesamiento de frecuencias y porcentajes, mientras que las respuestas abiertas fueron examinadas mediante una lectura analítica orientada a identificar temas recurrentes, preocupaciones compartidas y formas predominantes de interpretar el SACAU. En consonancia con el carácter exploratorio del estudio, el interés no estuvo puesto en la generalización de los resultados, sino en la identificación de tendencias y significados emergentes que permitan aproximarse a la manera en que los docentes comienzan a comprender y valorar esta política en el contexto universitario argentino.</w:t>
      </w:r>
    </w:p>
    <w:p w14:paraId="0A7E25D0" w14:textId="77777777" w:rsidR="0054507B" w:rsidRPr="0054507B" w:rsidRDefault="0054507B" w:rsidP="0054507B">
      <w:pPr>
        <w:spacing w:line="240" w:lineRule="auto"/>
        <w:jc w:val="both"/>
        <w:rPr>
          <w:rFonts w:ascii="Times New Roman" w:hAnsi="Times New Roman" w:cs="Times New Roman"/>
          <w:lang w:val="es-AR"/>
        </w:rPr>
      </w:pPr>
    </w:p>
    <w:p w14:paraId="247D6206"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Presentación de las universidades y características de la muestra </w:t>
      </w:r>
    </w:p>
    <w:p w14:paraId="79264243"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estudio exploratorio se sostiene sobre un corpus de 311 encuestas autoadministradas, respondidas por docentes pertenecientes a universidades nacionales argentinas. En total, se registraron respuestas de 24 instituciones, lo que permitió reunir un conjunto amplio y diverso de experiencias docentes provenientes de distintas regiones del país y de universidades con características organizacionales, dimensiones y trayectorias diferentes.</w:t>
      </w:r>
    </w:p>
    <w:p w14:paraId="4BC90C7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 distribución de la muestra se vincula con la estrategia de circulación del instrumento, basada principalmente en los espacios de trabajo y pertenencia institucional de las autoras. En este marco, la Universidad Nacional de Rosario (UNR) y la Universidad Nacional de Misiones (</w:t>
      </w:r>
      <w:proofErr w:type="spellStart"/>
      <w:r w:rsidRPr="0054507B">
        <w:rPr>
          <w:rFonts w:ascii="Times New Roman" w:hAnsi="Times New Roman" w:cs="Times New Roman"/>
          <w:lang w:val="es-AR"/>
        </w:rPr>
        <w:t>UNaM</w:t>
      </w:r>
      <w:proofErr w:type="spellEnd"/>
      <w:r w:rsidRPr="0054507B">
        <w:rPr>
          <w:rFonts w:ascii="Times New Roman" w:hAnsi="Times New Roman" w:cs="Times New Roman"/>
          <w:lang w:val="es-AR"/>
        </w:rPr>
        <w:t>) concentraron la mayor parte de las respuestas, dado que el relevamiento se difundió principalmente a través de sus redes personales y académicas, lo que favoreció la participación de docentes de distintas áreas y trayectorias.</w:t>
      </w:r>
    </w:p>
    <w:p w14:paraId="7AF0CC8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Del total de encuestas obtenidas, 147 corresponden a docentes que se desempeñan en la UNR y 140 a docentes de la </w:t>
      </w:r>
      <w:proofErr w:type="spellStart"/>
      <w:r w:rsidRPr="0054507B">
        <w:rPr>
          <w:rFonts w:ascii="Times New Roman" w:hAnsi="Times New Roman" w:cs="Times New Roman"/>
          <w:lang w:val="es-AR"/>
        </w:rPr>
        <w:t>UNaM</w:t>
      </w:r>
      <w:proofErr w:type="spellEnd"/>
      <w:r w:rsidRPr="0054507B">
        <w:rPr>
          <w:rFonts w:ascii="Times New Roman" w:hAnsi="Times New Roman" w:cs="Times New Roman"/>
          <w:lang w:val="es-AR"/>
        </w:rPr>
        <w:t xml:space="preserve">. Las 24 respuestas restantes fueron agrupadas bajo la categoría “otras universidades nacionales”. A los fines de esta sistematización, el análisis descriptivo se focaliza en la submuestra conformada por la UNR y la </w:t>
      </w:r>
      <w:proofErr w:type="spellStart"/>
      <w:r w:rsidRPr="0054507B">
        <w:rPr>
          <w:rFonts w:ascii="Times New Roman" w:hAnsi="Times New Roman" w:cs="Times New Roman"/>
          <w:lang w:val="es-AR"/>
        </w:rPr>
        <w:t>UNaM</w:t>
      </w:r>
      <w:proofErr w:type="spellEnd"/>
      <w:r w:rsidRPr="0054507B">
        <w:rPr>
          <w:rFonts w:ascii="Times New Roman" w:hAnsi="Times New Roman" w:cs="Times New Roman"/>
          <w:lang w:val="es-AR"/>
        </w:rPr>
        <w:t>, integrada por 287 respuestas, en tanto su peso relativo permite una caracterización más detallada de estas comunidades académicas sin desconocer la participación del resto de las instituciones.</w:t>
      </w:r>
    </w:p>
    <w:p w14:paraId="02E3754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Ambas universidades cuentan con trayectorias institucionales significativas y desempeñan un papel relevante en sus respectivos contextos regionales. La UNR se caracteriza por su amplia matrícula, su mayor cantidad de facultades y su presencia consolidada en la región centro del país, mientras que la </w:t>
      </w:r>
      <w:proofErr w:type="spellStart"/>
      <w:r w:rsidRPr="0054507B">
        <w:rPr>
          <w:rFonts w:ascii="Times New Roman" w:hAnsi="Times New Roman" w:cs="Times New Roman"/>
          <w:lang w:val="es-AR"/>
        </w:rPr>
        <w:t>UNaM</w:t>
      </w:r>
      <w:proofErr w:type="spellEnd"/>
      <w:r w:rsidRPr="0054507B">
        <w:rPr>
          <w:rFonts w:ascii="Times New Roman" w:hAnsi="Times New Roman" w:cs="Times New Roman"/>
          <w:lang w:val="es-AR"/>
        </w:rPr>
        <w:t xml:space="preserve"> se distingue por su fuerte anclaje territorial en el Nordeste argentino, con sedes distribuidas en distintos puntos de la provincia y una inserción en un contexto atravesado por dinámicas de frontera, diversidad cultural y una importante presencia de comunidades rurales y pueblos originarios. Estas diferencias no responden a un criterio jerárquico, sino que enriquecen </w:t>
      </w:r>
      <w:r w:rsidRPr="0054507B">
        <w:rPr>
          <w:rFonts w:ascii="Times New Roman" w:hAnsi="Times New Roman" w:cs="Times New Roman"/>
          <w:lang w:val="es-AR"/>
        </w:rPr>
        <w:lastRenderedPageBreak/>
        <w:t>el análisis al reconocer que las instituciones universitarias se desarrollan en contextos territoriales diversos que también configuran sus dinámicas académicas.</w:t>
      </w:r>
    </w:p>
    <w:p w14:paraId="6B1789B2"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relación con la antigüedad en la docencia universitaria, la submuestra muestra una presencia importante de docentes con trayectorias consolidadas. Entre quienes respondieron desde ambas universidades, 94 indicaron tener entre 11 y 20 años de antigüedad, mientras que 90 señalaron contar con más de 20 años de experiencia. En conjunto, estos grupos representan más de la mitad de la submuestra y permiten reconocer la participación de docentes que han atravesado distintos momentos de transformación del sistema universitario argentino. También participaron 62 docentes con una antigüedad de entre 5 y 10 años y 41 con menos de 5 años de experiencia, lo que incorpora miradas provenientes de trayectorias más recientes.</w:t>
      </w:r>
    </w:p>
    <w:p w14:paraId="010A6E80"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 coexistencia de trayectorias extensas con otras de incorporación más reciente constituye un aspecto de interés para este estudio, ya que permite recuperar perspectivas construidas desde diferentes momentos de ingreso y permanencia en la docencia universitaria. Si bien el objetivo no consiste en establecer comparaciones entre grupos, esta diversidad aporta riqueza al corpus y permite aproximarse a interpretaciones construidas desde experiencias profesionales heterogéneas.</w:t>
      </w:r>
    </w:p>
    <w:p w14:paraId="083DE03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Respecto de los cargos docentes, se observa una participación amplia de distintos perfiles dentro de las cátedras. En la submuestra </w:t>
      </w:r>
      <w:proofErr w:type="spellStart"/>
      <w:r w:rsidRPr="0054507B">
        <w:rPr>
          <w:rFonts w:ascii="Times New Roman" w:hAnsi="Times New Roman" w:cs="Times New Roman"/>
          <w:lang w:val="es-AR"/>
        </w:rPr>
        <w:t>UNaM</w:t>
      </w:r>
      <w:proofErr w:type="spellEnd"/>
      <w:r w:rsidRPr="0054507B">
        <w:rPr>
          <w:rFonts w:ascii="Times New Roman" w:hAnsi="Times New Roman" w:cs="Times New Roman"/>
          <w:lang w:val="es-AR"/>
        </w:rPr>
        <w:t>–UNR se registraron 101 profesores titulares, 74 jefes de trabajos prácticos, 69 profesores adjuntos, 24 ayudantes de primera y 19 profesores asociados. Esta composición resulta relevante para el estudio, ya que reúne tanto a docentes con responsabilidades centrales en la organización de las propuestas de enseñanza como a quienes participan de manera directa en el acompañamiento cotidiano de las actividades formativas.</w:t>
      </w:r>
    </w:p>
    <w:p w14:paraId="48CF954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 presencia de docentes pertenecientes a distintos escalafones de la carrera académica permite incorporar miradas construidas desde posiciones institucionales diversas. En consecuencia, la muestra no se concentra exclusivamente en equipos de gestión o en responsables de planificación curricular, sino que integra voces de quienes participan cotidianamente en el desarrollo de las actividades de enseñanza y en la implementación de las propuestas formativas.</w:t>
      </w:r>
    </w:p>
    <w:p w14:paraId="5E9E3DA3"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Si se observan las áreas disciplinares declaradas, la presencia mayoritaria corresponde a Ciencias Sociales y Humanidades, con 164 respuestas. Luego se ubican Ciencias Exactas y Naturales/Ambientales, con 41 respuestas; Ingenierías, Tecnologías y áreas afines, con 36; Artes y Diseño, con 27; Ciencias de la Salud, con 10; y Ciencias Económicas, con 9. Esta distribución muestra una participación heterogénea, aunque con predominio de áreas vinculadas a las ciencias sociales, humanidades y campos afines.</w:t>
      </w:r>
    </w:p>
    <w:p w14:paraId="77AF75F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La composición disciplinar de la muestra constituye un aspecto relevante para contextualizar los resultados que se presentan posteriormente. Aunque existe un predominio de docentes pertenecientes a las Ciencias Sociales y Humanidades, el relevamiento incorpora también respuestas provenientes de otros campos del conocimiento, permitiendo recuperar perspectivas construidas desde tradiciones disciplinares diferentes. Esta diversidad resulta particularmente pertinente considerando </w:t>
      </w:r>
      <w:r w:rsidRPr="0054507B">
        <w:rPr>
          <w:rFonts w:ascii="Times New Roman" w:hAnsi="Times New Roman" w:cs="Times New Roman"/>
          <w:lang w:val="es-AR"/>
        </w:rPr>
        <w:lastRenderedPageBreak/>
        <w:t>que el SACAU constituye una política de alcance transversal para el conjunto del sistema universitario y no para un área específica del conocimiento.</w:t>
      </w:r>
    </w:p>
    <w:p w14:paraId="214DB08B"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En el caso de la </w:t>
      </w:r>
      <w:proofErr w:type="spellStart"/>
      <w:r w:rsidRPr="0054507B">
        <w:rPr>
          <w:rFonts w:ascii="Times New Roman" w:hAnsi="Times New Roman" w:cs="Times New Roman"/>
          <w:lang w:val="es-AR"/>
        </w:rPr>
        <w:t>UNaM</w:t>
      </w:r>
      <w:proofErr w:type="spellEnd"/>
      <w:r w:rsidRPr="0054507B">
        <w:rPr>
          <w:rFonts w:ascii="Times New Roman" w:hAnsi="Times New Roman" w:cs="Times New Roman"/>
          <w:lang w:val="es-AR"/>
        </w:rPr>
        <w:t>, la muestra presenta una distribución disciplinar más diversificada: 43 respuestas corresponden a Ciencias Sociales y Humanidades, 40 a Ciencias Exactas y Naturales/Ambientales, 34 a Ingenierías, Tecnologías y áreas afines, 9 a Ciencias de la Salud, 7 a Ciencias Económicas y 7 a Artes y Diseño. En la UNR, en cambio, se advierte una mayor concentración en Ciencias Sociales y Humanidades, con 121 respuestas, seguida por Artes y Diseño, con 20. Las demás áreas aparecen representadas en menor proporción.</w:t>
      </w:r>
    </w:p>
    <w:p w14:paraId="3C7A8B4E"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Estas diferencias reflejan, en parte, las características propias de cada institución y, al mismo tiempo, las redes académicas desde las cuales se promovió la participación en la encuesta. Más que constituir un elemento de comparación entre universidades, la distribución disciplinar permite contextualizar la composición del corpus sobre el cual se desarrollan los análisis posteriores.</w:t>
      </w:r>
    </w:p>
    <w:p w14:paraId="443EFBC3"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Esta caracterización permite delimitar el alcance del corpus analizado. No se trata de una muestra representativa del conjunto del sistema universitario argentino, sino de una aproximación exploratoria construida a partir de una estrategia de circulación situada. En este marco, los datos permiten identificar tendencias iniciales sobre el modo en que docentes de distintas trayectorias, cargos y áreas disciplinares comienzan a posicionarse frente al SACAU en el contexto previo a su implementación.</w:t>
      </w:r>
    </w:p>
    <w:p w14:paraId="3F4D4C2B" w14:textId="77777777" w:rsidR="0054507B" w:rsidRPr="0054507B" w:rsidRDefault="0054507B" w:rsidP="0054507B">
      <w:pPr>
        <w:spacing w:line="240" w:lineRule="auto"/>
        <w:jc w:val="both"/>
        <w:rPr>
          <w:rFonts w:ascii="Times New Roman" w:hAnsi="Times New Roman" w:cs="Times New Roman"/>
          <w:lang w:val="es-AR"/>
        </w:rPr>
      </w:pPr>
    </w:p>
    <w:p w14:paraId="136FEFC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Conocimiento y familiaridad con el SACAU en el escenario universitario</w:t>
      </w:r>
    </w:p>
    <w:p w14:paraId="484E7D2F"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Uno de los primeros aspectos abordados por la encuesta fue el nivel de conocimiento que los docentes manifestaban tener sobre el Sistema Argentino de Créditos Académicos Universitarios (SACAU). Este punto resulta relevante porque el relevamiento se realizó entre marzo y junio de 2026, es decir, durante una etapa previa a su implementación plena y en un momento en el que las universidades comenzaban a discutir su incorporación en los procesos de adecuación curricular.</w:t>
      </w:r>
    </w:p>
    <w:p w14:paraId="0625506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Al consultar si habían escuchado hablar del SACAU antes de responder la encuesta, el 72,5 % de los docentes de la submuestra </w:t>
      </w:r>
      <w:proofErr w:type="spellStart"/>
      <w:r w:rsidRPr="0054507B">
        <w:rPr>
          <w:rFonts w:ascii="Times New Roman" w:hAnsi="Times New Roman" w:cs="Times New Roman"/>
          <w:lang w:val="es-AR"/>
        </w:rPr>
        <w:t>UNaM</w:t>
      </w:r>
      <w:proofErr w:type="spellEnd"/>
      <w:r w:rsidRPr="0054507B">
        <w:rPr>
          <w:rFonts w:ascii="Times New Roman" w:hAnsi="Times New Roman" w:cs="Times New Roman"/>
          <w:lang w:val="es-AR"/>
        </w:rPr>
        <w:t>–UNR respondió afirmativamente (n = 208), mientras que el 27,5 % manifestó no haber tenido contacto previo con la denominación del sistema (n = 79). Este primer dato permite advertir que el SACAU ya había comenzado a circular en el escenario universitario, aunque todavía no alcanzaba al conjunto de los docentes encuestados.</w:t>
      </w:r>
    </w:p>
    <w:p w14:paraId="6089B76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Sin embargo, cuando se indaga la percepción sobre el propio conocimiento, el panorama adquiere mayor complejidad. Frente a la pregunta «¿Cuánto considera que conoce el SACAU?», el 27,5 % respondió «Nada», el 23,7 % «Poco» y el 26,1 % «Algo». En conjunto, estas tres categorías reúnen al 77,3 % de la submuestra. En cambio, solo el 19,2 % manifestó conocerlo «Bastante» y apenas el 3,5 % señaló conocerlo «Mucho».</w:t>
      </w:r>
    </w:p>
    <w:p w14:paraId="1E4E21FF"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lastRenderedPageBreak/>
        <w:t>La comparación entre ambas preguntas constituye un primer elemento significativo para este estudio. Mientras una mayoría afirma haber escuchado hablar del SACAU, una proporción mucho menor considera poseer un conocimiento amplio sobre sus fundamentos y alcances. Esta distancia entre circulación nominal y apropiación efectiva permite reconocer que la política comienza a instalarse en el ámbito universitario, pero todavía lo hace de manera parcial y desigual. En otros términos, el SACAU aparece como una referencia presente en las conversaciones institucionales, aunque no necesariamente como un objeto plenamente conocido por quienes deberán participar de su implementación en las prácticas de enseñanza.</w:t>
      </w:r>
    </w:p>
    <w:p w14:paraId="367AE7DD"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Esta primera lectura resulta consistente con el carácter exploratorio del estudio. No se trata de establecer conclusiones generales sobre el nivel de conocimiento docente en el conjunto del sistema universitario argentino, sino de identificar indicios iniciales sobre el modo en que una política curricular reciente comienza a ser reconocida, nombrada y comprendida por docentes de dos universidades nacionales.</w:t>
      </w:r>
    </w:p>
    <w:p w14:paraId="241DD3EA" w14:textId="77777777" w:rsidR="0054507B" w:rsidRPr="0054507B" w:rsidRDefault="0054507B" w:rsidP="0054507B">
      <w:pPr>
        <w:spacing w:line="240" w:lineRule="auto"/>
        <w:jc w:val="both"/>
        <w:rPr>
          <w:rFonts w:ascii="Times New Roman" w:hAnsi="Times New Roman" w:cs="Times New Roman"/>
          <w:lang w:val="es-AR"/>
        </w:rPr>
      </w:pPr>
    </w:p>
    <w:p w14:paraId="27578E8D"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Conocimiento según trayectoria docente</w:t>
      </w:r>
    </w:p>
    <w:p w14:paraId="65048931"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Al observar el nivel de conocimiento según la antigüedad en la docencia universitaria, se advierten diferencias que permiten matizar la lectura general. Entre los docentes con menos de cinco años de experiencia, el desconocimiento aparece con mayor peso relativo: el 51,2 % manifestó no conocer «Nada» sobre el SACAU, el 22 % indicó conocer «Poco» y el 24,4 % respondió conocer «Algo». En este grupo, solo el 2,4 % declaró conocerlo «Bastante» y no se registraron respuestas en la categoría «Mucho».</w:t>
      </w:r>
    </w:p>
    <w:p w14:paraId="7A10120F"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el grupo de docentes con una antigüedad de entre 5 y 10 años, el conocimiento se distribuye de manera algo más equilibrada, aunque continúa predominando la familiaridad baja o intermedia. El 33,9 % respondió «Nada», el 21 % «Poco» y el 22,6 % «Algo». Por su parte, el 19,4 % manifestó conocer el SACAU «Bastante» y el 3,2 % «Mucho». En conjunto, el 77,4 % de este grupo se ubica entre las categorías «Nada», «Poco» y «Algo».</w:t>
      </w:r>
    </w:p>
    <w:p w14:paraId="5591D3EA"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Entre quienes cuentan con 11 a 20 años de antigüedad también predominan los niveles de conocimiento bajos e intermedios, aunque con una menor concentración en la categoría «Nada». En este grupo, el 19,1 % indicó no conocer el SACAU, el 27,7 % señaló conocerlo «Poco» y el 36,2 % «Algo». Las respuestas «Bastante» y «Mucho» alcanzan, en conjunto, el 17 %. Este dato muestra que, aun entre docentes con trayectorias consolidadas, el conocimiento del sistema no aparece necesariamente como un saber extendido o plenamente apropiado.</w:t>
      </w:r>
    </w:p>
    <w:p w14:paraId="567BAB9F"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grupo con más de 20 años de experiencia presenta la mayor proporción de respuestas ubicadas en los niveles altos de conocimiento. En este caso, el 31,1 % manifestó conocer el SACAU «Bastante» y el 6,7 % «Mucho», lo que representa un 37,8 % en conjunto. No obstante, también en este segmento persisten niveles de conocimiento acotados: el 21,1 % respondió «Nada», el 22,2 % «Poco» y el 18,9 % «Algo».</w:t>
      </w:r>
    </w:p>
    <w:p w14:paraId="6173D70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lastRenderedPageBreak/>
        <w:t>Estos datos permiten observar que la familiaridad con el SACAU presenta variaciones según la trayectoria docente. Los niveles más bajos de conocimiento se concentran especialmente entre quienes tienen menos de cinco años de antigüedad, mientras que las respuestas que expresan mayor conocimiento aparecen con más frecuencia entre docentes con más de veinte años de experiencia. Sin embargo, en todos los grupos predominan, con distintos matices, las categorías que remiten a un conocimiento nulo, escaso o parcial. Por ello, más que afirmar una relación directa entre antigüedad y conocimiento, corresponde señalar que la trayectoria docente introduce diferencias en el modo en que el SACAU comienza a ser reconocido dentro de la muestra.</w:t>
      </w:r>
    </w:p>
    <w:p w14:paraId="340C8FA4" w14:textId="77777777" w:rsidR="0054507B" w:rsidRPr="0054507B" w:rsidRDefault="0054507B" w:rsidP="0054507B">
      <w:pPr>
        <w:spacing w:line="240" w:lineRule="auto"/>
        <w:jc w:val="both"/>
        <w:rPr>
          <w:rFonts w:ascii="Times New Roman" w:hAnsi="Times New Roman" w:cs="Times New Roman"/>
          <w:lang w:val="es-AR"/>
        </w:rPr>
      </w:pPr>
    </w:p>
    <w:p w14:paraId="60EF629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Conocimiento según área disciplinar</w:t>
      </w:r>
    </w:p>
    <w:p w14:paraId="5AA616CB"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análisis por área disciplinar también permite advertir diferencias en el nivel de familiaridad con el SACAU. Dado que se trata de una política curricular de alcance transversal, observar cómo se distribuye el conocimiento entre distintos campos del saber resulta pertinente para comprender la forma en que esta discusión comienza a circular en las universidades.</w:t>
      </w:r>
    </w:p>
    <w:p w14:paraId="30C53EB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En Ciencias Sociales y Humanidades, área con mayor cantidad de respuestas dentro de la submuestra, el 75 % de los docentes manifestó haber escuchado hablar previamente del SACAU. En cuanto al nivel de conocimiento </w:t>
      </w:r>
      <w:proofErr w:type="spellStart"/>
      <w:r w:rsidRPr="0054507B">
        <w:rPr>
          <w:rFonts w:ascii="Times New Roman" w:hAnsi="Times New Roman" w:cs="Times New Roman"/>
          <w:lang w:val="es-AR"/>
        </w:rPr>
        <w:t>autopercibido</w:t>
      </w:r>
      <w:proofErr w:type="spellEnd"/>
      <w:r w:rsidRPr="0054507B">
        <w:rPr>
          <w:rFonts w:ascii="Times New Roman" w:hAnsi="Times New Roman" w:cs="Times New Roman"/>
          <w:lang w:val="es-AR"/>
        </w:rPr>
        <w:t>, el 25,6 % respondió «Nada», el 20,1 % «Poco» y el 28,7 % «Algo». Las respuestas de mayor familiaridad alcanzan el 25,6 %, distribuidas entre un 20,7 % que indicó conocerlo «Bastante» y un 4,9 % que señaló conocerlo «Mucho». Si bien predominan los niveles bajos e intermedios, esta área presenta una de las proporciones más altas de conocimiento declarado en la muestra.</w:t>
      </w:r>
    </w:p>
    <w:p w14:paraId="1A03CB93"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En Ciencias Exactas y Naturales/Ambientales, el 65,9 % afirmó haber escuchado hablar del SACAU, mientras que el 34,1 % no había tenido contacto previo con la denominación del sistema. Respecto del conocimiento </w:t>
      </w:r>
      <w:proofErr w:type="spellStart"/>
      <w:r w:rsidRPr="0054507B">
        <w:rPr>
          <w:rFonts w:ascii="Times New Roman" w:hAnsi="Times New Roman" w:cs="Times New Roman"/>
          <w:lang w:val="es-AR"/>
        </w:rPr>
        <w:t>autopercibido</w:t>
      </w:r>
      <w:proofErr w:type="spellEnd"/>
      <w:r w:rsidRPr="0054507B">
        <w:rPr>
          <w:rFonts w:ascii="Times New Roman" w:hAnsi="Times New Roman" w:cs="Times New Roman"/>
          <w:lang w:val="es-AR"/>
        </w:rPr>
        <w:t>, el 31,7 % respondió «Nada», el 34,1 % «Poco» y el 19,5 % «Algo». Solo el 14,6 % manifestó conocerlo «Bastante» y no se registraron respuestas en la categoría «Mucho». En esta área, por lo tanto, el conocimiento aparece principalmente concentrado en los niveles bajos e intermedios.</w:t>
      </w:r>
    </w:p>
    <w:p w14:paraId="1EA578C2"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En Ingenierías, Tecnologías y áreas afines, el 61,1 % indicó haber escuchado hablar del SACAU y el 38,9 % respondió que no. En relación con el conocimiento </w:t>
      </w:r>
      <w:proofErr w:type="spellStart"/>
      <w:r w:rsidRPr="0054507B">
        <w:rPr>
          <w:rFonts w:ascii="Times New Roman" w:hAnsi="Times New Roman" w:cs="Times New Roman"/>
          <w:lang w:val="es-AR"/>
        </w:rPr>
        <w:t>autopercibido</w:t>
      </w:r>
      <w:proofErr w:type="spellEnd"/>
      <w:r w:rsidRPr="0054507B">
        <w:rPr>
          <w:rFonts w:ascii="Times New Roman" w:hAnsi="Times New Roman" w:cs="Times New Roman"/>
          <w:lang w:val="es-AR"/>
        </w:rPr>
        <w:t>, el 30,6 % manifestó no conocer «Nada», el 22,2 % conocer «Poco» y el 36,1 % «Algo». Las categorías «Bastante» y «Mucho» reúnen el 11,1 % de las respuestas, con un 8,3 % y un 2,8 %, respectivamente. Estos datos muestran que, aun cuando existe una circulación inicial del tema, la familiaridad más profunda con el sistema se mantiene limitada.</w:t>
      </w:r>
    </w:p>
    <w:p w14:paraId="4D16605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En Artes y Diseño, el 66,7 % de los docentes afirmó haber escuchado hablar del SACAU, mientras que el 33,3 % no lo había hecho. En este campo se observa una distribución particular: el 37 % respondió «Nada», el 14,8 % «Poco» y el 11,1 % «Algo», pero al mismo tiempo el 33,3 % indicó conocerlo «Bastante» y el 3,7 % «Mucho». En conjunto, el 37 % se ubica en los niveles más altos de conocimiento, proporción que resulta superior </w:t>
      </w:r>
      <w:r w:rsidRPr="0054507B">
        <w:rPr>
          <w:rFonts w:ascii="Times New Roman" w:hAnsi="Times New Roman" w:cs="Times New Roman"/>
          <w:lang w:val="es-AR"/>
        </w:rPr>
        <w:lastRenderedPageBreak/>
        <w:t>a la registrada en las demás áreas. No obstante, este dato debe leerse con cautela, dado que se trata de un grupo numéricamente menor dentro de la submuestra.</w:t>
      </w:r>
    </w:p>
    <w:p w14:paraId="6E7B272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En Ciencias de la Salud, la totalidad de los docentes encuestados manifestó haber escuchado hablar del SACAU. Sin embargo, el nivel de conocimiento </w:t>
      </w:r>
      <w:proofErr w:type="spellStart"/>
      <w:r w:rsidRPr="0054507B">
        <w:rPr>
          <w:rFonts w:ascii="Times New Roman" w:hAnsi="Times New Roman" w:cs="Times New Roman"/>
          <w:lang w:val="es-AR"/>
        </w:rPr>
        <w:t>autopercibido</w:t>
      </w:r>
      <w:proofErr w:type="spellEnd"/>
      <w:r w:rsidRPr="0054507B">
        <w:rPr>
          <w:rFonts w:ascii="Times New Roman" w:hAnsi="Times New Roman" w:cs="Times New Roman"/>
          <w:lang w:val="es-AR"/>
        </w:rPr>
        <w:t xml:space="preserve"> se distribuye mayoritariamente entre categorías intermedias y bajas: el 20 % respondió «Nada», el 30 % «Poco» y otro 30 % «Algo». Solo el 20 % indicó conocerlo «Bastante» y no se registraron respuestas en la categoría «Mucho». Este caso muestra con claridad que haber escuchado hablar de la política no implica necesariamente reconocer un conocimiento amplio sobre ella.</w:t>
      </w:r>
    </w:p>
    <w:p w14:paraId="059AB1F5"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Finalmente, en Ciencias Económicas, el 88,9 % de los docentes manifestó haber escuchado hablar del SACAU. No obstante, el conocimiento </w:t>
      </w:r>
      <w:proofErr w:type="spellStart"/>
      <w:r w:rsidRPr="0054507B">
        <w:rPr>
          <w:rFonts w:ascii="Times New Roman" w:hAnsi="Times New Roman" w:cs="Times New Roman"/>
          <w:lang w:val="es-AR"/>
        </w:rPr>
        <w:t>autopercibido</w:t>
      </w:r>
      <w:proofErr w:type="spellEnd"/>
      <w:r w:rsidRPr="0054507B">
        <w:rPr>
          <w:rFonts w:ascii="Times New Roman" w:hAnsi="Times New Roman" w:cs="Times New Roman"/>
          <w:lang w:val="es-AR"/>
        </w:rPr>
        <w:t xml:space="preserve"> aparece concentrado principalmente en la categoría «Poco», que reúne el 66,7 % de las respuestas. Además, el 11,1 % respondió «Nada», el 11,1 % «Algo» y el 11,1 % «Bastante», sin respuestas en la categoría «Mucho». Al igual que en otras áreas, se observa una distancia entre la circulación del tema y la percepción de dominio sobre sus alcances.</w:t>
      </w:r>
    </w:p>
    <w:p w14:paraId="1AA9B7EF"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conjunto, el análisis disciplinar muestra que el conocimiento sobre el SACAU no se distribuye de manera homogénea entre los distintos campos. En todas las áreas predominan los niveles de conocimiento nulo, bajo o intermedio, aunque con variaciones internas. Artes y Diseño y Ciencias Sociales y Humanidades presentan las proporciones más altas de conocimiento declarado en las categorías «Bastante» y «Mucho», mientras que Ingenierías, Tecnologías y áreas afines, Ciencias Económicas y Ciencias Exactas y Naturales/Ambientales concentran mayores porcentajes en niveles bajos o intermedios.</w:t>
      </w:r>
    </w:p>
    <w:p w14:paraId="7C01FA93"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Los datos analizados permiten reconocer un escenario de circulación inicial del SACAU entre los docentes de la </w:t>
      </w:r>
      <w:proofErr w:type="spellStart"/>
      <w:r w:rsidRPr="0054507B">
        <w:rPr>
          <w:rFonts w:ascii="Times New Roman" w:hAnsi="Times New Roman" w:cs="Times New Roman"/>
          <w:lang w:val="es-AR"/>
        </w:rPr>
        <w:t>UNaM</w:t>
      </w:r>
      <w:proofErr w:type="spellEnd"/>
      <w:r w:rsidRPr="0054507B">
        <w:rPr>
          <w:rFonts w:ascii="Times New Roman" w:hAnsi="Times New Roman" w:cs="Times New Roman"/>
          <w:lang w:val="es-AR"/>
        </w:rPr>
        <w:t xml:space="preserve"> y la UNR. La mayoría de los encuestados había escuchado hablar del sistema antes de responder la encuesta, lo que indica que la política ya se encontraba presente en el horizonte universitario. Sin embargo, esa presencia no se traduce de manera directa en un conocimiento consolidado sobre sus fundamentos, alcances o posibles implicancias pedagógicas.</w:t>
      </w:r>
    </w:p>
    <w:p w14:paraId="72F6E6CA"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 distancia entre haber escuchado hablar del SACAU y considerar que se lo conoce en profundidad constituye uno de los hallazgos centrales de este apartado. En términos generales, más de tres cuartas partes de la submuestra ubican su conocimiento entre las categorías «Nada», «Poco» y «Algo». Este escenario da cuenta de una política que ha comenzado a instalarse en el ámbito universitario, aunque sus significados, alcances e implicancias aún se encuentran en proceso de construcción. En este contexto, las representaciones que los docentes elaboran sobre el SACAU adquieren particular interés, ya que expresan los primeros procesos de interpretación y apropiación de una política cuyos sentidos todavía están siendo discutidos y resignificados durante su implementación.</w:t>
      </w:r>
    </w:p>
    <w:p w14:paraId="0500CA4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Las diferencias observadas según trayectoria docente y área disciplinar contribuyen a complejizar esta lectura. Si bien los docentes con mayor antigüedad presentan niveles más altos de conocimiento </w:t>
      </w:r>
      <w:proofErr w:type="spellStart"/>
      <w:r w:rsidRPr="0054507B">
        <w:rPr>
          <w:rFonts w:ascii="Times New Roman" w:hAnsi="Times New Roman" w:cs="Times New Roman"/>
          <w:lang w:val="es-AR"/>
        </w:rPr>
        <w:t>autopercibido</w:t>
      </w:r>
      <w:proofErr w:type="spellEnd"/>
      <w:r w:rsidRPr="0054507B">
        <w:rPr>
          <w:rFonts w:ascii="Times New Roman" w:hAnsi="Times New Roman" w:cs="Times New Roman"/>
          <w:lang w:val="es-AR"/>
        </w:rPr>
        <w:t xml:space="preserve">, en todos los grupos persisten niveles importantes de familiaridad baja o intermedia. Del mismo modo, aunque algunas áreas </w:t>
      </w:r>
      <w:r w:rsidRPr="0054507B">
        <w:rPr>
          <w:rFonts w:ascii="Times New Roman" w:hAnsi="Times New Roman" w:cs="Times New Roman"/>
          <w:lang w:val="es-AR"/>
        </w:rPr>
        <w:lastRenderedPageBreak/>
        <w:t>muestran mayor aproximación al sistema, ninguna presenta un conocimiento ampliamente extendido entre sus integrantes.</w:t>
      </w:r>
    </w:p>
    <w:p w14:paraId="0A5D834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este marco, el SACAU aparece como una política curricular que ya ha comenzado a instalarse en el escenario universitario, aunque su conocimiento y sus significados todavía se distribuyen de manera desigual entre los docentes. Esta condición resulta clave para interpretar los apartados siguientes, ya que las valoraciones, expectativas e incertidumbres frente a la implementación del sistema se construyen en un contexto en el que la política aún está siendo interpretada y resignificada por los actores universitarios.</w:t>
      </w:r>
    </w:p>
    <w:p w14:paraId="40820113" w14:textId="77777777" w:rsidR="0054507B" w:rsidRPr="0054507B" w:rsidRDefault="0054507B" w:rsidP="0054507B">
      <w:pPr>
        <w:spacing w:line="240" w:lineRule="auto"/>
        <w:jc w:val="both"/>
        <w:rPr>
          <w:rFonts w:ascii="Times New Roman" w:hAnsi="Times New Roman" w:cs="Times New Roman"/>
          <w:lang w:val="es-AR"/>
        </w:rPr>
      </w:pPr>
    </w:p>
    <w:p w14:paraId="56701E4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Las voces docentes frente al SACAU: tensiones, desafíos y expectativas</w:t>
      </w:r>
    </w:p>
    <w:p w14:paraId="2646649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Con el propósito de profundizar el análisis del objeto de estudio, el instrumento de recolección incorporó preguntas de respuesta abierta orientadas a recuperar la voz de los docentes frente al cambio curricular. Las respuestas brindadas por ambas universidades respecto de los aspectos que consideran más problemáticos de la implementación del SACAU (Pregunta 11) y de los cambios más relevantes que este podría introducir en la enseñanza universitaria (Pregunta 12) constituyen un insumo fundamental para comprender las representaciones construidas en torno a esta política.</w:t>
      </w:r>
    </w:p>
    <w:p w14:paraId="758E6DD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Como señalan Arias-Holguín y Moya-Espinosa (2015), el estudio de las representaciones en docentes universitarios resulta especialmente relevante porque estas orientan la manera en que los actores interpretan, apropian, cuestionan o resignifican las políticas educativas en su práctica cotidiana. Desde esta perspectiva, las respuestas recuperadas no se entienden como opiniones individuales aisladas, sino como expresiones de sentidos que comienzan a configurarse colectivamente frente a una política que aún se encuentra en proceso de implementación. Por ello, el análisis del corpus permite identificar un conjunto de preocupaciones, expectativas y tensiones que estructuran las primeras interpretaciones docentes sobre el SACAU.</w:t>
      </w:r>
    </w:p>
    <w:p w14:paraId="7418C1A5"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Una de las preocupaciones que aparece con mayor frecuencia en las respuestas refiere a la incorporación del trabajo autónomo del estudiante como parte constitutiva del Sistema Argentino de Créditos Académicos Universitarios. Más que cuestionar la importancia de reconocer este tiempo de aprendizaje, los docentes manifiestan incertidumbres respecto de cómo estimarlo, planificarlo y traducirlo en criterios que puedan aplicarse de manera consistente a contextos de enseñanza diversos. En este sentido, las respuestas muestran que la discusión trasciende la asignación de una carga horaria y se desplaza hacia las implicancias pedagógicas que supone reorganizar la enseñanza universitaria.</w:t>
      </w:r>
    </w:p>
    <w:p w14:paraId="74C9D08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Una de las respuestas sintetiza con claridad esta preocupación:</w:t>
      </w:r>
    </w:p>
    <w:p w14:paraId="7D528391"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"La consideración del tiempo de trabajo autónomo es importante, ya que es una carga que supo no ser tenida en cuenta, pero resulta difícil de estandarizar. No </w:t>
      </w:r>
      <w:proofErr w:type="spellStart"/>
      <w:r w:rsidRPr="0054507B">
        <w:rPr>
          <w:rFonts w:ascii="Times New Roman" w:hAnsi="Times New Roman" w:cs="Times New Roman"/>
          <w:lang w:val="es-AR"/>
        </w:rPr>
        <w:t>todxs</w:t>
      </w:r>
      <w:proofErr w:type="spellEnd"/>
      <w:r w:rsidRPr="0054507B">
        <w:rPr>
          <w:rFonts w:ascii="Times New Roman" w:hAnsi="Times New Roman" w:cs="Times New Roman"/>
          <w:lang w:val="es-AR"/>
        </w:rPr>
        <w:t xml:space="preserve"> </w:t>
      </w:r>
      <w:proofErr w:type="spellStart"/>
      <w:r w:rsidRPr="0054507B">
        <w:rPr>
          <w:rFonts w:ascii="Times New Roman" w:hAnsi="Times New Roman" w:cs="Times New Roman"/>
          <w:lang w:val="es-AR"/>
        </w:rPr>
        <w:t>lxs</w:t>
      </w:r>
      <w:proofErr w:type="spellEnd"/>
      <w:r w:rsidRPr="0054507B">
        <w:rPr>
          <w:rFonts w:ascii="Times New Roman" w:hAnsi="Times New Roman" w:cs="Times New Roman"/>
          <w:lang w:val="es-AR"/>
        </w:rPr>
        <w:t xml:space="preserve"> estudiantes requieren la misma carga horaria de trabajo autónomo." (Universidad Nacional de Rosario, Profesor Adjunto, 11–20 años).</w:t>
      </w:r>
    </w:p>
    <w:p w14:paraId="618E437D"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lastRenderedPageBreak/>
        <w:t>La dificultad para establecer criterios comunes también aparece asociada al riesgo de que el trabajo autónomo termine reduciéndose a un mero cálculo administrativo, perdiendo el sentido pedagógico que le da origen. En este sentido, un docente sostiene:</w:t>
      </w:r>
    </w:p>
    <w:p w14:paraId="29C00F51"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 función esencial para la cual fue diseñado. Se requiere un gran compromiso para generar un cambio sustancial y que no sea solamente poner horas para cumplir lo administrativo." (Universidad Nacional de Misiones, Profesor Titular, Más de 20 años).</w:t>
      </w:r>
    </w:p>
    <w:p w14:paraId="48186866"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Las respuestas también muestran que esta transformación interpela directamente las prácticas docentes. La incorporación del trabajo autónomo supone revisar la planificación de las asignaturas, reorganizar las cátedras y producir materiales que acompañen el aprendizaje fuera del aula. Así lo expresa un docente al señalar que uno de los principales desafíos consiste en:</w:t>
      </w:r>
    </w:p>
    <w:p w14:paraId="6B69DFF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"Cambiar la forma de organizar la enseñanza. La organización de las cátedras. La organización y formulación de materiales que ayuden a los estudiantes en las horas autónomas." (Universidad Nacional de Misiones, Profesor Titular, Más de 20 años).</w:t>
      </w:r>
    </w:p>
    <w:p w14:paraId="57C177BE"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la misma línea, otros participantes vinculan el SACAU con un cambio más profundo en las formas de enseñar y aprender. Un docente expresa:</w:t>
      </w:r>
    </w:p>
    <w:p w14:paraId="341BA7A4"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"Me parece difícil poder determinar el tiempo de 'estudio autónomo' para cada asignatura. También considero que al principio será un gran desafío para el docente revisar sus metodologías e innovar en el armado de las clases." (Universidad Nacional de Misiones, Profesor Adjunto, 11–20 años).</w:t>
      </w:r>
    </w:p>
    <w:p w14:paraId="23FAFC7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Esta idea se profundiza en otra respuesta, donde el desafío deja de estar centrado únicamente en la cuantificación del tiempo y pasa a involucrar una transformación de la propuesta didáctica:</w:t>
      </w:r>
    </w:p>
    <w:p w14:paraId="6EB462C7"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 enseñanza está centrada en el aprendizaje del estudiante, esto requiere en las primeras etapas mucho trabajo por parte del docente que venía dando clases magistrales; ahora tiene que pensar en cómo armar las clases para que en la presencialidad el estudiante use ese tiempo para actividades de mayor valor agregado. Esto fomenta la adopción de modelos como aula invertida, aprendizaje basado en proyectos, que va a requerir también el compromiso y responsabilidad por parte del estudiante." (Universidad Nacional de Misiones, Profesor Adjunto, 11–20 años).</w:t>
      </w:r>
    </w:p>
    <w:p w14:paraId="193E6EA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En conjunto, estas respuestas permiten advertir que el trabajo autónomo constituye uno de los principales organizadores de sentido desde los cuales los docentes comienzan a interpretar el SACAU. La preocupación no se limita a definir una cantidad de horas de estudio, sino que involucra la necesidad de revisar la planificación de la enseñanza, las estrategias didácticas, los recursos de aprendizaje y el lugar que ocupa el estudiante en el proceso formativo. Desde la perspectiva de </w:t>
      </w:r>
      <w:proofErr w:type="spellStart"/>
      <w:r w:rsidRPr="0054507B">
        <w:rPr>
          <w:rFonts w:ascii="Times New Roman" w:hAnsi="Times New Roman" w:cs="Times New Roman"/>
          <w:lang w:val="es-AR"/>
        </w:rPr>
        <w:t>Abric</w:t>
      </w:r>
      <w:proofErr w:type="spellEnd"/>
      <w:r w:rsidRPr="0054507B">
        <w:rPr>
          <w:rFonts w:ascii="Times New Roman" w:hAnsi="Times New Roman" w:cs="Times New Roman"/>
          <w:lang w:val="es-AR"/>
        </w:rPr>
        <w:t xml:space="preserve"> (2001), las representaciones sociales permiten comprender cómo los sujetos interpretan situaciones novedosas a partir de marcos de referencia previamente construidos. En este caso, las respuestas muestran que el SACAU comienza a ser comprendido en estrecha relación con las prácticas de </w:t>
      </w:r>
      <w:r w:rsidRPr="0054507B">
        <w:rPr>
          <w:rFonts w:ascii="Times New Roman" w:hAnsi="Times New Roman" w:cs="Times New Roman"/>
          <w:lang w:val="es-AR"/>
        </w:rPr>
        <w:lastRenderedPageBreak/>
        <w:t>enseñanza desarrolladas hasta el momento y con los desafíos que implica reorganizarse en función de una lógica centrada en el aprendizaje.</w:t>
      </w:r>
    </w:p>
    <w:p w14:paraId="0B287210"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Otro de los ejes que emerge con claridad en las respuestas refiere a las preocupaciones que despierta el SACAU en relación con la organización de las carreras y la preservación de la especificidad disciplinar. Si bien la política propone favorecer la flexibilidad curricular y la movilidad entre instituciones para promover nuevas trayectorias estudiantiles (Marquina, 2023), una parte de los docentes manifiesta incertidumbres acerca de los posibles efectos que estos procesos podrían tener sobre la estructura de los planes de estudio y sobre la identidad de las propuestas formativas. Esta cautela también se refleja en las respuestas cerradas del cuestionario: aunque el 42,8 % de los docentes manifestó estar de acuerdo o totalmente de acuerdo con que el SACAU puede mejorar la organización de las trayectorias estudiantiles, solo el 19,3 % expresó un acuerdo pleno, mientras que el 30,9 % respondió « No lo sé ». Estos resultados muestran que las expectativas sobre uno de los principales objetivos de la política conviven con importantes niveles de incertidumbre, lo que resulta consistente con las interpretaciones recuperadas en las respuestas abiertas. Por ejemplo, mientras una docente reconoce como cambio relevante “la posibilidad de tomar estudios desde interés de los estudiantes, que puedan realmente enriquecer sus especializaciones, gracias a la movilidad entre instituciones y carreras que ofrecen los créditos” (Universidad Nacional de Rosario, Profesora Adjunta, 11–20 años), otra advierte que, “si se pretende la movilidad, tiene que haber reglas claras”, ya que muchas universidades estarían aplicando el sistema como una “cuenta matemática para cumplir” (Universidad Nacional de Rosario, JTP, 11–20 años).</w:t>
      </w:r>
    </w:p>
    <w:p w14:paraId="29AC7E6B"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Entre las primeras inquietudes aparece el reconocimiento de equivalencias entre asignaturas y el posible impacto que este proceso podría tener sobre los contenidos específicos de cada carrera. En palabras de un docente, uno de los principales riesgos consiste en:</w:t>
      </w:r>
    </w:p>
    <w:p w14:paraId="597AA7F6"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 homologación de materias de distintas carreras y la pérdida de especificidad de los contenidos de las materias en cada carrera." (Universidad Nacional de Rosario, JTP, 5–10 años).</w:t>
      </w:r>
    </w:p>
    <w:p w14:paraId="518A6115"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La preocupación no se restringe al reconocimiento de equivalencias curriculares. Las respuestas muestran que, para algunos participantes, la flexibilización solo resulta viable en la medida en que preserve la identidad de las carreras y las particularidades de cada campo disciplinar. En este sentido, otra de las voces recuperadas advierte:</w:t>
      </w:r>
    </w:p>
    <w:p w14:paraId="44BB3EDE"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"Estandariza trayectorias de enseñanza que son distintas en función de una contabilización de horas. Ni las materias ni los contenidos pueden equipararse en el marco de una carrera, del mismo modo que las trayectorias de los estudiantes y la forma en la que afrontan su proceso educativo </w:t>
      </w:r>
      <w:proofErr w:type="gramStart"/>
      <w:r w:rsidRPr="0054507B">
        <w:rPr>
          <w:rFonts w:ascii="Times New Roman" w:hAnsi="Times New Roman" w:cs="Times New Roman"/>
          <w:lang w:val="es-AR"/>
        </w:rPr>
        <w:t>es</w:t>
      </w:r>
      <w:proofErr w:type="gramEnd"/>
      <w:r w:rsidRPr="0054507B">
        <w:rPr>
          <w:rFonts w:ascii="Times New Roman" w:hAnsi="Times New Roman" w:cs="Times New Roman"/>
          <w:lang w:val="es-AR"/>
        </w:rPr>
        <w:t xml:space="preserve"> distinto." (Universidad Nacional de Rosario, JTP, 5–10 años)</w:t>
      </w:r>
    </w:p>
    <w:p w14:paraId="5E679520"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Ambas respuestas ponen de manifiesto que la discusión sobre el sistema de créditos trasciende la reorganización administrativa de los planes de estudio y se desplaza hacia la preocupación por la calidad y profundidad de la formación universitaria.</w:t>
      </w:r>
    </w:p>
    <w:p w14:paraId="46D0DB9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lastRenderedPageBreak/>
        <w:t>Junto con estas inquietudes, el corpus reúne posiciones que expresan una mirada más crítica respecto del sentido que podría asumir la implementación del SACAU. En estos casos, la discusión deja de centrarse exclusivamente en la organización curricular y se vincula con transformaciones más amplias de la educación superior. Una de las respuestas sintetiza esta posición al señalar que el sistema:</w:t>
      </w:r>
    </w:p>
    <w:p w14:paraId="5585306E"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"Esconde un proceso de homogeneización de trayectorias y transforma a </w:t>
      </w:r>
      <w:proofErr w:type="spellStart"/>
      <w:r w:rsidRPr="0054507B">
        <w:rPr>
          <w:rFonts w:ascii="Times New Roman" w:hAnsi="Times New Roman" w:cs="Times New Roman"/>
          <w:lang w:val="es-AR"/>
        </w:rPr>
        <w:t>lxs</w:t>
      </w:r>
      <w:proofErr w:type="spellEnd"/>
      <w:r w:rsidRPr="0054507B">
        <w:rPr>
          <w:rFonts w:ascii="Times New Roman" w:hAnsi="Times New Roman" w:cs="Times New Roman"/>
          <w:lang w:val="es-AR"/>
        </w:rPr>
        <w:t xml:space="preserve"> estudiantes en clientes/consumidores de paquetes. Introduce una lógica de mercado y degrada la estructura de cargos de las facultades." (Universidad Nacional de Rosario, Profesor Titular, 11–20 años).</w:t>
      </w:r>
    </w:p>
    <w:p w14:paraId="719FE07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Aunque esta postura no representa el conjunto de las respuestas obtenidas, resulta significativa porque evidencia que algunos docentes interpretan el SACAU a partir de debates más amplios sobre el modelo de universidad pública y las políticas contemporáneas de educación superior. En estos casos, las preocupaciones no se limitan a la implementación del sistema de créditos, sino que alcanzan aspectos vinculados con el sentido de la formación universitaria, la organización del trabajo académico y las transformaciones institucionales que podrían derivarse de su aplicación.</w:t>
      </w:r>
    </w:p>
    <w:p w14:paraId="1D736D1B"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conjunto, las voces recuperadas muestran que las representaciones construidas en torno al SACAU trascienden la discusión sobre la asignación de créditos o la reorganización administrativa de los planes de estudio. Las respuestas ponen de manifiesto que la política es interpretada desde experiencias previas, tradiciones disciplinares y concepciones acerca de la enseñanza y de la universidad pública, que funcionan como marcos de referencia para otorgarle sentido. En términos de Mazzitelli et al. (2009), las representaciones sociales cumplen una función identitaria al contribuir a la construcción y preservación de esos marcos compartidos desde los cuales los sujetos interpretan su práctica profesional.</w:t>
      </w:r>
    </w:p>
    <w:p w14:paraId="702D750E"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Esta lectura permite comprender las respuestas docentes no solo como opiniones acerca del SACAU, sino también como parte del proceso mediante el cual la política comienza a adquirir significado en los contextos universitarios donde deberá desarrollarse. Desde la perspectiva propuesta por Stephen Ball, las políticas educativas no se implementan de manera lineal, sino que son interpretadas, traducidas y recreadas por los actores involucrados en función de sus experiencias, saberes y condiciones institucionales. Como señalan Ruan Sánchez y Cordero Arroyo (2021), este proceso de recontextualización implica que los textos de la política se conviertan en prácticas situadas, atravesadas por las posibilidades, restricciones y tradiciones propias de cada institución. Los resultados de la submuestra muestran que el 67,9 % del profesorado interpreta que el SACAU implica transformaciones que exceden la modificación de la carga horaria, mientras que solo el 1,7 % la reduce exclusivamente a ese aspecto. Esta comprensión también se expresa en las respuestas abiertas, que ubican el principal desafío en la construcción de acuerdos generales "a nivel institucional (universidad, facultad, carrera)" y advierten que el SACAU corre el riesgo de ser asumido como "un nuevo requerimiento administrativo" antes que como una discusión sustantiva sobre sus implicancias para los trayectos educativos (Universidad Nacional de Misiones, Profesora Adjunta, 11–20 años). En conjunto, estos hallazgos permiten advertir que las principales tensiones no se originan </w:t>
      </w:r>
      <w:r w:rsidRPr="0054507B">
        <w:rPr>
          <w:rFonts w:ascii="Times New Roman" w:hAnsi="Times New Roman" w:cs="Times New Roman"/>
          <w:lang w:val="es-AR"/>
        </w:rPr>
        <w:lastRenderedPageBreak/>
        <w:t>en una comprensión limitada de la política, sino en las formas que podría asumir su traducción e implementación en los contextos institucionales concretos. En este sentido, las preocupaciones vinculadas con el trabajo autónomo, la reorganización de la enseñanza, la especificidad disciplinar y los posibles efectos sobre la universidad pública pueden entenderse como expresiones de los procesos de construcción de sentido que acompañan la puesta en acto del SACAU.</w:t>
      </w:r>
    </w:p>
    <w:p w14:paraId="1AF0888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Conclusiones</w:t>
      </w:r>
    </w:p>
    <w:p w14:paraId="18B2995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presente estudio se propuso explorar las representaciones que los docentes universitarios elaboran en torno al Sistema Argentino de Créditos Académicos Universitarios durante las primeras etapas de circulación de esta política en el sistema universitario argentino. En este marco, el interés no estuvo puesto en evaluar la política ni en anticipar sus efectos, sino en comprender los sentidos, valoraciones y tensiones que comienzan a configurarse a medida que los actores universitarios interpretan el SACAU, en un contexto en el que sus alcances y modalidades de implementación aún se encuentran en proceso de definición.</w:t>
      </w:r>
    </w:p>
    <w:p w14:paraId="16B20AA2"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Los resultados permiten advertir, en primer lugar, que el SACAU constituye una política conocida entre el profesorado, aunque con niveles de conocimiento heterogéneos. La distancia observada entre haber escuchado hablar del sistema y considerar que se lo conoce en profundidad evidencia que la circulación de la política convive con incertidumbres respecto de sus fundamentos, alcances e implicancias pedagógicas. Este hallazgo resulta especialmente significativo porque pone de manifiesto que la construcción de sentidos sobre la política comienza antes de su implementación en las prácticas institucionales.</w:t>
      </w:r>
    </w:p>
    <w:p w14:paraId="474EA2C5"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segundo lugar, el análisis de las respuestas abiertas permitió identificar que las preocupaciones del profesorado no se concentran exclusivamente en aspectos administrativos o normativos. Por el contrario, las voces recuperadas evidencian que el SACAU es comprendido, ante todo, como una política que interpela las prácticas de enseñanza, la planificación curricular, la organización del trabajo docente y las formas de concebir los procesos de aprendizaje. Entre los principales ejes de preocupación se destacan la incorporación del trabajo autónomo, la necesidad de revisar las estrategias didácticas, la construcción de acuerdos institucionales y la preservación de la especificidad disciplinar.</w:t>
      </w:r>
    </w:p>
    <w:p w14:paraId="2EC74911"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Desde la perspectiva de las representaciones sociales, estos hallazgos permiten comprender que el SACAU es interpretado a partir de las trayectorias profesionales, las culturas disciplinares y las experiencias institucionales de quienes deberán llevar adelante su implementación. En este sentido, las representaciones recuperadas constituyen formas socialmente elaboradas de comprender una reforma curricular que orientan las valoraciones y expectativas docentes frente a sus posibles implicancias para la enseñanza universitaria (Moscovici, 1979; </w:t>
      </w:r>
      <w:proofErr w:type="spellStart"/>
      <w:r w:rsidRPr="0054507B">
        <w:rPr>
          <w:rFonts w:ascii="Times New Roman" w:hAnsi="Times New Roman" w:cs="Times New Roman"/>
          <w:lang w:val="es-AR"/>
        </w:rPr>
        <w:t>Abric</w:t>
      </w:r>
      <w:proofErr w:type="spellEnd"/>
      <w:r w:rsidRPr="0054507B">
        <w:rPr>
          <w:rFonts w:ascii="Times New Roman" w:hAnsi="Times New Roman" w:cs="Times New Roman"/>
          <w:lang w:val="es-AR"/>
        </w:rPr>
        <w:t>, 2001).</w:t>
      </w:r>
    </w:p>
    <w:p w14:paraId="2E4AE16D"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Al mismo tiempo, los resultados dialogan con la perspectiva de las políticas educativas desarrollada por Stephen Ball, en tanto muestran que la implementación de una política no comienza exclusivamente con su aplicación formal, sino también con los procesos de </w:t>
      </w:r>
      <w:r w:rsidRPr="0054507B">
        <w:rPr>
          <w:rFonts w:ascii="Times New Roman" w:hAnsi="Times New Roman" w:cs="Times New Roman"/>
          <w:lang w:val="es-AR"/>
        </w:rPr>
        <w:lastRenderedPageBreak/>
        <w:t>interpretación mediante los cuales los actores le atribuyen significado en sus contextos de actuación. En este sentido, las representaciones docentes identificadas en este estudio constituyen una dimensión temprana del propio proceso de implementación del SACAU, ya que evidencian cómo la política comienza a ser pensada, discutida y resignificada antes de traducirse en modificaciones concretas de las prácticas curriculares.</w:t>
      </w:r>
    </w:p>
    <w:p w14:paraId="09B6DAAF"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El carácter exploratorio del estudio delimita, naturalmente, el alcance de los resultados. La estrategia de relevamiento y la composición de la muestra no permiten generalizar las interpretaciones al conjunto del sistema universitario argentino. No obstante, la investigación ofrece una primera aproximación empírica a las representaciones docentes sobre el SACAU en dos universidades nacionales y aporta evidencias acerca de los procesos iniciales de construcción de sentido que acompañan la incorporación de esta política al escenario universitario.</w:t>
      </w:r>
    </w:p>
    <w:p w14:paraId="544B704F" w14:textId="46F01502" w:rsidR="00BC236F"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En este marco, el trabajo pone de relieve la importancia de incorporar la perspectiva docente al análisis de las políticas curriculares. Los resultados muestran que las representaciones elaboradas por los docentes no constituyen únicamente una respuesta frente al SACAU, sino un componente de los procesos mediante los cuales esta política comienza a adquirir formas concretas en las instituciones universitarias. De este modo, el estudio aporta evidencias para comprender que la implementación de una política curricular no depende exclusivamente de su formulación normativa, sino también de las interpretaciones que los actores construyen, negocian y resignifican en los contextos donde esa política cobra vida.</w:t>
      </w:r>
    </w:p>
    <w:p w14:paraId="022119BC" w14:textId="77777777" w:rsidR="0054507B" w:rsidRPr="0054507B" w:rsidRDefault="0054507B" w:rsidP="0054507B">
      <w:pPr>
        <w:spacing w:line="240" w:lineRule="auto"/>
        <w:jc w:val="both"/>
        <w:rPr>
          <w:rFonts w:ascii="Times New Roman" w:hAnsi="Times New Roman" w:cs="Times New Roman"/>
          <w:lang w:val="es-AR"/>
        </w:rPr>
      </w:pPr>
    </w:p>
    <w:p w14:paraId="39B57161" w14:textId="5B10105F" w:rsidR="005F3B2E" w:rsidRPr="0054507B" w:rsidRDefault="005F3B2E" w:rsidP="007B5B5F">
      <w:pPr>
        <w:spacing w:line="240" w:lineRule="auto"/>
        <w:rPr>
          <w:rFonts w:ascii="Times New Roman" w:hAnsi="Times New Roman" w:cs="Times New Roman"/>
          <w:b/>
          <w:bCs/>
          <w:lang w:val="en-US"/>
        </w:rPr>
      </w:pPr>
      <w:proofErr w:type="spellStart"/>
      <w:r w:rsidRPr="0054507B">
        <w:rPr>
          <w:rFonts w:ascii="Times New Roman" w:hAnsi="Times New Roman" w:cs="Times New Roman"/>
          <w:b/>
          <w:bCs/>
          <w:lang w:val="en-US"/>
        </w:rPr>
        <w:t>Referencias</w:t>
      </w:r>
      <w:proofErr w:type="spellEnd"/>
      <w:r w:rsidRPr="0054507B">
        <w:rPr>
          <w:rFonts w:ascii="Times New Roman" w:hAnsi="Times New Roman" w:cs="Times New Roman"/>
          <w:b/>
          <w:bCs/>
          <w:lang w:val="en-US"/>
        </w:rPr>
        <w:t xml:space="preserve"> </w:t>
      </w:r>
      <w:proofErr w:type="spellStart"/>
      <w:r w:rsidRPr="0054507B">
        <w:rPr>
          <w:rFonts w:ascii="Times New Roman" w:hAnsi="Times New Roman" w:cs="Times New Roman"/>
          <w:b/>
          <w:bCs/>
          <w:lang w:val="en-US"/>
        </w:rPr>
        <w:t>Bibliográficas</w:t>
      </w:r>
      <w:proofErr w:type="spellEnd"/>
      <w:r w:rsidRPr="0054507B">
        <w:rPr>
          <w:rFonts w:ascii="Times New Roman" w:hAnsi="Times New Roman" w:cs="Times New Roman"/>
          <w:b/>
          <w:bCs/>
          <w:lang w:val="en-US"/>
        </w:rPr>
        <w:t xml:space="preserve"> </w:t>
      </w:r>
    </w:p>
    <w:p w14:paraId="3787374C" w14:textId="77777777" w:rsidR="0054507B" w:rsidRPr="0054507B" w:rsidRDefault="0054507B" w:rsidP="0054507B">
      <w:pPr>
        <w:spacing w:line="240" w:lineRule="auto"/>
        <w:jc w:val="both"/>
        <w:rPr>
          <w:rFonts w:ascii="Times New Roman" w:hAnsi="Times New Roman" w:cs="Times New Roman"/>
          <w:lang w:val="es-AR"/>
        </w:rPr>
      </w:pPr>
      <w:proofErr w:type="spellStart"/>
      <w:r w:rsidRPr="0054507B">
        <w:rPr>
          <w:rFonts w:ascii="Times New Roman" w:hAnsi="Times New Roman" w:cs="Times New Roman"/>
          <w:lang w:val="es-AR"/>
        </w:rPr>
        <w:t>Abric</w:t>
      </w:r>
      <w:proofErr w:type="spellEnd"/>
      <w:r w:rsidRPr="0054507B">
        <w:rPr>
          <w:rFonts w:ascii="Times New Roman" w:hAnsi="Times New Roman" w:cs="Times New Roman"/>
          <w:lang w:val="es-AR"/>
        </w:rPr>
        <w:t>, J.-C. (2001). Prácticas sociales y representaciones. Ediciones Coyoacán.</w:t>
      </w:r>
    </w:p>
    <w:p w14:paraId="7F6C6BAE"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Arancibia, S., Rodríguez, G., Fritis, R., Tenorio, N., &amp; Poblete, H. (2013). Representaciones sociales en torno a equidad, acceso y adaptación en educación universitaria. </w:t>
      </w:r>
      <w:proofErr w:type="spellStart"/>
      <w:r w:rsidRPr="0054507B">
        <w:rPr>
          <w:rFonts w:ascii="Times New Roman" w:hAnsi="Times New Roman" w:cs="Times New Roman"/>
          <w:lang w:val="es-AR"/>
        </w:rPr>
        <w:t>Psicoperspectivas</w:t>
      </w:r>
      <w:proofErr w:type="spellEnd"/>
      <w:r w:rsidRPr="0054507B">
        <w:rPr>
          <w:rFonts w:ascii="Times New Roman" w:hAnsi="Times New Roman" w:cs="Times New Roman"/>
          <w:lang w:val="es-AR"/>
        </w:rPr>
        <w:t>, 12(1), 116–138.</w:t>
      </w:r>
    </w:p>
    <w:p w14:paraId="31569D3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Asociación Nacional de Facultades de Humanidades y Educación. (2025). La implementación del Sistema Argentino de Créditos Académicos Universitarios (SACAU): Resolución Ministerial 2598/23 ME. Documento para la discusión. https://anfhe.org.ar/wp-content/uploads/2025/03/anfhe20250325.pdf</w:t>
      </w:r>
    </w:p>
    <w:p w14:paraId="6CB5930D"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Ball, S. J. (2002). Textos, discursos y trayectorias de la política: La teoría estratégica. Páginas, 2(24), 19–33. https://revistas.unc.edu.ar/index.php/pgn/article/view/14985</w:t>
      </w:r>
    </w:p>
    <w:p w14:paraId="3B7C7809"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Consejo Interuniversitario Nacional. (2023). Aportes para pensar la distancia entre la duración teórica y real de las carreras y el reconocimiento de trayectorias formativas. Consejo Interuniversitario Nacional. https://www.cin.edu.ar/archivo.php</w:t>
      </w:r>
    </w:p>
    <w:p w14:paraId="2CD89A70"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 xml:space="preserve">Departamento de Información Universitaria. (2021). Síntesis de información. Estadísticas universitarias 2019–2020. Secretaría de Políticas Universitarias, Ministerio de Educación </w:t>
      </w:r>
      <w:r w:rsidRPr="0054507B">
        <w:rPr>
          <w:rFonts w:ascii="Times New Roman" w:hAnsi="Times New Roman" w:cs="Times New Roman"/>
          <w:lang w:val="es-AR"/>
        </w:rPr>
        <w:lastRenderedPageBreak/>
        <w:t>de la Nación. https://bibliotecadigital.cin.edu.ar/items/2ebdd6e5-da18-457c-bd55-fd7f35c8058b</w:t>
      </w:r>
    </w:p>
    <w:p w14:paraId="60BC7053" w14:textId="77777777" w:rsidR="0054507B" w:rsidRPr="0054507B" w:rsidRDefault="0054507B" w:rsidP="0054507B">
      <w:pPr>
        <w:spacing w:line="240" w:lineRule="auto"/>
        <w:jc w:val="both"/>
        <w:rPr>
          <w:rFonts w:ascii="Times New Roman" w:hAnsi="Times New Roman" w:cs="Times New Roman"/>
          <w:lang w:val="es-AR"/>
        </w:rPr>
      </w:pPr>
      <w:proofErr w:type="spellStart"/>
      <w:r w:rsidRPr="0054507B">
        <w:rPr>
          <w:rFonts w:ascii="Times New Roman" w:hAnsi="Times New Roman" w:cs="Times New Roman"/>
          <w:lang w:val="pt-BR"/>
        </w:rPr>
        <w:t>Doulián</w:t>
      </w:r>
      <w:proofErr w:type="spellEnd"/>
      <w:r w:rsidRPr="0054507B">
        <w:rPr>
          <w:rFonts w:ascii="Times New Roman" w:hAnsi="Times New Roman" w:cs="Times New Roman"/>
          <w:lang w:val="pt-BR"/>
        </w:rPr>
        <w:t xml:space="preserve">, N., &amp; </w:t>
      </w:r>
      <w:proofErr w:type="spellStart"/>
      <w:r w:rsidRPr="0054507B">
        <w:rPr>
          <w:rFonts w:ascii="Times New Roman" w:hAnsi="Times New Roman" w:cs="Times New Roman"/>
          <w:lang w:val="pt-BR"/>
        </w:rPr>
        <w:t>Terigi</w:t>
      </w:r>
      <w:proofErr w:type="spellEnd"/>
      <w:r w:rsidRPr="0054507B">
        <w:rPr>
          <w:rFonts w:ascii="Times New Roman" w:hAnsi="Times New Roman" w:cs="Times New Roman"/>
          <w:lang w:val="pt-BR"/>
        </w:rPr>
        <w:t xml:space="preserve">, F. (2025, 28 de agosto). </w:t>
      </w:r>
      <w:r w:rsidRPr="0054507B">
        <w:rPr>
          <w:rFonts w:ascii="Times New Roman" w:hAnsi="Times New Roman" w:cs="Times New Roman"/>
          <w:lang w:val="es-AR"/>
        </w:rPr>
        <w:t>El SACAU como política del sistema universitario: Tensiones y oportunidades en su implementación [Ponencia]. Primer Congreso Nacional de Innovación Universitaria: Enseñanza, investigación, gestión y territorio, Rosario, Argentina.</w:t>
      </w:r>
    </w:p>
    <w:p w14:paraId="5AB08AD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Jodelet, D. (1986). La representación social: Fenómenos, conceptos y teoría. En S. Moscovici (Comp.), Psicología social II (pp. 469–494). Paidós.</w:t>
      </w:r>
    </w:p>
    <w:p w14:paraId="336262B5"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Marquina, M. (2023). Sentidos de un sistema de créditos académicos en la universidad. En Las ventajas y desventajas del sistema de créditos en la universidad (Documento de Trabajo N.º 2, pp. 18–28). Observatorio de Educación Superior, Universidad Nacional Arturo Jauretche.</w:t>
      </w:r>
    </w:p>
    <w:p w14:paraId="7C5E0C3F"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Ministerio de Educación, &amp; Consejo Interuniversitario Nacional. (2021, 14 de diciembre). La Universidad argentina: Hacia el desarrollo económico y el progreso social. https://www.cin.edu.ar/declaracion-ministerio-de-educacion-cin-14-de-diciembre-de-2021/</w:t>
      </w:r>
    </w:p>
    <w:p w14:paraId="4EBC682B"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Moscovici, S. (1979). El psicoanálisis, su imagen y su público. Huemul.</w:t>
      </w:r>
    </w:p>
    <w:p w14:paraId="53BE6798"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Pérez Rasetti, C. (2025). Créditos académicos: Una herramienta útil en medio de la disputa. En C. Marquis (Ed.), La agenda universitaria VIII: Miradas sobre las universidades nacionales desde sus investigadores (pp. 120–149). Universidad de Palermo.</w:t>
      </w:r>
    </w:p>
    <w:p w14:paraId="6F0E2EFC" w14:textId="77777777" w:rsidR="0054507B" w:rsidRPr="0054507B" w:rsidRDefault="0054507B" w:rsidP="0054507B">
      <w:pPr>
        <w:spacing w:line="240" w:lineRule="auto"/>
        <w:jc w:val="both"/>
        <w:rPr>
          <w:rFonts w:ascii="Times New Roman" w:hAnsi="Times New Roman" w:cs="Times New Roman"/>
          <w:lang w:val="es-AR"/>
        </w:rPr>
      </w:pPr>
      <w:r w:rsidRPr="0054507B">
        <w:rPr>
          <w:rFonts w:ascii="Times New Roman" w:hAnsi="Times New Roman" w:cs="Times New Roman"/>
          <w:lang w:val="es-AR"/>
        </w:rPr>
        <w:t>Ruan Sánchez, D. L., &amp; Cordero Arroyo, D. G. (2021). La producción académica de Stephen Ball: Contribuciones para el estudio de las políticas educativas en Iberoamérica. Foro de Educación, 19(2), 363–386. https://doi.org/10.14516/fde.779</w:t>
      </w:r>
    </w:p>
    <w:p w14:paraId="7E83515B" w14:textId="01682F4B" w:rsidR="001923DC" w:rsidRPr="0054507B" w:rsidRDefault="0054507B" w:rsidP="0054507B">
      <w:pPr>
        <w:spacing w:line="240" w:lineRule="auto"/>
        <w:jc w:val="both"/>
        <w:rPr>
          <w:rFonts w:ascii="Times New Roman" w:hAnsi="Times New Roman" w:cs="Times New Roman"/>
          <w:lang w:val="es-AR"/>
        </w:rPr>
      </w:pPr>
      <w:proofErr w:type="spellStart"/>
      <w:r w:rsidRPr="0054507B">
        <w:rPr>
          <w:rFonts w:ascii="Times New Roman" w:hAnsi="Times New Roman" w:cs="Times New Roman"/>
          <w:lang w:val="es-AR"/>
        </w:rPr>
        <w:t>Spasiuk</w:t>
      </w:r>
      <w:proofErr w:type="spellEnd"/>
      <w:r w:rsidRPr="0054507B">
        <w:rPr>
          <w:rFonts w:ascii="Times New Roman" w:hAnsi="Times New Roman" w:cs="Times New Roman"/>
          <w:lang w:val="es-AR"/>
        </w:rPr>
        <w:t>, G. E. (2025). Reformas curriculares y Sistema Argentino de Créditos Académicos: Reflexiones necesarias. Debate Público. Reflexión de Trabajo Social, 15(29), 43–51.</w:t>
      </w:r>
    </w:p>
    <w:sectPr w:rsidR="001923DC" w:rsidRPr="0054507B"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1BBFF" w14:textId="77777777" w:rsidR="00E4768B" w:rsidRPr="00BA642E" w:rsidRDefault="00E4768B" w:rsidP="00C802F5">
      <w:pPr>
        <w:spacing w:after="0" w:line="240" w:lineRule="auto"/>
      </w:pPr>
      <w:r w:rsidRPr="00BA642E">
        <w:separator/>
      </w:r>
    </w:p>
  </w:endnote>
  <w:endnote w:type="continuationSeparator" w:id="0">
    <w:p w14:paraId="328827BA" w14:textId="77777777" w:rsidR="00E4768B" w:rsidRPr="00BA642E" w:rsidRDefault="00E4768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AFC9" w14:textId="77777777" w:rsidR="00E4768B" w:rsidRPr="00BA642E" w:rsidRDefault="00E4768B" w:rsidP="00C802F5">
      <w:pPr>
        <w:spacing w:after="0" w:line="240" w:lineRule="auto"/>
      </w:pPr>
      <w:r w:rsidRPr="00BA642E">
        <w:separator/>
      </w:r>
    </w:p>
  </w:footnote>
  <w:footnote w:type="continuationSeparator" w:id="0">
    <w:p w14:paraId="19F1A2E8" w14:textId="77777777" w:rsidR="00E4768B" w:rsidRPr="00BA642E" w:rsidRDefault="00E4768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194738"/>
    <w:rsid w:val="002327C3"/>
    <w:rsid w:val="00312392"/>
    <w:rsid w:val="004040C0"/>
    <w:rsid w:val="00437E9C"/>
    <w:rsid w:val="0054507B"/>
    <w:rsid w:val="00550766"/>
    <w:rsid w:val="005F3B2E"/>
    <w:rsid w:val="00701F64"/>
    <w:rsid w:val="007B5B5F"/>
    <w:rsid w:val="007D233B"/>
    <w:rsid w:val="0085070B"/>
    <w:rsid w:val="008E38EF"/>
    <w:rsid w:val="00A17247"/>
    <w:rsid w:val="00BA642E"/>
    <w:rsid w:val="00BC236F"/>
    <w:rsid w:val="00C802F5"/>
    <w:rsid w:val="00C96B2C"/>
    <w:rsid w:val="00CC04C1"/>
    <w:rsid w:val="00CC5E88"/>
    <w:rsid w:val="00D843EC"/>
    <w:rsid w:val="00E476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olinasager24@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8555</Words>
  <Characters>47057</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ARGENTINO DE CRÉDITOS ACADÉMICOS UNIVERSITARIOS (SACAU): REPRESENTACIONES DOCENTES SOBRE EL CAMBIO CURRICULAR EN EL CONTEXTO DE SU IMPLEMENTACIÓN</dc:title>
  <dc:subject/>
  <dc:creator>Debora Saldivar;Carolina Sager</dc:creator>
  <cp:keywords>SACAU; Representaciones; UNTREF</cp:keywords>
  <dc:description/>
  <cp:lastModifiedBy>Débora Saldivar</cp:lastModifiedBy>
  <cp:revision>5</cp:revision>
  <dcterms:created xsi:type="dcterms:W3CDTF">2026-07-02T01:31:00Z</dcterms:created>
  <dcterms:modified xsi:type="dcterms:W3CDTF">2026-07-02T01:34:00Z</dcterms:modified>
  <cp:contentStatus>Final</cp:contentStatus>
</cp:coreProperties>
</file>