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1923DC">
      <w:pPr>
        <w:jc w:val="center"/>
        <w:rPr>
          <w:rFonts w:ascii="Times New Roman" w:hAnsi="Times New Roman" w:cs="Times New Roman"/>
        </w:rPr>
      </w:pPr>
    </w:p>
    <w:p w14:paraId="234D0590" w14:textId="77777777" w:rsidR="00FA7EDF" w:rsidRPr="00C30B35" w:rsidRDefault="005F3B2E" w:rsidP="00FA7EDF">
      <w:pPr>
        <w:spacing w:after="0" w:line="240" w:lineRule="auto"/>
        <w:jc w:val="center"/>
        <w:outlineLvl w:val="0"/>
        <w:rPr>
          <w:rFonts w:ascii="Times New Roman" w:eastAsia="Times New Roman" w:hAnsi="Times New Roman" w:cs="Times New Roman"/>
          <w:b/>
          <w:bCs/>
          <w:kern w:val="36"/>
          <w:lang w:eastAsia="es-AR"/>
        </w:rPr>
      </w:pPr>
      <w:r w:rsidRPr="00BA642E">
        <w:rPr>
          <w:rFonts w:ascii="Times New Roman" w:hAnsi="Times New Roman" w:cs="Times New Roman"/>
          <w:b/>
          <w:bCs/>
        </w:rPr>
        <w:t xml:space="preserve">Título </w:t>
      </w:r>
      <w:r w:rsidR="00FA7EDF" w:rsidRPr="00C30B35">
        <w:rPr>
          <w:rFonts w:ascii="Times New Roman" w:eastAsia="Times New Roman" w:hAnsi="Times New Roman" w:cs="Times New Roman"/>
          <w:b/>
          <w:bCs/>
          <w:kern w:val="36"/>
          <w:lang w:eastAsia="es-AR"/>
        </w:rPr>
        <w:t>Innovación Académica Curricular y Gestión Universitaria: El Tránsito hacia Créditos Académicos en la UNRC</w:t>
      </w:r>
    </w:p>
    <w:p w14:paraId="1DABD42B" w14:textId="5CDB2B4B" w:rsidR="001923DC" w:rsidRPr="00BA642E" w:rsidRDefault="001923DC" w:rsidP="001923DC">
      <w:pPr>
        <w:jc w:val="center"/>
        <w:rPr>
          <w:rFonts w:ascii="Times New Roman" w:hAnsi="Times New Roman" w:cs="Times New Roman"/>
          <w:b/>
          <w:bCs/>
        </w:rPr>
      </w:pPr>
    </w:p>
    <w:p w14:paraId="4E738780" w14:textId="3D5B5B81" w:rsidR="005F3B2E" w:rsidRPr="00BA642E" w:rsidRDefault="00D66B09" w:rsidP="005F3B2E">
      <w:pPr>
        <w:spacing w:after="0" w:line="240" w:lineRule="auto"/>
        <w:jc w:val="right"/>
        <w:rPr>
          <w:rFonts w:ascii="Times New Roman" w:hAnsi="Times New Roman" w:cs="Times New Roman"/>
        </w:rPr>
      </w:pPr>
      <w:r>
        <w:rPr>
          <w:rFonts w:ascii="Times New Roman" w:hAnsi="Times New Roman" w:cs="Times New Roman"/>
        </w:rPr>
        <w:t>MARTINI CELINA ANDREA</w:t>
      </w:r>
      <w:r w:rsidR="005F3B2E" w:rsidRPr="00BA642E">
        <w:rPr>
          <w:rFonts w:ascii="Times New Roman" w:hAnsi="Times New Roman" w:cs="Times New Roman"/>
        </w:rPr>
        <w:t>1</w:t>
      </w:r>
    </w:p>
    <w:p w14:paraId="6C2AECCA" w14:textId="6ABCB823" w:rsidR="005F3B2E" w:rsidRPr="00BA642E" w:rsidRDefault="00D66B09" w:rsidP="005F3B2E">
      <w:pPr>
        <w:spacing w:after="0" w:line="240" w:lineRule="auto"/>
        <w:jc w:val="right"/>
        <w:rPr>
          <w:rFonts w:ascii="Times New Roman" w:hAnsi="Times New Roman" w:cs="Times New Roman"/>
        </w:rPr>
      </w:pPr>
      <w:bookmarkStart w:id="0" w:name="_Hlk233721775"/>
      <w:r>
        <w:rPr>
          <w:rFonts w:ascii="Times New Roman" w:hAnsi="Times New Roman" w:cs="Times New Roman"/>
        </w:rPr>
        <w:t xml:space="preserve">Universidad Nacional de Río Cuarto. Secretaria Académica </w:t>
      </w:r>
    </w:p>
    <w:p w14:paraId="7D0026CD" w14:textId="64F0FF17" w:rsidR="005F3B2E" w:rsidRDefault="00D66B09" w:rsidP="005F3B2E">
      <w:pPr>
        <w:spacing w:after="0" w:line="240" w:lineRule="auto"/>
        <w:jc w:val="right"/>
        <w:rPr>
          <w:rFonts w:ascii="Times New Roman" w:hAnsi="Times New Roman" w:cs="Times New Roman"/>
        </w:rPr>
      </w:pPr>
      <w:r>
        <w:rPr>
          <w:rFonts w:ascii="Times New Roman" w:hAnsi="Times New Roman" w:cs="Times New Roman"/>
        </w:rPr>
        <w:t>E-mail: cmartini@hum.unrc.edu.ar</w:t>
      </w:r>
      <w:r w:rsidR="005F3B2E" w:rsidRPr="00BA642E">
        <w:rPr>
          <w:rFonts w:ascii="Times New Roman" w:hAnsi="Times New Roman" w:cs="Times New Roman"/>
        </w:rPr>
        <w:t xml:space="preserve"> </w:t>
      </w:r>
    </w:p>
    <w:bookmarkEnd w:id="0"/>
    <w:p w14:paraId="0C76F02C" w14:textId="49E88128" w:rsidR="00D653C3" w:rsidRDefault="00D653C3" w:rsidP="005F3B2E">
      <w:pPr>
        <w:spacing w:after="0" w:line="240" w:lineRule="auto"/>
        <w:jc w:val="right"/>
        <w:rPr>
          <w:rFonts w:ascii="Times New Roman" w:hAnsi="Times New Roman" w:cs="Times New Roman"/>
        </w:rPr>
      </w:pPr>
    </w:p>
    <w:p w14:paraId="77AFA5B5" w14:textId="04D35A50" w:rsidR="00D653C3" w:rsidRDefault="00D653C3" w:rsidP="005F3B2E">
      <w:pPr>
        <w:spacing w:after="0" w:line="240" w:lineRule="auto"/>
        <w:jc w:val="right"/>
        <w:rPr>
          <w:rFonts w:ascii="Times New Roman" w:hAnsi="Times New Roman" w:cs="Times New Roman"/>
        </w:rPr>
      </w:pPr>
      <w:r>
        <w:rPr>
          <w:rFonts w:ascii="Times New Roman" w:hAnsi="Times New Roman" w:cs="Times New Roman"/>
        </w:rPr>
        <w:t>PIZZZI PABLO SANTIAGO</w:t>
      </w:r>
    </w:p>
    <w:p w14:paraId="7387256F" w14:textId="77777777" w:rsidR="00D653C3" w:rsidRPr="00D653C3" w:rsidRDefault="00D653C3" w:rsidP="00D653C3">
      <w:pPr>
        <w:spacing w:after="0" w:line="240" w:lineRule="auto"/>
        <w:jc w:val="right"/>
        <w:rPr>
          <w:rFonts w:ascii="Times New Roman" w:hAnsi="Times New Roman" w:cs="Times New Roman"/>
        </w:rPr>
      </w:pPr>
      <w:r w:rsidRPr="00D653C3">
        <w:rPr>
          <w:rFonts w:ascii="Times New Roman" w:hAnsi="Times New Roman" w:cs="Times New Roman"/>
        </w:rPr>
        <w:t xml:space="preserve">Universidad Nacional de Río Cuarto. Secretaria Académica </w:t>
      </w:r>
    </w:p>
    <w:p w14:paraId="22B407BA" w14:textId="3B68BC2B" w:rsidR="00D653C3" w:rsidRPr="00D653C3" w:rsidRDefault="00D653C3" w:rsidP="00D653C3">
      <w:pPr>
        <w:spacing w:after="0" w:line="240" w:lineRule="auto"/>
        <w:jc w:val="right"/>
        <w:rPr>
          <w:rFonts w:ascii="Times New Roman" w:hAnsi="Times New Roman" w:cs="Times New Roman"/>
        </w:rPr>
      </w:pPr>
      <w:r w:rsidRPr="00D653C3">
        <w:rPr>
          <w:rFonts w:ascii="Times New Roman" w:hAnsi="Times New Roman" w:cs="Times New Roman"/>
        </w:rPr>
        <w:t xml:space="preserve">E-mail: </w:t>
      </w:r>
      <w:r>
        <w:rPr>
          <w:rFonts w:ascii="Times New Roman" w:hAnsi="Times New Roman" w:cs="Times New Roman"/>
        </w:rPr>
        <w:t>ppizzi</w:t>
      </w:r>
      <w:r w:rsidRPr="00D653C3">
        <w:rPr>
          <w:rFonts w:ascii="Times New Roman" w:hAnsi="Times New Roman" w:cs="Times New Roman"/>
        </w:rPr>
        <w:t>@</w:t>
      </w:r>
      <w:r>
        <w:rPr>
          <w:rFonts w:ascii="Times New Roman" w:hAnsi="Times New Roman" w:cs="Times New Roman"/>
        </w:rPr>
        <w:t>ac</w:t>
      </w:r>
      <w:r w:rsidRPr="00D653C3">
        <w:rPr>
          <w:rFonts w:ascii="Times New Roman" w:hAnsi="Times New Roman" w:cs="Times New Roman"/>
        </w:rPr>
        <w:t xml:space="preserve">.unrc.edu.ar </w:t>
      </w:r>
    </w:p>
    <w:p w14:paraId="3B3C5175" w14:textId="77777777" w:rsidR="00D653C3" w:rsidRPr="00BA642E" w:rsidRDefault="00D653C3" w:rsidP="005F3B2E">
      <w:pPr>
        <w:spacing w:after="0" w:line="240" w:lineRule="auto"/>
        <w:jc w:val="right"/>
        <w:rPr>
          <w:rFonts w:ascii="Times New Roman" w:hAnsi="Times New Roman" w:cs="Times New Roman"/>
        </w:rPr>
      </w:pPr>
    </w:p>
    <w:p w14:paraId="1FA0F857" w14:textId="77777777" w:rsidR="005F3B2E" w:rsidRPr="00BA642E" w:rsidRDefault="005F3B2E" w:rsidP="005F3B2E">
      <w:pPr>
        <w:rPr>
          <w:rFonts w:ascii="Times New Roman" w:hAnsi="Times New Roman" w:cs="Times New Roman"/>
        </w:rPr>
      </w:pPr>
    </w:p>
    <w:p w14:paraId="7B9027E2" w14:textId="43F0EEF0" w:rsidR="00BA642E" w:rsidRPr="00BA642E" w:rsidRDefault="00C802F5" w:rsidP="00D66B09">
      <w:pPr>
        <w:tabs>
          <w:tab w:val="center" w:pos="4252"/>
          <w:tab w:val="right" w:pos="8504"/>
        </w:tabs>
        <w:spacing w:after="0" w:line="240" w:lineRule="auto"/>
        <w:rPr>
          <w:rFonts w:ascii="Times New Roman" w:hAnsi="Times New Roman" w:cs="Times New Roman"/>
          <w:b/>
          <w:bCs/>
        </w:rPr>
      </w:pPr>
      <w:r w:rsidRPr="00BA642E">
        <w:rPr>
          <w:rFonts w:ascii="Times New Roman" w:hAnsi="Times New Roman" w:cs="Times New Roman"/>
        </w:rPr>
        <w:tab/>
      </w:r>
    </w:p>
    <w:p w14:paraId="35A6682C" w14:textId="63829AEC" w:rsidR="00BA642E" w:rsidRPr="00D66B09" w:rsidRDefault="00BA642E" w:rsidP="007B5B5F">
      <w:pPr>
        <w:spacing w:line="240" w:lineRule="auto"/>
        <w:jc w:val="both"/>
        <w:rPr>
          <w:rFonts w:ascii="Times New Roman" w:hAnsi="Times New Roman" w:cs="Times New Roman"/>
          <w:b/>
          <w:bCs/>
          <w:lang w:val="es-AR"/>
        </w:rPr>
      </w:pPr>
      <w:r w:rsidRPr="00D66B09">
        <w:rPr>
          <w:rFonts w:ascii="Times New Roman" w:hAnsi="Times New Roman" w:cs="Times New Roman"/>
          <w:b/>
          <w:bCs/>
          <w:lang w:val="es-AR"/>
        </w:rPr>
        <w:t>Resumen:</w:t>
      </w:r>
      <w:r w:rsidR="007B5B5F" w:rsidRPr="00D66B09">
        <w:rPr>
          <w:rFonts w:ascii="Times New Roman" w:hAnsi="Times New Roman" w:cs="Times New Roman"/>
          <w:b/>
          <w:bCs/>
          <w:lang w:val="es-AR"/>
        </w:rPr>
        <w:t xml:space="preserve"> </w:t>
      </w:r>
    </w:p>
    <w:p w14:paraId="6DD293D4" w14:textId="7FCFE207" w:rsidR="00D66B09" w:rsidRPr="00D66B09" w:rsidRDefault="00D66B09" w:rsidP="00D66B09">
      <w:pPr>
        <w:spacing w:after="0" w:line="240" w:lineRule="auto"/>
        <w:jc w:val="both"/>
        <w:rPr>
          <w:rFonts w:ascii="Times New Roman" w:eastAsia="Times New Roman" w:hAnsi="Times New Roman" w:cs="Times New Roman"/>
          <w:kern w:val="0"/>
          <w:lang w:val="es-AR" w:eastAsia="es-AR"/>
          <w14:ligatures w14:val="none"/>
        </w:rPr>
      </w:pPr>
      <w:r w:rsidRPr="00D66B09">
        <w:rPr>
          <w:rFonts w:ascii="Times New Roman" w:eastAsia="Times New Roman" w:hAnsi="Times New Roman" w:cs="Times New Roman"/>
          <w:kern w:val="0"/>
          <w:lang w:val="es-AR" w:eastAsia="es-AR"/>
          <w14:ligatures w14:val="none"/>
        </w:rPr>
        <w:t xml:space="preserve">La universidad pública, libre, gratuita y de calidad constituye uno de los cimientos fundamentales de la sociedad argentina. Concebir la educación superior como un derecho humano, tanto en su dimensión individual como colectiva, exige que el acceso efectivo sea garantizado mediante políticas públicas y de gestión académica que conformen un campo de trabajo institucional sostenido. En la coyuntura actual, caracterizada por profundas tensiones financieras y discursivas que impactan sobre lo público, la innovación en la educación superior emerge no solo como una necesidad técnica de adecuación regulatoria, sino como un imperativo ético y político. En este marco de referencia, la Universidad Nacional de Río Cuarto (UNRC) despliega su </w:t>
      </w:r>
      <w:r w:rsidRPr="00D66B09">
        <w:rPr>
          <w:rFonts w:ascii="Times New Roman" w:eastAsia="Times New Roman" w:hAnsi="Times New Roman" w:cs="Times New Roman"/>
          <w:i/>
          <w:iCs/>
          <w:kern w:val="0"/>
          <w:lang w:val="es-AR" w:eastAsia="es-AR"/>
          <w14:ligatures w14:val="none"/>
        </w:rPr>
        <w:t>Programa de Innovación Académico Curricular 2025-2027</w:t>
      </w:r>
      <w:r w:rsidRPr="00D66B09">
        <w:rPr>
          <w:rFonts w:ascii="Times New Roman" w:eastAsia="Times New Roman" w:hAnsi="Times New Roman" w:cs="Times New Roman"/>
          <w:kern w:val="0"/>
          <w:lang w:val="es-AR" w:eastAsia="es-AR"/>
          <w14:ligatures w14:val="none"/>
        </w:rPr>
        <w:t xml:space="preserve"> (R.C.S. N° 477/25). Este dispositivo de gestión busca articular de manera orgánica la flexibilidad curricular con la formación docente continua, promoviendo una revisión exhaustiva de los supuestos pedagógicos tradicionales. El Programa se estructura en dos líneas prioritarias de intervención: a) Innovación Curricular y el Sistema Argentino de Créditos Académicos Universitarios (SACAU), centrado en redefinir el crédito como unidad de medida del tiempo total de trabajo del estudiante para reducir la brecha histórica entre la duración teórica y real de las carreras; y b) Innovación Académica y Formación de Formadores, orientada a la transformación de las prácticas áulicas mediante el trabajo colaborativo y la sistematización de experiencias de cátedra. Como vectores transversales, la propuesta incorpora las recomendaciones de las Cumbres Regionales de Educación Superior (CRES), contemplando la bimodalidad tecnológica y la sostenibilidad. En conclusión, la estrategia de la UNRC se posiciona como un ejercicio de autonomía responsable que traduce las macro políticas nacionales de flexibilización (Resolución Ministerial No 2598/23 y Resolución SE No 556/25) en herramientas locales de justicia curricular, ratificando el compromiso social de la universidad pública frente a los desafíos contemporáneos.</w:t>
      </w:r>
    </w:p>
    <w:p w14:paraId="481C392B" w14:textId="77777777" w:rsidR="00742D15" w:rsidRDefault="00742D15" w:rsidP="00D66B09">
      <w:pPr>
        <w:spacing w:after="0" w:line="240" w:lineRule="auto"/>
        <w:jc w:val="both"/>
        <w:rPr>
          <w:rFonts w:ascii="Times New Roman" w:hAnsi="Times New Roman" w:cs="Times New Roman"/>
          <w:b/>
          <w:bCs/>
          <w:lang w:val="es-AR"/>
        </w:rPr>
      </w:pPr>
    </w:p>
    <w:p w14:paraId="4ABF922F" w14:textId="77777777" w:rsidR="00742D15" w:rsidRDefault="00742D15" w:rsidP="00D66B09">
      <w:pPr>
        <w:spacing w:after="0" w:line="240" w:lineRule="auto"/>
        <w:jc w:val="both"/>
        <w:rPr>
          <w:rFonts w:ascii="Times New Roman" w:hAnsi="Times New Roman" w:cs="Times New Roman"/>
          <w:b/>
          <w:bCs/>
          <w:lang w:val="es-AR"/>
        </w:rPr>
      </w:pPr>
    </w:p>
    <w:p w14:paraId="72D71448" w14:textId="77777777" w:rsidR="00742D15" w:rsidRDefault="00742D15" w:rsidP="00D66B09">
      <w:pPr>
        <w:spacing w:after="0" w:line="240" w:lineRule="auto"/>
        <w:jc w:val="both"/>
        <w:rPr>
          <w:rFonts w:ascii="Times New Roman" w:hAnsi="Times New Roman" w:cs="Times New Roman"/>
          <w:b/>
          <w:bCs/>
          <w:lang w:val="es-AR"/>
        </w:rPr>
      </w:pPr>
    </w:p>
    <w:p w14:paraId="2205A4CE" w14:textId="3257F176" w:rsidR="00D66B09" w:rsidRPr="00D66B09" w:rsidRDefault="00BA642E" w:rsidP="00D66B09">
      <w:pPr>
        <w:spacing w:after="0" w:line="240" w:lineRule="auto"/>
        <w:jc w:val="both"/>
        <w:rPr>
          <w:rFonts w:ascii="Times New Roman" w:eastAsia="Times New Roman" w:hAnsi="Times New Roman" w:cs="Times New Roman"/>
          <w:kern w:val="0"/>
          <w:lang w:val="es-AR" w:eastAsia="es-AR"/>
          <w14:ligatures w14:val="none"/>
        </w:rPr>
      </w:pPr>
      <w:r w:rsidRPr="00D66B09">
        <w:rPr>
          <w:rFonts w:ascii="Times New Roman" w:hAnsi="Times New Roman" w:cs="Times New Roman"/>
          <w:b/>
          <w:bCs/>
          <w:lang w:val="es-AR"/>
        </w:rPr>
        <w:t>Palabras clave</w:t>
      </w:r>
      <w:r w:rsidR="00742D15">
        <w:rPr>
          <w:rFonts w:ascii="Times New Roman" w:hAnsi="Times New Roman" w:cs="Times New Roman"/>
          <w:b/>
          <w:bCs/>
          <w:lang w:val="es-AR"/>
        </w:rPr>
        <w:t>s</w:t>
      </w:r>
      <w:r w:rsidR="00D66B09" w:rsidRPr="00D66B09">
        <w:rPr>
          <w:rFonts w:ascii="Times New Roman" w:eastAsia="Times New Roman" w:hAnsi="Times New Roman" w:cs="Times New Roman"/>
          <w:b/>
          <w:bCs/>
          <w:kern w:val="0"/>
          <w:lang w:val="es-AR" w:eastAsia="es-AR"/>
          <w14:ligatures w14:val="none"/>
        </w:rPr>
        <w:t>:</w:t>
      </w:r>
      <w:r w:rsidR="00D66B09" w:rsidRPr="00D66B09">
        <w:rPr>
          <w:rFonts w:ascii="Times New Roman" w:eastAsia="Times New Roman" w:hAnsi="Times New Roman" w:cs="Times New Roman"/>
          <w:kern w:val="0"/>
          <w:lang w:val="es-AR" w:eastAsia="es-AR"/>
          <w14:ligatures w14:val="none"/>
        </w:rPr>
        <w:t xml:space="preserve"> Innovación Académica Curricular – Flexibilidad Curricular – Formación Docente – Sistema de Créditos (SACAU) – Derecho a la Educación.</w:t>
      </w:r>
    </w:p>
    <w:p w14:paraId="2994BAB3" w14:textId="4D903AD7" w:rsidR="00BA642E" w:rsidRPr="00D66B09" w:rsidRDefault="00BA642E" w:rsidP="007B5B5F">
      <w:pPr>
        <w:spacing w:line="240" w:lineRule="auto"/>
        <w:jc w:val="both"/>
        <w:rPr>
          <w:rFonts w:ascii="Times New Roman" w:hAnsi="Times New Roman" w:cs="Times New Roman"/>
          <w:b/>
          <w:bCs/>
          <w:lang w:val="es-AR"/>
        </w:rPr>
      </w:pPr>
    </w:p>
    <w:p w14:paraId="6A5547A1" w14:textId="36B7FAC2" w:rsidR="00BA642E" w:rsidRPr="00742D15" w:rsidRDefault="00BA642E" w:rsidP="007B5B5F">
      <w:pPr>
        <w:spacing w:line="240" w:lineRule="auto"/>
        <w:rPr>
          <w:rFonts w:ascii="Times New Roman" w:hAnsi="Times New Roman" w:cs="Times New Roman"/>
          <w:b/>
          <w:bCs/>
          <w:lang w:val="es-AR"/>
        </w:rPr>
      </w:pPr>
      <w:r w:rsidRPr="00742D15">
        <w:rPr>
          <w:rFonts w:ascii="Times New Roman" w:hAnsi="Times New Roman" w:cs="Times New Roman"/>
          <w:b/>
          <w:bCs/>
          <w:lang w:val="es-AR"/>
        </w:rPr>
        <w:t>Introducción</w:t>
      </w:r>
    </w:p>
    <w:p w14:paraId="19C79BF6"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b/>
          <w:bCs/>
          <w:kern w:val="0"/>
          <w:lang w:val="es-AR" w:eastAsia="es-AR"/>
          <w14:ligatures w14:val="none"/>
        </w:rPr>
        <w:t>La Educación Superior como Derecho y la Coyuntura Contemporánea</w:t>
      </w:r>
    </w:p>
    <w:p w14:paraId="19B6F054" w14:textId="77777777" w:rsidR="00742D15" w:rsidRPr="00742D15" w:rsidRDefault="00742D15" w:rsidP="00742D15">
      <w:pPr>
        <w:spacing w:after="0" w:line="240" w:lineRule="auto"/>
        <w:ind w:left="735"/>
        <w:contextualSpacing/>
        <w:jc w:val="both"/>
        <w:outlineLvl w:val="1"/>
        <w:rPr>
          <w:rFonts w:ascii="Times New Roman" w:eastAsia="Times New Roman" w:hAnsi="Times New Roman" w:cs="Times New Roman"/>
          <w:b/>
          <w:bCs/>
          <w:kern w:val="0"/>
          <w:lang w:val="es-AR" w:eastAsia="es-AR"/>
          <w14:ligatures w14:val="none"/>
        </w:rPr>
      </w:pPr>
    </w:p>
    <w:p w14:paraId="1A2E96B1"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La Universidad pública argentina atraviesa un escenario caracterizado por mutaciones estructurales y discursivas complejas. Lejos de constituir un espacio aislado de las dinámicas globales, las instituciones de educación superior se encuentran interpeladas por transformaciones tecnológicas aceleradas, demandas de actualización profesional de los entornos productivos y, de manera crítica en el plano local, por severas restricciones presupuestarias y tensiones político-ideológicas en torno al sentido y la legitimidad del financiamiento estatal de lo público. En este marco de complejidad, la Universidad Nacional de Río Cuarto (UNRC) reafirma los principios rectores que han configurado la identidad de la universidad latinoamericana: la educación superior es un bien público social, un derecho humano universal y una responsabilidad indelegable del Estado.</w:t>
      </w:r>
    </w:p>
    <w:p w14:paraId="0857C56B"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Asumir la educación superior bajo la categoría de derecho implica desarticular las visiones tecnocráticas y neoliberales que pretenden asimilar el acto pedagógico a una transacción mercantil o a un servicio de consumo individual regulado por el mercado. Tal como quedó plasmado en la Declaración de la III Conferencia Regional de Educación Superior (CRES, 2018), los Estados nacionales tienen la obligación de garantizar no solo el ingreso, sino también las condiciones institucionales que hagan viable la permanencia, y el egreso de los estudiantes en tiempos socialmente justos. La democratización real de la universidad demanda una revisión profunda y permanente de las estructuras pedagógicas, organizacionales y curriculares que históricamente han operado como mecanismos invisibles de exclusión y desgranamiento.</w:t>
      </w:r>
    </w:p>
    <w:p w14:paraId="2A3D476E"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En el contexto actual, la innovación académica y curricular deja de ser una opción para transformarse en un imperativo ético y de calidad. Innovar en la gestión universitaria implica interpelar la rigidez de los trayectos formativos tradicionales, cuestionar la fragmentación enciclopedista del conocimiento y construir andamiajes flexibles que dialoguen de manera directa con las realidades, trayectorias y necesidades de los actores involucrados. Es en esta intersección entre el compromiso ético-político y las racionalidades que sustentan las prácticas docentes en la educación superior, donde desde la UNRC se inscriben políticas académicas de cambio e innovación curricular, que dan continuidad a procesos construidos a lo largp del tiempo, asumiendo que la actualización y flexibilización académico-curricular constituye un puente indispensable para garantizar el ingreso, la continuidad y el egreso en las carreras de pregrado, grado y posgrado. </w:t>
      </w:r>
    </w:p>
    <w:p w14:paraId="578C5D23" w14:textId="77777777" w:rsidR="00742D15" w:rsidRPr="00742D15" w:rsidRDefault="00742D15" w:rsidP="007B5B5F">
      <w:pPr>
        <w:spacing w:line="240" w:lineRule="auto"/>
        <w:rPr>
          <w:rFonts w:ascii="Times New Roman" w:hAnsi="Times New Roman" w:cs="Times New Roman"/>
          <w:b/>
          <w:bCs/>
          <w:lang w:val="es-AR"/>
        </w:rPr>
      </w:pPr>
    </w:p>
    <w:p w14:paraId="2FD138AD" w14:textId="759B8651" w:rsidR="005F3B2E" w:rsidRPr="00D653C3" w:rsidRDefault="005F3B2E" w:rsidP="007B5B5F">
      <w:pPr>
        <w:spacing w:line="240" w:lineRule="auto"/>
        <w:rPr>
          <w:rFonts w:ascii="Times New Roman" w:hAnsi="Times New Roman" w:cs="Times New Roman"/>
          <w:b/>
          <w:bCs/>
          <w:lang w:val="es-AR"/>
        </w:rPr>
      </w:pPr>
      <w:r w:rsidRPr="00D653C3">
        <w:rPr>
          <w:rFonts w:ascii="Times New Roman" w:hAnsi="Times New Roman" w:cs="Times New Roman"/>
          <w:b/>
          <w:bCs/>
          <w:lang w:val="es-AR"/>
        </w:rPr>
        <w:t>Desarrollo</w:t>
      </w:r>
    </w:p>
    <w:p w14:paraId="521C61B8"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b/>
          <w:bCs/>
          <w:kern w:val="0"/>
          <w:lang w:val="es-AR" w:eastAsia="es-AR"/>
          <w14:ligatures w14:val="none"/>
        </w:rPr>
        <w:t>Marco Teórico y Epistemológico de la Innovación Curricular</w:t>
      </w:r>
    </w:p>
    <w:p w14:paraId="25DDA231"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lastRenderedPageBreak/>
        <w:t>El diseño y la implementación de un currículo universitario no constituyen un ejercicio neutral de distribución horaria o secuenciación de asignaturas; representan, en esencia, una selección cultural y política de saberes legítimos y una proyección del perfil de profesional y ciudadano que se pretende formar. Para abordar el proceso de transformación que se esta desarrollando en la UNRC, es menester desandar los fundamentos teóricos de la innovación curricular y su impacto en las instituciones de educación superior.</w:t>
      </w:r>
    </w:p>
    <w:p w14:paraId="42A3FD2E"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Desde la perspectiva socio-crítica de la educación, se define al currículo como: "...una síntesis de elementos culturales (conocimientos, valores, costumbres, creencias, hábitos) que conforman una propuesta político-educativa pensada e impulsada por diversos grupos y sectores sociales cuyos intereses son diversos y contradictorios..." (De Alba, 1995, p. 59). Por consiguiente, transformar el currículo implica sumergirse en una arena de debate institucional donde entran en tensión las identidades disciplinares, las tradiciones institucionales y las demandas cambiantes del mundo del trabajo y del territorio donde las instituciones desarrollan sus procesos formativos.  En este sentido, la innovación curricular no debe ser entendida como un mero cambio cosmético en los nombres de las asignaturas o como la reducción arbitraria de contenidos, o en nuevas mallas curriculares que atienden solo a ubicación de asignaturas, sino como una modificación sustancial de las concepciones epistemológicas, pedagógicas y didácticas que subyacen a las prácticas de enseñanza y de aprendizaje, constituyendo auténticas rupturas en las prácticas docentes. </w:t>
      </w:r>
    </w:p>
    <w:p w14:paraId="28349D36"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Tradicionalmente, la universidad ha operado bajo lo que se denomina un "currículo de colección" o "modelo balcanizado" (Hargreaves, 1996), caracterizado por límites rígidos entre las disciplinas, asignaturas aisladas que funcionan como compartimentos estancos y una escasa comunicación horizontal y vertical entre los docentes de una misma carrera. Este aislamiento disciplinar genera una sobrecarga de contenidos fragmentados que el estudiante debe asimilar de manera inconexa, atentando contra el aprendizaje significativo y extendiendo de forma artificial la duración real de los trayectos formativos. Frente a este paradigma, las teorías contemporáneas de la innovación curricular proponen el tránsito hacia un "currículo integrado y flexible". Como señala Bernstein (1998), un currículo integrado debilita las fronteras rígidas entre los contenidos y exige la subordinación de las materias aisladas a una idea o principio relacional común, forzando a los equipos docentes a trabajar de manera colaborativa e interdisciplinaria.</w:t>
      </w:r>
    </w:p>
    <w:p w14:paraId="057FEFBF"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La flexibilidad curricular, por su parte, se constituye en una estrategia clave para responder a la heterogeneidad de los estudiantes y a la velocidad con la que se produce y renueva el conocimiento científico-tecnológico. Autores como Díaz Villa (2002) asocian la flexibilidad curricular a la apertura de los límites del currículo, permitiendo una mayor movilidad de los estudiantes, la diversificación de las opciones formativas, la incorporación de trayectos diferenciados según los intereses de los estudiantes y la ruptura de la linealidad temporal rígida de los planes de estudio clásicos. En este sentido, la flexibilidad no implica una devaluación de la rigurosidad académica; por el contrario, exige un diseño más sofisticado y centrado en el desarrollo de capacidades críticas, competencias profesionales integradas y la autonomía cognitiva del estudiante, preparándolo para un aprendizaje continuo a lo largo de toda la vida.</w:t>
      </w:r>
    </w:p>
    <w:p w14:paraId="181D1EAC"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p>
    <w:p w14:paraId="302E6D60" w14:textId="77777777" w:rsidR="00742D15" w:rsidRPr="00742D15" w:rsidRDefault="00742D15" w:rsidP="00742D15">
      <w:pPr>
        <w:spacing w:after="0" w:line="240" w:lineRule="auto"/>
        <w:jc w:val="both"/>
        <w:outlineLvl w:val="1"/>
        <w:rPr>
          <w:rFonts w:ascii="Times New Roman" w:eastAsia="Times New Roman" w:hAnsi="Times New Roman" w:cs="Times New Roman"/>
          <w:b/>
          <w:bCs/>
          <w:kern w:val="0"/>
          <w:lang w:val="es-AR" w:eastAsia="es-AR"/>
          <w14:ligatures w14:val="none"/>
        </w:rPr>
      </w:pPr>
      <w:r w:rsidRPr="00742D15">
        <w:rPr>
          <w:rFonts w:ascii="Times New Roman" w:eastAsia="Times New Roman" w:hAnsi="Times New Roman" w:cs="Times New Roman"/>
          <w:b/>
          <w:bCs/>
          <w:kern w:val="0"/>
          <w:lang w:val="es-AR" w:eastAsia="es-AR"/>
          <w14:ligatures w14:val="none"/>
        </w:rPr>
        <w:lastRenderedPageBreak/>
        <w:t>Antecedentes Político-Normativos que orientan la innovación académica y curricular.</w:t>
      </w:r>
    </w:p>
    <w:p w14:paraId="0026BAE5" w14:textId="77777777" w:rsidR="00742D15" w:rsidRPr="00742D15" w:rsidRDefault="00742D15" w:rsidP="00742D15">
      <w:pPr>
        <w:spacing w:after="0" w:line="240" w:lineRule="auto"/>
        <w:jc w:val="both"/>
        <w:outlineLvl w:val="1"/>
        <w:rPr>
          <w:rFonts w:ascii="Times New Roman" w:eastAsia="Times New Roman" w:hAnsi="Times New Roman" w:cs="Times New Roman"/>
          <w:b/>
          <w:bCs/>
          <w:kern w:val="0"/>
          <w:lang w:val="es-AR" w:eastAsia="es-AR"/>
          <w14:ligatures w14:val="none"/>
        </w:rPr>
      </w:pPr>
    </w:p>
    <w:p w14:paraId="68DC8D73"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La actual implementación del sistema argentino de créditos universitarios SACAU,  en la Universidad Nacional de Río Cuarto no constituye un hecho fortuito ni una respuesta ante los nuevos marcos normativos ministeriales; sino que representa la cristalización de una basta trayectoria académica en procesos de innovación a través de políticas académicas institucionales sostenidas a lo largo de la última década. La comprensión del proceso actual exige recuperar el hilo conductor de tres resoluciones fundamentales del Consejo Superior de la UNRC que edifican la matriz normativa y conceptual de la dimensión académica y curricular de la institución.</w:t>
      </w:r>
    </w:p>
    <w:p w14:paraId="702B5FB3" w14:textId="77777777" w:rsidR="00742D15" w:rsidRPr="00742D15" w:rsidRDefault="00742D15" w:rsidP="00742D15">
      <w:pPr>
        <w:numPr>
          <w:ilvl w:val="0"/>
          <w:numId w:val="5"/>
        </w:numPr>
        <w:spacing w:after="0" w:line="240" w:lineRule="auto"/>
        <w:contextualSpacing/>
        <w:jc w:val="both"/>
        <w:outlineLvl w:val="2"/>
        <w:rPr>
          <w:rFonts w:ascii="Times New Roman" w:eastAsia="Times New Roman" w:hAnsi="Times New Roman" w:cs="Times New Roman"/>
          <w:i/>
          <w:iCs/>
          <w:kern w:val="0"/>
          <w:lang w:val="es-AR" w:eastAsia="es-AR"/>
          <w14:ligatures w14:val="none"/>
        </w:rPr>
      </w:pPr>
      <w:r w:rsidRPr="00742D15">
        <w:rPr>
          <w:rFonts w:ascii="Times New Roman" w:eastAsia="Times New Roman" w:hAnsi="Times New Roman" w:cs="Times New Roman"/>
          <w:i/>
          <w:iCs/>
          <w:kern w:val="0"/>
          <w:lang w:val="es-AR" w:eastAsia="es-AR"/>
          <w14:ligatures w14:val="none"/>
        </w:rPr>
        <w:t>R.C.S. N° 297/17: Hacia un Currículo Contextualizado, Flexible e Integrado</w:t>
      </w:r>
    </w:p>
    <w:p w14:paraId="4B0345F8"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Aprobada en el año 2017 bajo el título </w:t>
      </w:r>
      <w:r w:rsidRPr="00742D15">
        <w:rPr>
          <w:rFonts w:ascii="Times New Roman" w:eastAsia="Times New Roman" w:hAnsi="Times New Roman" w:cs="Times New Roman"/>
          <w:i/>
          <w:iCs/>
          <w:kern w:val="0"/>
          <w:lang w:val="es-AR" w:eastAsia="es-AR"/>
          <w14:ligatures w14:val="none"/>
        </w:rPr>
        <w:t>"Hacia un currículo contextualizado, flexible e integrado. Lineamientos para orientar la innovación curricular"</w:t>
      </w:r>
      <w:r w:rsidRPr="00742D15">
        <w:rPr>
          <w:rFonts w:ascii="Times New Roman" w:eastAsia="Times New Roman" w:hAnsi="Times New Roman" w:cs="Times New Roman"/>
          <w:kern w:val="0"/>
          <w:lang w:val="es-AR" w:eastAsia="es-AR"/>
          <w14:ligatures w14:val="none"/>
        </w:rPr>
        <w:t>, esta resolución sentó las bases teórico-metodológicas para revisar y transformar estructuralmente los planes de estudio de pregrado y grado de la UNRC. El documento diagnóstico que fundamenta la norma identifica con precisión que los principales obstáculos para el egreso y la permanencia radican en estilos de enseñanza anclados en modelos didácticos tradicionales de corte enciclopedista, criterios de evaluación predominantemente selectivos y culturas de trabajo marcadamente individualistas o balcanizadas en las cátedras. Desde esta norma se introduce un giro epistemológico central al dictaminar que:</w:t>
      </w:r>
    </w:p>
    <w:p w14:paraId="57A02351"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"...lo que forma al estudiante es lo que experimenta o vive en las situaciones de enseñanza y de aprendizaje...". Bajo este principio, se promueve la superación de la lógica de la acumulación informativa frente a la pizarra, instando a las comisiones curriculares a diseñar planes basados en saberes articulados, prácticas socio-comunitarias integradas, formatos diversificados de taller y seminario, y mecanismos de flexibilización que permitan acreditar saberes construidos a lo largo de las trayectorias educativas. De este modo se define de manera explícita la </w:t>
      </w:r>
      <w:r w:rsidRPr="00742D15">
        <w:rPr>
          <w:rFonts w:ascii="Times New Roman" w:eastAsia="Times New Roman" w:hAnsi="Times New Roman" w:cs="Times New Roman"/>
          <w:i/>
          <w:iCs/>
          <w:kern w:val="0"/>
          <w:lang w:val="es-AR" w:eastAsia="es-AR"/>
          <w14:ligatures w14:val="none"/>
        </w:rPr>
        <w:t>flexibilidad</w:t>
      </w:r>
      <w:r w:rsidRPr="00742D15">
        <w:rPr>
          <w:rFonts w:ascii="Times New Roman" w:eastAsia="Times New Roman" w:hAnsi="Times New Roman" w:cs="Times New Roman"/>
          <w:kern w:val="0"/>
          <w:lang w:val="es-AR" w:eastAsia="es-AR"/>
          <w14:ligatures w14:val="none"/>
        </w:rPr>
        <w:t xml:space="preserve"> </w:t>
      </w:r>
      <w:r w:rsidRPr="00742D15">
        <w:rPr>
          <w:rFonts w:ascii="Times New Roman" w:eastAsia="Times New Roman" w:hAnsi="Times New Roman" w:cs="Times New Roman"/>
          <w:i/>
          <w:iCs/>
          <w:kern w:val="0"/>
          <w:lang w:val="es-AR" w:eastAsia="es-AR"/>
          <w14:ligatures w14:val="none"/>
        </w:rPr>
        <w:t>curricular</w:t>
      </w:r>
      <w:r w:rsidRPr="00742D15">
        <w:rPr>
          <w:rFonts w:ascii="Times New Roman" w:eastAsia="Times New Roman" w:hAnsi="Times New Roman" w:cs="Times New Roman"/>
          <w:kern w:val="0"/>
          <w:lang w:val="es-AR" w:eastAsia="es-AR"/>
          <w14:ligatures w14:val="none"/>
        </w:rPr>
        <w:t xml:space="preserve"> no como una concesión formal, sino como una dimensión pedagógica indiscutible para construir justicia curricular en el ámbito de la universidad pública.</w:t>
      </w:r>
    </w:p>
    <w:p w14:paraId="3577CDAB" w14:textId="77777777" w:rsidR="00742D15" w:rsidRPr="00742D15" w:rsidRDefault="00742D15" w:rsidP="00742D15">
      <w:pPr>
        <w:numPr>
          <w:ilvl w:val="0"/>
          <w:numId w:val="5"/>
        </w:numPr>
        <w:spacing w:after="0" w:line="240" w:lineRule="auto"/>
        <w:contextualSpacing/>
        <w:jc w:val="both"/>
        <w:outlineLvl w:val="2"/>
        <w:rPr>
          <w:rFonts w:ascii="Times New Roman" w:eastAsia="Times New Roman" w:hAnsi="Times New Roman" w:cs="Times New Roman"/>
          <w:i/>
          <w:iCs/>
          <w:kern w:val="0"/>
          <w:lang w:val="es-AR" w:eastAsia="es-AR"/>
          <w14:ligatures w14:val="none"/>
        </w:rPr>
      </w:pPr>
      <w:r w:rsidRPr="00742D15">
        <w:rPr>
          <w:rFonts w:ascii="Times New Roman" w:eastAsia="Times New Roman" w:hAnsi="Times New Roman" w:cs="Times New Roman"/>
          <w:i/>
          <w:iCs/>
          <w:kern w:val="0"/>
          <w:lang w:val="es-AR" w:eastAsia="es-AR"/>
          <w14:ligatures w14:val="none"/>
        </w:rPr>
        <w:t>R.C.S. N° 252/24: Programa de Preingreso, Ingreso, Continuidad y Egreso</w:t>
      </w:r>
    </w:p>
    <w:p w14:paraId="5019DA88"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Desde este marco normativo se formaliza el </w:t>
      </w:r>
      <w:r w:rsidRPr="00742D15">
        <w:rPr>
          <w:rFonts w:ascii="Times New Roman" w:eastAsia="Times New Roman" w:hAnsi="Times New Roman" w:cs="Times New Roman"/>
          <w:i/>
          <w:iCs/>
          <w:kern w:val="0"/>
          <w:lang w:val="es-AR" w:eastAsia="es-AR"/>
          <w14:ligatures w14:val="none"/>
        </w:rPr>
        <w:t>Programa de Preingreso, Ingreso, Continuidad y Egreso Período 2024-2027</w:t>
      </w:r>
      <w:r w:rsidRPr="00742D15">
        <w:rPr>
          <w:rFonts w:ascii="Times New Roman" w:eastAsia="Times New Roman" w:hAnsi="Times New Roman" w:cs="Times New Roman"/>
          <w:kern w:val="0"/>
          <w:lang w:val="es-AR" w:eastAsia="es-AR"/>
          <w14:ligatures w14:val="none"/>
        </w:rPr>
        <w:t>, diseñado de manera conjunta entre la Secretaría Académica y la Secretaría de Posgrado y Cooperación Internacional. La misma asume de modo abierto el diagnóstico crítico del desgranamiento estudiantil y la brecha temporal entre duración teórica y real de los planes de estudio, estableciendo políticas institucionales de seguimiento de las “</w:t>
      </w:r>
      <w:r w:rsidRPr="00742D15">
        <w:rPr>
          <w:rFonts w:ascii="Times New Roman" w:eastAsia="Times New Roman" w:hAnsi="Times New Roman" w:cs="Times New Roman"/>
          <w:i/>
          <w:iCs/>
          <w:kern w:val="0"/>
          <w:lang w:val="es-AR" w:eastAsia="es-AR"/>
          <w14:ligatures w14:val="none"/>
        </w:rPr>
        <w:t>Trayectorias Educativas Reales</w:t>
      </w:r>
      <w:r w:rsidRPr="00742D15">
        <w:rPr>
          <w:rFonts w:ascii="Times New Roman" w:eastAsia="Times New Roman" w:hAnsi="Times New Roman" w:cs="Times New Roman"/>
          <w:kern w:val="0"/>
          <w:lang w:val="es-AR" w:eastAsia="es-AR"/>
          <w14:ligatures w14:val="none"/>
        </w:rPr>
        <w:t xml:space="preserve">” y promoviendo el </w:t>
      </w:r>
      <w:r w:rsidRPr="00742D15">
        <w:rPr>
          <w:rFonts w:ascii="Times New Roman" w:eastAsia="Times New Roman" w:hAnsi="Times New Roman" w:cs="Times New Roman"/>
          <w:i/>
          <w:iCs/>
          <w:kern w:val="0"/>
          <w:lang w:val="es-AR" w:eastAsia="es-AR"/>
          <w14:ligatures w14:val="none"/>
        </w:rPr>
        <w:t>Desarrollo Profesional Docente Continuo</w:t>
      </w:r>
      <w:r w:rsidRPr="00742D15">
        <w:rPr>
          <w:rFonts w:ascii="Times New Roman" w:eastAsia="Times New Roman" w:hAnsi="Times New Roman" w:cs="Times New Roman"/>
          <w:kern w:val="0"/>
          <w:lang w:val="es-AR" w:eastAsia="es-AR"/>
          <w14:ligatures w14:val="none"/>
        </w:rPr>
        <w:t>. La R.C.S. N° 252/24 vincula la continuidad en las trayectorias con la calidad de la intervención pedagógica, postulando que los procesos de transición entre la escuela secundaria y la universidad, así como el tránsito por los ciclos intermedios y finales de las carreras, requieren de un acompañamiento permanente que acompañe los nuevos modelos de las prácticas docentes universitarias.</w:t>
      </w:r>
    </w:p>
    <w:p w14:paraId="0AE18334" w14:textId="77777777" w:rsidR="00742D15" w:rsidRPr="00742D15" w:rsidRDefault="00742D15" w:rsidP="00742D15">
      <w:pPr>
        <w:numPr>
          <w:ilvl w:val="0"/>
          <w:numId w:val="5"/>
        </w:numPr>
        <w:spacing w:after="0" w:line="240" w:lineRule="auto"/>
        <w:contextualSpacing/>
        <w:jc w:val="both"/>
        <w:rPr>
          <w:rFonts w:ascii="Times New Roman" w:eastAsia="Times New Roman" w:hAnsi="Times New Roman" w:cs="Times New Roman"/>
          <w:i/>
          <w:iCs/>
          <w:kern w:val="0"/>
          <w:lang w:val="es-AR" w:eastAsia="es-AR"/>
          <w14:ligatures w14:val="none"/>
        </w:rPr>
      </w:pPr>
      <w:r w:rsidRPr="00742D15">
        <w:rPr>
          <w:rFonts w:ascii="Times New Roman" w:eastAsia="Times New Roman" w:hAnsi="Times New Roman" w:cs="Times New Roman"/>
          <w:i/>
          <w:iCs/>
          <w:kern w:val="0"/>
          <w:lang w:val="es-AR" w:eastAsia="es-AR"/>
          <w14:ligatures w14:val="none"/>
        </w:rPr>
        <w:t>R.C.S. N° 477/25: Programa de Innovación Académico Curricular 2025-2027</w:t>
      </w:r>
    </w:p>
    <w:p w14:paraId="087315AB"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La Resolución N° 477/25 es el instrumento específico que faculta, operacionaliza y acompaña el tránsito progresivo hacia el sistema de créditos académicos. La norma crea </w:t>
      </w:r>
      <w:r w:rsidRPr="00742D15">
        <w:rPr>
          <w:rFonts w:ascii="Times New Roman" w:eastAsia="Times New Roman" w:hAnsi="Times New Roman" w:cs="Times New Roman"/>
          <w:kern w:val="0"/>
          <w:lang w:val="es-AR" w:eastAsia="es-AR"/>
          <w14:ligatures w14:val="none"/>
        </w:rPr>
        <w:lastRenderedPageBreak/>
        <w:t xml:space="preserve">y financia el </w:t>
      </w:r>
      <w:r w:rsidRPr="00742D15">
        <w:rPr>
          <w:rFonts w:ascii="Times New Roman" w:eastAsia="Times New Roman" w:hAnsi="Times New Roman" w:cs="Times New Roman"/>
          <w:i/>
          <w:iCs/>
          <w:kern w:val="0"/>
          <w:lang w:val="es-AR" w:eastAsia="es-AR"/>
          <w14:ligatures w14:val="none"/>
        </w:rPr>
        <w:t>Programa de Innovación Académico Curricular Orientado a la Implementación de los Planes de Estudio en Créditos Académicos y la Formación Docente Continua</w:t>
      </w:r>
      <w:r w:rsidRPr="00742D15">
        <w:rPr>
          <w:rFonts w:ascii="Times New Roman" w:eastAsia="Times New Roman" w:hAnsi="Times New Roman" w:cs="Times New Roman"/>
          <w:kern w:val="0"/>
          <w:lang w:val="es-AR" w:eastAsia="es-AR"/>
          <w14:ligatures w14:val="none"/>
        </w:rPr>
        <w:t>, asumiendo que las transformaciones normativas de orden nacional demandan un dispositivo institucional local que tutele, guíe y dote de sentido pedagógico a las reformas en cada una de las carreras de la UNRC. Estas políticas académicas pretenden articular la innovación académica y curricular con la formación continua de los formadores, impidiendo que el paso a créditos sea reducido a una operación de traducción matemática o administrativa divorciada de las transformaciones efectivas de las prácticas de enseñanza en las aulas.</w:t>
      </w:r>
    </w:p>
    <w:p w14:paraId="4213084E" w14:textId="77777777" w:rsidR="00742D15" w:rsidRPr="00742D15" w:rsidRDefault="00742D15" w:rsidP="00742D15">
      <w:pPr>
        <w:numPr>
          <w:ilvl w:val="0"/>
          <w:numId w:val="5"/>
        </w:numPr>
        <w:spacing w:after="0" w:line="240" w:lineRule="auto"/>
        <w:contextualSpacing/>
        <w:jc w:val="both"/>
        <w:rPr>
          <w:rFonts w:ascii="Times New Roman" w:eastAsia="Times New Roman" w:hAnsi="Times New Roman" w:cs="Times New Roman"/>
          <w:i/>
          <w:iCs/>
          <w:kern w:val="0"/>
          <w:lang w:val="es-AR" w:eastAsia="es-AR"/>
          <w14:ligatures w14:val="none"/>
        </w:rPr>
      </w:pPr>
      <w:r w:rsidRPr="00742D15">
        <w:rPr>
          <w:rFonts w:ascii="Times New Roman" w:eastAsia="Times New Roman" w:hAnsi="Times New Roman" w:cs="Times New Roman"/>
          <w:i/>
          <w:iCs/>
          <w:kern w:val="0"/>
          <w:lang w:val="es-AR" w:eastAsia="es-AR"/>
          <w14:ligatures w14:val="none"/>
        </w:rPr>
        <w:t>Contexto Macro político Nacional: Las Resoluciones N° 2598/23 y N° 556/25</w:t>
      </w:r>
    </w:p>
    <w:p w14:paraId="6F32613D"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El despliegue del programa curricular de la UNRC dialoga y se encuadra dentro del nuevo bloque normativo que regula al Sistema Universitario Nacional. El tránsito hacia los créditos académicos en Argentina encuentra sus dos hitos fundamentales en la </w:t>
      </w:r>
      <w:r w:rsidRPr="00742D15">
        <w:rPr>
          <w:rFonts w:ascii="Times New Roman" w:eastAsia="Times New Roman" w:hAnsi="Times New Roman" w:cs="Times New Roman"/>
          <w:i/>
          <w:iCs/>
          <w:kern w:val="0"/>
          <w:lang w:val="es-AR" w:eastAsia="es-AR"/>
          <w14:ligatures w14:val="none"/>
        </w:rPr>
        <w:t>Resolución N° 2598/2023</w:t>
      </w:r>
      <w:r w:rsidRPr="00742D15">
        <w:rPr>
          <w:rFonts w:ascii="Times New Roman" w:eastAsia="Times New Roman" w:hAnsi="Times New Roman" w:cs="Times New Roman"/>
          <w:kern w:val="0"/>
          <w:lang w:val="es-AR" w:eastAsia="es-AR"/>
          <w14:ligatures w14:val="none"/>
        </w:rPr>
        <w:t xml:space="preserve"> del entonces Ministerio de Educación y la posterior </w:t>
      </w:r>
      <w:r w:rsidRPr="00742D15">
        <w:rPr>
          <w:rFonts w:ascii="Times New Roman" w:eastAsia="Times New Roman" w:hAnsi="Times New Roman" w:cs="Times New Roman"/>
          <w:i/>
          <w:iCs/>
          <w:kern w:val="0"/>
          <w:lang w:val="es-AR" w:eastAsia="es-AR"/>
          <w14:ligatures w14:val="none"/>
        </w:rPr>
        <w:t>Resolución N° 556/2025</w:t>
      </w:r>
      <w:r w:rsidRPr="00742D15">
        <w:rPr>
          <w:rFonts w:ascii="Times New Roman" w:eastAsia="Times New Roman" w:hAnsi="Times New Roman" w:cs="Times New Roman"/>
          <w:kern w:val="0"/>
          <w:lang w:val="es-AR" w:eastAsia="es-AR"/>
          <w14:ligatures w14:val="none"/>
        </w:rPr>
        <w:t xml:space="preserve"> de la Secretaría de Educación del Ministerio de Capital Humano. </w:t>
      </w:r>
    </w:p>
    <w:p w14:paraId="7AC9573E" w14:textId="77777777" w:rsidR="00742D15" w:rsidRPr="00742D15" w:rsidRDefault="00742D15" w:rsidP="00742D15">
      <w:pPr>
        <w:numPr>
          <w:ilvl w:val="0"/>
          <w:numId w:val="5"/>
        </w:numPr>
        <w:spacing w:after="0" w:line="240" w:lineRule="auto"/>
        <w:contextualSpacing/>
        <w:jc w:val="both"/>
        <w:outlineLvl w:val="2"/>
        <w:rPr>
          <w:rFonts w:ascii="Times New Roman" w:eastAsia="Times New Roman" w:hAnsi="Times New Roman" w:cs="Times New Roman"/>
          <w:i/>
          <w:iCs/>
          <w:kern w:val="0"/>
          <w:lang w:val="es-AR" w:eastAsia="es-AR"/>
          <w14:ligatures w14:val="none"/>
        </w:rPr>
      </w:pPr>
      <w:r w:rsidRPr="00742D15">
        <w:rPr>
          <w:rFonts w:ascii="Times New Roman" w:eastAsia="Times New Roman" w:hAnsi="Times New Roman" w:cs="Times New Roman"/>
          <w:i/>
          <w:iCs/>
          <w:kern w:val="0"/>
          <w:lang w:val="es-AR" w:eastAsia="es-AR"/>
          <w14:ligatures w14:val="none"/>
        </w:rPr>
        <w:t>Resolución Ministerial N° 2598/23 y la Génesis del SACAU</w:t>
      </w:r>
    </w:p>
    <w:p w14:paraId="1924EFEB"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Sancionada el 15 de noviembre de 2023, la Resolución RESOL-2023-2598-APN-ME formaliza la creación del </w:t>
      </w:r>
      <w:r w:rsidRPr="00742D15">
        <w:rPr>
          <w:rFonts w:ascii="Times New Roman" w:eastAsia="Times New Roman" w:hAnsi="Times New Roman" w:cs="Times New Roman"/>
          <w:i/>
          <w:iCs/>
          <w:kern w:val="0"/>
          <w:lang w:val="es-AR" w:eastAsia="es-AR"/>
          <w14:ligatures w14:val="none"/>
        </w:rPr>
        <w:t>Sistema Argentino de Créditos Académicos Universitarios (SACAU)</w:t>
      </w:r>
      <w:r w:rsidRPr="00742D15">
        <w:rPr>
          <w:rFonts w:ascii="Times New Roman" w:eastAsia="Times New Roman" w:hAnsi="Times New Roman" w:cs="Times New Roman"/>
          <w:kern w:val="0"/>
          <w:lang w:val="es-AR" w:eastAsia="es-AR"/>
          <w14:ligatures w14:val="none"/>
        </w:rPr>
        <w:t>. Los considerandos de la norma explicitan un diagnóstico compartido por todo el sistema de educación superior: la necesidad imperiosa de acortar de forma drástica la brecha existente entre la duración real y la duración teórica de las carreras de grado y pregrado, así como dinamizar los mecanismos de egreso y titulación intermedia.</w:t>
      </w:r>
    </w:p>
    <w:p w14:paraId="3914D0BB"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La resolución se apoya en los documentos técnicos elaborados por la Secretaría de Políticas Universitarias (SPU), específicamente el </w:t>
      </w:r>
      <w:r w:rsidRPr="00742D15">
        <w:rPr>
          <w:rFonts w:ascii="Times New Roman" w:eastAsia="Times New Roman" w:hAnsi="Times New Roman" w:cs="Times New Roman"/>
          <w:i/>
          <w:iCs/>
          <w:kern w:val="0"/>
          <w:lang w:val="es-AR" w:eastAsia="es-AR"/>
          <w14:ligatures w14:val="none"/>
        </w:rPr>
        <w:t>Lineamiento N° 2: "Las propuestas académicas: revisión de la distancia entre la duración teórica y la duración real de las carreras"</w:t>
      </w:r>
      <w:r w:rsidRPr="00742D15">
        <w:rPr>
          <w:rFonts w:ascii="Times New Roman" w:eastAsia="Times New Roman" w:hAnsi="Times New Roman" w:cs="Times New Roman"/>
          <w:kern w:val="0"/>
          <w:lang w:val="es-AR" w:eastAsia="es-AR"/>
          <w14:ligatures w14:val="none"/>
        </w:rPr>
        <w:t xml:space="preserve">, el cual de manera innovadora conceptualiza al currículum como una política académica y no como un mero problema técnico de planos organizacionales de materias. Asimismo, se vincula al </w:t>
      </w:r>
      <w:r w:rsidRPr="00742D15">
        <w:rPr>
          <w:rFonts w:ascii="Times New Roman" w:eastAsia="Times New Roman" w:hAnsi="Times New Roman" w:cs="Times New Roman"/>
          <w:i/>
          <w:iCs/>
          <w:kern w:val="0"/>
          <w:lang w:val="es-AR" w:eastAsia="es-AR"/>
          <w14:ligatures w14:val="none"/>
        </w:rPr>
        <w:t>Lineamiento N° 3</w:t>
      </w:r>
      <w:r w:rsidRPr="00742D15">
        <w:rPr>
          <w:rFonts w:ascii="Times New Roman" w:eastAsia="Times New Roman" w:hAnsi="Times New Roman" w:cs="Times New Roman"/>
          <w:kern w:val="0"/>
          <w:lang w:val="es-AR" w:eastAsia="es-AR"/>
          <w14:ligatures w14:val="none"/>
        </w:rPr>
        <w:t>, orientado a promover titulaciones intermedias, certificaciones complementarias, reconocimiento de competencias y la movilidad estudiantil interinstitucional.</w:t>
      </w:r>
    </w:p>
    <w:p w14:paraId="6E985EE9"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El artículo 2° de la Resolución N° 2598/23 define de manera taxativa al Crédito Académico Universitario (CRE) como: "...la unidad de medida que representa el tiempo total de trabajo demandado al estudiante para cumplir los requisitos formativos y aprobar las asignaturas que integran el plan de estudio de las carreras..." (Ministerio de Educación de la Nación Argentina, 2023, Art. 2°).</w:t>
      </w:r>
    </w:p>
    <w:p w14:paraId="667E0DB3"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La gran ruptura conceptual que introduce esta norma radica en que dictamina que el valor del crédito debe computar no solo las horas presenciales de clase o interacción directa con el docente, sino la totalidad del esfuerzo cognitivo y práctico autónomo que el estudiante realiza fuera del entorno áulico: lecturas obligatorias, horas de estudio independiente, preparación de exámenes, trabajos prácticos, pasantías, investigación, y procesos de escritura académica. La norma fija como parámetro estándar que un año de cursado a tiempo completo de un estudiante con dedicación exclusiva equivale a un rango de entre 60 y 62 créditos, lo que en términos temporales representa entre 1440 y 1800 horas de trabajo total de aprendizaje.</w:t>
      </w:r>
    </w:p>
    <w:p w14:paraId="0CE06C04"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lastRenderedPageBreak/>
        <w:t>El artículo 5° delega en las instituciones universitarias la potestad y la responsabilidad de fijar la equivalencia horaria exacta de cada crédito dentro de ese rango, respetando su autonomía, mientras que el artículo 7° instruye que la aplicación del sistema de créditos será de carácter progresivo y paulatino, tornándose de cumplimiento obligatorio para las solicitudes de validez nacional y reconocimiento oficial de títulos a determinarse por la autoridad de aplicación.</w:t>
      </w:r>
    </w:p>
    <w:p w14:paraId="189C7CB8" w14:textId="77777777" w:rsidR="00742D15" w:rsidRPr="00742D15" w:rsidRDefault="00742D15" w:rsidP="00742D15">
      <w:pPr>
        <w:numPr>
          <w:ilvl w:val="0"/>
          <w:numId w:val="5"/>
        </w:numPr>
        <w:spacing w:after="0" w:line="240" w:lineRule="auto"/>
        <w:contextualSpacing/>
        <w:jc w:val="both"/>
        <w:outlineLvl w:val="2"/>
        <w:rPr>
          <w:rFonts w:ascii="Times New Roman" w:eastAsia="Times New Roman" w:hAnsi="Times New Roman" w:cs="Times New Roman"/>
          <w:i/>
          <w:iCs/>
          <w:kern w:val="0"/>
          <w:lang w:val="es-AR" w:eastAsia="es-AR"/>
          <w14:ligatures w14:val="none"/>
        </w:rPr>
      </w:pPr>
      <w:r w:rsidRPr="00742D15">
        <w:rPr>
          <w:rFonts w:ascii="Times New Roman" w:eastAsia="Times New Roman" w:hAnsi="Times New Roman" w:cs="Times New Roman"/>
          <w:i/>
          <w:iCs/>
          <w:kern w:val="0"/>
          <w:lang w:val="es-AR" w:eastAsia="es-AR"/>
          <w14:ligatures w14:val="none"/>
        </w:rPr>
        <w:t>Resolución N° 556/25 de la Secretaría de Educación: Consolidación y Nuevos Parámetros Horarios</w:t>
      </w:r>
    </w:p>
    <w:p w14:paraId="46695936"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Publicada en el Boletín Oficial de la República Argentina el 5 de mayo de 2025, la Resolución RESOL-2025-556-APN-SE#MCH consolida los Acuerdos Plenarios Nros. 270 y 274 del Consejo de Universidades del año 2024, y redefine de forma sustancial los marcos temporales máximos y mínimos de las carreras universitarias en Argentina, adaptándolos a los estándares internacionales de flexibilidad y movilidad.</w:t>
      </w:r>
    </w:p>
    <w:p w14:paraId="52905990"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El Anexo de la Resolución N° 556/25 introduce modificaciones de relevancia estructural:</w:t>
      </w:r>
    </w:p>
    <w:p w14:paraId="06C8C734" w14:textId="77777777" w:rsidR="00742D15" w:rsidRPr="00742D15" w:rsidRDefault="00742D15" w:rsidP="00742D15">
      <w:pPr>
        <w:numPr>
          <w:ilvl w:val="0"/>
          <w:numId w:val="1"/>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Reducción de los Mínimos Horarios: Para las carreras de grado universitarias tradicionales (licenciaturas e ingenierías), la carga horaria mínima se establece de forma general en 2600 horas reloj de trabajo total, distribuidas en una duración nominal mínima de 4 años de cursado académico. Esto implica una reducción significativa frente a los históricos pisos de 3000 o 3200 horas presenciales que rigidizaban el sistema.</w:t>
      </w:r>
    </w:p>
    <w:p w14:paraId="5F8EB9DB" w14:textId="77777777" w:rsidR="00742D15" w:rsidRPr="00742D15" w:rsidRDefault="00742D15" w:rsidP="00742D15">
      <w:pPr>
        <w:numPr>
          <w:ilvl w:val="0"/>
          <w:numId w:val="1"/>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Cargas Horarias de Pregrado: Para los títulos de pregrado (tecnicaturas y diplomaturas universitarias), se fija un piso de 1400 horas de trabajo total con una duración nominal de no menos de 2 años.</w:t>
      </w:r>
    </w:p>
    <w:p w14:paraId="017CE798" w14:textId="77777777" w:rsidR="00742D15" w:rsidRPr="00742D15" w:rsidRDefault="00742D15" w:rsidP="00742D15">
      <w:pPr>
        <w:numPr>
          <w:ilvl w:val="0"/>
          <w:numId w:val="1"/>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Distribución en Créditos (CRE): El Anexo estipula de manera obligatoria que los planes de estudio deben traducir sus cargas horarias totales al formato de créditos. Un año académico completo pasa a computar exactamente 60 créditos (CRE), equivalentes a un mínimo de 1440 horas reloj de trabajo total del estudiante. Esto establece una relación matemática directa y transparente: 1 Crédito (CRE) equivale exactamente a 24 horas reloj de trabajo total (sumando interacción docente y actividad autónoma).</w:t>
      </w:r>
    </w:p>
    <w:p w14:paraId="2FCD6E50" w14:textId="77777777" w:rsidR="00742D15" w:rsidRPr="00742D15" w:rsidRDefault="00742D15" w:rsidP="00742D15">
      <w:pPr>
        <w:numPr>
          <w:ilvl w:val="0"/>
          <w:numId w:val="1"/>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Interacción Pedagógica: Un aspecto neurálgico regulado en el punto 3 de la norma determina que, dentro de la carga horaria total de la carrera medida en créditos, el tiempo dedicado a la interacción directa entre docentes y estudiantes (clases teóricas, laboratorios, seminarios sincrónicos) no podrá ser inferior al 50% de la carga horaria total. El porcentaje restante queda reservado para las actividades autónomas del estudiantado. Esta cláusula es una protección explícita de la presencialidad pedagógica frente a procesos de vaciamiento o virtualización desregulada.</w:t>
      </w:r>
    </w:p>
    <w:p w14:paraId="770DC076" w14:textId="77777777" w:rsidR="00742D15" w:rsidRPr="00742D15" w:rsidRDefault="00742D15" w:rsidP="00742D15">
      <w:pPr>
        <w:numPr>
          <w:ilvl w:val="0"/>
          <w:numId w:val="1"/>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Tratamiento del Artículo 43 de la LES</w:t>
      </w:r>
      <w:r w:rsidRPr="00742D15">
        <w:rPr>
          <w:rFonts w:ascii="Times New Roman" w:eastAsia="Times New Roman" w:hAnsi="Times New Roman" w:cs="Times New Roman"/>
          <w:b/>
          <w:bCs/>
          <w:kern w:val="0"/>
          <w:lang w:val="es-AR" w:eastAsia="es-AR"/>
          <w14:ligatures w14:val="none"/>
        </w:rPr>
        <w:t>:</w:t>
      </w:r>
      <w:r w:rsidRPr="00742D15">
        <w:rPr>
          <w:rFonts w:ascii="Times New Roman" w:eastAsia="Times New Roman" w:hAnsi="Times New Roman" w:cs="Times New Roman"/>
          <w:kern w:val="0"/>
          <w:lang w:val="es-AR" w:eastAsia="es-AR"/>
          <w14:ligatures w14:val="none"/>
        </w:rPr>
        <w:t xml:space="preserve"> Para aquellas carreras que por poner en riesgo el interés público se encuentran reguladas bajo el artículo 43 de la Ley de Educación Superior N° 24.521 la resolución explicita en su punto 5 que se recomienda la adecuación progresiva de sus planes a las nuevas duraciones reducidas, siempre y cuando no se vulneren de modo crítico los estándares de formación técnica específicos indispensables para la habilitación profesional segura.</w:t>
      </w:r>
    </w:p>
    <w:p w14:paraId="659D6C8F" w14:textId="77777777" w:rsidR="00742D15" w:rsidRPr="00742D15" w:rsidRDefault="00742D15" w:rsidP="00742D15">
      <w:pPr>
        <w:numPr>
          <w:ilvl w:val="0"/>
          <w:numId w:val="1"/>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lastRenderedPageBreak/>
        <w:t>Trámites de Título</w:t>
      </w:r>
      <w:r w:rsidRPr="00742D15">
        <w:rPr>
          <w:rFonts w:ascii="Times New Roman" w:eastAsia="Times New Roman" w:hAnsi="Times New Roman" w:cs="Times New Roman"/>
          <w:b/>
          <w:bCs/>
          <w:kern w:val="0"/>
          <w:lang w:val="es-AR" w:eastAsia="es-AR"/>
          <w14:ligatures w14:val="none"/>
        </w:rPr>
        <w:t>:</w:t>
      </w:r>
      <w:r w:rsidRPr="00742D15">
        <w:rPr>
          <w:rFonts w:ascii="Times New Roman" w:eastAsia="Times New Roman" w:hAnsi="Times New Roman" w:cs="Times New Roman"/>
          <w:kern w:val="0"/>
          <w:lang w:val="es-AR" w:eastAsia="es-AR"/>
          <w14:ligatures w14:val="none"/>
        </w:rPr>
        <w:t xml:space="preserve"> al momento de solicitar el Reconocimiento Oficial y la Validez Nacional del título, las horas destinadas a la actividad autónoma declaradas por la universidad en su plan de estudios no serán objeto de verificación técnica, lo cual queda sujeto a la autonomía universitaria resguardando la flexibilidad curricular. </w:t>
      </w:r>
    </w:p>
    <w:p w14:paraId="635A8B94" w14:textId="77777777" w:rsidR="00742D15" w:rsidRPr="00742D15" w:rsidRDefault="00742D15" w:rsidP="00742D15">
      <w:pPr>
        <w:spacing w:after="0" w:line="240" w:lineRule="auto"/>
        <w:jc w:val="both"/>
        <w:outlineLvl w:val="2"/>
        <w:rPr>
          <w:rFonts w:ascii="Times New Roman" w:eastAsia="Times New Roman" w:hAnsi="Times New Roman" w:cs="Times New Roman"/>
          <w:b/>
          <w:bCs/>
          <w:kern w:val="0"/>
          <w:lang w:val="es-AR" w:eastAsia="es-AR"/>
          <w14:ligatures w14:val="none"/>
        </w:rPr>
      </w:pPr>
    </w:p>
    <w:p w14:paraId="23A9A09B" w14:textId="77777777" w:rsidR="00742D15" w:rsidRPr="00742D15" w:rsidRDefault="00742D15" w:rsidP="00742D15">
      <w:pPr>
        <w:spacing w:after="0" w:line="240" w:lineRule="auto"/>
        <w:jc w:val="both"/>
        <w:outlineLvl w:val="2"/>
        <w:rPr>
          <w:rFonts w:ascii="Times New Roman" w:eastAsia="Times New Roman" w:hAnsi="Times New Roman" w:cs="Times New Roman"/>
          <w:b/>
          <w:bCs/>
          <w:kern w:val="0"/>
          <w:lang w:val="es-AR" w:eastAsia="es-AR"/>
          <w14:ligatures w14:val="none"/>
        </w:rPr>
      </w:pPr>
      <w:r w:rsidRPr="00742D15">
        <w:rPr>
          <w:rFonts w:ascii="Times New Roman" w:eastAsia="Times New Roman" w:hAnsi="Times New Roman" w:cs="Times New Roman"/>
          <w:b/>
          <w:bCs/>
          <w:kern w:val="0"/>
          <w:lang w:val="es-AR" w:eastAsia="es-AR"/>
          <w14:ligatures w14:val="none"/>
        </w:rPr>
        <w:t>El Sistema de Créditos bajo la Lupa Teórica: Del Tiempo de Enseñanza al Tiempo de Aprendizaje</w:t>
      </w:r>
    </w:p>
    <w:p w14:paraId="3D832D1B"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La implementación del Sistema Argentino de Créditos Académicos Universitarios (SACAU) y la redefinición horaria planteada por la Resolución SE N° 556/25 constituyen desde la perspectiva de la teoría curricular un cambio de paradigma epistemológico y pedagógico de profundo significado: el tránsito definitivo de un modelo centrado en la enseñanza (docente-céntrico) a un modelo centrado en el aprendizaje (estudiante-céntrico). En los modelos universitarios tradicionales de corte enciclopedista, la unidad de medida del currículo ha sido históricamente la "hora cátedra" o la hora de presencialidad frente al aula. Como advierte Beneitone et al. (2007) en el informe del Proyecto Tuning América Latina, este enfoque adolece de una "ceguera pedagógica" al invisibilizar el esfuerzo real que el estudiante debe realizar fuera del aula para apropiarse del conocimiento. El crédito académico, en cambio, opera bajo la premisa de la carga de trabajo total del estudiante, diferenciando horas interacción pedagógica de horas de trabajo autónomo. </w:t>
      </w:r>
    </w:p>
    <w:p w14:paraId="6C6633A1" w14:textId="77777777" w:rsidR="00742D15" w:rsidRPr="00742D15" w:rsidRDefault="00742D15" w:rsidP="00742D15">
      <w:pPr>
        <w:spacing w:after="0" w:line="240" w:lineRule="auto"/>
        <w:jc w:val="both"/>
        <w:rPr>
          <w:rFonts w:ascii="Times New Roman" w:eastAsia="Calibri" w:hAnsi="Times New Roman" w:cs="Times New Roman"/>
          <w:kern w:val="0"/>
          <w:lang w:val="es-AR"/>
          <w14:ligatures w14:val="none"/>
        </w:rPr>
      </w:pPr>
      <w:r w:rsidRPr="00742D15">
        <w:rPr>
          <w:rFonts w:ascii="Times New Roman" w:eastAsia="Times New Roman" w:hAnsi="Times New Roman" w:cs="Times New Roman"/>
          <w:kern w:val="0"/>
          <w:lang w:val="es-AR" w:eastAsia="es-AR"/>
          <w14:ligatures w14:val="none"/>
        </w:rPr>
        <w:t xml:space="preserve">En esta misma línea de análisis, Marquina y Resnik (2022) advierten que las políticas de flexibilización y la adopción de créditos académicos en el contexto argentino no deben traducirse en una mera adopción acrítica de modelos estandarizados transnacionales. Para las autoras, el verdadero desafío de la innovación radica en reconocer que la distancia entre la duración teórica de los planes de estudio y la duración real de las carreras es un emergente de la complejidad social de nuestros estudiantes. En consecuencia, proponer el crédito académico como unidad de medida exige un compromiso de gestión para que el cómputo de la actividad autónoma no se convierta en una nueva exigencia burocrática, sino en un dispositivo institucional de acompañamiento y andamiaje pedagógico que garantice la inclusión y la democratización del egreso efectivo (Marquina &amp; Resnik, 2022)." </w:t>
      </w:r>
      <w:r w:rsidRPr="00742D15">
        <w:rPr>
          <w:rFonts w:ascii="Times New Roman" w:eastAsia="Calibri" w:hAnsi="Times New Roman" w:cs="Times New Roman"/>
          <w:kern w:val="0"/>
          <w:lang w:val="es-AR"/>
          <w14:ligatures w14:val="none"/>
        </w:rPr>
        <w:t>Esta visibilización del trabajo autónomo del estudiante puede ser explicada a través de tres dimensiones teóricas fundamentales:</w:t>
      </w:r>
    </w:p>
    <w:p w14:paraId="27D7AAFD" w14:textId="77777777" w:rsidR="00742D15" w:rsidRPr="00742D15" w:rsidRDefault="00742D15" w:rsidP="00742D15">
      <w:pPr>
        <w:numPr>
          <w:ilvl w:val="0"/>
          <w:numId w:val="4"/>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Desde una perspectiva constructivista, el autor Perrenoud (2006) señala que el aprendizaje significativo no se produce por la mera exposición pasiva del alumno ante el docente, sino a través de las actividades de asimilación, lectura crítica, investigación y resolución de problemas que el sujeto realiza de manera autónoma. Computar estas horas en el currículo implica reconocer formalmente que el trabajo independiente es el verdadero motor del desarrollo de competencias profesionales.</w:t>
      </w:r>
    </w:p>
    <w:p w14:paraId="17C77D5C" w14:textId="77777777" w:rsidR="00742D15" w:rsidRPr="00742D15" w:rsidRDefault="00742D15" w:rsidP="00742D15">
      <w:pPr>
        <w:numPr>
          <w:ilvl w:val="0"/>
          <w:numId w:val="4"/>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Pensar el currículo en créditos permite flexibilizar los ritmos de aprendizaje, adecuando el mapa curricular a las "trayectorias educativas reales" de estudiantes que trabajan o atender a la complejidad de dimensiones de los procesos de aprendizaje.</w:t>
      </w:r>
    </w:p>
    <w:p w14:paraId="5B20F6E8" w14:textId="77777777" w:rsidR="00742D15" w:rsidRPr="00742D15" w:rsidRDefault="00742D15" w:rsidP="00742D15">
      <w:pPr>
        <w:numPr>
          <w:ilvl w:val="0"/>
          <w:numId w:val="4"/>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lastRenderedPageBreak/>
        <w:t xml:space="preserve">El conocimiento deja de ser una secuencia fija de asignaturas obligatorias y pasa a estructurarse como un capital acumulable y transferible. Esto dinamiza la movilidad estudiantil interinstitucional y el reconocimiento de trayectos formativos diversos (prácticas socio-comunitarias, pasantías, investigación). </w:t>
      </w:r>
    </w:p>
    <w:p w14:paraId="1AACFCDF"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Partiendo de los aspectos mencionados se torna necesario destacar los análisis de Marquina (2025) quien introduce una advertencia fundamental para el debate argentino contemporáneo: en Europa, la discusión sobre si el crédito valía 25 o 30 horas dejó de ser central una vez garantizada una base común razonable. El verdadero aprendizaje de las dos décadas de experiencia europea, según la autora, demuestra que la implementación de sistemas de créditos no se resuelve bajo ningún concepto con una fórmula matemática rígida o con una simple tabla de conversión administrativa. Exige, por el contrario, un cambio profundo de mirada sobre el currículum, las prácticas de enseñanza y la centralidad del estudiante, sustentado en el diálogo, los consensos y una clara visión institucional. Ignorar esta trayectoria histórica local y global implicaría el riesgo de repetir errores evitables o forzar una discusión desde cero.</w:t>
      </w:r>
    </w:p>
    <w:p w14:paraId="796DC1A3"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En perfecta sintonía con esta perspectiva crítica, el Instituto Internacional de la UNESCO para la Educación Superior en América Latina y el Caribe (UNESCO-IESALC, 2026), en su Documento de Trabajo N.° 14, sostiene que los sistemas de créditos en la región deben dejar de ser vistos como meras unidades de medida aisladas para convertirse en los motores estructurales de la armonización regional y la transformación de la educación superior. El mapeo continental desarrollado por la agencia destaca que la adopción del crédito académico, en combinación con el impulso de las convenciones mundiales y regionales de la UNESCO sobre el reconocimiento de cualificaciones, es una oportunidad histórica para construir un marco regional integrado. Desde la perspectiva de UNESCO-IESALC (2026), el crédito académico no solo dinamiza la movilidad estudiantil interinstitucional tradicional, sino que funciona como una herramienta de inclusión al transparentar y certificar trayectos formativos diversos, favoreciendo el aprendizaje a lo largo de toda la vida y la adaptabilidad de los sistemas de educación superior frente a los desafíos mutantes de la contemporaneidad. </w:t>
      </w:r>
    </w:p>
    <w:p w14:paraId="02AA8720"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p>
    <w:p w14:paraId="630E824E" w14:textId="77777777" w:rsidR="00742D15" w:rsidRPr="00742D15" w:rsidRDefault="00742D15" w:rsidP="00742D15">
      <w:pPr>
        <w:spacing w:after="0" w:line="240" w:lineRule="auto"/>
        <w:jc w:val="both"/>
        <w:outlineLvl w:val="1"/>
        <w:rPr>
          <w:rFonts w:ascii="Times New Roman" w:eastAsia="Times New Roman" w:hAnsi="Times New Roman" w:cs="Times New Roman"/>
          <w:b/>
          <w:bCs/>
          <w:kern w:val="0"/>
          <w:lang w:val="es-AR" w:eastAsia="es-AR"/>
          <w14:ligatures w14:val="none"/>
        </w:rPr>
      </w:pPr>
      <w:r w:rsidRPr="00742D15">
        <w:rPr>
          <w:rFonts w:ascii="Times New Roman" w:eastAsia="Times New Roman" w:hAnsi="Times New Roman" w:cs="Times New Roman"/>
          <w:b/>
          <w:bCs/>
          <w:kern w:val="0"/>
          <w:lang w:val="es-AR" w:eastAsia="es-AR"/>
          <w14:ligatures w14:val="none"/>
        </w:rPr>
        <w:t>El Programa de Innovación Académico Curricular (2025-2027) de la UNRC: Arquitectura y Dimensiones de Gestión</w:t>
      </w:r>
    </w:p>
    <w:p w14:paraId="3EA9E692" w14:textId="77777777" w:rsidR="00742D15" w:rsidRPr="00742D15" w:rsidRDefault="00742D15" w:rsidP="00742D15">
      <w:pPr>
        <w:spacing w:after="0" w:line="240" w:lineRule="auto"/>
        <w:jc w:val="both"/>
        <w:outlineLvl w:val="1"/>
        <w:rPr>
          <w:rFonts w:ascii="Times New Roman" w:eastAsia="Times New Roman" w:hAnsi="Times New Roman" w:cs="Times New Roman"/>
          <w:b/>
          <w:bCs/>
          <w:kern w:val="0"/>
          <w:lang w:val="es-AR" w:eastAsia="es-AR"/>
          <w14:ligatures w14:val="none"/>
        </w:rPr>
      </w:pPr>
    </w:p>
    <w:p w14:paraId="16FF3FAA"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El </w:t>
      </w:r>
      <w:r w:rsidRPr="00742D15">
        <w:rPr>
          <w:rFonts w:ascii="Times New Roman" w:eastAsia="Times New Roman" w:hAnsi="Times New Roman" w:cs="Times New Roman"/>
          <w:i/>
          <w:iCs/>
          <w:kern w:val="0"/>
          <w:lang w:val="es-AR" w:eastAsia="es-AR"/>
          <w14:ligatures w14:val="none"/>
        </w:rPr>
        <w:t>Programa de Innovación Académico Curricular 2025-2027</w:t>
      </w:r>
      <w:r w:rsidRPr="00742D15">
        <w:rPr>
          <w:rFonts w:ascii="Times New Roman" w:eastAsia="Times New Roman" w:hAnsi="Times New Roman" w:cs="Times New Roman"/>
          <w:kern w:val="0"/>
          <w:lang w:val="es-AR" w:eastAsia="es-AR"/>
          <w14:ligatures w14:val="none"/>
        </w:rPr>
        <w:t xml:space="preserve"> de la UNRC se constituye formalmente como el dispositivo político-institucional diseñado por la Secretaría Académica y la Secretaría de Posgrado y Cooperación Internacional para orientar la transición hacia el sistema de créditos. </w:t>
      </w:r>
    </w:p>
    <w:p w14:paraId="593A2151"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El programa se estructura de forma articulada en torno a dos líneas estratégicas de trabajo que se determinan de manera recíproca:</w:t>
      </w:r>
    </w:p>
    <w:p w14:paraId="261D01FC" w14:textId="77777777" w:rsidR="00742D15" w:rsidRPr="00742D15" w:rsidRDefault="00742D15" w:rsidP="00742D15">
      <w:pPr>
        <w:numPr>
          <w:ilvl w:val="0"/>
          <w:numId w:val="5"/>
        </w:numPr>
        <w:spacing w:after="0" w:line="240" w:lineRule="auto"/>
        <w:contextualSpacing/>
        <w:jc w:val="both"/>
        <w:outlineLvl w:val="2"/>
        <w:rPr>
          <w:rFonts w:ascii="Times New Roman" w:eastAsia="Times New Roman" w:hAnsi="Times New Roman" w:cs="Times New Roman"/>
          <w:i/>
          <w:iCs/>
          <w:kern w:val="0"/>
          <w:lang w:val="es-AR" w:eastAsia="es-AR"/>
          <w14:ligatures w14:val="none"/>
        </w:rPr>
      </w:pPr>
      <w:r w:rsidRPr="00742D15">
        <w:rPr>
          <w:rFonts w:ascii="Times New Roman" w:eastAsia="Times New Roman" w:hAnsi="Times New Roman" w:cs="Times New Roman"/>
          <w:i/>
          <w:iCs/>
          <w:kern w:val="0"/>
          <w:lang w:val="es-AR" w:eastAsia="es-AR"/>
          <w14:ligatures w14:val="none"/>
        </w:rPr>
        <w:t>Línea A: Innovación Curricular: Planes de Estudio Pensados desde el Sistema Argentino de Créditos Académicos Universitarios</w:t>
      </w:r>
    </w:p>
    <w:p w14:paraId="41E1E70E"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Esta dimensión se enfoca en la reconfiguración técnico-estructural de los diseños curriculares de las carreras de pregrado y grado de la UNRC. Su propósito medular es acompañar a las comisiones curriculares y equipos de gestión de las cinco Facultades (Agronomía y Veterinaria, Ciencias Económicas, Ciencias Exactas, Ciencias Humanas, e </w:t>
      </w:r>
      <w:r w:rsidRPr="00742D15">
        <w:rPr>
          <w:rFonts w:ascii="Times New Roman" w:eastAsia="Times New Roman" w:hAnsi="Times New Roman" w:cs="Times New Roman"/>
          <w:kern w:val="0"/>
          <w:lang w:val="es-AR" w:eastAsia="es-AR"/>
          <w14:ligatures w14:val="none"/>
        </w:rPr>
        <w:lastRenderedPageBreak/>
        <w:t>Ingeniería) en el diseño e implementación de las readecuaciones de sus planes vigentes de acuerdo con las pautas de las Resoluciones Nacionales N° 2598/23 y N° 556/25.</w:t>
      </w:r>
    </w:p>
    <w:p w14:paraId="1269DB02"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Bajo esta línea de trabajo, el currículo se descentra del docente y se enfoca en las Trayectorias Educativas del Estudiante. Desde esta línea de trabajo, repensar diseños curriculares en créditos, pretenden promover objetivos de democratización institucional vinculados con: </w:t>
      </w:r>
    </w:p>
    <w:p w14:paraId="020383D1" w14:textId="77777777" w:rsidR="00742D15" w:rsidRPr="00742D15" w:rsidRDefault="00742D15" w:rsidP="00742D15">
      <w:pPr>
        <w:numPr>
          <w:ilvl w:val="0"/>
          <w:numId w:val="2"/>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i/>
          <w:iCs/>
          <w:kern w:val="0"/>
          <w:lang w:val="es-AR" w:eastAsia="es-AR"/>
          <w14:ligatures w14:val="none"/>
        </w:rPr>
        <w:t>Sinceramiento Pedagógico:</w:t>
      </w:r>
      <w:r w:rsidRPr="00742D15">
        <w:rPr>
          <w:rFonts w:ascii="Times New Roman" w:eastAsia="Times New Roman" w:hAnsi="Times New Roman" w:cs="Times New Roman"/>
          <w:kern w:val="0"/>
          <w:lang w:val="es-AR" w:eastAsia="es-AR"/>
          <w14:ligatures w14:val="none"/>
        </w:rPr>
        <w:t xml:space="preserve"> Visibilizar la cantidad de horas reales, el trabajo autónomo que una asignatura demanda fuera de los horarios de clase tradicionales para evitar la sobrecarga cognitiva que prolonga el cursado de los estudiantes.</w:t>
      </w:r>
    </w:p>
    <w:p w14:paraId="5BE4A338" w14:textId="77777777" w:rsidR="00742D15" w:rsidRPr="00742D15" w:rsidRDefault="00742D15" w:rsidP="00742D15">
      <w:pPr>
        <w:numPr>
          <w:ilvl w:val="0"/>
          <w:numId w:val="2"/>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i/>
          <w:iCs/>
          <w:kern w:val="0"/>
          <w:lang w:val="es-AR" w:eastAsia="es-AR"/>
          <w14:ligatures w14:val="none"/>
        </w:rPr>
        <w:t>Construcción de Trayectos Flexibles:</w:t>
      </w:r>
      <w:r w:rsidRPr="00742D15">
        <w:rPr>
          <w:rFonts w:ascii="Times New Roman" w:eastAsia="Times New Roman" w:hAnsi="Times New Roman" w:cs="Times New Roman"/>
          <w:kern w:val="0"/>
          <w:lang w:val="es-AR" w:eastAsia="es-AR"/>
          <w14:ligatures w14:val="none"/>
        </w:rPr>
        <w:t xml:space="preserve"> Diseñar menús de opciones académicas donde el estudiante pueda flexibilizar trayectos formativos mediante asignaturas y/o horas electivas que rompan la linealidad rígida de planes estructurados en bloques lineales. </w:t>
      </w:r>
    </w:p>
    <w:p w14:paraId="6D568152" w14:textId="77777777" w:rsidR="00742D15" w:rsidRPr="00742D15" w:rsidRDefault="00742D15" w:rsidP="00742D15">
      <w:pPr>
        <w:numPr>
          <w:ilvl w:val="0"/>
          <w:numId w:val="2"/>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i/>
          <w:iCs/>
          <w:kern w:val="0"/>
          <w:lang w:val="es-AR" w:eastAsia="es-AR"/>
          <w14:ligatures w14:val="none"/>
        </w:rPr>
        <w:t>Movilidad y Reconocimiento Interinstitucional:</w:t>
      </w:r>
      <w:r w:rsidRPr="00742D15">
        <w:rPr>
          <w:rFonts w:ascii="Times New Roman" w:eastAsia="Times New Roman" w:hAnsi="Times New Roman" w:cs="Times New Roman"/>
          <w:kern w:val="0"/>
          <w:lang w:val="es-AR" w:eastAsia="es-AR"/>
          <w14:ligatures w14:val="none"/>
        </w:rPr>
        <w:t xml:space="preserve"> Facilitar que un estudiante pueda cursar espacios formativos en distintas carreras de la misma UNRC o en otras universidades del sistema nacional, obteniendo el reconocimiento automático de sus créditos académicos de manera dinámica </w:t>
      </w:r>
    </w:p>
    <w:p w14:paraId="2AAC1FCD"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La propuesta convoca a coordinadores de carreras y/o comisiones curriculares a la elaboración de proyectos que orienten la transición a créditos, a la revisión y análisis en torno al trabajo autónomo y a la evaluación y seguimiento en la implementación de planes de estudio que ya cuentan con diseños </w:t>
      </w:r>
    </w:p>
    <w:p w14:paraId="284CBC70" w14:textId="77777777" w:rsidR="00742D15" w:rsidRPr="00742D15" w:rsidRDefault="00742D15" w:rsidP="00742D15">
      <w:pPr>
        <w:spacing w:after="0" w:line="240" w:lineRule="auto"/>
        <w:ind w:left="720"/>
        <w:jc w:val="both"/>
        <w:rPr>
          <w:rFonts w:ascii="Times New Roman" w:eastAsia="Times New Roman" w:hAnsi="Times New Roman" w:cs="Times New Roman"/>
          <w:kern w:val="0"/>
          <w:lang w:val="es-AR" w:eastAsia="es-AR"/>
          <w14:ligatures w14:val="none"/>
        </w:rPr>
      </w:pPr>
    </w:p>
    <w:p w14:paraId="22E5DAAC" w14:textId="77777777" w:rsidR="00742D15" w:rsidRPr="00742D15" w:rsidRDefault="00742D15" w:rsidP="00742D15">
      <w:pPr>
        <w:numPr>
          <w:ilvl w:val="0"/>
          <w:numId w:val="5"/>
        </w:numPr>
        <w:spacing w:after="0" w:line="240" w:lineRule="auto"/>
        <w:contextualSpacing/>
        <w:jc w:val="both"/>
        <w:outlineLvl w:val="2"/>
        <w:rPr>
          <w:rFonts w:ascii="Times New Roman" w:eastAsia="Times New Roman" w:hAnsi="Times New Roman" w:cs="Times New Roman"/>
          <w:i/>
          <w:iCs/>
          <w:kern w:val="0"/>
          <w:lang w:val="es-AR" w:eastAsia="es-AR"/>
          <w14:ligatures w14:val="none"/>
        </w:rPr>
      </w:pPr>
      <w:r w:rsidRPr="00742D15">
        <w:rPr>
          <w:rFonts w:ascii="Times New Roman" w:eastAsia="Times New Roman" w:hAnsi="Times New Roman" w:cs="Times New Roman"/>
          <w:i/>
          <w:iCs/>
          <w:kern w:val="0"/>
          <w:lang w:val="es-AR" w:eastAsia="es-AR"/>
          <w14:ligatures w14:val="none"/>
        </w:rPr>
        <w:t>Línea B: Innovación Académica: Formación de Formadores para la Mejora Continua de las Prácticas Docentes</w:t>
      </w:r>
    </w:p>
    <w:p w14:paraId="6702C4FC"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Esta línea parte de la convicción epistemológica de que no existe una verdadera transformación curricular sin una profunda mutación en las prácticas docentes cotidianas. Cambiar diseños de planes de estudios implica también repensar prácticas, en este sentido se delinean acciones de formación docente que acompañen estos procesos de innovación. De allí que la Línea B promueva dispositivos sistemáticos de formación técnico-pedagógica y espacios de trabajo colaborativo entre pares. Su objetivo principal es incentivar a los docentes a reflexionar críticamente sobre sus propias propuestas pedagógicas y metodologías, en particular destacando el valor para los aprendizajes de la evaluación formativa. Desde el programa se convoca a equipos docentes con amplia trayectoria en innovación a la presentación de propuestas de formación para colegas organizadas en distintos ejes temáticos identificados como emergentes. Las propuestas cuentan con modalidad taller que apuesta a la elaboración de propuestas didácticas para ser implementadas por los equipos docentes. </w:t>
      </w:r>
    </w:p>
    <w:p w14:paraId="704BE2D7"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La operacionalización del programa encontró su origen en un espacio de formación sistemático, en torno a SACAU coordinado desde la Secretaría Académica y desarrollado por especialistas externos. El taller se propuso reunir a los equipos docentes, coordinadores de carrera y comisiones curriculares de las diversas facultades para analizar los diseños curriculares con datos reales, en su transición hacia el modelo de créditos académicos. Durante los encuentros se trabajó con una matriz de simulación que permitió a las comisiones curriculares cargar las estructuras vigentes de sus planes de estudio (horas presenciales semanales, duración cuatrimestral nominal, cantidad de </w:t>
      </w:r>
      <w:r w:rsidRPr="00742D15">
        <w:rPr>
          <w:rFonts w:ascii="Times New Roman" w:eastAsia="Times New Roman" w:hAnsi="Times New Roman" w:cs="Times New Roman"/>
          <w:kern w:val="0"/>
          <w:lang w:val="es-AR" w:eastAsia="es-AR"/>
          <w14:ligatures w14:val="none"/>
        </w:rPr>
        <w:lastRenderedPageBreak/>
        <w:t xml:space="preserve">trabajos prácticos y regímenes de correlatividades) y analizarlas con las estimaciones del tiempo extra-áulico que demandan a sus estudiantes. Este trabajo oriento el análisis en torno a la identificación de problemas relativos al plan y la diagramación de posibles líneas de mejora que permitan ajustar la relación entre duración teórica y real de las carreras. Asimismo, se reflexionó en torno a la importancia de pensar un currículo centrado en el estudiante, con su respectivo análisis en torno al trabajo autónomo y sus implicancias en las trayectorias educativas.  </w:t>
      </w:r>
    </w:p>
    <w:p w14:paraId="2A4A5681"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Como resultado de las deliberaciones teóricas y empíricas surgidas en las mesas de trabajo de los talleres, se consolidó una categorización conceptual que permite pensar el valor del crédito académico según la naturaleza epistemológica y didáctica de cada espacio formativo. Se determinó que no es lícito aplicar un coeficiente matemático lineal y uniforme a todas las asignaturas por igual; sino que se requiere de una tipificación pedagógica diferenciada:</w:t>
      </w:r>
    </w:p>
    <w:p w14:paraId="00E56B35"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3"/>
        <w:gridCol w:w="2120"/>
        <w:gridCol w:w="2037"/>
        <w:gridCol w:w="2608"/>
      </w:tblGrid>
      <w:tr w:rsidR="00742D15" w:rsidRPr="00742D15" w14:paraId="60958A70" w14:textId="77777777" w:rsidTr="007D392C">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4E89A5"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b/>
                <w:bCs/>
                <w:kern w:val="0"/>
                <w:lang w:val="es-AR" w:eastAsia="es-AR"/>
                <w14:ligatures w14:val="none"/>
              </w:rPr>
              <w:t>Tipo de Asignatura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038463"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b/>
                <w:bCs/>
                <w:kern w:val="0"/>
                <w:lang w:val="es-AR" w:eastAsia="es-AR"/>
                <w14:ligatures w14:val="none"/>
              </w:rPr>
              <w:t>Descripción Pedagógica y Didáctica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FAC2AC"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b/>
                <w:bCs/>
                <w:kern w:val="0"/>
                <w:lang w:val="es-AR" w:eastAsia="es-AR"/>
                <w14:ligatures w14:val="none"/>
              </w:rPr>
              <w:t>Relación de Carga de Trabajo (Presencial vs. Autónoma)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0B324C"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b/>
                <w:bCs/>
                <w:kern w:val="0"/>
                <w:lang w:val="es-AR" w:eastAsia="es-AR"/>
                <w14:ligatures w14:val="none"/>
              </w:rPr>
              <w:t>Impacto en el Cómputo de Créditos (CRE)</w:t>
            </w:r>
          </w:p>
        </w:tc>
      </w:tr>
      <w:tr w:rsidR="00742D15" w:rsidRPr="00742D15" w14:paraId="229CEA84" w14:textId="77777777" w:rsidTr="007D3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ECDC34"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b/>
                <w:bCs/>
                <w:kern w:val="0"/>
                <w:lang w:val="es-AR" w:eastAsia="es-AR"/>
                <w14:ligatures w14:val="none"/>
              </w:rPr>
              <w:t>Asignaturas de Predominio Teórico / Teórico-Práctico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C897DA"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Espacios curriculares centrados en la asimilación de matrices conceptuales densas, epistemologías complejas y marcos teóricos de base.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763B51"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Requieren un volumen elevado de dedicación mental, lecturas críticas y estudio extra-áulico independiente por parte del estudiante.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CE8A50"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Alta asignación de horas de trabajo autónomo (Relación estimada: 1 hora presencial por 1 o 1.5 horas autónomas).</w:t>
            </w:r>
          </w:p>
        </w:tc>
      </w:tr>
      <w:tr w:rsidR="00742D15" w:rsidRPr="00742D15" w14:paraId="250E42B7" w14:textId="77777777" w:rsidTr="007D3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DDA06B"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b/>
                <w:bCs/>
                <w:kern w:val="0"/>
                <w:lang w:val="es-AR" w:eastAsia="es-AR"/>
                <w14:ligatures w14:val="none"/>
              </w:rPr>
              <w:t>Espacios de Taller, Prácticas de Campo o Laboratorio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601A3C"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Asignaturas orientadas al saber-hacer, la experimentación empírica, la intervención en territorio o el desarrollo de destrezas procedimentales técnicas.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DB6942"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La labor sustantiva de asimilación, producción y resolución se encuentra concentrada e integrada mayormente dentro del horario </w:t>
            </w:r>
            <w:r w:rsidRPr="00742D15">
              <w:rPr>
                <w:rFonts w:ascii="Times New Roman" w:eastAsia="Times New Roman" w:hAnsi="Times New Roman" w:cs="Times New Roman"/>
                <w:kern w:val="0"/>
                <w:lang w:val="es-AR" w:eastAsia="es-AR"/>
                <w14:ligatures w14:val="none"/>
              </w:rPr>
              <w:lastRenderedPageBreak/>
              <w:t>presencial establecido.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61CD50"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lastRenderedPageBreak/>
              <w:t>Baja asignación de horas autónomas. El crédito se sustenta fundamentalmente en la carga horaria de interacción directa en el aula/laboratorio.</w:t>
            </w:r>
          </w:p>
        </w:tc>
      </w:tr>
      <w:tr w:rsidR="00742D15" w:rsidRPr="00742D15" w14:paraId="5DFD9253" w14:textId="77777777" w:rsidTr="007D3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22395A"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b/>
                <w:bCs/>
                <w:kern w:val="0"/>
                <w:lang w:val="es-AR" w:eastAsia="es-AR"/>
                <w14:ligatures w14:val="none"/>
              </w:rPr>
              <w:t>Seminarios, Tesinas y Formatos de Producción Escrita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FF077D"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Espacios terminales o de profundización focalizados en la investigación autónoma, el diseño de proyectos y los procesos de escritura académica.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CF1F6D"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Máxima concentración de la actividad en el estudio autogestionado, lecturas dirigidas, recolección de datos y redacción de informes fuera del aula.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F56A59"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Máxima asignación de carga autónoma (respetando el piso del 50% de interacción presencial/sincrónica global que manda la Secretaria de Educación del Ministerio de Capital Humano de la Nación Argentina, 2025).</w:t>
            </w:r>
          </w:p>
        </w:tc>
      </w:tr>
    </w:tbl>
    <w:p w14:paraId="63E36A9E" w14:textId="77777777" w:rsidR="00742D15" w:rsidRPr="00742D15" w:rsidRDefault="00742D15" w:rsidP="00742D15">
      <w:pPr>
        <w:spacing w:after="0" w:line="240" w:lineRule="auto"/>
        <w:jc w:val="both"/>
        <w:outlineLvl w:val="2"/>
        <w:rPr>
          <w:rFonts w:ascii="Times New Roman" w:eastAsia="Times New Roman" w:hAnsi="Times New Roman" w:cs="Times New Roman"/>
          <w:b/>
          <w:bCs/>
          <w:kern w:val="0"/>
          <w:lang w:val="es-AR" w:eastAsia="es-AR"/>
          <w14:ligatures w14:val="none"/>
        </w:rPr>
      </w:pPr>
    </w:p>
    <w:p w14:paraId="267E21E4" w14:textId="77777777" w:rsidR="00742D15" w:rsidRPr="00742D15" w:rsidRDefault="00742D15" w:rsidP="00742D15">
      <w:pPr>
        <w:spacing w:after="0" w:line="240" w:lineRule="auto"/>
        <w:jc w:val="both"/>
        <w:outlineLvl w:val="2"/>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La memoria reflexiva del taller permite identificar algunas convergencias y divergencias que devela sin lugar a dudas que un tránsito hacia un sistema regulado por créditos no constituye un proceso armónico ni exento de debates teóricos y corporativos profundos dentro de la comunidad universitaria. El dispositivo permitió mapear de algún modo las dinámicas de la cultura institucional frente al cambio curricular:</w:t>
      </w:r>
    </w:p>
    <w:p w14:paraId="4FE6F048" w14:textId="77777777" w:rsidR="00742D15" w:rsidRPr="00742D15" w:rsidRDefault="00742D15" w:rsidP="00742D15">
      <w:pPr>
        <w:numPr>
          <w:ilvl w:val="0"/>
          <w:numId w:val="3"/>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 xml:space="preserve">Se registró un consenso significativo respecto a la necesidad impostergable de flexibilizar y en algunos casos actualizar los planes de estudio vigentes, y colocar el foco de las políticas académicas en el seguimiento de las trayectorias educativas reales para mitigar el desgranamiento y la deserción. </w:t>
      </w:r>
    </w:p>
    <w:p w14:paraId="699CECCB" w14:textId="77777777" w:rsidR="00742D15" w:rsidRPr="00742D15" w:rsidRDefault="00742D15" w:rsidP="00742D15">
      <w:pPr>
        <w:numPr>
          <w:ilvl w:val="0"/>
          <w:numId w:val="3"/>
        </w:num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kern w:val="0"/>
          <w:lang w:val="es-AR" w:eastAsia="es-AR"/>
          <w14:ligatures w14:val="none"/>
        </w:rPr>
        <w:t>Asimismo, emergieron focos de resistencia y debate vinculados a dos dimensiones críticas:</w:t>
      </w:r>
    </w:p>
    <w:p w14:paraId="44352480" w14:textId="77777777" w:rsidR="00742D15" w:rsidRPr="00742D15" w:rsidRDefault="00742D15" w:rsidP="00742D15">
      <w:pPr>
        <w:spacing w:after="0" w:line="240" w:lineRule="auto"/>
        <w:ind w:left="1440"/>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i/>
          <w:iCs/>
          <w:kern w:val="0"/>
          <w:lang w:val="es-AR" w:eastAsia="es-AR"/>
          <w14:ligatures w14:val="none"/>
        </w:rPr>
        <w:t>- El temor a la pérdida de identidad disciplinar:</w:t>
      </w:r>
      <w:r w:rsidRPr="00742D15">
        <w:rPr>
          <w:rFonts w:ascii="Times New Roman" w:eastAsia="Times New Roman" w:hAnsi="Times New Roman" w:cs="Times New Roman"/>
          <w:kern w:val="0"/>
          <w:lang w:val="es-AR" w:eastAsia="es-AR"/>
          <w14:ligatures w14:val="none"/>
        </w:rPr>
        <w:t xml:space="preserve"> Ciertos sectores docentes expresaron su preocupación ante la posibilidad de que la reducción de las cargas horarias presenciales o la integración de asignaturas diluyera la rigurosidad y la especificidad técnica indispensable para el ejercicio profesional.</w:t>
      </w:r>
    </w:p>
    <w:p w14:paraId="45C62CE6" w14:textId="77777777" w:rsidR="00742D15" w:rsidRPr="00742D15" w:rsidRDefault="00742D15" w:rsidP="00742D15">
      <w:pPr>
        <w:spacing w:after="0" w:line="240" w:lineRule="auto"/>
        <w:ind w:left="1440"/>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i/>
          <w:iCs/>
          <w:kern w:val="0"/>
          <w:lang w:val="es-AR" w:eastAsia="es-AR"/>
          <w14:ligatures w14:val="none"/>
        </w:rPr>
        <w:t>- La Complejidad de la Bimodalidad:</w:t>
      </w:r>
      <w:r w:rsidRPr="00742D15">
        <w:rPr>
          <w:rFonts w:ascii="Times New Roman" w:eastAsia="Times New Roman" w:hAnsi="Times New Roman" w:cs="Times New Roman"/>
          <w:kern w:val="0"/>
          <w:lang w:val="es-AR" w:eastAsia="es-AR"/>
          <w14:ligatures w14:val="none"/>
        </w:rPr>
        <w:t xml:space="preserve"> La administración y regulación de las horas sincrónicas y asincrónicas habilitadas por la Resolución N° 556/25 dentro de las carreras presenciales tradicionales generó tensiones conceptuales en torno a cómo medir, supervisar y garantizar la calidad del trabajo no presencial de los alumnos sin sobrecargar la labor de tutoría de las plantas docentes.</w:t>
      </w:r>
    </w:p>
    <w:p w14:paraId="5EB54AB2" w14:textId="77777777" w:rsidR="00742D15" w:rsidRPr="00742D15" w:rsidRDefault="00742D15" w:rsidP="00742D15">
      <w:pPr>
        <w:spacing w:after="0" w:line="240" w:lineRule="auto"/>
        <w:ind w:left="1440"/>
        <w:jc w:val="both"/>
        <w:rPr>
          <w:rFonts w:ascii="Times New Roman" w:eastAsia="Times New Roman" w:hAnsi="Times New Roman" w:cs="Times New Roman"/>
          <w:kern w:val="0"/>
          <w:lang w:val="es-AR" w:eastAsia="es-AR"/>
          <w14:ligatures w14:val="none"/>
        </w:rPr>
      </w:pPr>
      <w:r w:rsidRPr="00742D15">
        <w:rPr>
          <w:rFonts w:ascii="Times New Roman" w:eastAsia="Times New Roman" w:hAnsi="Times New Roman" w:cs="Times New Roman"/>
          <w:i/>
          <w:iCs/>
          <w:kern w:val="0"/>
          <w:lang w:val="es-AR" w:eastAsia="es-AR"/>
          <w14:ligatures w14:val="none"/>
        </w:rPr>
        <w:lastRenderedPageBreak/>
        <w:t>- Restricciones de Infraestructura y Presupuesto:</w:t>
      </w:r>
      <w:r w:rsidRPr="00742D15">
        <w:rPr>
          <w:rFonts w:ascii="Times New Roman" w:eastAsia="Times New Roman" w:hAnsi="Times New Roman" w:cs="Times New Roman"/>
          <w:kern w:val="0"/>
          <w:lang w:val="es-AR" w:eastAsia="es-AR"/>
          <w14:ligatures w14:val="none"/>
        </w:rPr>
        <w:t xml:space="preserve"> Se advirtió que sostener un modelo flexible basado en créditos requiere de sistemas informáticos de gestión académica adaptados para el seguimiento personalizado de trayectorias, así como la necesidad de contar con espacios físicos para el trabajo autónomo del estudiantado, y la exigencia de reorganizaciones al interior de los equipos docentes, demandas complejas de afrontar en el actual contexto de las universidades. </w:t>
      </w:r>
    </w:p>
    <w:p w14:paraId="6BFF7204" w14:textId="77777777" w:rsidR="00742D15" w:rsidRPr="00742D15" w:rsidRDefault="00742D15" w:rsidP="00742D15">
      <w:pPr>
        <w:spacing w:after="0" w:line="240" w:lineRule="auto"/>
        <w:jc w:val="both"/>
        <w:rPr>
          <w:rFonts w:ascii="Times New Roman" w:eastAsia="Times New Roman" w:hAnsi="Times New Roman" w:cs="Times New Roman"/>
          <w:kern w:val="0"/>
          <w:lang w:val="es-AR" w:eastAsia="es-AR"/>
          <w14:ligatures w14:val="none"/>
        </w:rPr>
      </w:pPr>
      <w:r w:rsidRPr="00742D15">
        <w:rPr>
          <w:rFonts w:ascii="Times New Roman" w:eastAsia="Calibri" w:hAnsi="Times New Roman" w:cs="Times New Roman"/>
          <w:kern w:val="0"/>
          <w:lang w:val="es-AR"/>
          <w14:ligatures w14:val="none"/>
        </w:rPr>
        <w:t xml:space="preserve">Se advierte así que esta resignificación de políticas académicas que se sostienen desde la UNRC, enfatizan que las reformas curriculares mediadas por créditos deben estructurarse firmemente sobre el principio de la educación superior como un derecho humano esencial como base para consolidar la equidad y el desarrollo sostenible. Cuando la gestión académica asume esta premisa, como plantea Marquina (2025), se debe responder estrictamente desde una estrategia institucional coherente, basada en una revisión pedagógica profunda de la oferta formativa y nunca en un vaciamiento de contenidos; convirtiendo al crédito en un dispositivo de andamiaje y visibilización del esfuerzo que democratiza, las posibilidades reales de ingreso, permanencia y egreso en la universidad. </w:t>
      </w:r>
    </w:p>
    <w:p w14:paraId="6A7CCD34" w14:textId="77777777" w:rsidR="00742D15" w:rsidRPr="00742D15" w:rsidRDefault="00742D15" w:rsidP="007B5B5F">
      <w:pPr>
        <w:spacing w:line="240" w:lineRule="auto"/>
        <w:rPr>
          <w:rFonts w:ascii="Times New Roman" w:hAnsi="Times New Roman" w:cs="Times New Roman"/>
          <w:b/>
          <w:bCs/>
          <w:lang w:val="es-AR"/>
        </w:rPr>
      </w:pPr>
    </w:p>
    <w:p w14:paraId="12CE0BCB" w14:textId="454605EA" w:rsidR="005F3B2E" w:rsidRPr="00D653C3" w:rsidRDefault="005F3B2E" w:rsidP="007B5B5F">
      <w:pPr>
        <w:spacing w:line="240" w:lineRule="auto"/>
        <w:rPr>
          <w:rFonts w:ascii="Times New Roman" w:hAnsi="Times New Roman" w:cs="Times New Roman"/>
          <w:b/>
          <w:bCs/>
          <w:lang w:val="es-AR"/>
        </w:rPr>
      </w:pPr>
      <w:r w:rsidRPr="00D653C3">
        <w:rPr>
          <w:rFonts w:ascii="Times New Roman" w:hAnsi="Times New Roman" w:cs="Times New Roman"/>
          <w:b/>
          <w:bCs/>
          <w:lang w:val="es-AR"/>
        </w:rPr>
        <w:t>Conclusiones</w:t>
      </w:r>
    </w:p>
    <w:p w14:paraId="3413A749" w14:textId="77777777" w:rsidR="00D355FD" w:rsidRPr="00D355FD" w:rsidRDefault="00D355FD" w:rsidP="00D355FD">
      <w:pPr>
        <w:spacing w:after="0" w:line="240" w:lineRule="auto"/>
        <w:jc w:val="both"/>
        <w:outlineLvl w:val="1"/>
        <w:rPr>
          <w:rFonts w:ascii="Times New Roman" w:eastAsia="Times New Roman" w:hAnsi="Times New Roman" w:cs="Times New Roman"/>
          <w:b/>
          <w:bCs/>
          <w:kern w:val="0"/>
          <w:lang w:val="es-AR" w:eastAsia="es-AR"/>
          <w14:ligatures w14:val="none"/>
        </w:rPr>
      </w:pPr>
      <w:r w:rsidRPr="00D355FD">
        <w:rPr>
          <w:rFonts w:ascii="Times New Roman" w:eastAsia="Times New Roman" w:hAnsi="Times New Roman" w:cs="Times New Roman"/>
          <w:b/>
          <w:bCs/>
          <w:kern w:val="0"/>
          <w:lang w:val="es-AR" w:eastAsia="es-AR"/>
          <w14:ligatures w14:val="none"/>
        </w:rPr>
        <w:t xml:space="preserve">Continuidades e implementaciones …. </w:t>
      </w:r>
    </w:p>
    <w:p w14:paraId="7105797A" w14:textId="77777777" w:rsidR="00D355FD" w:rsidRPr="00D355FD" w:rsidRDefault="00D355FD" w:rsidP="00D355FD">
      <w:p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Finalmente, ante la experiencia y los procesos hasta aquí descriptas se devela que las políticas académicas de innovación curricular se construyen institucionalmente a través de la formación continua de sus formadores. Mapear las zonas de tensión, albergar las disidencias de las culturas institucionales y tramitar los debates en torno a la bimodalidad y a las identidades disciplinares a través de proyectos curriculares con compromiso colectivo, es la manera de configurar transformaciones profundas</w:t>
      </w:r>
    </w:p>
    <w:p w14:paraId="0F348180" w14:textId="77777777" w:rsidR="00D355FD" w:rsidRPr="00D355FD" w:rsidRDefault="00D355FD" w:rsidP="00D355FD">
      <w:pPr>
        <w:spacing w:after="0" w:line="240" w:lineRule="auto"/>
        <w:jc w:val="both"/>
        <w:outlineLvl w:val="1"/>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Se trata de dar lugar al reconocimiento de las experiencias estudiantiles, las prácticas docentes, los recorridos de formación en las instituciones, el currículum y los planes de estudios, y también en la comunidad y en el espacio social más amplio, caminos y movimientos que delimitan nuevas formas de relación con la realidad, los saberes y los la construcción de procesos contextuales. En este sentido, tal como plantea Terigi (2007), a diferencia de las trayectorias teóricas que se expresan en caminos lineales y periodos regulares; las trayectorias reales se caracterizan por construirse en un mayor acercamiento de los distintos contextos y roles que tiene el estudiante. Independientemente del tipo de trayectoria que un estudiante construya, observar a los estudiantes en trayectoria es pensar en toda la complejidad del sujeto y de las instituciones. </w:t>
      </w:r>
    </w:p>
    <w:p w14:paraId="71F70906" w14:textId="77777777" w:rsidR="00D355FD" w:rsidRPr="00D355FD" w:rsidRDefault="00D355FD" w:rsidP="00D355FD">
      <w:pPr>
        <w:spacing w:after="0" w:line="240" w:lineRule="auto"/>
        <w:jc w:val="both"/>
        <w:outlineLvl w:val="1"/>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Hasta aquí un camino recorrido que comienza a materializarse en proyectos concretos, continúa ahora el desafío de acompañar desde la gestión los procesos que desde allí se construyan, sin perder los horizontes de un compromiso con la educación pública de calidad para el desempeño profesional de nuestros egresados. </w:t>
      </w:r>
    </w:p>
    <w:p w14:paraId="2D2220BE" w14:textId="77777777" w:rsidR="00D355FD" w:rsidRPr="00D355FD" w:rsidRDefault="00D355FD" w:rsidP="00D355FD">
      <w:pPr>
        <w:spacing w:after="0" w:line="240" w:lineRule="auto"/>
        <w:jc w:val="both"/>
        <w:outlineLvl w:val="1"/>
        <w:rPr>
          <w:rFonts w:ascii="Times New Roman" w:eastAsia="Times New Roman" w:hAnsi="Times New Roman" w:cs="Times New Roman"/>
          <w:kern w:val="0"/>
          <w:lang w:val="es-AR" w:eastAsia="es-AR"/>
          <w14:ligatures w14:val="none"/>
        </w:rPr>
      </w:pPr>
    </w:p>
    <w:p w14:paraId="39B57161" w14:textId="03741F82"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1FBAA922" w14:textId="77777777" w:rsidR="00D355FD" w:rsidRPr="00D355FD" w:rsidRDefault="00D355FD" w:rsidP="00D355FD">
      <w:pPr>
        <w:numPr>
          <w:ilvl w:val="0"/>
          <w:numId w:val="5"/>
        </w:numPr>
        <w:spacing w:after="0" w:line="240" w:lineRule="auto"/>
        <w:contextualSpacing/>
        <w:jc w:val="both"/>
        <w:rPr>
          <w:rFonts w:ascii="Times New Roman" w:eastAsia="Times New Roman" w:hAnsi="Times New Roman" w:cs="Times New Roman"/>
          <w:kern w:val="0"/>
          <w:lang w:val="en-US" w:eastAsia="es-AR"/>
          <w14:ligatures w14:val="none"/>
        </w:rPr>
      </w:pPr>
      <w:r w:rsidRPr="00D355FD">
        <w:rPr>
          <w:rFonts w:ascii="Times New Roman" w:eastAsia="Times New Roman" w:hAnsi="Times New Roman" w:cs="Times New Roman"/>
          <w:kern w:val="0"/>
          <w:lang w:val="es-AR" w:eastAsia="es-AR"/>
          <w14:ligatures w14:val="none"/>
        </w:rPr>
        <w:t xml:space="preserve">Beneitone, P., Esquetini, C., González, J., Maletá, M. M., Siufi, G., &amp; Wagenaar, R. (Eds.). (2007). </w:t>
      </w:r>
      <w:r w:rsidRPr="00D355FD">
        <w:rPr>
          <w:rFonts w:ascii="Times New Roman" w:eastAsia="Times New Roman" w:hAnsi="Times New Roman" w:cs="Times New Roman"/>
          <w:i/>
          <w:iCs/>
          <w:kern w:val="0"/>
          <w:lang w:val="es-AR" w:eastAsia="es-AR"/>
          <w14:ligatures w14:val="none"/>
        </w:rPr>
        <w:t xml:space="preserve">Reflexiones y perspectivas de la Educación Superior en </w:t>
      </w:r>
      <w:r w:rsidRPr="00D355FD">
        <w:rPr>
          <w:rFonts w:ascii="Times New Roman" w:eastAsia="Times New Roman" w:hAnsi="Times New Roman" w:cs="Times New Roman"/>
          <w:i/>
          <w:iCs/>
          <w:kern w:val="0"/>
          <w:lang w:val="es-AR" w:eastAsia="es-AR"/>
          <w14:ligatures w14:val="none"/>
        </w:rPr>
        <w:lastRenderedPageBreak/>
        <w:t>América Latina: Informe Final Proyecto Tuning América Latina 2004-2007</w:t>
      </w:r>
      <w:r w:rsidRPr="00D355FD">
        <w:rPr>
          <w:rFonts w:ascii="Times New Roman" w:eastAsia="Times New Roman" w:hAnsi="Times New Roman" w:cs="Times New Roman"/>
          <w:kern w:val="0"/>
          <w:lang w:val="es-AR" w:eastAsia="es-AR"/>
          <w14:ligatures w14:val="none"/>
        </w:rPr>
        <w:t xml:space="preserve">. </w:t>
      </w:r>
      <w:r w:rsidRPr="00D355FD">
        <w:rPr>
          <w:rFonts w:ascii="Times New Roman" w:eastAsia="Times New Roman" w:hAnsi="Times New Roman" w:cs="Times New Roman"/>
          <w:kern w:val="0"/>
          <w:lang w:val="en-US" w:eastAsia="es-AR"/>
          <w14:ligatures w14:val="none"/>
        </w:rPr>
        <w:t>Universidad de Deusto.</w:t>
      </w:r>
    </w:p>
    <w:p w14:paraId="56F7346C" w14:textId="77777777" w:rsidR="00D355FD" w:rsidRPr="00D355FD" w:rsidRDefault="00D355FD" w:rsidP="00D355FD">
      <w:pPr>
        <w:numPr>
          <w:ilvl w:val="0"/>
          <w:numId w:val="5"/>
        </w:numPr>
        <w:spacing w:after="0" w:line="240" w:lineRule="auto"/>
        <w:contextualSpacing/>
        <w:jc w:val="both"/>
        <w:rPr>
          <w:rFonts w:ascii="Times New Roman" w:eastAsia="Times New Roman" w:hAnsi="Times New Roman" w:cs="Times New Roman"/>
          <w:kern w:val="0"/>
          <w:lang w:val="en-US" w:eastAsia="es-AR"/>
          <w14:ligatures w14:val="none"/>
        </w:rPr>
      </w:pPr>
      <w:r w:rsidRPr="00D355FD">
        <w:rPr>
          <w:rFonts w:ascii="Times New Roman" w:eastAsia="Calibri" w:hAnsi="Times New Roman" w:cs="Times New Roman"/>
          <w:kern w:val="0"/>
          <w:lang w:val="es-AR"/>
          <w14:ligatures w14:val="none"/>
        </w:rPr>
        <w:t xml:space="preserve">Bernstein, B. (1998). </w:t>
      </w:r>
      <w:r w:rsidRPr="00D355FD">
        <w:rPr>
          <w:rFonts w:ascii="Times New Roman" w:eastAsia="Calibri" w:hAnsi="Times New Roman" w:cs="Times New Roman"/>
          <w:i/>
          <w:iCs/>
          <w:kern w:val="0"/>
          <w:lang w:val="es-AR"/>
          <w14:ligatures w14:val="none"/>
        </w:rPr>
        <w:t>Pedagogía, control simbólico e identidad: Teoría, investigación y crítica</w:t>
      </w:r>
      <w:r w:rsidRPr="00D355FD">
        <w:rPr>
          <w:rFonts w:ascii="Times New Roman" w:eastAsia="Calibri" w:hAnsi="Times New Roman" w:cs="Times New Roman"/>
          <w:kern w:val="0"/>
          <w:lang w:val="es-AR"/>
          <w14:ligatures w14:val="none"/>
        </w:rPr>
        <w:t xml:space="preserve"> (P. Manzano, Trad.). Morata</w:t>
      </w:r>
    </w:p>
    <w:p w14:paraId="64A3007A"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De Alba, A. (1995). </w:t>
      </w:r>
      <w:r w:rsidRPr="00D355FD">
        <w:rPr>
          <w:rFonts w:ascii="Times New Roman" w:eastAsia="Times New Roman" w:hAnsi="Times New Roman" w:cs="Times New Roman"/>
          <w:i/>
          <w:iCs/>
          <w:kern w:val="0"/>
          <w:lang w:val="es-AR" w:eastAsia="es-AR"/>
          <w14:ligatures w14:val="none"/>
        </w:rPr>
        <w:t>Currículum: Crisis, mito y perspectivas</w:t>
      </w:r>
      <w:r w:rsidRPr="00D355FD">
        <w:rPr>
          <w:rFonts w:ascii="Times New Roman" w:eastAsia="Times New Roman" w:hAnsi="Times New Roman" w:cs="Times New Roman"/>
          <w:kern w:val="0"/>
          <w:lang w:val="es-AR" w:eastAsia="es-AR"/>
          <w14:ligatures w14:val="none"/>
        </w:rPr>
        <w:t>. Miño y Dávila.</w:t>
      </w:r>
    </w:p>
    <w:p w14:paraId="5C564214"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Díaz Villa, M. (2002). </w:t>
      </w:r>
      <w:r w:rsidRPr="00D355FD">
        <w:rPr>
          <w:rFonts w:ascii="Times New Roman" w:eastAsia="Times New Roman" w:hAnsi="Times New Roman" w:cs="Times New Roman"/>
          <w:i/>
          <w:iCs/>
          <w:kern w:val="0"/>
          <w:lang w:val="es-AR" w:eastAsia="es-AR"/>
          <w14:ligatures w14:val="none"/>
        </w:rPr>
        <w:t>Flexibilidad y educación superior en Colombia</w:t>
      </w:r>
      <w:r w:rsidRPr="00D355FD">
        <w:rPr>
          <w:rFonts w:ascii="Times New Roman" w:eastAsia="Times New Roman" w:hAnsi="Times New Roman" w:cs="Times New Roman"/>
          <w:kern w:val="0"/>
          <w:lang w:val="es-AR" w:eastAsia="es-AR"/>
          <w14:ligatures w14:val="none"/>
        </w:rPr>
        <w:t>. Instituto Colombiano para el Fomento de la Educación Superior.</w:t>
      </w:r>
    </w:p>
    <w:p w14:paraId="7431D978"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Hargreaves, A. (1996). </w:t>
      </w:r>
      <w:r w:rsidRPr="00D355FD">
        <w:rPr>
          <w:rFonts w:ascii="Times New Roman" w:eastAsia="Times New Roman" w:hAnsi="Times New Roman" w:cs="Times New Roman"/>
          <w:i/>
          <w:iCs/>
          <w:kern w:val="0"/>
          <w:lang w:val="es-AR" w:eastAsia="es-AR"/>
          <w14:ligatures w14:val="none"/>
        </w:rPr>
        <w:t>Profesorado, cultura y postmodernidad: Cambian los tiempos, cambia el profesorado</w:t>
      </w:r>
      <w:r w:rsidRPr="00D355FD">
        <w:rPr>
          <w:rFonts w:ascii="Times New Roman" w:eastAsia="Times New Roman" w:hAnsi="Times New Roman" w:cs="Times New Roman"/>
          <w:kern w:val="0"/>
          <w:lang w:val="es-AR" w:eastAsia="es-AR"/>
          <w14:ligatures w14:val="none"/>
        </w:rPr>
        <w:t xml:space="preserve"> (P. Manzano, Trad.). Morata.</w:t>
      </w:r>
    </w:p>
    <w:p w14:paraId="3770D97D"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Instituto Internacional de la UNESCO para la Educación Superior en América Latina y el Caribe [UNESCO-IESALC]. (2026). </w:t>
      </w:r>
      <w:r w:rsidRPr="00D355FD">
        <w:rPr>
          <w:rFonts w:ascii="Times New Roman" w:eastAsia="Times New Roman" w:hAnsi="Times New Roman" w:cs="Times New Roman"/>
          <w:i/>
          <w:iCs/>
          <w:kern w:val="0"/>
          <w:lang w:val="es-AR" w:eastAsia="es-AR"/>
          <w14:ligatures w14:val="none"/>
        </w:rPr>
        <w:t>Mapeo de los sistemas de créditos académicos en América Latina y el Caribe: hacia la armonización regional y la transformación de la educación superior</w:t>
      </w:r>
      <w:r w:rsidRPr="00D355FD">
        <w:rPr>
          <w:rFonts w:ascii="Times New Roman" w:eastAsia="Times New Roman" w:hAnsi="Times New Roman" w:cs="Times New Roman"/>
          <w:kern w:val="0"/>
          <w:lang w:val="es-AR" w:eastAsia="es-AR"/>
          <w14:ligatures w14:val="none"/>
        </w:rPr>
        <w:t xml:space="preserve"> (Documento de Trabajo N.º 14). </w:t>
      </w:r>
      <w:hyperlink r:id="rId7" w:history="1">
        <w:r w:rsidRPr="00D355FD">
          <w:rPr>
            <w:rFonts w:ascii="Times New Roman" w:eastAsia="Times New Roman" w:hAnsi="Times New Roman" w:cs="Times New Roman"/>
            <w:color w:val="0000FF"/>
            <w:kern w:val="0"/>
            <w:u w:val="single"/>
            <w:lang w:val="es-AR" w:eastAsia="es-AR"/>
            <w14:ligatures w14:val="none"/>
          </w:rPr>
          <w:t>https://www.iesalc.unesco.org/wp-content/uploads/2026/03/Documento_Trabajo_14_Creditos.pdf</w:t>
        </w:r>
      </w:hyperlink>
    </w:p>
    <w:p w14:paraId="7F5464DA"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n-US" w:eastAsia="es-AR"/>
          <w14:ligatures w14:val="none"/>
        </w:rPr>
      </w:pPr>
      <w:r w:rsidRPr="00D355FD">
        <w:rPr>
          <w:rFonts w:ascii="Times New Roman" w:eastAsia="Times New Roman" w:hAnsi="Times New Roman" w:cs="Times New Roman"/>
          <w:kern w:val="0"/>
          <w:lang w:val="es-AR" w:eastAsia="es-AR"/>
          <w14:ligatures w14:val="none"/>
        </w:rPr>
        <w:t xml:space="preserve">Marquina, M. (2025, 11 de junio). </w:t>
      </w:r>
      <w:r w:rsidRPr="00D355FD">
        <w:rPr>
          <w:rFonts w:ascii="Times New Roman" w:eastAsia="Times New Roman" w:hAnsi="Times New Roman" w:cs="Times New Roman"/>
          <w:i/>
          <w:iCs/>
          <w:kern w:val="0"/>
          <w:lang w:val="es-AR" w:eastAsia="es-AR"/>
          <w14:ligatures w14:val="none"/>
        </w:rPr>
        <w:t>Créditos académicos: lo que Europa aprendió y aquí empezamos a discutir</w:t>
      </w:r>
      <w:r w:rsidRPr="00D355FD">
        <w:rPr>
          <w:rFonts w:ascii="Times New Roman" w:eastAsia="Times New Roman" w:hAnsi="Times New Roman" w:cs="Times New Roman"/>
          <w:kern w:val="0"/>
          <w:lang w:val="es-AR" w:eastAsia="es-AR"/>
          <w14:ligatures w14:val="none"/>
        </w:rPr>
        <w:t xml:space="preserve">. </w:t>
      </w:r>
      <w:r w:rsidRPr="00D355FD">
        <w:rPr>
          <w:rFonts w:ascii="Times New Roman" w:eastAsia="Times New Roman" w:hAnsi="Times New Roman" w:cs="Times New Roman"/>
          <w:kern w:val="0"/>
          <w:lang w:val="en-US" w:eastAsia="es-AR"/>
          <w14:ligatures w14:val="none"/>
        </w:rPr>
        <w:t xml:space="preserve">LinkedIn. </w:t>
      </w:r>
      <w:hyperlink r:id="rId8" w:tgtFrame="_blank" w:history="1">
        <w:r w:rsidRPr="00D355FD">
          <w:rPr>
            <w:rFonts w:ascii="Times New Roman" w:eastAsia="Times New Roman" w:hAnsi="Times New Roman" w:cs="Times New Roman"/>
            <w:color w:val="0000FF"/>
            <w:kern w:val="0"/>
            <w:u w:val="single"/>
            <w:lang w:val="en-US" w:eastAsia="es-AR"/>
            <w14:ligatures w14:val="none"/>
          </w:rPr>
          <w:t>https://www.linkedin.com/pulse/cr%C3%A9ditos-acad%C3%A9micos-lo-que-europa-aprendi%C3%B3-y-aqu%C3%AD-m%C3%B3nica-marquina-f123x/</w:t>
        </w:r>
      </w:hyperlink>
    </w:p>
    <w:p w14:paraId="63ADF43B"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Marquina, M., &amp; Resnik, C. (2022). Reformas curriculares y trayectorias estudiantiles en la universidad argentina: Los desafíos de la flexibilización y el crédito académico. </w:t>
      </w:r>
      <w:r w:rsidRPr="00D355FD">
        <w:rPr>
          <w:rFonts w:ascii="Times New Roman" w:eastAsia="Times New Roman" w:hAnsi="Times New Roman" w:cs="Times New Roman"/>
          <w:i/>
          <w:iCs/>
          <w:kern w:val="0"/>
          <w:lang w:val="es-AR" w:eastAsia="es-AR"/>
          <w14:ligatures w14:val="none"/>
        </w:rPr>
        <w:t>Revista de Educación Superior y Gestión Universitaria</w:t>
      </w:r>
      <w:r w:rsidRPr="00D355FD">
        <w:rPr>
          <w:rFonts w:ascii="Times New Roman" w:eastAsia="Times New Roman" w:hAnsi="Times New Roman" w:cs="Times New Roman"/>
          <w:kern w:val="0"/>
          <w:lang w:val="es-AR" w:eastAsia="es-AR"/>
          <w14:ligatures w14:val="none"/>
        </w:rPr>
        <w:t xml:space="preserve">, </w:t>
      </w:r>
      <w:r w:rsidRPr="00D355FD">
        <w:rPr>
          <w:rFonts w:ascii="Times New Roman" w:eastAsia="Times New Roman" w:hAnsi="Times New Roman" w:cs="Times New Roman"/>
          <w:i/>
          <w:iCs/>
          <w:kern w:val="0"/>
          <w:lang w:val="es-AR" w:eastAsia="es-AR"/>
          <w14:ligatures w14:val="none"/>
        </w:rPr>
        <w:t>15</w:t>
      </w:r>
      <w:r w:rsidRPr="00D355FD">
        <w:rPr>
          <w:rFonts w:ascii="Times New Roman" w:eastAsia="Times New Roman" w:hAnsi="Times New Roman" w:cs="Times New Roman"/>
          <w:kern w:val="0"/>
          <w:lang w:val="es-AR" w:eastAsia="es-AR"/>
          <w14:ligatures w14:val="none"/>
        </w:rPr>
        <w:t>(2), 112-135.</w:t>
      </w:r>
    </w:p>
    <w:p w14:paraId="237F7126"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Ministerio de Educación de la Nación Argentina. (2023, 21 de noviembre). </w:t>
      </w:r>
      <w:r w:rsidRPr="00D355FD">
        <w:rPr>
          <w:rFonts w:ascii="Times New Roman" w:eastAsia="Times New Roman" w:hAnsi="Times New Roman" w:cs="Times New Roman"/>
          <w:i/>
          <w:iCs/>
          <w:kern w:val="0"/>
          <w:lang w:val="es-AR" w:eastAsia="es-AR"/>
          <w14:ligatures w14:val="none"/>
        </w:rPr>
        <w:t>Resolución RESOL-2023-2598-APN-ME: Creación del Sistema Argentino de Créditos Académicos Universitarios (SACAU)</w:t>
      </w:r>
      <w:r w:rsidRPr="00D355FD">
        <w:rPr>
          <w:rFonts w:ascii="Times New Roman" w:eastAsia="Times New Roman" w:hAnsi="Times New Roman" w:cs="Times New Roman"/>
          <w:kern w:val="0"/>
          <w:lang w:val="es-AR" w:eastAsia="es-AR"/>
          <w14:ligatures w14:val="none"/>
        </w:rPr>
        <w:t xml:space="preserve">. Boletín Oficial de la República Argentina. </w:t>
      </w:r>
      <w:hyperlink r:id="rId9" w:tgtFrame="_blank" w:history="1">
        <w:r w:rsidRPr="00D355FD">
          <w:rPr>
            <w:rFonts w:ascii="Times New Roman" w:eastAsia="Times New Roman" w:hAnsi="Times New Roman" w:cs="Times New Roman"/>
            <w:color w:val="0000FF"/>
            <w:kern w:val="0"/>
            <w:u w:val="single"/>
            <w:lang w:val="es-AR" w:eastAsia="es-AR"/>
            <w14:ligatures w14:val="none"/>
          </w:rPr>
          <w:t>https://www.boletinoficial.gob.ar/#!DetalleNorma/298713/20231121</w:t>
        </w:r>
      </w:hyperlink>
    </w:p>
    <w:p w14:paraId="6B247FFD" w14:textId="77777777" w:rsidR="00D355FD" w:rsidRPr="00D355FD" w:rsidRDefault="00D355FD" w:rsidP="00D355FD">
      <w:pPr>
        <w:numPr>
          <w:ilvl w:val="0"/>
          <w:numId w:val="5"/>
        </w:numPr>
        <w:spacing w:after="0" w:line="240" w:lineRule="auto"/>
        <w:contextualSpacing/>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Perrenoud, P. (2006). </w:t>
      </w:r>
      <w:r w:rsidRPr="00D355FD">
        <w:rPr>
          <w:rFonts w:ascii="Times New Roman" w:eastAsia="Times New Roman" w:hAnsi="Times New Roman" w:cs="Times New Roman"/>
          <w:i/>
          <w:iCs/>
          <w:kern w:val="0"/>
          <w:lang w:val="es-AR" w:eastAsia="es-AR"/>
          <w14:ligatures w14:val="none"/>
        </w:rPr>
        <w:t>Desarrollar competencias en la escuela: ¿Un programa o un enfoque emergente?</w:t>
      </w:r>
      <w:r w:rsidRPr="00D355FD">
        <w:rPr>
          <w:rFonts w:ascii="Times New Roman" w:eastAsia="Times New Roman" w:hAnsi="Times New Roman" w:cs="Times New Roman"/>
          <w:kern w:val="0"/>
          <w:lang w:val="es-AR" w:eastAsia="es-AR"/>
          <w14:ligatures w14:val="none"/>
        </w:rPr>
        <w:t xml:space="preserve"> Dolmen.</w:t>
      </w:r>
    </w:p>
    <w:p w14:paraId="724F0E29"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Secretaría de Educación del Ministerio de Capital Humano de la Nación Argentina. (2025, 5 de mayo). </w:t>
      </w:r>
      <w:r w:rsidRPr="00D355FD">
        <w:rPr>
          <w:rFonts w:ascii="Times New Roman" w:eastAsia="Times New Roman" w:hAnsi="Times New Roman" w:cs="Times New Roman"/>
          <w:i/>
          <w:iCs/>
          <w:kern w:val="0"/>
          <w:lang w:val="es-AR" w:eastAsia="es-AR"/>
          <w14:ligatures w14:val="none"/>
        </w:rPr>
        <w:t>Resolución RESOL-2025-556-APN-SE#MCH: Parámetros de carga horaria mínima y distribución de créditos académicos universitarios (CRE)</w:t>
      </w:r>
      <w:r w:rsidRPr="00D355FD">
        <w:rPr>
          <w:rFonts w:ascii="Times New Roman" w:eastAsia="Times New Roman" w:hAnsi="Times New Roman" w:cs="Times New Roman"/>
          <w:kern w:val="0"/>
          <w:lang w:val="es-AR" w:eastAsia="es-AR"/>
          <w14:ligatures w14:val="none"/>
        </w:rPr>
        <w:t xml:space="preserve">. Boletín Oficial de la República Argentina. </w:t>
      </w:r>
      <w:hyperlink r:id="rId10" w:tgtFrame="_blank" w:history="1">
        <w:r w:rsidRPr="00D355FD">
          <w:rPr>
            <w:rFonts w:ascii="Times New Roman" w:eastAsia="Times New Roman" w:hAnsi="Times New Roman" w:cs="Times New Roman"/>
            <w:color w:val="0000FF"/>
            <w:kern w:val="0"/>
            <w:u w:val="single"/>
            <w:lang w:val="es-AR" w:eastAsia="es-AR"/>
            <w14:ligatures w14:val="none"/>
          </w:rPr>
          <w:t>https://www.boletinoficial.gob.ar/#!DetalleNorma/324761/20250505</w:t>
        </w:r>
      </w:hyperlink>
    </w:p>
    <w:p w14:paraId="5DDF2178"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III Conferencia Regional de Educación Superior. (2018). </w:t>
      </w:r>
      <w:r w:rsidRPr="00D355FD">
        <w:rPr>
          <w:rFonts w:ascii="Times New Roman" w:eastAsia="Times New Roman" w:hAnsi="Times New Roman" w:cs="Times New Roman"/>
          <w:i/>
          <w:iCs/>
          <w:kern w:val="0"/>
          <w:lang w:val="es-AR" w:eastAsia="es-AR"/>
          <w14:ligatures w14:val="none"/>
        </w:rPr>
        <w:t>Declaración final de la III Conferencia Regional de Educación Superior en América Latina y el Caribe (CRES 2018)</w:t>
      </w:r>
      <w:r w:rsidRPr="00D355FD">
        <w:rPr>
          <w:rFonts w:ascii="Times New Roman" w:eastAsia="Times New Roman" w:hAnsi="Times New Roman" w:cs="Times New Roman"/>
          <w:kern w:val="0"/>
          <w:lang w:val="es-AR" w:eastAsia="es-AR"/>
          <w14:ligatures w14:val="none"/>
        </w:rPr>
        <w:t xml:space="preserve">. Instituto Internacional de la UNESCO para la Educación Superior en América Latina y el Caribe. </w:t>
      </w:r>
      <w:hyperlink r:id="rId11" w:tgtFrame="_blank" w:history="1">
        <w:r w:rsidRPr="00D355FD">
          <w:rPr>
            <w:rFonts w:ascii="Times New Roman" w:eastAsia="Times New Roman" w:hAnsi="Times New Roman" w:cs="Times New Roman"/>
            <w:color w:val="0000FF"/>
            <w:kern w:val="0"/>
            <w:u w:val="single"/>
            <w:lang w:val="es-AR" w:eastAsia="es-AR"/>
            <w14:ligatures w14:val="none"/>
          </w:rPr>
          <w:t>https://www.iesalc.unesco.org/wp-content/uploads/2020/08/Declaracion2018PortFinal.pdf</w:t>
        </w:r>
      </w:hyperlink>
    </w:p>
    <w:p w14:paraId="5413EC0F"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Terigi, F. (2007). Los desafíos que plantean las trayectorias escolares. Fundación Santillana.</w:t>
      </w:r>
    </w:p>
    <w:p w14:paraId="1B53D1C5"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Universidad Nacional de Río Cuarto. (2017, 6 de septiembre). </w:t>
      </w:r>
      <w:r w:rsidRPr="00D355FD">
        <w:rPr>
          <w:rFonts w:ascii="Times New Roman" w:eastAsia="Times New Roman" w:hAnsi="Times New Roman" w:cs="Times New Roman"/>
          <w:i/>
          <w:iCs/>
          <w:kern w:val="0"/>
          <w:lang w:val="es-AR" w:eastAsia="es-AR"/>
          <w14:ligatures w14:val="none"/>
        </w:rPr>
        <w:t>Resolución de Consejo Superior N° 297/17: Documento "Hacia un currículo contextualizado, flexible e integrado. Lineamientos para orientar la innovación curricular"</w:t>
      </w:r>
      <w:r w:rsidRPr="00D355FD">
        <w:rPr>
          <w:rFonts w:ascii="Times New Roman" w:eastAsia="Times New Roman" w:hAnsi="Times New Roman" w:cs="Times New Roman"/>
          <w:kern w:val="0"/>
          <w:lang w:val="es-AR" w:eastAsia="es-AR"/>
          <w14:ligatures w14:val="none"/>
        </w:rPr>
        <w:t>. Secretaría Académica.</w:t>
      </w:r>
    </w:p>
    <w:p w14:paraId="79A32FA1"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lastRenderedPageBreak/>
        <w:t xml:space="preserve">Universidad Nacional de Río Cuarto. (2024, 30 de julio). </w:t>
      </w:r>
      <w:r w:rsidRPr="00D355FD">
        <w:rPr>
          <w:rFonts w:ascii="Times New Roman" w:eastAsia="Times New Roman" w:hAnsi="Times New Roman" w:cs="Times New Roman"/>
          <w:i/>
          <w:iCs/>
          <w:kern w:val="0"/>
          <w:lang w:val="es-AR" w:eastAsia="es-AR"/>
          <w14:ligatures w14:val="none"/>
        </w:rPr>
        <w:t>Resolución de Consejo Superior N° 252/24: "Programa de Preingreso, Ingreso, Continuidad y Egreso Período 2024-2027"</w:t>
      </w:r>
      <w:r w:rsidRPr="00D355FD">
        <w:rPr>
          <w:rFonts w:ascii="Times New Roman" w:eastAsia="Times New Roman" w:hAnsi="Times New Roman" w:cs="Times New Roman"/>
          <w:kern w:val="0"/>
          <w:lang w:val="es-AR" w:eastAsia="es-AR"/>
          <w14:ligatures w14:val="none"/>
        </w:rPr>
        <w:t>. Secretaría Académica; Secretaría de Posgrado y Cooperación Internacional.</w:t>
      </w:r>
    </w:p>
    <w:p w14:paraId="0467351E"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Universidad Nacional de Río Cuarto. (2025). </w:t>
      </w:r>
      <w:r w:rsidRPr="00D355FD">
        <w:rPr>
          <w:rFonts w:ascii="Times New Roman" w:eastAsia="Times New Roman" w:hAnsi="Times New Roman" w:cs="Times New Roman"/>
          <w:i/>
          <w:iCs/>
          <w:kern w:val="0"/>
          <w:lang w:val="es-AR" w:eastAsia="es-AR"/>
          <w14:ligatures w14:val="none"/>
        </w:rPr>
        <w:t>Informe de síntesis del dispositivo de intervención e investigación-acción: Taller "SACAU en la UNRC"</w:t>
      </w:r>
      <w:r w:rsidRPr="00D355FD">
        <w:rPr>
          <w:rFonts w:ascii="Times New Roman" w:eastAsia="Times New Roman" w:hAnsi="Times New Roman" w:cs="Times New Roman"/>
          <w:kern w:val="0"/>
          <w:lang w:val="es-AR" w:eastAsia="es-AR"/>
          <w14:ligatures w14:val="none"/>
        </w:rPr>
        <w:t xml:space="preserve"> (Documento de trabajo interno). Secretaría Académica.</w:t>
      </w:r>
    </w:p>
    <w:p w14:paraId="066D7CAB" w14:textId="77777777" w:rsidR="00D355FD" w:rsidRPr="00D355FD" w:rsidRDefault="00D355FD" w:rsidP="00D355FD">
      <w:pPr>
        <w:numPr>
          <w:ilvl w:val="0"/>
          <w:numId w:val="5"/>
        </w:numPr>
        <w:spacing w:after="0" w:line="240" w:lineRule="auto"/>
        <w:jc w:val="both"/>
        <w:rPr>
          <w:rFonts w:ascii="Times New Roman" w:eastAsia="Times New Roman" w:hAnsi="Times New Roman" w:cs="Times New Roman"/>
          <w:kern w:val="0"/>
          <w:lang w:val="es-AR" w:eastAsia="es-AR"/>
          <w14:ligatures w14:val="none"/>
        </w:rPr>
      </w:pPr>
      <w:r w:rsidRPr="00D355FD">
        <w:rPr>
          <w:rFonts w:ascii="Times New Roman" w:eastAsia="Times New Roman" w:hAnsi="Times New Roman" w:cs="Times New Roman"/>
          <w:kern w:val="0"/>
          <w:lang w:val="es-AR" w:eastAsia="es-AR"/>
          <w14:ligatures w14:val="none"/>
        </w:rPr>
        <w:t xml:space="preserve">Universidad Nacional de Río Cuarto. (2025, 11 de diciembre). </w:t>
      </w:r>
      <w:r w:rsidRPr="00D355FD">
        <w:rPr>
          <w:rFonts w:ascii="Times New Roman" w:eastAsia="Times New Roman" w:hAnsi="Times New Roman" w:cs="Times New Roman"/>
          <w:i/>
          <w:iCs/>
          <w:kern w:val="0"/>
          <w:lang w:val="es-AR" w:eastAsia="es-AR"/>
          <w14:ligatures w14:val="none"/>
        </w:rPr>
        <w:t>Resolución de Consejo Superior N° 477/25: "Programa de Innovación Académico Curricular Orientado a la Implementación de los Planes de Estudio en Créditos Académicos y la Formación Docente Continua. UNRC 2025-2027"</w:t>
      </w:r>
      <w:r w:rsidRPr="00D355FD">
        <w:rPr>
          <w:rFonts w:ascii="Times New Roman" w:eastAsia="Times New Roman" w:hAnsi="Times New Roman" w:cs="Times New Roman"/>
          <w:kern w:val="0"/>
          <w:lang w:val="es-AR" w:eastAsia="es-AR"/>
          <w14:ligatures w14:val="none"/>
        </w:rPr>
        <w:t>. Secretaría Académica.</w:t>
      </w:r>
    </w:p>
    <w:p w14:paraId="18E961D2" w14:textId="77777777" w:rsidR="00D355FD" w:rsidRPr="00BA642E" w:rsidRDefault="00D355FD" w:rsidP="007B5B5F">
      <w:pPr>
        <w:spacing w:line="240" w:lineRule="auto"/>
        <w:rPr>
          <w:rFonts w:ascii="Times New Roman" w:hAnsi="Times New Roman" w:cs="Times New Roman"/>
          <w:b/>
          <w:bCs/>
        </w:rPr>
      </w:pPr>
    </w:p>
    <w:sectPr w:rsidR="00D355FD" w:rsidRPr="00BA642E"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585B5" w14:textId="77777777" w:rsidR="002E1977" w:rsidRPr="00BA642E" w:rsidRDefault="002E1977" w:rsidP="00C802F5">
      <w:pPr>
        <w:spacing w:after="0" w:line="240" w:lineRule="auto"/>
      </w:pPr>
      <w:r w:rsidRPr="00BA642E">
        <w:separator/>
      </w:r>
    </w:p>
  </w:endnote>
  <w:endnote w:type="continuationSeparator" w:id="0">
    <w:p w14:paraId="7D969F28" w14:textId="77777777" w:rsidR="002E1977" w:rsidRPr="00BA642E" w:rsidRDefault="002E197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6257D" w14:textId="77777777" w:rsidR="002E1977" w:rsidRPr="00BA642E" w:rsidRDefault="002E1977" w:rsidP="00C802F5">
      <w:pPr>
        <w:spacing w:after="0" w:line="240" w:lineRule="auto"/>
      </w:pPr>
      <w:r w:rsidRPr="00BA642E">
        <w:separator/>
      </w:r>
    </w:p>
  </w:footnote>
  <w:footnote w:type="continuationSeparator" w:id="0">
    <w:p w14:paraId="596D6305" w14:textId="77777777" w:rsidR="002E1977" w:rsidRPr="00BA642E" w:rsidRDefault="002E1977"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F0BD7"/>
    <w:multiLevelType w:val="multilevel"/>
    <w:tmpl w:val="C71E42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8160D"/>
    <w:multiLevelType w:val="multilevel"/>
    <w:tmpl w:val="5696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683A83"/>
    <w:multiLevelType w:val="multilevel"/>
    <w:tmpl w:val="0CB86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7C1359"/>
    <w:multiLevelType w:val="hybridMultilevel"/>
    <w:tmpl w:val="7EDC359E"/>
    <w:lvl w:ilvl="0" w:tplc="18860A32">
      <w:start w:val="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78BD4D8D"/>
    <w:multiLevelType w:val="multilevel"/>
    <w:tmpl w:val="9AF2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131C3"/>
    <w:rsid w:val="002327C3"/>
    <w:rsid w:val="002E1977"/>
    <w:rsid w:val="003120F0"/>
    <w:rsid w:val="00312392"/>
    <w:rsid w:val="004040C0"/>
    <w:rsid w:val="00437E9C"/>
    <w:rsid w:val="004F01FC"/>
    <w:rsid w:val="00550766"/>
    <w:rsid w:val="005F3B2E"/>
    <w:rsid w:val="00701F64"/>
    <w:rsid w:val="00742D15"/>
    <w:rsid w:val="007B5B5F"/>
    <w:rsid w:val="007D233B"/>
    <w:rsid w:val="0085070B"/>
    <w:rsid w:val="00A17247"/>
    <w:rsid w:val="00BA642E"/>
    <w:rsid w:val="00BC236F"/>
    <w:rsid w:val="00C802F5"/>
    <w:rsid w:val="00C96B2C"/>
    <w:rsid w:val="00CC04C1"/>
    <w:rsid w:val="00D355FD"/>
    <w:rsid w:val="00D653C3"/>
    <w:rsid w:val="00D66B09"/>
    <w:rsid w:val="00D843EC"/>
    <w:rsid w:val="00FA7E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https://www.linkedin.com/pulse/cr%25C3%25A9ditos-acad%25C3%25A9micos-lo-que-europa-aprendi%25C3%25B3-y-aqu%25C3%25AD-m%25C3%25B3nica-marquina-f123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esalc.unesco.org/wp-content/uploads/2026/03/Documento_Trabajo_14_Creditos.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https://www.iesalc.unesco.org/wp-content/uploads/2020/08/Declaracion2018PortFinal.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gle.com/search?q=https://www.boletinoficial.gob.ar/%23!DetalleNorma/324761/20250505" TargetMode="External"/><Relationship Id="rId4" Type="http://schemas.openxmlformats.org/officeDocument/2006/relationships/webSettings" Target="webSettings.xml"/><Relationship Id="rId9" Type="http://schemas.openxmlformats.org/officeDocument/2006/relationships/hyperlink" Target="https://www.google.com/search?q=https://www.boletinoficial.gob.ar/%23!DetalleNorma/298713/2023112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6306</Words>
  <Characters>34687</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Celina Martini</cp:lastModifiedBy>
  <cp:revision>3</cp:revision>
  <dcterms:created xsi:type="dcterms:W3CDTF">2026-06-30T17:11:00Z</dcterms:created>
  <dcterms:modified xsi:type="dcterms:W3CDTF">2026-06-30T17:23:00Z</dcterms:modified>
</cp:coreProperties>
</file>