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DB3483" w14:textId="77777777" w:rsidR="00C802F5" w:rsidRPr="00BA642E" w:rsidRDefault="00C802F5" w:rsidP="001923DC">
      <w:pPr>
        <w:jc w:val="center"/>
        <w:rPr>
          <w:rFonts w:ascii="Times New Roman" w:hAnsi="Times New Roman" w:cs="Times New Roman"/>
        </w:rPr>
      </w:pPr>
    </w:p>
    <w:p w14:paraId="5ED0150B" w14:textId="77777777" w:rsidR="000E1CAA" w:rsidRPr="00C6694E" w:rsidRDefault="000E1CAA" w:rsidP="000E1CAA">
      <w:pPr>
        <w:spacing w:before="240" w:after="240" w:line="240" w:lineRule="auto"/>
        <w:jc w:val="center"/>
        <w:outlineLvl w:val="0"/>
        <w:rPr>
          <w:rFonts w:ascii="Times New Roman" w:eastAsia="Times New Roman" w:hAnsi="Times New Roman" w:cs="Times New Roman"/>
          <w:b/>
          <w:bCs/>
          <w:kern w:val="36"/>
          <w:lang w:val="es-AR" w:eastAsia="es-MX"/>
          <w14:ligatures w14:val="none"/>
        </w:rPr>
      </w:pPr>
      <w:r w:rsidRPr="00C6694E">
        <w:rPr>
          <w:rFonts w:ascii="Times New Roman" w:eastAsia="Times New Roman" w:hAnsi="Times New Roman" w:cs="Times New Roman"/>
          <w:b/>
          <w:bCs/>
          <w:color w:val="000000"/>
          <w:kern w:val="36"/>
          <w:lang w:val="es-AR" w:eastAsia="es-MX"/>
          <w14:ligatures w14:val="none"/>
        </w:rPr>
        <w:t>Gestión del modelo por competencias: Trayectoria institucional, experiencias en universidades argentinas y perspectivas de gobernanza</w:t>
      </w:r>
    </w:p>
    <w:p w14:paraId="43C49479" w14:textId="77777777" w:rsidR="005F3B2E" w:rsidRPr="000E1CAA" w:rsidRDefault="005F3B2E" w:rsidP="001923DC">
      <w:pPr>
        <w:jc w:val="center"/>
        <w:rPr>
          <w:rFonts w:ascii="Times New Roman" w:hAnsi="Times New Roman" w:cs="Times New Roman"/>
          <w:lang w:val="es-AR"/>
        </w:rPr>
      </w:pPr>
    </w:p>
    <w:p w14:paraId="2A93DAAC" w14:textId="095D2438" w:rsidR="000E1CAA" w:rsidRPr="000E1CAA" w:rsidRDefault="000E1CAA" w:rsidP="005F3B2E">
      <w:pPr>
        <w:spacing w:after="0" w:line="240" w:lineRule="auto"/>
        <w:jc w:val="right"/>
        <w:rPr>
          <w:rFonts w:ascii="Times New Roman" w:hAnsi="Times New Roman" w:cs="Times New Roman"/>
          <w:b/>
          <w:bCs/>
        </w:rPr>
      </w:pPr>
      <w:r w:rsidRPr="000E1CAA">
        <w:rPr>
          <w:rFonts w:ascii="Times New Roman" w:hAnsi="Times New Roman" w:cs="Times New Roman"/>
          <w:b/>
          <w:bCs/>
        </w:rPr>
        <w:t>Lic.Ferradas Jessica</w:t>
      </w:r>
    </w:p>
    <w:p w14:paraId="4E738780" w14:textId="5A199112" w:rsidR="005F3B2E" w:rsidRPr="000E1CAA" w:rsidRDefault="000E1CAA" w:rsidP="000E1CAA">
      <w:pPr>
        <w:spacing w:after="225" w:line="240" w:lineRule="auto"/>
        <w:rPr>
          <w:rFonts w:ascii="Times New Roman" w:eastAsia="Times New Roman" w:hAnsi="Times New Roman" w:cs="Times New Roman"/>
          <w:kern w:val="0"/>
          <w:lang w:val="es-AR" w:eastAsia="es-MX"/>
          <w14:ligatures w14:val="none"/>
        </w:rPr>
      </w:pPr>
      <w:r>
        <w:rPr>
          <w:rFonts w:ascii="Times New Roman" w:eastAsia="Times New Roman" w:hAnsi="Times New Roman" w:cs="Times New Roman"/>
          <w:color w:val="000000"/>
          <w:kern w:val="0"/>
          <w:lang w:val="es-AR" w:eastAsia="es-MX"/>
          <w14:ligatures w14:val="none"/>
        </w:rPr>
        <w:t xml:space="preserve">                          </w:t>
      </w:r>
      <w:r w:rsidRPr="00C6694E">
        <w:rPr>
          <w:rFonts w:ascii="Times New Roman" w:eastAsia="Times New Roman" w:hAnsi="Times New Roman" w:cs="Times New Roman"/>
          <w:color w:val="000000"/>
          <w:kern w:val="0"/>
          <w:lang w:val="es-AR" w:eastAsia="es-MX"/>
          <w14:ligatures w14:val="none"/>
        </w:rPr>
        <w:t>Doctoranda en Políticas y Gestión de la Educación Superior (UNTREF)</w:t>
      </w:r>
      <w:r>
        <w:rPr>
          <w:rFonts w:ascii="Times New Roman" w:hAnsi="Times New Roman" w:cs="Times New Roman"/>
        </w:rPr>
        <w:t xml:space="preserve"> </w:t>
      </w:r>
    </w:p>
    <w:p w14:paraId="1FA0F857" w14:textId="502F37D1" w:rsidR="005F3B2E" w:rsidRPr="00BA642E" w:rsidRDefault="000E1CAA" w:rsidP="00CF4610">
      <w:pPr>
        <w:jc w:val="right"/>
        <w:rPr>
          <w:rFonts w:ascii="Times New Roman" w:hAnsi="Times New Roman" w:cs="Times New Roman"/>
        </w:rPr>
      </w:pPr>
      <w:hyperlink r:id="rId7" w:history="1">
        <w:r w:rsidRPr="0081651E">
          <w:rPr>
            <w:rStyle w:val="Hipervnculo"/>
            <w:rFonts w:ascii="Times New Roman" w:hAnsi="Times New Roman" w:cs="Times New Roman"/>
          </w:rPr>
          <w:t>Jessicaferradas@gmail.com</w:t>
        </w:r>
      </w:hyperlink>
      <w:r>
        <w:rPr>
          <w:rFonts w:ascii="Times New Roman" w:hAnsi="Times New Roman" w:cs="Times New Roman"/>
        </w:rPr>
        <w:t xml:space="preserve"> </w:t>
      </w:r>
    </w:p>
    <w:p w14:paraId="7B9027E2" w14:textId="77777777" w:rsidR="00BA642E" w:rsidRPr="00BA642E" w:rsidRDefault="00BA642E" w:rsidP="00DF0DAC">
      <w:pPr>
        <w:jc w:val="both"/>
        <w:rPr>
          <w:rFonts w:ascii="Times New Roman" w:hAnsi="Times New Roman" w:cs="Times New Roman"/>
          <w:b/>
          <w:bCs/>
        </w:rPr>
      </w:pPr>
    </w:p>
    <w:p w14:paraId="35A6682C" w14:textId="0EFBD607" w:rsidR="00BA642E" w:rsidRPr="00FF6D1B" w:rsidRDefault="00BA642E" w:rsidP="00DF0DAC">
      <w:pPr>
        <w:spacing w:line="240" w:lineRule="auto"/>
        <w:jc w:val="both"/>
        <w:rPr>
          <w:rFonts w:ascii="Times New Roman" w:hAnsi="Times New Roman" w:cs="Times New Roman"/>
          <w:b/>
          <w:bCs/>
          <w:lang w:val="es-AR"/>
        </w:rPr>
      </w:pPr>
      <w:r w:rsidRPr="00FF6D1B">
        <w:rPr>
          <w:rFonts w:ascii="Times New Roman" w:hAnsi="Times New Roman" w:cs="Times New Roman"/>
          <w:b/>
          <w:bCs/>
          <w:lang w:val="es-AR"/>
        </w:rPr>
        <w:t>Resumen:</w:t>
      </w:r>
      <w:r w:rsidR="007B5B5F" w:rsidRPr="00FF6D1B">
        <w:rPr>
          <w:rFonts w:ascii="Times New Roman" w:hAnsi="Times New Roman" w:cs="Times New Roman"/>
          <w:b/>
          <w:bCs/>
          <w:lang w:val="es-AR"/>
        </w:rPr>
        <w:t xml:space="preserve"> </w:t>
      </w:r>
    </w:p>
    <w:p w14:paraId="4F55C643" w14:textId="77777777" w:rsidR="000E1CAA" w:rsidRPr="00C6694E" w:rsidRDefault="000E1CAA" w:rsidP="00DF0DAC">
      <w:pPr>
        <w:spacing w:after="0" w:line="240" w:lineRule="auto"/>
        <w:jc w:val="both"/>
        <w:rPr>
          <w:rFonts w:ascii="Times New Roman" w:eastAsia="Times New Roman" w:hAnsi="Times New Roman" w:cs="Times New Roman"/>
          <w:kern w:val="0"/>
          <w:lang w:val="es-AR" w:eastAsia="es-MX"/>
          <w14:ligatures w14:val="none"/>
        </w:rPr>
      </w:pPr>
      <w:r w:rsidRPr="00C6694E">
        <w:rPr>
          <w:rFonts w:ascii="Times New Roman" w:eastAsia="Times New Roman" w:hAnsi="Times New Roman" w:cs="Times New Roman"/>
          <w:color w:val="000000"/>
          <w:kern w:val="0"/>
          <w:lang w:val="es-AR" w:eastAsia="es-MX"/>
          <w14:ligatures w14:val="none"/>
        </w:rPr>
        <w:t>La presente investigación realiza un análisis integral de la gestión del modelo educativo basado en competencias (EBC) en la educación superior argentina, explorando su fundamentación política y los desafíos prácticos que su implementación supone para la gobernanza institucional. El estudio parte de la premisa de que la adopción de este enfoque no constituye meramente un cambio técnico en los programas de estudio, sino una transformación profunda en la cultura organizacional que redefine la toma de decisiones estratégicas. </w:t>
      </w:r>
    </w:p>
    <w:p w14:paraId="28A3D554" w14:textId="77777777" w:rsidR="000E1CAA" w:rsidRPr="00C6694E" w:rsidRDefault="000E1CAA" w:rsidP="00DF0DAC">
      <w:pPr>
        <w:spacing w:after="0" w:line="240" w:lineRule="auto"/>
        <w:jc w:val="both"/>
        <w:rPr>
          <w:rFonts w:ascii="Times New Roman" w:eastAsia="Times New Roman" w:hAnsi="Times New Roman" w:cs="Times New Roman"/>
          <w:kern w:val="0"/>
          <w:lang w:val="es-AR" w:eastAsia="es-MX"/>
          <w14:ligatures w14:val="none"/>
        </w:rPr>
      </w:pPr>
      <w:r w:rsidRPr="00C6694E">
        <w:rPr>
          <w:rFonts w:ascii="Times New Roman" w:eastAsia="Times New Roman" w:hAnsi="Times New Roman" w:cs="Times New Roman"/>
          <w:color w:val="000000"/>
          <w:kern w:val="0"/>
          <w:lang w:val="es-AR" w:eastAsia="es-MX"/>
          <w14:ligatures w14:val="none"/>
        </w:rPr>
        <w:t>En una primera instancia, el trabajo reconstruye la trayectoria histórica del modelo, rastreando su génesis en el escenario europeo y su posterior traslación hacia las instituciones latinoamericanas. Asimismo, se aborda la tensión existente entre las demandas de eficacia del mercado laboral y los fines humanistas y sociales de la universidad en Argentina. </w:t>
      </w:r>
    </w:p>
    <w:p w14:paraId="303BBAF4" w14:textId="17DBD4D3" w:rsidR="000E1CAA" w:rsidRDefault="000E1CAA" w:rsidP="00DF0DAC">
      <w:pPr>
        <w:spacing w:after="0" w:line="240" w:lineRule="auto"/>
        <w:jc w:val="both"/>
        <w:rPr>
          <w:rFonts w:ascii="Times New Roman" w:eastAsia="Times New Roman" w:hAnsi="Times New Roman" w:cs="Times New Roman"/>
          <w:color w:val="000000"/>
          <w:kern w:val="0"/>
          <w:lang w:val="es-AR" w:eastAsia="es-MX"/>
          <w14:ligatures w14:val="none"/>
        </w:rPr>
      </w:pPr>
      <w:r w:rsidRPr="00C6694E">
        <w:rPr>
          <w:rFonts w:ascii="Times New Roman" w:eastAsia="Times New Roman" w:hAnsi="Times New Roman" w:cs="Times New Roman"/>
          <w:color w:val="000000"/>
          <w:kern w:val="0"/>
          <w:lang w:val="es-AR" w:eastAsia="es-MX"/>
          <w14:ligatures w14:val="none"/>
        </w:rPr>
        <w:t xml:space="preserve">En una segunda etapa, la investigación analiza la realidad nacional a partir de la revisión de experiencias concretas de implementación: desde modelos de gestión integral, como el caso de la Universidad Abierta Interamericana (UAI), hasta implementaciones por campos disciplinares impulsadas por estándares de acreditación externa, como ocurre en las facultades de Ingeniería (CONFEDI) y en la carrera de </w:t>
      </w:r>
      <w:r w:rsidR="00FF6D1B">
        <w:rPr>
          <w:rFonts w:ascii="Times New Roman" w:eastAsia="Times New Roman" w:hAnsi="Times New Roman" w:cs="Times New Roman"/>
          <w:color w:val="000000"/>
          <w:kern w:val="0"/>
          <w:lang w:val="es-AR" w:eastAsia="es-MX"/>
          <w14:ligatures w14:val="none"/>
        </w:rPr>
        <w:t>Medicina</w:t>
      </w:r>
      <w:r w:rsidRPr="00C6694E">
        <w:rPr>
          <w:rFonts w:ascii="Times New Roman" w:eastAsia="Times New Roman" w:hAnsi="Times New Roman" w:cs="Times New Roman"/>
          <w:color w:val="000000"/>
          <w:kern w:val="0"/>
          <w:lang w:val="es-AR" w:eastAsia="es-MX"/>
          <w14:ligatures w14:val="none"/>
        </w:rPr>
        <w:t xml:space="preserve"> de la Universidad Nacional</w:t>
      </w:r>
      <w:r w:rsidR="00FF6D1B">
        <w:rPr>
          <w:rFonts w:ascii="Times New Roman" w:eastAsia="Times New Roman" w:hAnsi="Times New Roman" w:cs="Times New Roman"/>
          <w:color w:val="000000"/>
          <w:kern w:val="0"/>
          <w:lang w:val="es-AR" w:eastAsia="es-MX"/>
          <w14:ligatures w14:val="none"/>
        </w:rPr>
        <w:t xml:space="preserve"> de Cuyo (UNCUYO).  </w:t>
      </w:r>
      <w:r w:rsidRPr="00C6694E">
        <w:rPr>
          <w:rFonts w:ascii="Times New Roman" w:eastAsia="Times New Roman" w:hAnsi="Times New Roman" w:cs="Times New Roman"/>
          <w:color w:val="000000"/>
          <w:kern w:val="0"/>
          <w:lang w:val="es-AR" w:eastAsia="es-MX"/>
          <w14:ligatures w14:val="none"/>
        </w:rPr>
        <w:t xml:space="preserve"> </w:t>
      </w:r>
    </w:p>
    <w:p w14:paraId="0A8C9C53" w14:textId="7E7FE865" w:rsidR="000E1CAA" w:rsidRPr="000E1CAA" w:rsidRDefault="000E1CAA" w:rsidP="00DF0DAC">
      <w:pPr>
        <w:spacing w:line="240" w:lineRule="auto"/>
        <w:jc w:val="both"/>
        <w:rPr>
          <w:rFonts w:ascii="Times New Roman" w:hAnsi="Times New Roman" w:cs="Times New Roman"/>
          <w:b/>
          <w:bCs/>
          <w:lang w:val="es-AR"/>
        </w:rPr>
      </w:pPr>
      <w:r w:rsidRPr="00C6694E">
        <w:rPr>
          <w:rFonts w:ascii="Times New Roman" w:eastAsia="Times New Roman" w:hAnsi="Times New Roman" w:cs="Times New Roman"/>
          <w:color w:val="000000"/>
          <w:kern w:val="0"/>
          <w:lang w:val="es-AR" w:eastAsia="es-MX"/>
          <w14:ligatures w14:val="none"/>
        </w:rPr>
        <w:t>Metodológicamente, se adopta un enfoque cualitativo y documental, enriquecido con entrevistas en profundidad para capturar las percepciones de autoridades y gestores. Se concluye con la necesidad de una gestión académica situada que logre armonizar tendencias pedagógicas internacionales con misiones institucionales propias</w:t>
      </w:r>
    </w:p>
    <w:p w14:paraId="2994BAB3" w14:textId="78AF4237" w:rsidR="00BA642E" w:rsidRPr="000E1CAA" w:rsidRDefault="00BA642E" w:rsidP="00DF0DAC">
      <w:pPr>
        <w:spacing w:line="240" w:lineRule="auto"/>
        <w:jc w:val="both"/>
        <w:rPr>
          <w:rFonts w:ascii="Times New Roman" w:hAnsi="Times New Roman" w:cs="Times New Roman"/>
          <w:b/>
          <w:bCs/>
          <w:lang w:val="es-AR"/>
        </w:rPr>
      </w:pPr>
      <w:r w:rsidRPr="000E1CAA">
        <w:rPr>
          <w:rFonts w:ascii="Times New Roman" w:hAnsi="Times New Roman" w:cs="Times New Roman"/>
          <w:b/>
          <w:bCs/>
          <w:lang w:val="es-AR"/>
        </w:rPr>
        <w:t xml:space="preserve">Palabras clave: </w:t>
      </w:r>
      <w:r w:rsidR="000E1CAA" w:rsidRPr="00C6694E">
        <w:rPr>
          <w:rFonts w:ascii="Times New Roman" w:hAnsi="Times New Roman" w:cs="Times New Roman"/>
          <w:lang w:val="es-AR"/>
        </w:rPr>
        <w:t>Modelo por competencias, Gestión educativa, Gobernanza universitaria, Educación Superior, Transformación institucional</w:t>
      </w:r>
      <w:r w:rsidR="000E1CAA">
        <w:rPr>
          <w:rFonts w:ascii="Times New Roman" w:hAnsi="Times New Roman" w:cs="Times New Roman"/>
          <w:lang w:val="es-AR"/>
        </w:rPr>
        <w:t xml:space="preserve">. </w:t>
      </w:r>
    </w:p>
    <w:p w14:paraId="6A5547A1" w14:textId="6F770675" w:rsidR="00BA642E" w:rsidRPr="00CF4610" w:rsidRDefault="00BA642E" w:rsidP="00CF4610">
      <w:pPr>
        <w:pStyle w:val="Prrafodelista"/>
        <w:numPr>
          <w:ilvl w:val="0"/>
          <w:numId w:val="3"/>
        </w:numPr>
        <w:spacing w:line="240" w:lineRule="auto"/>
        <w:jc w:val="both"/>
        <w:rPr>
          <w:rFonts w:ascii="Times New Roman" w:hAnsi="Times New Roman" w:cs="Times New Roman"/>
          <w:b/>
          <w:bCs/>
          <w:lang w:val="es-AR"/>
        </w:rPr>
      </w:pPr>
      <w:r w:rsidRPr="00CF4610">
        <w:rPr>
          <w:rFonts w:ascii="Times New Roman" w:hAnsi="Times New Roman" w:cs="Times New Roman"/>
          <w:b/>
          <w:bCs/>
          <w:lang w:val="es-AR"/>
        </w:rPr>
        <w:t>Introducción</w:t>
      </w:r>
    </w:p>
    <w:p w14:paraId="49B66DC5" w14:textId="77777777" w:rsidR="00DF0DAC" w:rsidRDefault="00DF0DAC" w:rsidP="00DF0DAC">
      <w:pPr>
        <w:pStyle w:val="NormalWeb"/>
        <w:jc w:val="both"/>
      </w:pPr>
      <w:r>
        <w:t xml:space="preserve">El debate en torno a los modelos de gobernanza y coordinación en la educación superior ha cobrado una vitalidad insoslayable en las últimas décadas, impulsado por la necesidad de adecuar las estructuras institucionales a las transformaciones globales del </w:t>
      </w:r>
      <w:r>
        <w:lastRenderedPageBreak/>
        <w:t>conocimiento y las regulaciones estatales. La adopción del Enfoque Basado en Competencias (EBC) irrumpió en las universidades argentinas, no como una reforma didáctica aislada, sino como una política de reconfiguración estructural que altera los modelos de gestión tradicionales, los procesos de toma de decisiones estratégicas y la distribución del poder dentro de las instituciones.</w:t>
      </w:r>
    </w:p>
    <w:p w14:paraId="538DF5AD" w14:textId="7FC87ED3" w:rsidR="00DF0DAC" w:rsidRDefault="00DF0DAC" w:rsidP="00DF0DAC">
      <w:pPr>
        <w:pStyle w:val="NormalWeb"/>
        <w:jc w:val="both"/>
      </w:pPr>
      <w:r>
        <w:t>Este trabajo sostiene que la implementación del EBC trasciende holgadamente la dimensión técnico-pedagógica de un rediseño curricular; se trata, en su núcleo, de una transformación general y transversal que atraviesa la cultura organizacional de toda la institución, reconfigurando la estructura tradicional y tensionando la coordinación académica frente a las dinámicas de los modelos de gestión histórica. Como bien apunta Guy Haug (2009), estos cambios suponen reformas profundas de paradigma para la enseñanza superior, afectando de manera directa su funcionamiento interior, sus dinámicas organizativas y su postura competitiva.</w:t>
      </w:r>
    </w:p>
    <w:p w14:paraId="0816CE0F" w14:textId="6ECDE1B4" w:rsidR="00DF0DAC" w:rsidRDefault="00DF0DAC" w:rsidP="00DF0DAC">
      <w:pPr>
        <w:pStyle w:val="NormalWeb"/>
        <w:jc w:val="both"/>
      </w:pPr>
      <w:r>
        <w:t>En este sentido, los procesos de reforma y la implementación de un modelo de competencias ponen en juego tensiones constitutivas entre las macro-políticas públicas de evaluación, las estrategias institucionales de gestión y las tradiciones disciplinares que configuran la identidad y las respuestas de los cuerpos académicos (Marquina, 2013).</w:t>
      </w:r>
    </w:p>
    <w:p w14:paraId="6B58AA61" w14:textId="0A6D7355" w:rsidR="009244CB" w:rsidRDefault="009244CB" w:rsidP="00DF0DAC">
      <w:pPr>
        <w:pStyle w:val="NormalWeb"/>
        <w:jc w:val="both"/>
      </w:pPr>
      <w:r w:rsidRPr="009244CB">
        <w:t>Dada la heterogeneidad de este escenario, la investigación adopta una estrategia de abordaje multi-nivel orientada a captar el fenómeno en sus diversas escalas organizacionales: el nivel macro-institucional</w:t>
      </w:r>
      <w:r>
        <w:t>,</w:t>
      </w:r>
      <w:r w:rsidRPr="009244CB">
        <w:t xml:space="preserve"> a través de una estructura universitaria integral (UAI); el nivel meso-organizacional</w:t>
      </w:r>
      <w:r>
        <w:t>,</w:t>
      </w:r>
      <w:r w:rsidRPr="009244CB">
        <w:t xml:space="preserve"> mediante la lógica de un bloque disciplinar en red (CONFEDI); y el nivel micro-curricular analizado de forma situada en una unidad académica específica (Medicina de la UNCUYO).</w:t>
      </w:r>
    </w:p>
    <w:p w14:paraId="030AC9B4" w14:textId="77777777" w:rsidR="00CF4610" w:rsidRDefault="00DF0DAC" w:rsidP="00CF4610">
      <w:pPr>
        <w:pStyle w:val="NormalWeb"/>
        <w:jc w:val="both"/>
      </w:pPr>
      <w:r>
        <w:t>El propósito de esta ponencia es presentar un estado de avance de investigación centrado en analizar cómo se gestiona, tensiona y resignifica este modelo en la realidad cotidiana de las universidades argentinas, evaluando los márgenes de gobernanza real o nominal que los equipos de conducción logran consolidar.</w:t>
      </w:r>
    </w:p>
    <w:p w14:paraId="2FD138AD" w14:textId="735AFCD2" w:rsidR="005F3B2E" w:rsidRPr="00CF4610" w:rsidRDefault="00CF4610" w:rsidP="00CF4610">
      <w:pPr>
        <w:pStyle w:val="NormalWeb"/>
        <w:jc w:val="both"/>
      </w:pPr>
      <w:r>
        <w:t xml:space="preserve">2- </w:t>
      </w:r>
      <w:r w:rsidR="005F3B2E" w:rsidRPr="003948EB">
        <w:rPr>
          <w:b/>
          <w:bCs/>
        </w:rPr>
        <w:t>Desarrollo</w:t>
      </w:r>
    </w:p>
    <w:p w14:paraId="7150F97C" w14:textId="38FFFF37" w:rsidR="000E1CAA" w:rsidRPr="003948EB" w:rsidRDefault="003948EB" w:rsidP="003948EB">
      <w:pPr>
        <w:spacing w:line="240" w:lineRule="auto"/>
        <w:rPr>
          <w:rFonts w:ascii="Times New Roman" w:hAnsi="Times New Roman" w:cs="Times New Roman"/>
          <w:b/>
          <w:bCs/>
          <w:lang w:val="es-AR"/>
        </w:rPr>
      </w:pPr>
      <w:r>
        <w:rPr>
          <w:rFonts w:ascii="Times New Roman" w:hAnsi="Times New Roman" w:cs="Times New Roman"/>
          <w:b/>
          <w:bCs/>
          <w:lang w:val="es-AR"/>
        </w:rPr>
        <w:t xml:space="preserve">2.1 </w:t>
      </w:r>
      <w:r w:rsidR="000E1CAA" w:rsidRPr="003948EB">
        <w:rPr>
          <w:rFonts w:ascii="Times New Roman" w:hAnsi="Times New Roman" w:cs="Times New Roman"/>
          <w:b/>
          <w:bCs/>
          <w:lang w:val="es-AR"/>
        </w:rPr>
        <w:t>Marco conceptual: Competencias, matriz y gobernanza</w:t>
      </w:r>
    </w:p>
    <w:p w14:paraId="4A800A53" w14:textId="7229B37E" w:rsidR="000E1CAA" w:rsidRPr="000E1CAA" w:rsidRDefault="000E1CAA" w:rsidP="000E1CAA">
      <w:pPr>
        <w:spacing w:line="240" w:lineRule="auto"/>
        <w:jc w:val="both"/>
        <w:rPr>
          <w:rFonts w:ascii="Times New Roman" w:hAnsi="Times New Roman" w:cs="Times New Roman"/>
          <w:lang w:val="es-AR"/>
        </w:rPr>
      </w:pPr>
      <w:r w:rsidRPr="000E1CAA">
        <w:rPr>
          <w:rFonts w:ascii="Times New Roman" w:hAnsi="Times New Roman" w:cs="Times New Roman"/>
          <w:lang w:val="es-AR"/>
        </w:rPr>
        <w:t>Para abordar la complejidad de la gestión académica bajo el EBC es preciso establecer precisiones conceptuales sobre tres nociones vertebrales: la competencia, la matriz curricular y la gobernanza universitaria.</w:t>
      </w:r>
    </w:p>
    <w:p w14:paraId="2D18EACB" w14:textId="5DED4B71" w:rsidR="000E1CAA" w:rsidRDefault="000E1CAA" w:rsidP="000E1CAA">
      <w:pPr>
        <w:spacing w:line="240" w:lineRule="auto"/>
        <w:jc w:val="both"/>
        <w:rPr>
          <w:rFonts w:ascii="Times New Roman" w:hAnsi="Times New Roman" w:cs="Times New Roman"/>
          <w:lang w:val="es-AR"/>
        </w:rPr>
      </w:pPr>
      <w:r w:rsidRPr="000E1CAA">
        <w:rPr>
          <w:rFonts w:ascii="Times New Roman" w:hAnsi="Times New Roman" w:cs="Times New Roman"/>
          <w:lang w:val="es-AR"/>
        </w:rPr>
        <w:t xml:space="preserve">En primer lugar, el concepto de competencia ha sido cuantiosamente debatido. Desde la perspectiva del Proyecto Tuning América Latina, Beneitone et al. (2007) definen las competencias como una "combinación dinámica de atributos, en relación con conocimientos, habilidades, actitudes y responsabilidades, que los estudiantes son capaces de demostrar al final del proceso educativo" (p. 37). Esta </w:t>
      </w:r>
      <w:r w:rsidR="00DF0DAC" w:rsidRPr="000E1CAA">
        <w:rPr>
          <w:rFonts w:ascii="Times New Roman" w:hAnsi="Times New Roman" w:cs="Times New Roman"/>
          <w:lang w:val="es-AR"/>
        </w:rPr>
        <w:t>enunciación</w:t>
      </w:r>
      <w:r w:rsidRPr="000E1CAA">
        <w:rPr>
          <w:rFonts w:ascii="Times New Roman" w:hAnsi="Times New Roman" w:cs="Times New Roman"/>
          <w:lang w:val="es-AR"/>
        </w:rPr>
        <w:t xml:space="preserve"> resulta central para la investigación, ya que desplaza el foco de la enseñanza centrada en el </w:t>
      </w:r>
      <w:r w:rsidRPr="000E1CAA">
        <w:rPr>
          <w:rFonts w:ascii="Times New Roman" w:hAnsi="Times New Roman" w:cs="Times New Roman"/>
          <w:lang w:val="es-AR"/>
        </w:rPr>
        <w:lastRenderedPageBreak/>
        <w:t>docente hacia el aprendizaje y la demostración de desempeños por parte del estudiante. En sintonía con esto, autores clásicos como Perrenoud (2004), advierten que una competencia no es la simple aplicación de un saber procedimental, sino la capacidad de movilizar diversos recursos cognitivos para enfrentar situaciones complejas y singulares.</w:t>
      </w:r>
    </w:p>
    <w:p w14:paraId="7155745F" w14:textId="6408A1D0" w:rsidR="00DF0DAC" w:rsidRPr="000E1CAA" w:rsidRDefault="00DF0DAC" w:rsidP="000E1CAA">
      <w:pPr>
        <w:spacing w:line="240" w:lineRule="auto"/>
        <w:jc w:val="both"/>
        <w:rPr>
          <w:rFonts w:ascii="Times New Roman" w:hAnsi="Times New Roman" w:cs="Times New Roman"/>
          <w:lang w:val="es-AR"/>
        </w:rPr>
      </w:pPr>
      <w:r w:rsidRPr="00DF0DAC">
        <w:rPr>
          <w:rFonts w:ascii="Times New Roman" w:hAnsi="Times New Roman" w:cs="Times New Roman"/>
        </w:rPr>
        <w:t>El debate sobre las competencias en la educación superior latinoamericana ha estado marcado por una tensión entre enfoques críticos y perspectivas funcionalistas. Mientras Beneitone et al. (2007) las conciben como una combinación dinámica de atributos que permiten al estudiante enfrentar situaciones complejas, autores como Benavides y Ysunza (2011) advierten que el discurso de las competencias puede convertirse en un dispositivo de control curricular que subordina la formación universitaria a las demandas del mercado.</w:t>
      </w:r>
    </w:p>
    <w:p w14:paraId="2FF44304" w14:textId="77777777" w:rsidR="000E1CAA" w:rsidRPr="000E1CAA" w:rsidRDefault="000E1CAA" w:rsidP="000E1CAA">
      <w:pPr>
        <w:spacing w:line="240" w:lineRule="auto"/>
        <w:jc w:val="both"/>
        <w:rPr>
          <w:rFonts w:ascii="Times New Roman" w:hAnsi="Times New Roman" w:cs="Times New Roman"/>
          <w:lang w:val="es-AR"/>
        </w:rPr>
      </w:pPr>
      <w:r w:rsidRPr="000E1CAA">
        <w:rPr>
          <w:rFonts w:ascii="Times New Roman" w:hAnsi="Times New Roman" w:cs="Times New Roman"/>
          <w:lang w:val="es-AR"/>
        </w:rPr>
        <w:t>En segundo lugar, la operativización de este modelo en la arquitectura institucional requiere de un instrumento técnico-político: la matriz de competencias. Tobón (2010) la concibe como un diseño articulador que traduce el perfil de egreso en ejes de formación, mapeando cómo cada módulo o espacio curricular contribuye al desarrollo gradual de las competencias genéricas y específicas. Lejos de ser una mera grilla administrativa, la matriz visibiliza la transversalidad del currículum y funciona como un verdadero contrato pedagógico institucional.</w:t>
      </w:r>
    </w:p>
    <w:p w14:paraId="420919A5" w14:textId="0DD492D8" w:rsidR="00DF0DAC" w:rsidRPr="000E1CAA" w:rsidRDefault="000E1CAA" w:rsidP="000E1CAA">
      <w:pPr>
        <w:spacing w:line="240" w:lineRule="auto"/>
        <w:jc w:val="both"/>
        <w:rPr>
          <w:rFonts w:ascii="Times New Roman" w:hAnsi="Times New Roman" w:cs="Times New Roman"/>
          <w:lang w:val="es-AR"/>
        </w:rPr>
      </w:pPr>
      <w:r w:rsidRPr="000E1CAA">
        <w:rPr>
          <w:rFonts w:ascii="Times New Roman" w:hAnsi="Times New Roman" w:cs="Times New Roman"/>
          <w:lang w:val="es-AR"/>
        </w:rPr>
        <w:t>Finalmente, la adopción de estas herramientas tensiona inexorablemente la gobernanza de la universidad. Marquina (2012) entiende la gobernanza universitaria como el complejo entramado de estructuras, procesos y dinámicas de poder mediante los cuales las instituciones toman decisiones y orientan su rumbo estratégico. En el contexto argentino, marcado por la autonomía y el cogobierno, establecer un modelo como el EBC requiere mucho más que resoluciones jerárquicas. En este punto, resulta ineludible retomar los aportes de Vain (2015), quien advierte que las políticas académicas no caen en el vacío, sino que se inscriben en culturas institucionales con lógicas e historicidades propias. Así, la gobernanza requerida para el EBC demanda un liderazgo relacional capaz de gestionar las resistencias y generar consensos genuinos entre los actores universitarios, evitando que el cambio quede confinado a una innovación abstracta.</w:t>
      </w:r>
    </w:p>
    <w:p w14:paraId="5D52B529" w14:textId="44D7DFD6" w:rsidR="000E1CAA" w:rsidRPr="000E1CAA" w:rsidRDefault="000E1CAA" w:rsidP="000E1CAA">
      <w:pPr>
        <w:spacing w:line="240" w:lineRule="auto"/>
        <w:jc w:val="both"/>
        <w:rPr>
          <w:rFonts w:ascii="Times New Roman" w:hAnsi="Times New Roman" w:cs="Times New Roman"/>
          <w:b/>
          <w:bCs/>
          <w:lang w:val="es-AR"/>
        </w:rPr>
      </w:pPr>
      <w:r w:rsidRPr="000E1CAA">
        <w:rPr>
          <w:rFonts w:ascii="Times New Roman" w:hAnsi="Times New Roman" w:cs="Times New Roman"/>
          <w:b/>
          <w:bCs/>
          <w:lang w:val="es-AR"/>
        </w:rPr>
        <w:t>2</w:t>
      </w:r>
      <w:r w:rsidR="003948EB">
        <w:rPr>
          <w:rFonts w:ascii="Times New Roman" w:hAnsi="Times New Roman" w:cs="Times New Roman"/>
          <w:b/>
          <w:bCs/>
          <w:lang w:val="es-AR"/>
        </w:rPr>
        <w:t>.2.</w:t>
      </w:r>
      <w:r w:rsidRPr="000E1CAA">
        <w:rPr>
          <w:rFonts w:ascii="Times New Roman" w:hAnsi="Times New Roman" w:cs="Times New Roman"/>
          <w:b/>
          <w:bCs/>
          <w:lang w:val="es-AR"/>
        </w:rPr>
        <w:t xml:space="preserve"> El origen transnacional y los vectores de transferencia regional</w:t>
      </w:r>
    </w:p>
    <w:p w14:paraId="48FCC8A6" w14:textId="77777777" w:rsidR="000E1CAA" w:rsidRPr="000E1CAA" w:rsidRDefault="000E1CAA" w:rsidP="000E1CAA">
      <w:pPr>
        <w:spacing w:line="240" w:lineRule="auto"/>
        <w:jc w:val="both"/>
        <w:rPr>
          <w:rFonts w:ascii="Times New Roman" w:hAnsi="Times New Roman" w:cs="Times New Roman"/>
          <w:lang w:val="es-AR"/>
        </w:rPr>
      </w:pPr>
      <w:r w:rsidRPr="000E1CAA">
        <w:rPr>
          <w:rFonts w:ascii="Times New Roman" w:hAnsi="Times New Roman" w:cs="Times New Roman"/>
          <w:lang w:val="es-AR"/>
        </w:rPr>
        <w:t xml:space="preserve">Para desentrañar la complejidad que encierra la gestión del Enfoque Basado en Competencias (EBC) en el escenario universitario argentino actual, resulta metodológicamente indispensable reconstruir su genealogía histórica y sus canales de transferencia institucional. El surgimiento contemporáneo de este modelo no responde a una evolución endógena de las discusiones pedagógicas locales, sino a una reconfiguración macro-política global de los sistemas de educación superior de finales del siglo XX. El hito fundacional de esta transformación se sitúa en la firma de la Declaración de Bolonia (1999) y la subsecuente institucionalización del Espacio Europeo de Educación Superior (EEES), procesos orientados a la convergencia curricular, la adopción del sistema de créditos transferibles y la homologación internacional de títulos. Como analiza Bruner (2011), estas reformas estructurales constituyen la respuesta organizada de las instituciones académicas ante los desafíos de la denominada sociedad </w:t>
      </w:r>
      <w:r w:rsidRPr="000E1CAA">
        <w:rPr>
          <w:rFonts w:ascii="Times New Roman" w:hAnsi="Times New Roman" w:cs="Times New Roman"/>
          <w:lang w:val="es-AR"/>
        </w:rPr>
        <w:lastRenderedPageBreak/>
        <w:t>del conocimiento y los imperativos de la globalización económica, introduciendo progresivamente lógicas de rendimiento, flexibilidad laboral y rendición de cuentas (</w:t>
      </w:r>
      <w:r w:rsidRPr="000E1CAA">
        <w:rPr>
          <w:rFonts w:ascii="Times New Roman" w:hAnsi="Times New Roman" w:cs="Times New Roman"/>
          <w:i/>
          <w:iCs/>
          <w:lang w:val="es-AR"/>
        </w:rPr>
        <w:t>accountability</w:t>
      </w:r>
      <w:r w:rsidRPr="000E1CAA">
        <w:rPr>
          <w:rFonts w:ascii="Times New Roman" w:hAnsi="Times New Roman" w:cs="Times New Roman"/>
          <w:lang w:val="es-AR"/>
        </w:rPr>
        <w:t xml:space="preserve">) en organizaciones tradicionalmente caracterizadas por su aislamiento burocrático. </w:t>
      </w:r>
    </w:p>
    <w:p w14:paraId="24AA7195" w14:textId="77777777" w:rsidR="000E1CAA" w:rsidRDefault="000E1CAA" w:rsidP="000E1CAA">
      <w:pPr>
        <w:spacing w:line="240" w:lineRule="auto"/>
        <w:jc w:val="both"/>
        <w:rPr>
          <w:rFonts w:ascii="Times New Roman" w:hAnsi="Times New Roman" w:cs="Times New Roman"/>
          <w:lang w:val="es-AR"/>
        </w:rPr>
      </w:pPr>
      <w:r w:rsidRPr="000E1CAA">
        <w:rPr>
          <w:rFonts w:ascii="Times New Roman" w:hAnsi="Times New Roman" w:cs="Times New Roman"/>
          <w:lang w:val="es-AR"/>
        </w:rPr>
        <w:t xml:space="preserve">La llegada de estas directrices al continente latinoamericano no se produjo de forma espontánea, sino a través de dispositivos de cooperación internacional fuertemente estructurados. El principal vector de traducción y difusión de esta matriz conceptual fue el Proyecto Tuning América Latina (2004-2007), una iniciativa que, como explicitan Beneitone et al. (2007), procuró establecer puntos de convergencia y sintonía curricular entre más de un centenar de universidades de la región, tomando como eje la definición de competencias genéricas y específicas. Si bien el discurso oficial de estos proyectos multilaterales enfatizaba el respeto a las diversidades identitarias de cada nación y buscaba distanciarse de las concepciones puramente instrumentalistas o funcionalistas del enfoque anglosajón, la incorporación del léxico de las competencias operó como un potente dinamizador de reformas curriculares uniformadoras. Al respecto, González, Wagenaar y Beneitone (2004) sostenían la necesidad de dotar al modelo de una dimensión de pertinencia social que lo resguardara de las lógicas puramente mercantilistas, instalando una ambivalencia semántica que persistiría a lo largo de todos los procesos de implementación local. </w:t>
      </w:r>
    </w:p>
    <w:p w14:paraId="5018DF00" w14:textId="5D1D2EC2" w:rsidR="00E12A0F" w:rsidRPr="000E1CAA" w:rsidRDefault="00E12A0F" w:rsidP="000E1CAA">
      <w:pPr>
        <w:spacing w:line="240" w:lineRule="auto"/>
        <w:jc w:val="both"/>
        <w:rPr>
          <w:rFonts w:ascii="Times New Roman" w:hAnsi="Times New Roman" w:cs="Times New Roman"/>
          <w:lang w:val="es-AR"/>
        </w:rPr>
      </w:pPr>
      <w:r w:rsidRPr="00E12A0F">
        <w:rPr>
          <w:rFonts w:ascii="Times New Roman" w:hAnsi="Times New Roman" w:cs="Times New Roman"/>
        </w:rPr>
        <w:t>La transferencia del modelo por competencias desde Europa hacia América Latina no fue lineal ni homogénea. En países como Chile y México, el Proyecto Tuning se convirtió en un catalizador de reformas curriculares orientadas a mejorar la movilidad estudiantil y la comparabilidad de títulos (Beneitone et al., 2007). Sin embargo, en Argentina, la recepción estuvo atravesada por una fuerte tradición reformista que defendía la autonomía universitaria frente a las imposiciones externas (Carli, 2018; Bonatti, García &amp; Canan, 2025). Brasil, por su parte, adoptó el enfoque en áreas específicas como la ingeniería y la medicina, pero lo hizo bajo un esquema de adaptación crítica que buscaba preservar la identidad nacional de sus programas y reforzar la responsabilidad social vinculada al Sistema Único de Saúde (Ministério da Educação, 2014; Conselho Nacional de Educação, 2025). Este contraste regional permite comprender que la genealogía del EBC en Argentina no puede ser leída como una mera importación, sino como un proceso de traducción cultural que combina aceptación formal y resistencia práctica.</w:t>
      </w:r>
    </w:p>
    <w:p w14:paraId="39D41C79" w14:textId="671CF052" w:rsidR="000E1CAA" w:rsidRPr="000E1CAA" w:rsidRDefault="000E1CAA" w:rsidP="000E1CAA">
      <w:pPr>
        <w:spacing w:line="240" w:lineRule="auto"/>
        <w:jc w:val="both"/>
        <w:rPr>
          <w:rFonts w:ascii="Times New Roman" w:hAnsi="Times New Roman" w:cs="Times New Roman"/>
          <w:b/>
          <w:bCs/>
          <w:lang w:val="es-AR"/>
        </w:rPr>
      </w:pPr>
      <w:r w:rsidRPr="000E1CAA">
        <w:rPr>
          <w:rFonts w:ascii="Times New Roman" w:hAnsi="Times New Roman" w:cs="Times New Roman"/>
          <w:b/>
          <w:bCs/>
          <w:lang w:val="es-AR"/>
        </w:rPr>
        <w:t>2..</w:t>
      </w:r>
      <w:r w:rsidR="003948EB">
        <w:rPr>
          <w:rFonts w:ascii="Times New Roman" w:hAnsi="Times New Roman" w:cs="Times New Roman"/>
          <w:b/>
          <w:bCs/>
          <w:lang w:val="es-AR"/>
        </w:rPr>
        <w:t>3</w:t>
      </w:r>
      <w:r w:rsidRPr="000E1CAA">
        <w:rPr>
          <w:rFonts w:ascii="Times New Roman" w:hAnsi="Times New Roman" w:cs="Times New Roman"/>
          <w:b/>
          <w:bCs/>
          <w:lang w:val="es-AR"/>
        </w:rPr>
        <w:t xml:space="preserve"> La emergencia del Estado evaluador y la regulación de la calidad</w:t>
      </w:r>
    </w:p>
    <w:p w14:paraId="19552267" w14:textId="77777777" w:rsidR="000E1CAA" w:rsidRPr="000E1CAA" w:rsidRDefault="000E1CAA" w:rsidP="000E1CAA">
      <w:pPr>
        <w:spacing w:line="240" w:lineRule="auto"/>
        <w:jc w:val="both"/>
        <w:rPr>
          <w:rFonts w:ascii="Times New Roman" w:hAnsi="Times New Roman" w:cs="Times New Roman"/>
          <w:lang w:val="es-AR"/>
        </w:rPr>
      </w:pPr>
      <w:r w:rsidRPr="000E1CAA">
        <w:rPr>
          <w:rFonts w:ascii="Times New Roman" w:hAnsi="Times New Roman" w:cs="Times New Roman"/>
          <w:lang w:val="es-AR"/>
        </w:rPr>
        <w:t xml:space="preserve">En el contexto de la educación superior argentina, la difusión e incorporación del modelo por competencias encontró un canal de legitimación y obligatoriedad a través de la consolidación de los nuevos mecanismos de regulación y aseguramiento de la calidad implementados a partir de la década de 1990. Como señala Fernández Lamarra (2012), la creación de organismos de acreditación y la sanción de marcos normativos estructurales, como la Ley de Educación Superior N° 24.521, transformaron sustantivamente el modo de coordinación de las universidades, transitando de un modelo de supervisión burocrática tradicional a la configuración de un Estado evaluador que utiliza el control de la calidad como principal herramienta de gobernanza del sector. La acreditación periódica de carreras de interés público se convirtió en el dispositivo técnico mediante el cual el </w:t>
      </w:r>
      <w:r w:rsidRPr="000E1CAA">
        <w:rPr>
          <w:rFonts w:ascii="Times New Roman" w:hAnsi="Times New Roman" w:cs="Times New Roman"/>
          <w:lang w:val="es-AR"/>
        </w:rPr>
        <w:lastRenderedPageBreak/>
        <w:t xml:space="preserve">Estado comenzó a inducir reformas en los planes de estudio, empujando a las instituciones hacia la adopción del enfoque por competencias como un requisito indispensable para obtener el reconocimiento oficial de sus titulaciones. </w:t>
      </w:r>
    </w:p>
    <w:p w14:paraId="57A1E648" w14:textId="4C0A5E6C" w:rsidR="00FD0630" w:rsidRPr="000E1CAA" w:rsidRDefault="000E1CAA" w:rsidP="000E1CAA">
      <w:pPr>
        <w:spacing w:line="240" w:lineRule="auto"/>
        <w:jc w:val="both"/>
        <w:rPr>
          <w:rFonts w:ascii="Times New Roman" w:hAnsi="Times New Roman" w:cs="Times New Roman"/>
          <w:lang w:val="es-AR"/>
        </w:rPr>
      </w:pPr>
      <w:r w:rsidRPr="000E1CAA">
        <w:rPr>
          <w:rFonts w:ascii="Times New Roman" w:hAnsi="Times New Roman" w:cs="Times New Roman"/>
          <w:lang w:val="es-AR"/>
        </w:rPr>
        <w:t xml:space="preserve">Esta dinámica de reforma inducida externamente se encuentra ligada a las políticas de asignación de recursos y financiamiento público. De acuerdo con los análisis de García de Fanelli (2015), los procesos de diversificación institucional y las restricciones presupuestarias han llevado al Estado a articular los mecanismos de evaluación de la calidad regulada con incentivos financieros condicionados. De este modo, las universidades no modifican sus estructuras curriculares y modelos de gestión únicamente por una convicción epistemológica o una demanda pedagógica interna, sino como parte de una estrategia adaptativa de supervivencia y legitimación institucional ante los estándares fijados por la Comisión Nacional de Evaluación y Acreditación Universitaria (CONEAU). La gestión universitaria queda, por lo tanto, atrapada en una tensión estructural: debe adoptar lenguajes y formatos organizacionales estandarizados a nivel global para asegurar el flujo de recursos y el estatus legal, mientras intenta preservar las bases identitarias y la especificidad de sus misiones históricas locales. </w:t>
      </w:r>
    </w:p>
    <w:p w14:paraId="41789FEB" w14:textId="12E80793" w:rsidR="000E1CAA" w:rsidRPr="000E1CAA" w:rsidRDefault="000E1CAA" w:rsidP="000E1CAA">
      <w:pPr>
        <w:spacing w:line="240" w:lineRule="auto"/>
        <w:jc w:val="both"/>
        <w:rPr>
          <w:rFonts w:ascii="Times New Roman" w:hAnsi="Times New Roman" w:cs="Times New Roman"/>
          <w:b/>
          <w:bCs/>
          <w:lang w:val="es-AR"/>
        </w:rPr>
      </w:pPr>
      <w:r w:rsidRPr="000E1CAA">
        <w:rPr>
          <w:rFonts w:ascii="Times New Roman" w:hAnsi="Times New Roman" w:cs="Times New Roman"/>
          <w:b/>
          <w:bCs/>
          <w:lang w:val="es-AR"/>
        </w:rPr>
        <w:t>2</w:t>
      </w:r>
      <w:r w:rsidR="003948EB">
        <w:rPr>
          <w:rFonts w:ascii="Times New Roman" w:hAnsi="Times New Roman" w:cs="Times New Roman"/>
          <w:b/>
          <w:bCs/>
          <w:lang w:val="es-AR"/>
        </w:rPr>
        <w:t>.4</w:t>
      </w:r>
      <w:r w:rsidRPr="000E1CAA">
        <w:rPr>
          <w:rFonts w:ascii="Times New Roman" w:hAnsi="Times New Roman" w:cs="Times New Roman"/>
          <w:b/>
          <w:bCs/>
          <w:lang w:val="es-AR"/>
        </w:rPr>
        <w:t xml:space="preserve"> La asimilación crítica y las tensiones en la profesión académica</w:t>
      </w:r>
    </w:p>
    <w:p w14:paraId="4B9BD40F" w14:textId="77777777" w:rsidR="000E1CAA" w:rsidRPr="000E1CAA" w:rsidRDefault="000E1CAA" w:rsidP="000E1CAA">
      <w:pPr>
        <w:spacing w:line="240" w:lineRule="auto"/>
        <w:jc w:val="both"/>
        <w:rPr>
          <w:rFonts w:ascii="Times New Roman" w:hAnsi="Times New Roman" w:cs="Times New Roman"/>
          <w:lang w:val="es-AR"/>
        </w:rPr>
      </w:pPr>
      <w:r w:rsidRPr="000E1CAA">
        <w:rPr>
          <w:rFonts w:ascii="Times New Roman" w:hAnsi="Times New Roman" w:cs="Times New Roman"/>
          <w:lang w:val="es-AR"/>
        </w:rPr>
        <w:t xml:space="preserve">La inserción del EBC en el ecosistema universitario argentino —caracterizado por su fuerte tradición reformista, la vigencia del cogobierno y la defensa irrestricta de la autonomía— ha desatado intensas disputas políticas e institucionales que exceden largamente la discusión técnica sobre el diseño de programas. Lejos de ser aceptadas de manera pasiva, las políticas promovidas por el Estado evaluador sufren un proceso que Marquina (2018) conceptualiza como asimilación crítica. Las comunidades académicas de las universidades nacionales y privadas ensayan diversas formas de traducción, hibridación y, en muchos casos, resistencia abierta frente a unos estándares que son percibidos como una imposición externa orientada a flexibilizar y precarizar el trabajo intelectual. Marquina (2012) demuestra que las reformas curriculares que alteran los modos de organizar el conocimiento impactan de forma directa en las estructuras de la profesión académica, modificando la autonomía del profesor sobre su cátedra y obligándolo a subordinar su práctica a matrices de evaluación exógenas. </w:t>
      </w:r>
    </w:p>
    <w:p w14:paraId="16681658" w14:textId="77777777" w:rsidR="000E1CAA" w:rsidRDefault="000E1CAA" w:rsidP="000E1CAA">
      <w:pPr>
        <w:spacing w:line="240" w:lineRule="auto"/>
        <w:jc w:val="both"/>
        <w:rPr>
          <w:rFonts w:ascii="Times New Roman" w:hAnsi="Times New Roman" w:cs="Times New Roman"/>
          <w:lang w:val="es-AR"/>
        </w:rPr>
      </w:pPr>
      <w:r w:rsidRPr="000E1CAA">
        <w:rPr>
          <w:rFonts w:ascii="Times New Roman" w:hAnsi="Times New Roman" w:cs="Times New Roman"/>
          <w:lang w:val="es-AR"/>
        </w:rPr>
        <w:t xml:space="preserve">El núcleo de la tensión organizativa en la gestión del modelo radica en la fricción insoslayable entre dos lógicas contrapuestas: por un lado, la racionalidad técnica y eficientista impulsada por las lógicas del mercado laboral, que demanda una formación flexible orientada a resultados mensurables de empleabilidad; y por el otro, la tradición humanista, crítica y social consustancial a la identidad universitaria argentina. </w:t>
      </w:r>
    </w:p>
    <w:p w14:paraId="257960BA" w14:textId="77777777" w:rsidR="000E1CAA" w:rsidRDefault="000E1CAA" w:rsidP="000E1CAA">
      <w:pPr>
        <w:spacing w:line="240" w:lineRule="auto"/>
        <w:jc w:val="both"/>
        <w:rPr>
          <w:rFonts w:ascii="Times New Roman" w:hAnsi="Times New Roman" w:cs="Times New Roman"/>
          <w:lang w:val="es-AR"/>
        </w:rPr>
      </w:pPr>
      <w:r w:rsidRPr="000E1CAA">
        <w:rPr>
          <w:rFonts w:ascii="Times New Roman" w:hAnsi="Times New Roman" w:cs="Times New Roman"/>
          <w:lang w:val="es-AR"/>
        </w:rPr>
        <w:t xml:space="preserve">Díaz Barriga (2011) analiza pormenorizado esta encrucijada y la define como una tensión pedagógica y administrativa de carácter estructural. Las instituciones y sus gestores se ven forzados a incorporar una semántica empresarial y un control burocrático de las trayectorias estudiantiles que muchas veces colisiona con las culturas disciplinares preexistentes. </w:t>
      </w:r>
    </w:p>
    <w:p w14:paraId="34232D8C" w14:textId="322DE365" w:rsidR="000E1CAA" w:rsidRDefault="000E1CAA" w:rsidP="000E1CAA">
      <w:pPr>
        <w:spacing w:line="240" w:lineRule="auto"/>
        <w:jc w:val="both"/>
        <w:rPr>
          <w:rFonts w:ascii="Times New Roman" w:hAnsi="Times New Roman" w:cs="Times New Roman"/>
          <w:lang w:val="es-AR"/>
        </w:rPr>
      </w:pPr>
      <w:r w:rsidRPr="000E1CAA">
        <w:rPr>
          <w:rFonts w:ascii="Times New Roman" w:hAnsi="Times New Roman" w:cs="Times New Roman"/>
          <w:lang w:val="es-AR"/>
        </w:rPr>
        <w:t xml:space="preserve">Como advierte Zabalza (2012), cuando una reforma curricular carece de una base de legitimidad interna y se gestiona mediante una presión puramente prescriptiva o </w:t>
      </w:r>
      <w:r w:rsidRPr="000E1CAA">
        <w:rPr>
          <w:rFonts w:ascii="Times New Roman" w:hAnsi="Times New Roman" w:cs="Times New Roman"/>
          <w:lang w:val="es-AR"/>
        </w:rPr>
        <w:lastRenderedPageBreak/>
        <w:t>normativa, los actores organizacionales tienden a ensayar respuestas adaptativas de carácter ritualista. Las instituciones modifican formalmente las denominaciones de las asignaturas y redactan los programas analíticos utilizando el léxico de las competencias para complacer las demandas de las agencias evaluadoras, pero mantienen inalteradas las estructuras de poder tradicionales y las prácticas reales de transmisión y evaluación dentro de las aulas.</w:t>
      </w:r>
    </w:p>
    <w:p w14:paraId="66A6EEFD" w14:textId="77777777" w:rsidR="00CF4610" w:rsidRPr="000E1CAA" w:rsidRDefault="00CF4610" w:rsidP="000E1CAA">
      <w:pPr>
        <w:spacing w:line="240" w:lineRule="auto"/>
        <w:jc w:val="both"/>
        <w:rPr>
          <w:rFonts w:ascii="Times New Roman" w:hAnsi="Times New Roman" w:cs="Times New Roman"/>
          <w:lang w:val="es-AR"/>
        </w:rPr>
      </w:pPr>
    </w:p>
    <w:p w14:paraId="77EBF03F" w14:textId="3444C2ED" w:rsidR="000E1CAA" w:rsidRPr="00B222A2" w:rsidRDefault="000E1CAA" w:rsidP="000E1CAA">
      <w:pPr>
        <w:spacing w:line="240" w:lineRule="auto"/>
        <w:jc w:val="both"/>
        <w:rPr>
          <w:rFonts w:ascii="Times New Roman" w:hAnsi="Times New Roman" w:cs="Times New Roman"/>
          <w:b/>
          <w:bCs/>
          <w:lang w:val="es-AR"/>
        </w:rPr>
      </w:pPr>
      <w:r w:rsidRPr="000E1CAA">
        <w:rPr>
          <w:rFonts w:ascii="Times New Roman" w:hAnsi="Times New Roman" w:cs="Times New Roman"/>
          <w:b/>
          <w:bCs/>
          <w:lang w:val="es-AR"/>
        </w:rPr>
        <w:t>3. Metodología</w:t>
      </w:r>
    </w:p>
    <w:p w14:paraId="0FAAFC7C" w14:textId="77777777" w:rsidR="000458E8" w:rsidRDefault="000458E8" w:rsidP="000E1CAA">
      <w:pPr>
        <w:spacing w:line="240" w:lineRule="auto"/>
        <w:jc w:val="both"/>
        <w:rPr>
          <w:rFonts w:ascii="Times New Roman" w:hAnsi="Times New Roman" w:cs="Times New Roman"/>
        </w:rPr>
      </w:pPr>
      <w:r w:rsidRPr="000458E8">
        <w:rPr>
          <w:rFonts w:ascii="Times New Roman" w:hAnsi="Times New Roman" w:cs="Times New Roman"/>
        </w:rPr>
        <w:t xml:space="preserve">El diseño metodológico de la investigación doctoral que enmarca este trabajo adopta un enfoque cualitativo con alcance descriptivo-analítico, orientado a comprender y reconstruir los procesos de gestión institucional a partir de los significados, percepciones y prácticas de sus propios actores educativos. </w:t>
      </w:r>
    </w:p>
    <w:p w14:paraId="5A59EE68" w14:textId="77777777" w:rsidR="000458E8" w:rsidRDefault="000458E8" w:rsidP="000E1CAA">
      <w:pPr>
        <w:spacing w:line="240" w:lineRule="auto"/>
        <w:jc w:val="both"/>
        <w:rPr>
          <w:rFonts w:ascii="Times New Roman" w:hAnsi="Times New Roman" w:cs="Times New Roman"/>
        </w:rPr>
      </w:pPr>
      <w:r w:rsidRPr="000458E8">
        <w:rPr>
          <w:rFonts w:ascii="Times New Roman" w:hAnsi="Times New Roman" w:cs="Times New Roman"/>
        </w:rPr>
        <w:t xml:space="preserve">El estudio de las políticas de educación superior y sus dinámicas de gobernanza exige el abandono de las perspectivas lineales o puramente prescriptivas, procurando en su lugar desentrañar el modo en que las normativas abstractas emanadas del Estado son interpretadas e hibridadas en la cotidianeidad de las organizaciones. </w:t>
      </w:r>
    </w:p>
    <w:p w14:paraId="65DD2894" w14:textId="00731785" w:rsidR="000458E8" w:rsidRDefault="000458E8" w:rsidP="000E1CAA">
      <w:pPr>
        <w:spacing w:line="240" w:lineRule="auto"/>
        <w:jc w:val="both"/>
        <w:rPr>
          <w:rFonts w:ascii="Times New Roman" w:hAnsi="Times New Roman" w:cs="Times New Roman"/>
        </w:rPr>
      </w:pPr>
      <w:r w:rsidRPr="000458E8">
        <w:rPr>
          <w:rFonts w:ascii="Times New Roman" w:hAnsi="Times New Roman" w:cs="Times New Roman"/>
        </w:rPr>
        <w:t>Para garantizar la rigurosidad científica y la validez de los hallazgos, la arquitectura metodológica se apoya en las directrices epistemológicas de Piovani (2018) respecto a la investigación social. Desde esta perspectiva, el método no es conceptualizado como una receta técnica o una secuencia rígida de pasos burocráticos, sino como una estrategia reflexiva de producción de conocimiento que asume la complejidad inherente al objeto de estudio.</w:t>
      </w:r>
    </w:p>
    <w:p w14:paraId="2AD563AF" w14:textId="77777777" w:rsidR="000458E8" w:rsidRDefault="000458E8" w:rsidP="000E1CAA">
      <w:pPr>
        <w:spacing w:line="240" w:lineRule="auto"/>
        <w:jc w:val="both"/>
        <w:rPr>
          <w:rFonts w:ascii="Times New Roman" w:hAnsi="Times New Roman" w:cs="Times New Roman"/>
        </w:rPr>
      </w:pPr>
      <w:r w:rsidRPr="000458E8">
        <w:rPr>
          <w:rFonts w:ascii="Times New Roman" w:hAnsi="Times New Roman" w:cs="Times New Roman"/>
        </w:rPr>
        <w:t xml:space="preserve">La adopción de la estrategia cualitativa resulta idónea para este objeto en tanto permite acceder a la dimensión micropolítica de la gestión universitaria, visibilizando las lógicas de acción de las autoridades y directores de carrera que actúan como mediadores institucionales. El tratamiento del dato en la investigación cualitativa no busca la generalización estadística de los resultados, sino la transferibilidad analítica y la densificación conceptual de los fenómenos observados (Piovani, 2018). </w:t>
      </w:r>
    </w:p>
    <w:p w14:paraId="7812EF2C" w14:textId="129B9DB1" w:rsidR="000458E8" w:rsidRPr="00DE24DD" w:rsidRDefault="000458E8" w:rsidP="000E1CAA">
      <w:pPr>
        <w:spacing w:line="240" w:lineRule="auto"/>
        <w:jc w:val="both"/>
        <w:rPr>
          <w:rFonts w:ascii="Times New Roman" w:hAnsi="Times New Roman" w:cs="Times New Roman"/>
          <w:b/>
          <w:bCs/>
        </w:rPr>
      </w:pPr>
      <w:r w:rsidRPr="00DE24DD">
        <w:rPr>
          <w:rFonts w:ascii="Times New Roman" w:hAnsi="Times New Roman" w:cs="Times New Roman"/>
          <w:b/>
          <w:bCs/>
        </w:rPr>
        <w:t>3.1Estructura del dispositivo de investigación y selección del corpus</w:t>
      </w:r>
    </w:p>
    <w:p w14:paraId="123E3A91" w14:textId="77777777" w:rsidR="00707273" w:rsidRDefault="00A04BCD" w:rsidP="00A04BCD">
      <w:pPr>
        <w:spacing w:line="240" w:lineRule="auto"/>
        <w:jc w:val="both"/>
        <w:rPr>
          <w:rFonts w:ascii="Times New Roman" w:hAnsi="Times New Roman" w:cs="Times New Roman"/>
          <w:lang w:val="es-AR"/>
        </w:rPr>
      </w:pPr>
      <w:r w:rsidRPr="00A04BCD">
        <w:rPr>
          <w:rFonts w:ascii="Times New Roman" w:hAnsi="Times New Roman" w:cs="Times New Roman"/>
          <w:lang w:val="es-AR"/>
        </w:rPr>
        <w:t xml:space="preserve">El dispositivo de investigación se despliega a partir de dos dimensiones analíticas complementarias que guían la recolección y el tratamiento de la información: el análisis de carácter documental y el trabajo de campo empírico. </w:t>
      </w:r>
    </w:p>
    <w:p w14:paraId="7F09D967" w14:textId="7C02CB4D" w:rsidR="00A04BCD" w:rsidRPr="00A04BCD" w:rsidRDefault="00A04BCD" w:rsidP="00A04BCD">
      <w:pPr>
        <w:spacing w:line="240" w:lineRule="auto"/>
        <w:jc w:val="both"/>
        <w:rPr>
          <w:rFonts w:ascii="Times New Roman" w:hAnsi="Times New Roman" w:cs="Times New Roman"/>
          <w:lang w:val="es-AR"/>
        </w:rPr>
      </w:pPr>
      <w:r w:rsidRPr="00A04BCD">
        <w:rPr>
          <w:rFonts w:ascii="Times New Roman" w:hAnsi="Times New Roman" w:cs="Times New Roman"/>
          <w:lang w:val="es-AR"/>
        </w:rPr>
        <w:t xml:space="preserve">La primera dimensión contempla una revisión del currículum formal y de las reglas de juego instituidas que configuran la estructura formal de las titulaciones en el país. Este corpus documental está integrado por normativas nacionales —tales como la Ley de Educación Superior N.° 24.521 y las resoluciones ministeriales regulatorias—, estándares específicos fijados por los comités de decanos, y resoluciones internas, actas de consejo superior y planes de estudio de las instituciones seleccionadas. Esta revisión documental permite cartografiar el marco regulatorio y las demandas político-institucionales ante las cuales las universidades deben ensayar sus respuestas organizacionales (Marquina, 2013). </w:t>
      </w:r>
    </w:p>
    <w:p w14:paraId="4385B9F1" w14:textId="0B32E321" w:rsidR="00707273" w:rsidRDefault="00A04BCD" w:rsidP="00707273">
      <w:pPr>
        <w:spacing w:line="240" w:lineRule="auto"/>
        <w:jc w:val="both"/>
        <w:rPr>
          <w:rFonts w:ascii="Times New Roman" w:hAnsi="Times New Roman" w:cs="Times New Roman"/>
          <w:lang w:val="es-AR"/>
        </w:rPr>
      </w:pPr>
      <w:r w:rsidRPr="00A04BCD">
        <w:rPr>
          <w:rFonts w:ascii="Times New Roman" w:hAnsi="Times New Roman" w:cs="Times New Roman"/>
          <w:lang w:val="es-AR"/>
        </w:rPr>
        <w:lastRenderedPageBreak/>
        <w:t xml:space="preserve">La segunda dimensión incorpora un componente empírico basado en el trabajo de campo, cuyo propósito es recuperar las subjetividades, percepciones y estrategias micropolíticas que despliegan los gestores educativos frente a las resistencias y desafíos del modelo. Para ello, se diseñó e implementó un protocolo de entrevistas en profundidad de carácter semiestructurado aplicadas a autoridades académicas, secretarios de bloque, directores de carrera y asesores curriculares encargados de coordinar operativamente la transición hacia el EBC. </w:t>
      </w:r>
      <w:r w:rsidR="00707273">
        <w:rPr>
          <w:rFonts w:ascii="Times New Roman" w:hAnsi="Times New Roman" w:cs="Times New Roman"/>
          <w:lang w:val="es-AR"/>
        </w:rPr>
        <w:t xml:space="preserve">Las </w:t>
      </w:r>
      <w:r w:rsidR="00707273" w:rsidRPr="000458E8">
        <w:rPr>
          <w:rFonts w:ascii="Times New Roman" w:hAnsi="Times New Roman" w:cs="Times New Roman"/>
          <w:lang w:val="es-AR"/>
        </w:rPr>
        <w:t>entrevistas en profundidad a autoridades académicas y gestores</w:t>
      </w:r>
      <w:r w:rsidR="00707273">
        <w:rPr>
          <w:rFonts w:ascii="Times New Roman" w:hAnsi="Times New Roman" w:cs="Times New Roman"/>
          <w:lang w:val="es-AR"/>
        </w:rPr>
        <w:t xml:space="preserve"> tienen como</w:t>
      </w:r>
      <w:r w:rsidR="00707273" w:rsidRPr="000458E8">
        <w:rPr>
          <w:rFonts w:ascii="Times New Roman" w:hAnsi="Times New Roman" w:cs="Times New Roman"/>
          <w:lang w:val="es-AR"/>
        </w:rPr>
        <w:t xml:space="preserve"> objetivo recuperar la dimensión subjetiva de la gestión educativa</w:t>
      </w:r>
      <w:r w:rsidR="00707273">
        <w:rPr>
          <w:rFonts w:ascii="Times New Roman" w:hAnsi="Times New Roman" w:cs="Times New Roman"/>
          <w:lang w:val="es-AR"/>
        </w:rPr>
        <w:t xml:space="preserve">. </w:t>
      </w:r>
      <w:r w:rsidR="00707273" w:rsidRPr="000458E8">
        <w:rPr>
          <w:rFonts w:ascii="Times New Roman" w:hAnsi="Times New Roman" w:cs="Times New Roman"/>
        </w:rPr>
        <w:t>De este modo, la rigurosidad metodológica se resguarda mediante un ejercicio constante de reflexividad por parte de la investigadora y a través de un proceso de triangulación que articula de manera dialéctica la revisión documental con el análisis de los testimonios de los actores clave, permitiendo contrastar el plano del currículum formal con las dinámicas efectivas de la gestión real en los territorios universitarios.</w:t>
      </w:r>
    </w:p>
    <w:p w14:paraId="1EB29187" w14:textId="7073994B" w:rsidR="00707273" w:rsidRDefault="00707273" w:rsidP="000E1CAA">
      <w:pPr>
        <w:spacing w:line="240" w:lineRule="auto"/>
        <w:jc w:val="both"/>
        <w:rPr>
          <w:rFonts w:ascii="Times New Roman" w:hAnsi="Times New Roman" w:cs="Times New Roman"/>
          <w:lang w:val="es-AR"/>
        </w:rPr>
      </w:pPr>
      <w:r w:rsidRPr="00A04BCD">
        <w:rPr>
          <w:rFonts w:ascii="Times New Roman" w:hAnsi="Times New Roman" w:cs="Times New Roman"/>
          <w:lang w:val="es-AR"/>
        </w:rPr>
        <w:t>Siguiendo las directrices metodológicas de Piovani (2018) para el muestreo intencional en investigación cualitativa, la selección de los casos y de los informantes respondió a criterios de relevancia teórica, accesibilidad institucional y saturación analítica, garantizando que los actores seleccionados posean una experiencia directa en la toma de decisiones estratégicas ligadas a los procesos de reforma.</w:t>
      </w:r>
    </w:p>
    <w:p w14:paraId="3D5E1B6A" w14:textId="08AB2D2D" w:rsidR="00DE24DD" w:rsidRPr="00FD3D61" w:rsidRDefault="00004830" w:rsidP="000E1CAA">
      <w:pPr>
        <w:spacing w:line="240" w:lineRule="auto"/>
        <w:jc w:val="both"/>
        <w:rPr>
          <w:rFonts w:ascii="Times New Roman" w:hAnsi="Times New Roman" w:cs="Times New Roman"/>
          <w:b/>
          <w:bCs/>
        </w:rPr>
      </w:pPr>
      <w:r w:rsidRPr="00FD3D61">
        <w:rPr>
          <w:rFonts w:ascii="Times New Roman" w:hAnsi="Times New Roman" w:cs="Times New Roman"/>
          <w:b/>
          <w:bCs/>
        </w:rPr>
        <w:t>3.2 Justificación y pertinencia del estudio de casos múltiples</w:t>
      </w:r>
    </w:p>
    <w:p w14:paraId="201F182E" w14:textId="77777777" w:rsidR="00B95A36" w:rsidRDefault="00FD3D61" w:rsidP="00FD3D61">
      <w:pPr>
        <w:spacing w:line="240" w:lineRule="auto"/>
        <w:jc w:val="both"/>
        <w:rPr>
          <w:rFonts w:ascii="Times New Roman" w:hAnsi="Times New Roman" w:cs="Times New Roman"/>
          <w:lang w:val="es-AR"/>
        </w:rPr>
      </w:pPr>
      <w:r w:rsidRPr="00FD3D61">
        <w:rPr>
          <w:rFonts w:ascii="Times New Roman" w:hAnsi="Times New Roman" w:cs="Times New Roman"/>
          <w:lang w:val="es-AR"/>
        </w:rPr>
        <w:t>La estrategia de investigación se asienta en un diseño de estudio de casos múltiples, alternativa metodológica que permite examinar de forma profunda, comparativa y situada un fenómeno contemporáneo dentro de sus límites reales, reconociendo que las trayectorias de implementación del EBC dependen de las identidades institucionales particulares.</w:t>
      </w:r>
    </w:p>
    <w:p w14:paraId="0AC5A1DE" w14:textId="77777777" w:rsidR="00B3219C" w:rsidRDefault="00B95A36" w:rsidP="00FD3D61">
      <w:pPr>
        <w:spacing w:line="240" w:lineRule="auto"/>
        <w:jc w:val="both"/>
        <w:rPr>
          <w:rFonts w:ascii="Times New Roman" w:hAnsi="Times New Roman" w:cs="Times New Roman"/>
        </w:rPr>
      </w:pPr>
      <w:r w:rsidRPr="00B95A36">
        <w:rPr>
          <w:rFonts w:ascii="Times New Roman" w:hAnsi="Times New Roman" w:cs="Times New Roman"/>
        </w:rPr>
        <w:t xml:space="preserve">La investigación detecta que la implementación del modelo por competencias en el país es sumamente heterogénea, lo que plantea un complejo escenario para evaluar la existencia de una gobernanza real y de fondo o, por el contrario, una adopción puramente formal, cosmética y burocrática. </w:t>
      </w:r>
    </w:p>
    <w:p w14:paraId="51884E7E" w14:textId="092FA6B1" w:rsidR="00B95A36" w:rsidRPr="00B3219C" w:rsidRDefault="00B95A36" w:rsidP="00FD3D61">
      <w:pPr>
        <w:spacing w:line="240" w:lineRule="auto"/>
        <w:jc w:val="both"/>
        <w:rPr>
          <w:rFonts w:ascii="Times New Roman" w:hAnsi="Times New Roman" w:cs="Times New Roman"/>
        </w:rPr>
      </w:pPr>
      <w:r w:rsidRPr="00B95A36">
        <w:rPr>
          <w:rFonts w:ascii="Times New Roman" w:hAnsi="Times New Roman" w:cs="Times New Roman"/>
        </w:rPr>
        <w:t xml:space="preserve">La gobernanza real se entiende en este trabajo como la capacidad institucional de modificar sustantivamente la cultura organizativa, los sistemas de asignación de recursos, los dispositivos de evaluación y las prácticas áulicas cotidianas, logrando una apropiación del modelo </w:t>
      </w:r>
      <w:r w:rsidR="00B3219C">
        <w:rPr>
          <w:rFonts w:ascii="Times New Roman" w:hAnsi="Times New Roman" w:cs="Times New Roman"/>
        </w:rPr>
        <w:t>a través</w:t>
      </w:r>
      <w:r w:rsidRPr="00B95A36">
        <w:rPr>
          <w:rFonts w:ascii="Times New Roman" w:hAnsi="Times New Roman" w:cs="Times New Roman"/>
        </w:rPr>
        <w:t xml:space="preserve"> de las comunidades académicas. Por </w:t>
      </w:r>
      <w:r w:rsidR="00B3219C">
        <w:rPr>
          <w:rFonts w:ascii="Times New Roman" w:hAnsi="Times New Roman" w:cs="Times New Roman"/>
        </w:rPr>
        <w:t>otro lado</w:t>
      </w:r>
      <w:r w:rsidRPr="00B95A36">
        <w:rPr>
          <w:rFonts w:ascii="Times New Roman" w:hAnsi="Times New Roman" w:cs="Times New Roman"/>
        </w:rPr>
        <w:t>, la gobernanza nominal</w:t>
      </w:r>
      <w:r w:rsidR="00B3219C">
        <w:rPr>
          <w:rFonts w:ascii="Times New Roman" w:hAnsi="Times New Roman" w:cs="Times New Roman"/>
        </w:rPr>
        <w:t>,</w:t>
      </w:r>
      <w:r w:rsidRPr="00B95A36">
        <w:rPr>
          <w:rFonts w:ascii="Times New Roman" w:hAnsi="Times New Roman" w:cs="Times New Roman"/>
        </w:rPr>
        <w:t xml:space="preserve"> se restringe a la adecuación burocrática de los planes de estudio y las estructuras curriculares para cumplir con las exigencias externas de los organismos de control, manteniendo inalteradas las lógicas tradicionales de la enseñanza basada en la transmisión de contenidos enciclopédicos</w:t>
      </w:r>
    </w:p>
    <w:p w14:paraId="4D2F472A" w14:textId="6FEC265A" w:rsidR="00FD3D61" w:rsidRPr="00FD3D61" w:rsidRDefault="00FD3D61" w:rsidP="00FD3D61">
      <w:pPr>
        <w:spacing w:line="240" w:lineRule="auto"/>
        <w:jc w:val="both"/>
        <w:rPr>
          <w:rFonts w:ascii="Times New Roman" w:hAnsi="Times New Roman" w:cs="Times New Roman"/>
          <w:lang w:val="es-AR"/>
        </w:rPr>
      </w:pPr>
      <w:r w:rsidRPr="00FD3D61">
        <w:rPr>
          <w:rFonts w:ascii="Times New Roman" w:hAnsi="Times New Roman" w:cs="Times New Roman"/>
          <w:lang w:val="es-AR"/>
        </w:rPr>
        <w:t xml:space="preserve">Siguiendo un criterio de variación teórica y pertinencia analítica, se definieron tres escenarios organizacionales cuyas lógicas de origen, modos de financiamiento, tradiciones académicas y culturas institucionales presentan marcadas diferenciaciones dentro del sistema de educación superior argentino. Esta heterogeneidad de la muestra resulta metodológicamente valiosa para poner a prueba las categorías analíticas de gobernanza real y gobernanza nominal, permitiendo indagar si las respuestas </w:t>
      </w:r>
      <w:r w:rsidRPr="00FD3D61">
        <w:rPr>
          <w:rFonts w:ascii="Times New Roman" w:hAnsi="Times New Roman" w:cs="Times New Roman"/>
          <w:lang w:val="es-AR"/>
        </w:rPr>
        <w:lastRenderedPageBreak/>
        <w:t xml:space="preserve">institucionales ante un mismo imperativo normativo difieren según la naturaleza y el perfil organizativo de cada institución. </w:t>
      </w:r>
    </w:p>
    <w:p w14:paraId="356FE959" w14:textId="5E62B6F4" w:rsidR="00DE24DD" w:rsidRPr="000E1CAA" w:rsidRDefault="00FD3D61" w:rsidP="000E1CAA">
      <w:pPr>
        <w:spacing w:line="240" w:lineRule="auto"/>
        <w:jc w:val="both"/>
        <w:rPr>
          <w:rFonts w:ascii="Times New Roman" w:hAnsi="Times New Roman" w:cs="Times New Roman"/>
          <w:lang w:val="es-AR"/>
        </w:rPr>
      </w:pPr>
      <w:r w:rsidRPr="00FD3D61">
        <w:rPr>
          <w:rFonts w:ascii="Times New Roman" w:hAnsi="Times New Roman" w:cs="Times New Roman"/>
          <w:lang w:val="es-AR"/>
        </w:rPr>
        <w:t xml:space="preserve">El primer caso corresponde a la Universidad Abierta Interamericana (UAI), una institución universitaria de gestión privada que adoptó el modelo por competencias de manera transversal e integral a partir de una decisión política de su conducción corporativa. El segundo caso aborda el campo disciplinar de las Ingenierías bajo la coordinación a nivel nacional del Consejo Federal de Decanos de Ingeniería (CONFEDI), escenario donde el cambio curricular es motorizado externamente por las exigencias estatales de los nuevos estándares de acreditación obligatoria ante la CONEAU. El tercer caso analiza la carrera de </w:t>
      </w:r>
      <w:r w:rsidR="00FF6D1B">
        <w:rPr>
          <w:rFonts w:ascii="Times New Roman" w:hAnsi="Times New Roman" w:cs="Times New Roman"/>
          <w:lang w:val="es-AR"/>
        </w:rPr>
        <w:t xml:space="preserve">Medicina </w:t>
      </w:r>
      <w:r w:rsidRPr="00FD3D61">
        <w:rPr>
          <w:rFonts w:ascii="Times New Roman" w:hAnsi="Times New Roman" w:cs="Times New Roman"/>
          <w:lang w:val="es-AR"/>
        </w:rPr>
        <w:t xml:space="preserve">de la Universidad Nacional de </w:t>
      </w:r>
      <w:r w:rsidR="00FF6D1B">
        <w:rPr>
          <w:rFonts w:ascii="Times New Roman" w:hAnsi="Times New Roman" w:cs="Times New Roman"/>
          <w:lang w:val="es-AR"/>
        </w:rPr>
        <w:t>Cuyo (UNCUYO</w:t>
      </w:r>
      <w:r w:rsidRPr="00FD3D61">
        <w:rPr>
          <w:rFonts w:ascii="Times New Roman" w:hAnsi="Times New Roman" w:cs="Times New Roman"/>
          <w:lang w:val="es-AR"/>
        </w:rPr>
        <w:t>), una titulación de interés público del Artículo 43 de la Ley de Educación Superior inserta en una universidad pública</w:t>
      </w:r>
      <w:r w:rsidR="00FF6D1B">
        <w:rPr>
          <w:rFonts w:ascii="Times New Roman" w:hAnsi="Times New Roman" w:cs="Times New Roman"/>
          <w:lang w:val="es-AR"/>
        </w:rPr>
        <w:t xml:space="preserve">. </w:t>
      </w:r>
      <w:r w:rsidRPr="00FD3D61">
        <w:rPr>
          <w:rFonts w:ascii="Times New Roman" w:hAnsi="Times New Roman" w:cs="Times New Roman"/>
          <w:lang w:val="es-AR"/>
        </w:rPr>
        <w:t>Esta triangulación multicaso constituye el andamiaje empírico sobre el cual se asienta la validez conceptual de la ponencia.</w:t>
      </w:r>
    </w:p>
    <w:p w14:paraId="2E5E8D43" w14:textId="0B442F1D" w:rsidR="000E1CAA" w:rsidRPr="000E1CAA" w:rsidRDefault="000E1CAA" w:rsidP="000E1CAA">
      <w:pPr>
        <w:spacing w:line="240" w:lineRule="auto"/>
        <w:jc w:val="both"/>
        <w:rPr>
          <w:rFonts w:ascii="Times New Roman" w:hAnsi="Times New Roman" w:cs="Times New Roman"/>
          <w:b/>
          <w:bCs/>
          <w:lang w:val="es-AR"/>
        </w:rPr>
      </w:pPr>
      <w:r w:rsidRPr="000E1CAA">
        <w:rPr>
          <w:rFonts w:ascii="Times New Roman" w:hAnsi="Times New Roman" w:cs="Times New Roman"/>
          <w:b/>
          <w:bCs/>
          <w:lang w:val="es-AR"/>
        </w:rPr>
        <w:t>4. Análisis de Casos: Distintos niveles de adopción en Argentina</w:t>
      </w:r>
    </w:p>
    <w:p w14:paraId="7C5E0114" w14:textId="77777777" w:rsidR="000E1CAA" w:rsidRPr="000E1CAA" w:rsidRDefault="000E1CAA" w:rsidP="000E1CAA">
      <w:pPr>
        <w:spacing w:line="240" w:lineRule="auto"/>
        <w:jc w:val="both"/>
        <w:rPr>
          <w:rFonts w:ascii="Times New Roman" w:hAnsi="Times New Roman" w:cs="Times New Roman"/>
          <w:lang w:val="es-AR"/>
        </w:rPr>
      </w:pPr>
      <w:r w:rsidRPr="000E1CAA">
        <w:rPr>
          <w:rFonts w:ascii="Times New Roman" w:hAnsi="Times New Roman" w:cs="Times New Roman"/>
          <w:lang w:val="es-AR"/>
        </w:rPr>
        <w:t>La investigación detecta que la implementación del modelo por competencias en el país es sumamente heterogénea. A continuación, se presenta una tabla sintética que clasifica los casos estudiados, seguida del análisis pormenorizado de cada uno.</w:t>
      </w:r>
    </w:p>
    <w:tbl>
      <w:tblPr>
        <w:tblW w:w="0" w:type="auto"/>
        <w:tblCellMar>
          <w:top w:w="15" w:type="dxa"/>
          <w:left w:w="15" w:type="dxa"/>
          <w:bottom w:w="15" w:type="dxa"/>
          <w:right w:w="15" w:type="dxa"/>
        </w:tblCellMar>
        <w:tblLook w:val="04A0" w:firstRow="1" w:lastRow="0" w:firstColumn="1" w:lastColumn="0" w:noHBand="0" w:noVBand="1"/>
      </w:tblPr>
      <w:tblGrid>
        <w:gridCol w:w="2275"/>
        <w:gridCol w:w="2139"/>
        <w:gridCol w:w="2133"/>
        <w:gridCol w:w="1941"/>
      </w:tblGrid>
      <w:tr w:rsidR="000E1CAA" w:rsidRPr="000E1CAA" w14:paraId="54DA9F2F" w14:textId="77777777" w:rsidTr="001D2DD9">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F1F3F4"/>
            <w:tcMar>
              <w:top w:w="180" w:type="dxa"/>
              <w:left w:w="180" w:type="dxa"/>
              <w:bottom w:w="180" w:type="dxa"/>
              <w:right w:w="180" w:type="dxa"/>
            </w:tcMar>
            <w:hideMark/>
          </w:tcPr>
          <w:p w14:paraId="3D5C4FE1" w14:textId="77777777" w:rsidR="000E1CAA" w:rsidRPr="000E1CAA" w:rsidRDefault="000E1CAA" w:rsidP="000E1CAA">
            <w:pPr>
              <w:spacing w:line="240" w:lineRule="auto"/>
              <w:jc w:val="both"/>
              <w:rPr>
                <w:rFonts w:ascii="Times New Roman" w:hAnsi="Times New Roman" w:cs="Times New Roman"/>
                <w:lang w:val="es-AR"/>
              </w:rPr>
            </w:pPr>
            <w:r w:rsidRPr="000E1CAA">
              <w:rPr>
                <w:rFonts w:ascii="Times New Roman" w:hAnsi="Times New Roman" w:cs="Times New Roman"/>
                <w:lang w:val="es-AR"/>
              </w:rPr>
              <w:t>Caso Institucional</w:t>
            </w:r>
          </w:p>
        </w:tc>
        <w:tc>
          <w:tcPr>
            <w:tcW w:w="0" w:type="auto"/>
            <w:tcBorders>
              <w:top w:val="single" w:sz="6" w:space="0" w:color="CCCCCC"/>
              <w:left w:val="single" w:sz="6" w:space="0" w:color="CCCCCC"/>
              <w:bottom w:val="single" w:sz="6" w:space="0" w:color="CCCCCC"/>
              <w:right w:val="single" w:sz="6" w:space="0" w:color="CCCCCC"/>
            </w:tcBorders>
            <w:shd w:val="clear" w:color="auto" w:fill="F1F3F4"/>
            <w:tcMar>
              <w:top w:w="180" w:type="dxa"/>
              <w:left w:w="180" w:type="dxa"/>
              <w:bottom w:w="180" w:type="dxa"/>
              <w:right w:w="180" w:type="dxa"/>
            </w:tcMar>
            <w:hideMark/>
          </w:tcPr>
          <w:p w14:paraId="19714F12" w14:textId="77777777" w:rsidR="000E1CAA" w:rsidRPr="000E1CAA" w:rsidRDefault="000E1CAA" w:rsidP="000E1CAA">
            <w:pPr>
              <w:spacing w:line="240" w:lineRule="auto"/>
              <w:jc w:val="both"/>
              <w:rPr>
                <w:rFonts w:ascii="Times New Roman" w:hAnsi="Times New Roman" w:cs="Times New Roman"/>
                <w:lang w:val="es-AR"/>
              </w:rPr>
            </w:pPr>
            <w:r w:rsidRPr="000E1CAA">
              <w:rPr>
                <w:rFonts w:ascii="Times New Roman" w:hAnsi="Times New Roman" w:cs="Times New Roman"/>
                <w:lang w:val="es-AR"/>
              </w:rPr>
              <w:t>Nivel de Implementación</w:t>
            </w:r>
          </w:p>
        </w:tc>
        <w:tc>
          <w:tcPr>
            <w:tcW w:w="0" w:type="auto"/>
            <w:tcBorders>
              <w:top w:val="single" w:sz="6" w:space="0" w:color="CCCCCC"/>
              <w:left w:val="single" w:sz="6" w:space="0" w:color="CCCCCC"/>
              <w:bottom w:val="single" w:sz="6" w:space="0" w:color="CCCCCC"/>
              <w:right w:val="single" w:sz="6" w:space="0" w:color="CCCCCC"/>
            </w:tcBorders>
            <w:shd w:val="clear" w:color="auto" w:fill="F1F3F4"/>
            <w:tcMar>
              <w:top w:w="180" w:type="dxa"/>
              <w:left w:w="180" w:type="dxa"/>
              <w:bottom w:w="180" w:type="dxa"/>
              <w:right w:w="180" w:type="dxa"/>
            </w:tcMar>
            <w:hideMark/>
          </w:tcPr>
          <w:p w14:paraId="2AF32155" w14:textId="77777777" w:rsidR="000E1CAA" w:rsidRPr="000E1CAA" w:rsidRDefault="000E1CAA" w:rsidP="000E1CAA">
            <w:pPr>
              <w:spacing w:line="240" w:lineRule="auto"/>
              <w:jc w:val="both"/>
              <w:rPr>
                <w:rFonts w:ascii="Times New Roman" w:hAnsi="Times New Roman" w:cs="Times New Roman"/>
                <w:lang w:val="es-AR"/>
              </w:rPr>
            </w:pPr>
            <w:r w:rsidRPr="000E1CAA">
              <w:rPr>
                <w:rFonts w:ascii="Times New Roman" w:hAnsi="Times New Roman" w:cs="Times New Roman"/>
                <w:lang w:val="es-AR"/>
              </w:rPr>
              <w:t>Impulsor / Motor Principal</w:t>
            </w:r>
          </w:p>
        </w:tc>
        <w:tc>
          <w:tcPr>
            <w:tcW w:w="0" w:type="auto"/>
            <w:tcBorders>
              <w:top w:val="single" w:sz="6" w:space="0" w:color="CCCCCC"/>
              <w:left w:val="single" w:sz="6" w:space="0" w:color="CCCCCC"/>
              <w:bottom w:val="single" w:sz="6" w:space="0" w:color="CCCCCC"/>
              <w:right w:val="single" w:sz="6" w:space="0" w:color="CCCCCC"/>
            </w:tcBorders>
            <w:shd w:val="clear" w:color="auto" w:fill="F1F3F4"/>
            <w:tcMar>
              <w:top w:w="180" w:type="dxa"/>
              <w:left w:w="180" w:type="dxa"/>
              <w:bottom w:w="180" w:type="dxa"/>
              <w:right w:w="180" w:type="dxa"/>
            </w:tcMar>
            <w:hideMark/>
          </w:tcPr>
          <w:p w14:paraId="4C5291C5" w14:textId="77777777" w:rsidR="000E1CAA" w:rsidRPr="000E1CAA" w:rsidRDefault="000E1CAA" w:rsidP="000E1CAA">
            <w:pPr>
              <w:spacing w:line="240" w:lineRule="auto"/>
              <w:jc w:val="both"/>
              <w:rPr>
                <w:rFonts w:ascii="Times New Roman" w:hAnsi="Times New Roman" w:cs="Times New Roman"/>
                <w:lang w:val="es-AR"/>
              </w:rPr>
            </w:pPr>
            <w:r w:rsidRPr="000E1CAA">
              <w:rPr>
                <w:rFonts w:ascii="Times New Roman" w:hAnsi="Times New Roman" w:cs="Times New Roman"/>
                <w:lang w:val="es-AR"/>
              </w:rPr>
              <w:t>Dinámica de Gestión</w:t>
            </w:r>
          </w:p>
          <w:p w14:paraId="16AF0EE2" w14:textId="77777777" w:rsidR="000E1CAA" w:rsidRPr="000E1CAA" w:rsidRDefault="000E1CAA" w:rsidP="000E1CAA">
            <w:pPr>
              <w:spacing w:line="240" w:lineRule="auto"/>
              <w:jc w:val="both"/>
              <w:rPr>
                <w:rFonts w:ascii="Times New Roman" w:hAnsi="Times New Roman" w:cs="Times New Roman"/>
                <w:lang w:val="es-AR"/>
              </w:rPr>
            </w:pPr>
            <w:r w:rsidRPr="000E1CAA">
              <w:rPr>
                <w:rFonts w:ascii="Times New Roman" w:hAnsi="Times New Roman" w:cs="Times New Roman"/>
                <w:lang w:val="es-AR"/>
              </w:rPr>
              <w:t> </w:t>
            </w:r>
          </w:p>
        </w:tc>
      </w:tr>
      <w:tr w:rsidR="000E1CAA" w:rsidRPr="000E1CAA" w14:paraId="4CB48393" w14:textId="77777777" w:rsidTr="001D2DD9">
        <w:tc>
          <w:tcPr>
            <w:tcW w:w="0" w:type="auto"/>
            <w:tcBorders>
              <w:top w:val="single" w:sz="6" w:space="0" w:color="CCCCCC"/>
              <w:left w:val="single" w:sz="6" w:space="0" w:color="CCCCCC"/>
              <w:bottom w:val="single" w:sz="6" w:space="0" w:color="CCCCCC"/>
              <w:right w:val="single" w:sz="6" w:space="0" w:color="CCCCCC"/>
            </w:tcBorders>
            <w:tcMar>
              <w:top w:w="180" w:type="dxa"/>
              <w:left w:w="180" w:type="dxa"/>
              <w:bottom w:w="180" w:type="dxa"/>
              <w:right w:w="180" w:type="dxa"/>
            </w:tcMar>
            <w:hideMark/>
          </w:tcPr>
          <w:p w14:paraId="6219B8EC" w14:textId="77777777" w:rsidR="000E1CAA" w:rsidRPr="000E1CAA" w:rsidRDefault="000E1CAA" w:rsidP="000E1CAA">
            <w:pPr>
              <w:spacing w:line="240" w:lineRule="auto"/>
              <w:jc w:val="both"/>
              <w:rPr>
                <w:rFonts w:ascii="Times New Roman" w:hAnsi="Times New Roman" w:cs="Times New Roman"/>
                <w:lang w:val="es-AR"/>
              </w:rPr>
            </w:pPr>
            <w:r w:rsidRPr="000E1CAA">
              <w:rPr>
                <w:rFonts w:ascii="Times New Roman" w:hAnsi="Times New Roman" w:cs="Times New Roman"/>
                <w:lang w:val="es-AR"/>
              </w:rPr>
              <w:t>UAI (Universidad Abierta Interamericana)</w:t>
            </w:r>
          </w:p>
        </w:tc>
        <w:tc>
          <w:tcPr>
            <w:tcW w:w="0" w:type="auto"/>
            <w:tcBorders>
              <w:top w:val="single" w:sz="6" w:space="0" w:color="CCCCCC"/>
              <w:left w:val="single" w:sz="6" w:space="0" w:color="CCCCCC"/>
              <w:bottom w:val="single" w:sz="6" w:space="0" w:color="CCCCCC"/>
              <w:right w:val="single" w:sz="6" w:space="0" w:color="CCCCCC"/>
            </w:tcBorders>
            <w:tcMar>
              <w:top w:w="180" w:type="dxa"/>
              <w:left w:w="180" w:type="dxa"/>
              <w:bottom w:w="180" w:type="dxa"/>
              <w:right w:w="180" w:type="dxa"/>
            </w:tcMar>
            <w:hideMark/>
          </w:tcPr>
          <w:p w14:paraId="0FD81053" w14:textId="77777777" w:rsidR="000E1CAA" w:rsidRPr="000E1CAA" w:rsidRDefault="000E1CAA" w:rsidP="000E1CAA">
            <w:pPr>
              <w:spacing w:line="240" w:lineRule="auto"/>
              <w:jc w:val="both"/>
              <w:rPr>
                <w:rFonts w:ascii="Times New Roman" w:hAnsi="Times New Roman" w:cs="Times New Roman"/>
                <w:lang w:val="es-AR"/>
              </w:rPr>
            </w:pPr>
            <w:r w:rsidRPr="000E1CAA">
              <w:rPr>
                <w:rFonts w:ascii="Times New Roman" w:hAnsi="Times New Roman" w:cs="Times New Roman"/>
                <w:lang w:val="es-AR"/>
              </w:rPr>
              <w:t>Integral / Transversal</w:t>
            </w:r>
          </w:p>
        </w:tc>
        <w:tc>
          <w:tcPr>
            <w:tcW w:w="0" w:type="auto"/>
            <w:tcBorders>
              <w:top w:val="single" w:sz="6" w:space="0" w:color="CCCCCC"/>
              <w:left w:val="single" w:sz="6" w:space="0" w:color="CCCCCC"/>
              <w:bottom w:val="single" w:sz="6" w:space="0" w:color="CCCCCC"/>
              <w:right w:val="single" w:sz="6" w:space="0" w:color="CCCCCC"/>
            </w:tcBorders>
            <w:tcMar>
              <w:top w:w="180" w:type="dxa"/>
              <w:left w:w="180" w:type="dxa"/>
              <w:bottom w:w="180" w:type="dxa"/>
              <w:right w:w="180" w:type="dxa"/>
            </w:tcMar>
            <w:hideMark/>
          </w:tcPr>
          <w:p w14:paraId="6EF70AC7" w14:textId="77777777" w:rsidR="000E1CAA" w:rsidRPr="000E1CAA" w:rsidRDefault="000E1CAA" w:rsidP="000E1CAA">
            <w:pPr>
              <w:spacing w:line="240" w:lineRule="auto"/>
              <w:jc w:val="both"/>
              <w:rPr>
                <w:rFonts w:ascii="Times New Roman" w:hAnsi="Times New Roman" w:cs="Times New Roman"/>
                <w:lang w:val="es-AR"/>
              </w:rPr>
            </w:pPr>
            <w:r w:rsidRPr="000E1CAA">
              <w:rPr>
                <w:rFonts w:ascii="Times New Roman" w:hAnsi="Times New Roman" w:cs="Times New Roman"/>
                <w:lang w:val="es-AR"/>
              </w:rPr>
              <w:t>Decisión política institucional</w:t>
            </w:r>
          </w:p>
        </w:tc>
        <w:tc>
          <w:tcPr>
            <w:tcW w:w="0" w:type="auto"/>
            <w:tcBorders>
              <w:top w:val="single" w:sz="6" w:space="0" w:color="CCCCCC"/>
              <w:left w:val="single" w:sz="6" w:space="0" w:color="CCCCCC"/>
              <w:bottom w:val="single" w:sz="6" w:space="0" w:color="CCCCCC"/>
              <w:right w:val="single" w:sz="6" w:space="0" w:color="CCCCCC"/>
            </w:tcBorders>
            <w:tcMar>
              <w:top w:w="180" w:type="dxa"/>
              <w:left w:w="180" w:type="dxa"/>
              <w:bottom w:w="180" w:type="dxa"/>
              <w:right w:w="180" w:type="dxa"/>
            </w:tcMar>
            <w:hideMark/>
          </w:tcPr>
          <w:p w14:paraId="16657134" w14:textId="77777777" w:rsidR="000E1CAA" w:rsidRPr="000E1CAA" w:rsidRDefault="000E1CAA" w:rsidP="000E1CAA">
            <w:pPr>
              <w:spacing w:line="240" w:lineRule="auto"/>
              <w:jc w:val="both"/>
              <w:rPr>
                <w:rFonts w:ascii="Times New Roman" w:hAnsi="Times New Roman" w:cs="Times New Roman"/>
                <w:lang w:val="es-AR"/>
              </w:rPr>
            </w:pPr>
            <w:r w:rsidRPr="000E1CAA">
              <w:rPr>
                <w:rFonts w:ascii="Times New Roman" w:hAnsi="Times New Roman" w:cs="Times New Roman"/>
                <w:lang w:val="es-AR"/>
              </w:rPr>
              <w:t>Gestión holística del cambio cultural</w:t>
            </w:r>
          </w:p>
        </w:tc>
      </w:tr>
      <w:tr w:rsidR="000E1CAA" w:rsidRPr="000E1CAA" w14:paraId="2532D4C3" w14:textId="77777777" w:rsidTr="001D2DD9">
        <w:tc>
          <w:tcPr>
            <w:tcW w:w="0" w:type="auto"/>
            <w:tcBorders>
              <w:top w:val="single" w:sz="6" w:space="0" w:color="CCCCCC"/>
              <w:left w:val="single" w:sz="6" w:space="0" w:color="CCCCCC"/>
              <w:bottom w:val="single" w:sz="6" w:space="0" w:color="CCCCCC"/>
              <w:right w:val="single" w:sz="6" w:space="0" w:color="CCCCCC"/>
            </w:tcBorders>
            <w:tcMar>
              <w:top w:w="180" w:type="dxa"/>
              <w:left w:w="180" w:type="dxa"/>
              <w:bottom w:w="180" w:type="dxa"/>
              <w:right w:w="180" w:type="dxa"/>
            </w:tcMar>
            <w:hideMark/>
          </w:tcPr>
          <w:p w14:paraId="44287445" w14:textId="77777777" w:rsidR="000E1CAA" w:rsidRPr="000E1CAA" w:rsidRDefault="000E1CAA" w:rsidP="000E1CAA">
            <w:pPr>
              <w:spacing w:line="240" w:lineRule="auto"/>
              <w:jc w:val="both"/>
              <w:rPr>
                <w:rFonts w:ascii="Times New Roman" w:hAnsi="Times New Roman" w:cs="Times New Roman"/>
                <w:lang w:val="es-AR"/>
              </w:rPr>
            </w:pPr>
            <w:r w:rsidRPr="000E1CAA">
              <w:rPr>
                <w:rFonts w:ascii="Times New Roman" w:hAnsi="Times New Roman" w:cs="Times New Roman"/>
                <w:lang w:val="es-AR"/>
              </w:rPr>
              <w:t>CONFEDI (Ingeniería)</w:t>
            </w:r>
          </w:p>
        </w:tc>
        <w:tc>
          <w:tcPr>
            <w:tcW w:w="0" w:type="auto"/>
            <w:tcBorders>
              <w:top w:val="single" w:sz="6" w:space="0" w:color="CCCCCC"/>
              <w:left w:val="single" w:sz="6" w:space="0" w:color="CCCCCC"/>
              <w:bottom w:val="single" w:sz="6" w:space="0" w:color="CCCCCC"/>
              <w:right w:val="single" w:sz="6" w:space="0" w:color="CCCCCC"/>
            </w:tcBorders>
            <w:tcMar>
              <w:top w:w="180" w:type="dxa"/>
              <w:left w:w="180" w:type="dxa"/>
              <w:bottom w:w="180" w:type="dxa"/>
              <w:right w:w="180" w:type="dxa"/>
            </w:tcMar>
            <w:hideMark/>
          </w:tcPr>
          <w:p w14:paraId="5F015B0C" w14:textId="77777777" w:rsidR="000E1CAA" w:rsidRPr="000E1CAA" w:rsidRDefault="000E1CAA" w:rsidP="000E1CAA">
            <w:pPr>
              <w:spacing w:line="240" w:lineRule="auto"/>
              <w:jc w:val="both"/>
              <w:rPr>
                <w:rFonts w:ascii="Times New Roman" w:hAnsi="Times New Roman" w:cs="Times New Roman"/>
                <w:lang w:val="es-AR"/>
              </w:rPr>
            </w:pPr>
            <w:r w:rsidRPr="000E1CAA">
              <w:rPr>
                <w:rFonts w:ascii="Times New Roman" w:hAnsi="Times New Roman" w:cs="Times New Roman"/>
                <w:lang w:val="es-AR"/>
              </w:rPr>
              <w:t>Por campo disciplinar</w:t>
            </w:r>
          </w:p>
        </w:tc>
        <w:tc>
          <w:tcPr>
            <w:tcW w:w="0" w:type="auto"/>
            <w:tcBorders>
              <w:top w:val="single" w:sz="6" w:space="0" w:color="CCCCCC"/>
              <w:left w:val="single" w:sz="6" w:space="0" w:color="CCCCCC"/>
              <w:bottom w:val="single" w:sz="6" w:space="0" w:color="CCCCCC"/>
              <w:right w:val="single" w:sz="6" w:space="0" w:color="CCCCCC"/>
            </w:tcBorders>
            <w:tcMar>
              <w:top w:w="180" w:type="dxa"/>
              <w:left w:w="180" w:type="dxa"/>
              <w:bottom w:w="180" w:type="dxa"/>
              <w:right w:w="180" w:type="dxa"/>
            </w:tcMar>
            <w:hideMark/>
          </w:tcPr>
          <w:p w14:paraId="520ECF59" w14:textId="77777777" w:rsidR="000E1CAA" w:rsidRPr="000E1CAA" w:rsidRDefault="000E1CAA" w:rsidP="000E1CAA">
            <w:pPr>
              <w:spacing w:line="240" w:lineRule="auto"/>
              <w:jc w:val="both"/>
              <w:rPr>
                <w:rFonts w:ascii="Times New Roman" w:hAnsi="Times New Roman" w:cs="Times New Roman"/>
                <w:lang w:val="es-AR"/>
              </w:rPr>
            </w:pPr>
            <w:r w:rsidRPr="000E1CAA">
              <w:rPr>
                <w:rFonts w:ascii="Times New Roman" w:hAnsi="Times New Roman" w:cs="Times New Roman"/>
                <w:lang w:val="es-AR"/>
              </w:rPr>
              <w:t>Consensos de decanos y acreditación</w:t>
            </w:r>
          </w:p>
        </w:tc>
        <w:tc>
          <w:tcPr>
            <w:tcW w:w="0" w:type="auto"/>
            <w:tcBorders>
              <w:top w:val="single" w:sz="6" w:space="0" w:color="CCCCCC"/>
              <w:left w:val="single" w:sz="6" w:space="0" w:color="CCCCCC"/>
              <w:bottom w:val="single" w:sz="6" w:space="0" w:color="CCCCCC"/>
              <w:right w:val="single" w:sz="6" w:space="0" w:color="CCCCCC"/>
            </w:tcBorders>
            <w:tcMar>
              <w:top w:w="180" w:type="dxa"/>
              <w:left w:w="180" w:type="dxa"/>
              <w:bottom w:w="180" w:type="dxa"/>
              <w:right w:w="180" w:type="dxa"/>
            </w:tcMar>
            <w:hideMark/>
          </w:tcPr>
          <w:p w14:paraId="1D356A11" w14:textId="77777777" w:rsidR="000E1CAA" w:rsidRPr="000E1CAA" w:rsidRDefault="000E1CAA" w:rsidP="000E1CAA">
            <w:pPr>
              <w:spacing w:line="240" w:lineRule="auto"/>
              <w:jc w:val="both"/>
              <w:rPr>
                <w:rFonts w:ascii="Times New Roman" w:hAnsi="Times New Roman" w:cs="Times New Roman"/>
                <w:lang w:val="es-AR"/>
              </w:rPr>
            </w:pPr>
            <w:r w:rsidRPr="000E1CAA">
              <w:rPr>
                <w:rFonts w:ascii="Times New Roman" w:hAnsi="Times New Roman" w:cs="Times New Roman"/>
                <w:lang w:val="es-AR"/>
              </w:rPr>
              <w:t>Alineación normativa a nivel nacional</w:t>
            </w:r>
          </w:p>
        </w:tc>
      </w:tr>
      <w:tr w:rsidR="000E1CAA" w:rsidRPr="000E1CAA" w14:paraId="37EE85C1" w14:textId="77777777" w:rsidTr="001D2DD9">
        <w:tc>
          <w:tcPr>
            <w:tcW w:w="0" w:type="auto"/>
            <w:tcBorders>
              <w:top w:val="single" w:sz="6" w:space="0" w:color="CCCCCC"/>
              <w:left w:val="single" w:sz="6" w:space="0" w:color="CCCCCC"/>
              <w:bottom w:val="single" w:sz="6" w:space="0" w:color="CCCCCC"/>
              <w:right w:val="single" w:sz="6" w:space="0" w:color="CCCCCC"/>
            </w:tcBorders>
            <w:tcMar>
              <w:top w:w="180" w:type="dxa"/>
              <w:left w:w="180" w:type="dxa"/>
              <w:bottom w:w="180" w:type="dxa"/>
              <w:right w:w="180" w:type="dxa"/>
            </w:tcMar>
            <w:hideMark/>
          </w:tcPr>
          <w:p w14:paraId="2A18F45D" w14:textId="0EFF1609" w:rsidR="000E1CAA" w:rsidRPr="000E1CAA" w:rsidRDefault="000E1CAA" w:rsidP="000E1CAA">
            <w:pPr>
              <w:spacing w:line="240" w:lineRule="auto"/>
              <w:jc w:val="both"/>
              <w:rPr>
                <w:rFonts w:ascii="Times New Roman" w:hAnsi="Times New Roman" w:cs="Times New Roman"/>
                <w:lang w:val="es-AR"/>
              </w:rPr>
            </w:pPr>
            <w:r w:rsidRPr="000E1CAA">
              <w:rPr>
                <w:rFonts w:ascii="Times New Roman" w:hAnsi="Times New Roman" w:cs="Times New Roman"/>
                <w:lang w:val="es-AR"/>
              </w:rPr>
              <w:t>U</w:t>
            </w:r>
            <w:r w:rsidR="00FF6D1B">
              <w:rPr>
                <w:rFonts w:ascii="Times New Roman" w:hAnsi="Times New Roman" w:cs="Times New Roman"/>
                <w:lang w:val="es-AR"/>
              </w:rPr>
              <w:t>NCUYO</w:t>
            </w:r>
            <w:r w:rsidRPr="000E1CAA">
              <w:rPr>
                <w:rFonts w:ascii="Times New Roman" w:hAnsi="Times New Roman" w:cs="Times New Roman"/>
                <w:lang w:val="es-AR"/>
              </w:rPr>
              <w:t xml:space="preserve"> (Carrera de </w:t>
            </w:r>
            <w:r w:rsidR="00FF6D1B">
              <w:rPr>
                <w:rFonts w:ascii="Times New Roman" w:hAnsi="Times New Roman" w:cs="Times New Roman"/>
                <w:lang w:val="es-AR"/>
              </w:rPr>
              <w:t>Medicina</w:t>
            </w:r>
            <w:r w:rsidRPr="000E1CAA">
              <w:rPr>
                <w:rFonts w:ascii="Times New Roman" w:hAnsi="Times New Roman" w:cs="Times New Roman"/>
                <w:lang w:val="es-AR"/>
              </w:rPr>
              <w:t>)</w:t>
            </w:r>
          </w:p>
        </w:tc>
        <w:tc>
          <w:tcPr>
            <w:tcW w:w="0" w:type="auto"/>
            <w:tcBorders>
              <w:top w:val="single" w:sz="6" w:space="0" w:color="CCCCCC"/>
              <w:left w:val="single" w:sz="6" w:space="0" w:color="CCCCCC"/>
              <w:bottom w:val="single" w:sz="6" w:space="0" w:color="CCCCCC"/>
              <w:right w:val="single" w:sz="6" w:space="0" w:color="CCCCCC"/>
            </w:tcBorders>
            <w:tcMar>
              <w:top w:w="180" w:type="dxa"/>
              <w:left w:w="180" w:type="dxa"/>
              <w:bottom w:w="180" w:type="dxa"/>
              <w:right w:w="180" w:type="dxa"/>
            </w:tcMar>
            <w:hideMark/>
          </w:tcPr>
          <w:p w14:paraId="1A635E1E" w14:textId="77777777" w:rsidR="000E1CAA" w:rsidRPr="000E1CAA" w:rsidRDefault="000E1CAA" w:rsidP="000E1CAA">
            <w:pPr>
              <w:spacing w:line="240" w:lineRule="auto"/>
              <w:jc w:val="both"/>
              <w:rPr>
                <w:rFonts w:ascii="Times New Roman" w:hAnsi="Times New Roman" w:cs="Times New Roman"/>
                <w:lang w:val="es-AR"/>
              </w:rPr>
            </w:pPr>
            <w:r w:rsidRPr="000E1CAA">
              <w:rPr>
                <w:rFonts w:ascii="Times New Roman" w:hAnsi="Times New Roman" w:cs="Times New Roman"/>
                <w:lang w:val="es-AR"/>
              </w:rPr>
              <w:t>Por carrera específica (Art. 43)</w:t>
            </w:r>
          </w:p>
        </w:tc>
        <w:tc>
          <w:tcPr>
            <w:tcW w:w="0" w:type="auto"/>
            <w:tcBorders>
              <w:top w:val="single" w:sz="6" w:space="0" w:color="CCCCCC"/>
              <w:left w:val="single" w:sz="6" w:space="0" w:color="CCCCCC"/>
              <w:bottom w:val="single" w:sz="6" w:space="0" w:color="CCCCCC"/>
              <w:right w:val="single" w:sz="6" w:space="0" w:color="CCCCCC"/>
            </w:tcBorders>
            <w:tcMar>
              <w:top w:w="180" w:type="dxa"/>
              <w:left w:w="180" w:type="dxa"/>
              <w:bottom w:w="180" w:type="dxa"/>
              <w:right w:w="180" w:type="dxa"/>
            </w:tcMar>
            <w:hideMark/>
          </w:tcPr>
          <w:p w14:paraId="711E5F91" w14:textId="77777777" w:rsidR="000E1CAA" w:rsidRPr="000E1CAA" w:rsidRDefault="000E1CAA" w:rsidP="000E1CAA">
            <w:pPr>
              <w:spacing w:line="240" w:lineRule="auto"/>
              <w:jc w:val="both"/>
              <w:rPr>
                <w:rFonts w:ascii="Times New Roman" w:hAnsi="Times New Roman" w:cs="Times New Roman"/>
                <w:lang w:val="es-AR"/>
              </w:rPr>
            </w:pPr>
            <w:r w:rsidRPr="000E1CAA">
              <w:rPr>
                <w:rFonts w:ascii="Times New Roman" w:hAnsi="Times New Roman" w:cs="Times New Roman"/>
                <w:lang w:val="es-AR"/>
              </w:rPr>
              <w:t>Regulación estatal e inserción sociosanitaria</w:t>
            </w:r>
          </w:p>
        </w:tc>
        <w:tc>
          <w:tcPr>
            <w:tcW w:w="0" w:type="auto"/>
            <w:tcBorders>
              <w:top w:val="single" w:sz="6" w:space="0" w:color="CCCCCC"/>
              <w:left w:val="single" w:sz="6" w:space="0" w:color="CCCCCC"/>
              <w:bottom w:val="single" w:sz="6" w:space="0" w:color="CCCCCC"/>
              <w:right w:val="single" w:sz="6" w:space="0" w:color="CCCCCC"/>
            </w:tcBorders>
            <w:tcMar>
              <w:top w:w="180" w:type="dxa"/>
              <w:left w:w="180" w:type="dxa"/>
              <w:bottom w:w="180" w:type="dxa"/>
              <w:right w:w="180" w:type="dxa"/>
            </w:tcMar>
            <w:hideMark/>
          </w:tcPr>
          <w:p w14:paraId="35452022" w14:textId="77777777" w:rsidR="000E1CAA" w:rsidRPr="000E1CAA" w:rsidRDefault="000E1CAA" w:rsidP="000E1CAA">
            <w:pPr>
              <w:spacing w:line="240" w:lineRule="auto"/>
              <w:jc w:val="both"/>
              <w:rPr>
                <w:rFonts w:ascii="Times New Roman" w:hAnsi="Times New Roman" w:cs="Times New Roman"/>
                <w:lang w:val="es-AR"/>
              </w:rPr>
            </w:pPr>
            <w:r w:rsidRPr="000E1CAA">
              <w:rPr>
                <w:rFonts w:ascii="Times New Roman" w:hAnsi="Times New Roman" w:cs="Times New Roman"/>
                <w:lang w:val="es-AR"/>
              </w:rPr>
              <w:t>Articulación territorial y perfil social</w:t>
            </w:r>
          </w:p>
        </w:tc>
      </w:tr>
    </w:tbl>
    <w:p w14:paraId="548E08F1" w14:textId="77777777" w:rsidR="000E1CAA" w:rsidRPr="000E1CAA" w:rsidRDefault="000E1CAA" w:rsidP="000E1CAA">
      <w:pPr>
        <w:spacing w:line="240" w:lineRule="auto"/>
        <w:jc w:val="both"/>
        <w:rPr>
          <w:rFonts w:ascii="Times New Roman" w:hAnsi="Times New Roman" w:cs="Times New Roman"/>
          <w:lang w:val="es-AR"/>
        </w:rPr>
      </w:pPr>
    </w:p>
    <w:p w14:paraId="67F9D87F" w14:textId="3819DDB4" w:rsidR="000E1CAA" w:rsidRPr="000E1CAA" w:rsidRDefault="000E1CAA" w:rsidP="000E1CAA">
      <w:pPr>
        <w:spacing w:line="240" w:lineRule="auto"/>
        <w:jc w:val="both"/>
        <w:rPr>
          <w:rFonts w:ascii="Times New Roman" w:hAnsi="Times New Roman" w:cs="Times New Roman"/>
          <w:b/>
          <w:bCs/>
          <w:lang w:val="es-AR"/>
        </w:rPr>
      </w:pPr>
      <w:r w:rsidRPr="000E1CAA">
        <w:rPr>
          <w:rFonts w:ascii="Times New Roman" w:hAnsi="Times New Roman" w:cs="Times New Roman"/>
          <w:b/>
          <w:bCs/>
          <w:lang w:val="es-AR"/>
        </w:rPr>
        <w:t>4.1. El modelo de gestión integral: Universidad Abierta Interamericana (UAI)</w:t>
      </w:r>
    </w:p>
    <w:p w14:paraId="043A2874" w14:textId="77777777" w:rsidR="002841F9" w:rsidRPr="002841F9" w:rsidRDefault="002841F9" w:rsidP="002841F9">
      <w:pPr>
        <w:spacing w:line="240" w:lineRule="auto"/>
        <w:jc w:val="both"/>
        <w:rPr>
          <w:rFonts w:ascii="Times New Roman" w:hAnsi="Times New Roman" w:cs="Times New Roman"/>
          <w:lang w:val="es-AR"/>
        </w:rPr>
      </w:pPr>
      <w:r w:rsidRPr="002841F9">
        <w:rPr>
          <w:rFonts w:ascii="Times New Roman" w:hAnsi="Times New Roman" w:cs="Times New Roman"/>
          <w:lang w:val="es-AR"/>
        </w:rPr>
        <w:t>La Universidad Abierta Interamericana (UAI) se constituye como un caso testigo de implementación de carácter integral del EBC, motorizado por una decisión político-</w:t>
      </w:r>
      <w:r w:rsidRPr="002841F9">
        <w:rPr>
          <w:rFonts w:ascii="Times New Roman" w:hAnsi="Times New Roman" w:cs="Times New Roman"/>
          <w:lang w:val="es-AR"/>
        </w:rPr>
        <w:lastRenderedPageBreak/>
        <w:t xml:space="preserve">institucional de carácter eminentemente transversal y vertical. En esta institución de gestión privada, el tránsito hacia el EBC no se configura como una respuesta fragmentada u obligada por la inminencia de un proceso de acreditación de una carrera específica, sino que responde a una política de planificación estratégica corporativa a largo plazo que permea la totalidad de sus unidades académicas, facultades y diseños de carrera. Al analizar este escenario desde la dimensión político-institucional, se observa que el motor principal del cambio es la decisión de la propia conducción corporativa, lo que dota al proceso de una alta homogeneidad discursiva y una asignación centralizada de recursos materiales y humanos para sostener la reforma de la cultura organizativa. </w:t>
      </w:r>
    </w:p>
    <w:p w14:paraId="462EAFD3" w14:textId="60565BA5" w:rsidR="002841F9" w:rsidRPr="002841F9" w:rsidRDefault="002841F9" w:rsidP="002841F9">
      <w:pPr>
        <w:spacing w:line="240" w:lineRule="auto"/>
        <w:jc w:val="both"/>
        <w:rPr>
          <w:rFonts w:ascii="Times New Roman" w:hAnsi="Times New Roman" w:cs="Times New Roman"/>
          <w:lang w:val="es-AR"/>
        </w:rPr>
      </w:pPr>
      <w:r w:rsidRPr="002841F9">
        <w:rPr>
          <w:rFonts w:ascii="Times New Roman" w:hAnsi="Times New Roman" w:cs="Times New Roman"/>
          <w:lang w:val="es-AR"/>
        </w:rPr>
        <w:t>En la dimensión curricular-organizacional, la UAI</w:t>
      </w:r>
      <w:r>
        <w:rPr>
          <w:rFonts w:ascii="Times New Roman" w:hAnsi="Times New Roman" w:cs="Times New Roman"/>
          <w:lang w:val="es-AR"/>
        </w:rPr>
        <w:t>,</w:t>
      </w:r>
      <w:r w:rsidRPr="002841F9">
        <w:rPr>
          <w:rFonts w:ascii="Times New Roman" w:hAnsi="Times New Roman" w:cs="Times New Roman"/>
          <w:lang w:val="es-AR"/>
        </w:rPr>
        <w:t xml:space="preserve"> ha desplegado dispositivos institucionales intensivos destinados a institucionalizar el modelo y procurar una gobernanza real sobre los procesos académicos. Estos dispositivos incluyen la creación de áreas permanentes de asesoría curricular, programas de capacitación pedagógica para el cuerpo docente y el rediseño de los instrumentos de evaluación institucional mediante la estandarización de rúbricas y matrices de competencias por perfil de egreso. No obstante, el trabajo de campo revela que la centralización normativa no anula las tensiones organizacionales. La dimensión de la práctica docente exhibe la emergencia de la tensión pedagógica y administrativa analizada por Díaz Barriga (2011). Los directores de carrera y coordinadores actúan como mediadores constantes ante una planta de profesores que, a menudo, experimenta la estandarización y las demandas de registro de las competencias como una exigencia técnica que colisiona con las tradiciones de enseñanza de sus respectivas disciplinas, tendiendo a generar en ciertos sectores procesos de traducción puramente nominal de sus programas analíticos.</w:t>
      </w:r>
    </w:p>
    <w:p w14:paraId="713FB872" w14:textId="3EE57252" w:rsidR="000E1CAA" w:rsidRDefault="000E1CAA" w:rsidP="000E1CAA">
      <w:pPr>
        <w:spacing w:line="240" w:lineRule="auto"/>
        <w:jc w:val="both"/>
        <w:rPr>
          <w:rFonts w:ascii="Times New Roman" w:hAnsi="Times New Roman" w:cs="Times New Roman"/>
          <w:b/>
          <w:bCs/>
        </w:rPr>
      </w:pPr>
      <w:r w:rsidRPr="000E1CAA">
        <w:rPr>
          <w:rFonts w:ascii="Times New Roman" w:hAnsi="Times New Roman" w:cs="Times New Roman"/>
          <w:b/>
          <w:bCs/>
          <w:lang w:val="es-AR"/>
        </w:rPr>
        <w:t xml:space="preserve">4.2. </w:t>
      </w:r>
      <w:r w:rsidR="007B78FE" w:rsidRPr="007B78FE">
        <w:rPr>
          <w:rFonts w:ascii="Times New Roman" w:hAnsi="Times New Roman" w:cs="Times New Roman"/>
          <w:b/>
          <w:bCs/>
        </w:rPr>
        <w:t>Implementación sectorial impulsada por estándares externos: El caso de CONFEDI</w:t>
      </w:r>
    </w:p>
    <w:p w14:paraId="7364B7DA" w14:textId="7DE99FDF" w:rsidR="00636C52" w:rsidRDefault="00AA048A" w:rsidP="000E1CAA">
      <w:pPr>
        <w:spacing w:line="240" w:lineRule="auto"/>
        <w:jc w:val="both"/>
        <w:rPr>
          <w:rFonts w:ascii="Times New Roman" w:hAnsi="Times New Roman" w:cs="Times New Roman"/>
        </w:rPr>
      </w:pPr>
      <w:r w:rsidRPr="00AA048A">
        <w:rPr>
          <w:rFonts w:ascii="Times New Roman" w:hAnsi="Times New Roman" w:cs="Times New Roman"/>
        </w:rPr>
        <w:t>El escenario analítico que ofrece el campo de las Ingenierías coordinado a nivel nacional por el Consejo Federal de Decanos de Ingeniería (CONFEDI) representa una lógica de adopción marcadamente diferente, caracterizada por un impulso de carácter predominantemente exógeno y sectorial. En este caso, el proceso de cambio curricular está motorizado por las exigencias regulatorias emanadas del Estado evaluador y los ciclos obligatorios de acreditación de carreras de interés público reguladas por el Artículo 43 de la Ley de Educación Superior (Marquina, 2013). A través del consenso alcanzado en la formulación del Libro Rojo de CONFEDI, las facultades de Ingeniería del país acuerdan una matriz unificada de competencias genéricas y específicas que posteriormente fue incorporada por el Ministerio y la CONEAU como la base normativa de los nuevos estándares de acreditación nacional.</w:t>
      </w:r>
      <w:r>
        <w:rPr>
          <w:rFonts w:ascii="Times New Roman" w:hAnsi="Times New Roman" w:cs="Times New Roman"/>
        </w:rPr>
        <w:t xml:space="preserve"> </w:t>
      </w:r>
    </w:p>
    <w:p w14:paraId="54EFD962" w14:textId="1A728190" w:rsidR="00AA048A" w:rsidRDefault="00AA048A" w:rsidP="000E1CAA">
      <w:pPr>
        <w:spacing w:line="240" w:lineRule="auto"/>
        <w:jc w:val="both"/>
        <w:rPr>
          <w:rFonts w:ascii="Times New Roman" w:hAnsi="Times New Roman" w:cs="Times New Roman"/>
        </w:rPr>
      </w:pPr>
      <w:r w:rsidRPr="00AA048A">
        <w:rPr>
          <w:rFonts w:ascii="Times New Roman" w:hAnsi="Times New Roman" w:cs="Times New Roman"/>
        </w:rPr>
        <w:t xml:space="preserve">Esta dinámica de gestión refleja una gobernanza basada en la concertación interinstitucional de un bloque disciplinar profesional, pero presenta desafíos operativos al momento de su traducción en el interior de cada universidad. En la dimensión curricular-organizacional, el análisis documental demuestra que las instituciones concentran sus esfuerzos en la adecuación de la ingeniería burocrática de sus planes de estudio para satisfacer las auditorías externas, lo que expone al modelo a un elevado riesgo de gobernanza nominal. Las entrevistas preliminares con gestores de este campo </w:t>
      </w:r>
      <w:r w:rsidRPr="00AA048A">
        <w:rPr>
          <w:rFonts w:ascii="Times New Roman" w:hAnsi="Times New Roman" w:cs="Times New Roman"/>
        </w:rPr>
        <w:lastRenderedPageBreak/>
        <w:t>indican que, en la dimensión de la práctica docente, una vez obtenida la acreditación formal, la estructura organizativa tradicional de las universidades —fuertemente departamentalizada y fragmentada— ejerce una fuerza de resistencia pasiva. Las cátedras estancas e independientes tienden a reabsorber la reforma, manteniendo estables las lógicas analíticas clásicas basadas en la transmisión de contenidos enciclopédicos y limitando la innovación a una mera modificación semántica en los documentos oficiales, confirmando las advertencias de Zabalza (2012) sobre el carácter formal de ciertas reformas inducidas</w:t>
      </w:r>
      <w:r>
        <w:rPr>
          <w:rFonts w:ascii="Times New Roman" w:hAnsi="Times New Roman" w:cs="Times New Roman"/>
        </w:rPr>
        <w:t xml:space="preserve">. </w:t>
      </w:r>
    </w:p>
    <w:p w14:paraId="4B44FBAF" w14:textId="333B2FF5" w:rsidR="00AA048A" w:rsidRDefault="00AA048A" w:rsidP="009244CB">
      <w:pPr>
        <w:spacing w:line="240" w:lineRule="auto"/>
        <w:jc w:val="both"/>
        <w:rPr>
          <w:rFonts w:ascii="Times New Roman" w:hAnsi="Times New Roman" w:cs="Times New Roman"/>
          <w:b/>
          <w:bCs/>
        </w:rPr>
      </w:pPr>
      <w:r w:rsidRPr="00AA048A">
        <w:rPr>
          <w:rFonts w:ascii="Times New Roman" w:hAnsi="Times New Roman" w:cs="Times New Roman"/>
          <w:b/>
          <w:bCs/>
        </w:rPr>
        <w:t xml:space="preserve">4.3 </w:t>
      </w:r>
      <w:r w:rsidR="009244CB" w:rsidRPr="009244CB">
        <w:rPr>
          <w:rFonts w:ascii="Times New Roman" w:hAnsi="Times New Roman" w:cs="Times New Roman"/>
          <w:b/>
          <w:bCs/>
        </w:rPr>
        <w:t>La competencia desde la pertinencia social: Medicina en la Universidad Nacional de Cuyo (UNCUYO)</w:t>
      </w:r>
    </w:p>
    <w:p w14:paraId="00ABA725" w14:textId="14FF0CD9" w:rsidR="009244CB" w:rsidRPr="000E1CAA" w:rsidRDefault="009244CB" w:rsidP="009244CB">
      <w:pPr>
        <w:spacing w:line="240" w:lineRule="auto"/>
        <w:jc w:val="both"/>
        <w:rPr>
          <w:rFonts w:ascii="Times New Roman" w:hAnsi="Times New Roman" w:cs="Times New Roman"/>
          <w:lang w:val="es-AR"/>
        </w:rPr>
      </w:pPr>
      <w:r w:rsidRPr="009244CB">
        <w:rPr>
          <w:rFonts w:ascii="Times New Roman" w:hAnsi="Times New Roman" w:cs="Times New Roman"/>
          <w:lang w:val="es-AR"/>
        </w:rPr>
        <w:t>El tercer escenario analítico lo constituye la carrera de Medicina de la Universidad Nacional de Cuyo (UNCUYO), una experiencia de larga data que se sitúa en la intersección de una demanda regulatoria externa estatal —por tratarse de una titulación regulada bajo el Artículo 43 de la LES— y una cultura institucional pública con una marcada identidad de vinculación regional y compromiso sociosanitario. En este caso, la gestión y traducción de los lenguajes curriculares del enfoque por competencias sufre un proceso de asimilación crítica que se distancia de las corrientes de la literatura pedagógica puramente tecnocráticas. Las autoridades, directores de carrera y colectivos docentes rechazan de forma explícita la adopción de la visión netamente funcionalista, utilitaria o mercantilista del modelo de competencias de matriz anglosajona denunciada originalmente por González, Wagenaar y Beneitone (2004).  La dinámica de gestión en la UNCUYO da forma a lo que en esta investigación se conceptualiza como una gobernanza situada e institucionalmente comprometida. En la dimensión político-institucional, el motor de la reforma no se agota en el cumplimiento del requisito burocrático ante la CONEAU, sino que se asume como una oportunidad pedagógica para actualizar la pertinencia social de la titulación frente a las demandas de salud de la comunidad. En las dimensiones curricular-organizacional y de la práctica docente, las competencias clínicas y transversales son redefinidas conceptualmente en clave de derecho a la salud, compromiso ético, atención primaria y práctica profesional situada en efectores públicos de salud. El desafío de la gestión académica aquí radica en operar una doble mediación política: los equipos directivos de la facultad deben satisfacer de manera rigurosa los indicadores estandarizados exigidos por los marcos regulatorios nacionales de acreditación (incluyendo herramientas complejas de evaluación como el ECOE), mientras resguardan la identidad político-pedagógica y la misión social de la propia universidad pública, demostrando que el enfoque por competencias puede ser apropiado de forma crítica y con alta calidad en el ámbito estatal</w:t>
      </w:r>
      <w:r>
        <w:rPr>
          <w:rFonts w:ascii="Times New Roman" w:hAnsi="Times New Roman" w:cs="Times New Roman"/>
          <w:lang w:val="es-AR"/>
        </w:rPr>
        <w:t>.</w:t>
      </w:r>
    </w:p>
    <w:p w14:paraId="28EA6557" w14:textId="4C495BD0" w:rsidR="000E1CAA" w:rsidRDefault="000E1CAA" w:rsidP="000E1CAA">
      <w:pPr>
        <w:spacing w:line="240" w:lineRule="auto"/>
        <w:jc w:val="both"/>
        <w:rPr>
          <w:rFonts w:ascii="Times New Roman" w:hAnsi="Times New Roman" w:cs="Times New Roman"/>
          <w:b/>
          <w:bCs/>
          <w:lang w:val="es-AR"/>
        </w:rPr>
      </w:pPr>
      <w:r w:rsidRPr="000E1CAA">
        <w:rPr>
          <w:rFonts w:ascii="Times New Roman" w:hAnsi="Times New Roman" w:cs="Times New Roman"/>
          <w:b/>
          <w:bCs/>
          <w:lang w:val="es-AR"/>
        </w:rPr>
        <w:t xml:space="preserve">5. Gobernanza institucional, mediación y desafíos operativos de la gestión académica </w:t>
      </w:r>
    </w:p>
    <w:p w14:paraId="7A28C973" w14:textId="7A676486" w:rsidR="008A759A" w:rsidRDefault="008A759A" w:rsidP="000E1CAA">
      <w:pPr>
        <w:spacing w:line="240" w:lineRule="auto"/>
        <w:jc w:val="both"/>
        <w:rPr>
          <w:rFonts w:ascii="Times New Roman" w:hAnsi="Times New Roman" w:cs="Times New Roman"/>
          <w:lang w:val="es-AR"/>
        </w:rPr>
      </w:pPr>
      <w:r w:rsidRPr="008A759A">
        <w:rPr>
          <w:rFonts w:ascii="Times New Roman" w:hAnsi="Times New Roman" w:cs="Times New Roman"/>
          <w:lang w:val="es-AR"/>
        </w:rPr>
        <w:t xml:space="preserve">En este </w:t>
      </w:r>
      <w:r>
        <w:rPr>
          <w:rFonts w:ascii="Times New Roman" w:hAnsi="Times New Roman" w:cs="Times New Roman"/>
          <w:lang w:val="es-AR"/>
        </w:rPr>
        <w:t>punto</w:t>
      </w:r>
      <w:r w:rsidRPr="008A759A">
        <w:rPr>
          <w:rFonts w:ascii="Times New Roman" w:hAnsi="Times New Roman" w:cs="Times New Roman"/>
          <w:lang w:val="es-AR"/>
        </w:rPr>
        <w:t xml:space="preserve"> resulta imprescindible recuperar la mirada de Díaz Barriga (2011), quien plantea que las competencias deben ser entendidas como procesos de construcción cultural y no como simples indicadores de empleabilidad. La gobernanza universitaria, por su parte, se resignifica en este contexto como un espacio de negociación permanente. Bruner (2011) señala que las tipologías de gobernanza en América Latina oscilan entre </w:t>
      </w:r>
      <w:r w:rsidRPr="008A759A">
        <w:rPr>
          <w:rFonts w:ascii="Times New Roman" w:hAnsi="Times New Roman" w:cs="Times New Roman"/>
          <w:lang w:val="es-AR"/>
        </w:rPr>
        <w:lastRenderedPageBreak/>
        <w:t xml:space="preserve">modelos jerárquicos y participativos, pero en todos los casos el EBC introduce una lógica transversal que obliga a repensar las estructuras de poder académico. </w:t>
      </w:r>
    </w:p>
    <w:p w14:paraId="3F08527B" w14:textId="52B97C59" w:rsidR="008A759A" w:rsidRPr="000E1CAA" w:rsidRDefault="008A759A" w:rsidP="000E1CAA">
      <w:pPr>
        <w:spacing w:line="240" w:lineRule="auto"/>
        <w:jc w:val="both"/>
        <w:rPr>
          <w:rFonts w:ascii="Times New Roman" w:hAnsi="Times New Roman" w:cs="Times New Roman"/>
          <w:lang w:val="es-AR"/>
        </w:rPr>
      </w:pPr>
      <w:r>
        <w:rPr>
          <w:rFonts w:ascii="Times New Roman" w:hAnsi="Times New Roman" w:cs="Times New Roman"/>
          <w:lang w:val="es-AR"/>
        </w:rPr>
        <w:t xml:space="preserve">Po su parte, </w:t>
      </w:r>
      <w:r w:rsidRPr="008A759A">
        <w:rPr>
          <w:rFonts w:ascii="Times New Roman" w:hAnsi="Times New Roman" w:cs="Times New Roman"/>
          <w:lang w:val="es-AR"/>
        </w:rPr>
        <w:t>Capurro (2026) agrega que la gestión contemporánea de la educación superior en Argentina se enfrenta a un dilema: cómo armonizar la presión internacional por la estandarización con la necesidad de preservar la diversidad institucional y la autonomía universitaria.</w:t>
      </w:r>
    </w:p>
    <w:p w14:paraId="433E72F4" w14:textId="74B98F6F" w:rsidR="000E1CAA" w:rsidRPr="000E1CAA" w:rsidRDefault="000E1CAA" w:rsidP="000E1CAA">
      <w:pPr>
        <w:spacing w:line="240" w:lineRule="auto"/>
        <w:jc w:val="both"/>
        <w:rPr>
          <w:rFonts w:ascii="Times New Roman" w:hAnsi="Times New Roman" w:cs="Times New Roman"/>
          <w:b/>
          <w:bCs/>
          <w:lang w:val="es-AR"/>
        </w:rPr>
      </w:pPr>
      <w:r w:rsidRPr="000E1CAA">
        <w:rPr>
          <w:rFonts w:ascii="Times New Roman" w:hAnsi="Times New Roman" w:cs="Times New Roman"/>
          <w:b/>
          <w:bCs/>
          <w:lang w:val="es-AR"/>
        </w:rPr>
        <w:t>5.1. La colisión entre el enfoque transdisciplinar y las estructuras de cátedra estancas</w:t>
      </w:r>
    </w:p>
    <w:p w14:paraId="4DCCC4E5" w14:textId="46A07DBC" w:rsidR="000E1CAA" w:rsidRPr="000E1CAA" w:rsidRDefault="000E1CAA" w:rsidP="000E1CAA">
      <w:pPr>
        <w:spacing w:line="240" w:lineRule="auto"/>
        <w:jc w:val="both"/>
        <w:rPr>
          <w:rFonts w:ascii="Times New Roman" w:hAnsi="Times New Roman" w:cs="Times New Roman"/>
          <w:lang w:val="es-AR"/>
        </w:rPr>
      </w:pPr>
      <w:r w:rsidRPr="000E1CAA">
        <w:rPr>
          <w:rFonts w:ascii="Times New Roman" w:hAnsi="Times New Roman" w:cs="Times New Roman"/>
          <w:lang w:val="es-AR"/>
        </w:rPr>
        <w:t xml:space="preserve">El análisis cruzado e integrado de las experiencias de la UAI, el CONFEDI y la </w:t>
      </w:r>
      <w:r w:rsidR="00FF6D1B">
        <w:rPr>
          <w:rFonts w:ascii="Times New Roman" w:hAnsi="Times New Roman" w:cs="Times New Roman"/>
          <w:lang w:val="es-AR"/>
        </w:rPr>
        <w:t xml:space="preserve">Universidad Nacional de </w:t>
      </w:r>
      <w:r w:rsidR="009244CB">
        <w:rPr>
          <w:rFonts w:ascii="Times New Roman" w:hAnsi="Times New Roman" w:cs="Times New Roman"/>
          <w:lang w:val="es-AR"/>
        </w:rPr>
        <w:t>Cuyo</w:t>
      </w:r>
      <w:r w:rsidR="00FF6D1B">
        <w:rPr>
          <w:rFonts w:ascii="Times New Roman" w:hAnsi="Times New Roman" w:cs="Times New Roman"/>
          <w:lang w:val="es-AR"/>
        </w:rPr>
        <w:t xml:space="preserve"> </w:t>
      </w:r>
      <w:r w:rsidRPr="000E1CAA">
        <w:rPr>
          <w:rFonts w:ascii="Times New Roman" w:hAnsi="Times New Roman" w:cs="Times New Roman"/>
          <w:lang w:val="es-AR"/>
        </w:rPr>
        <w:t xml:space="preserve">pone de manifiesto que el tránsito hacia el Modelo Basado en Competencias encuentra sus principales obstáculos operativos en la persistencia de las pesadas e históricas estructuras organizativas de las universidades hispanoamericanas. Los supuestos epistemológicos del modelo por competencias, concebido desde el enfoque socioformativo complejo de Tobón (2013), exigen niveles inéditos de transversalidad curricular, flexibilidad en las trayectorias de los estudiantes, articulación interdisciplinar y prácticas de evaluación colegiadas basadas en el desempeño ante problemas del contexto real. Sin embargo, esta propuesta colisiona de frente con una arquitectura institucional tradicionalmente estructurada en torno a la segmentación vertical de los conocimientos, la división en departamentos estancos y, de manera fundamental, la soberanía e independencia de la cátedra universitaria.  </w:t>
      </w:r>
    </w:p>
    <w:p w14:paraId="43AA5F41" w14:textId="77777777" w:rsidR="000E1CAA" w:rsidRPr="000E1CAA" w:rsidRDefault="000E1CAA" w:rsidP="000E1CAA">
      <w:pPr>
        <w:spacing w:line="240" w:lineRule="auto"/>
        <w:jc w:val="both"/>
        <w:rPr>
          <w:rFonts w:ascii="Times New Roman" w:hAnsi="Times New Roman" w:cs="Times New Roman"/>
          <w:lang w:val="es-AR"/>
        </w:rPr>
      </w:pPr>
      <w:r w:rsidRPr="000E1CAA">
        <w:rPr>
          <w:rFonts w:ascii="Times New Roman" w:hAnsi="Times New Roman" w:cs="Times New Roman"/>
          <w:lang w:val="es-AR"/>
        </w:rPr>
        <w:t xml:space="preserve">La gestión de esta colisión constituye el núcleo del trabajo diario de las autoridades académicas y los directores de carrera, quienes ven mutar sus funciones desde la administración burocrática clásica hacia una práctica compleja de mediación y traducción política constante. </w:t>
      </w:r>
    </w:p>
    <w:p w14:paraId="7A152730" w14:textId="723A7F4F" w:rsidR="000E1CAA" w:rsidRPr="000E1CAA" w:rsidRDefault="000E1CAA" w:rsidP="000E1CAA">
      <w:pPr>
        <w:spacing w:line="240" w:lineRule="auto"/>
        <w:jc w:val="both"/>
        <w:rPr>
          <w:rFonts w:ascii="Times New Roman" w:hAnsi="Times New Roman" w:cs="Times New Roman"/>
          <w:lang w:val="es-AR"/>
        </w:rPr>
      </w:pPr>
      <w:r w:rsidRPr="000E1CAA">
        <w:rPr>
          <w:rFonts w:ascii="Times New Roman" w:hAnsi="Times New Roman" w:cs="Times New Roman"/>
          <w:lang w:val="es-AR"/>
        </w:rPr>
        <w:t xml:space="preserve">Los gestores educativos se configuran como actores fronterizos encargados de amortiguar y procesar las tensiones entre las demandas tecno-políticas del Estado evaluador (Marquina, 2013) y las realidades concretas de las plantas docentes de sus instituciones. Para que exista una gobernanza real del modelo, los equipos de conducción deben desplegar estrategias micropolíticas que desarmen de manera progresiva la cultura del aislamiento de la cátedra, promoviendo espacios colectivos de planificación inter-cátedras y diseños didácticos integrados, una tarea que tropieza frecuentemente con los límites temporales y organizacionales del propio sistema de trabajo universitario. </w:t>
      </w:r>
    </w:p>
    <w:p w14:paraId="254FF45C" w14:textId="77777777" w:rsidR="000E1CAA" w:rsidRPr="000E1CAA" w:rsidRDefault="000E1CAA" w:rsidP="000E1CAA">
      <w:pPr>
        <w:spacing w:line="240" w:lineRule="auto"/>
        <w:jc w:val="both"/>
        <w:rPr>
          <w:rFonts w:ascii="Times New Roman" w:hAnsi="Times New Roman" w:cs="Times New Roman"/>
          <w:b/>
          <w:bCs/>
          <w:lang w:val="es-AR"/>
        </w:rPr>
      </w:pPr>
      <w:r w:rsidRPr="000E1CAA">
        <w:rPr>
          <w:rFonts w:ascii="Times New Roman" w:hAnsi="Times New Roman" w:cs="Times New Roman"/>
          <w:b/>
          <w:bCs/>
          <w:lang w:val="es-AR"/>
        </w:rPr>
        <w:t>5.2. Condiciones de trabajo docente, identidades profesionales y micro-resistencias organizacionales</w:t>
      </w:r>
    </w:p>
    <w:p w14:paraId="075E2D0A" w14:textId="77777777" w:rsidR="000E1CAA" w:rsidRPr="000E1CAA" w:rsidRDefault="000E1CAA" w:rsidP="000E1CAA">
      <w:pPr>
        <w:spacing w:line="240" w:lineRule="auto"/>
        <w:jc w:val="both"/>
        <w:rPr>
          <w:rFonts w:ascii="Times New Roman" w:hAnsi="Times New Roman" w:cs="Times New Roman"/>
          <w:lang w:val="es-AR"/>
        </w:rPr>
      </w:pPr>
      <w:r w:rsidRPr="000E1CAA">
        <w:rPr>
          <w:rFonts w:ascii="Times New Roman" w:hAnsi="Times New Roman" w:cs="Times New Roman"/>
          <w:lang w:val="es-AR"/>
        </w:rPr>
        <w:t xml:space="preserve">La viabilidad operativa del EBC en el territorio universitario se encuentra condicionada por la estructura de la planta docente y las identidades profesionales de los profesores que deben ponerlo en práctica. Como demuestran las aproximaciones empíricas de la investigación, el desarrollo de una gobernanza real del enfoque socioformativo tropieza con las condiciones objetivas de contratación de la fuerza de trabajo académica en Argentina. </w:t>
      </w:r>
    </w:p>
    <w:p w14:paraId="42F29447" w14:textId="77777777" w:rsidR="000E1CAA" w:rsidRPr="000E1CAA" w:rsidRDefault="000E1CAA" w:rsidP="000E1CAA">
      <w:pPr>
        <w:spacing w:line="240" w:lineRule="auto"/>
        <w:jc w:val="both"/>
        <w:rPr>
          <w:rFonts w:ascii="Times New Roman" w:hAnsi="Times New Roman" w:cs="Times New Roman"/>
          <w:lang w:val="es-AR"/>
        </w:rPr>
      </w:pPr>
      <w:r w:rsidRPr="000E1CAA">
        <w:rPr>
          <w:rFonts w:ascii="Times New Roman" w:hAnsi="Times New Roman" w:cs="Times New Roman"/>
          <w:lang w:val="es-AR"/>
        </w:rPr>
        <w:lastRenderedPageBreak/>
        <w:t xml:space="preserve">De acuerdo con los análisis de García de Fanelli (2015), las plantas docentes universitarias se caracterizan por una elevada proporción de designaciones de dedicación simple o carácter interino. Esta fragmentación de la dedicación horaria implica que la mayoría de los profesores concentran su tiempo institucional exclusivamente en el dictado de sus clases, disponiendo de escasos o nulos márgenes de tiempo remunerado para asistir a programas de capacitación continua, participar de reuniones colectivas de diseño curricular o confeccionar los complejos instrumentos de evaluación por rúbricas que exige el modelo.  A estas restricciones materiales se añade la fuerza de los componentes culturales e identitarios de la profesión académica estudiados por Marquina (2012). </w:t>
      </w:r>
    </w:p>
    <w:p w14:paraId="6F2F31BF" w14:textId="77777777" w:rsidR="000E1CAA" w:rsidRPr="000E1CAA" w:rsidRDefault="000E1CAA" w:rsidP="000E1CAA">
      <w:pPr>
        <w:spacing w:line="240" w:lineRule="auto"/>
        <w:jc w:val="both"/>
        <w:rPr>
          <w:rFonts w:ascii="Times New Roman" w:hAnsi="Times New Roman" w:cs="Times New Roman"/>
          <w:lang w:val="es-AR"/>
        </w:rPr>
      </w:pPr>
      <w:r w:rsidRPr="000E1CAA">
        <w:rPr>
          <w:rFonts w:ascii="Times New Roman" w:hAnsi="Times New Roman" w:cs="Times New Roman"/>
          <w:lang w:val="es-AR"/>
        </w:rPr>
        <w:t xml:space="preserve">Los cuerpos de profesores universitarios poseen identidades disciplinares consolidadas y estructuras de saberes que tienden a reproducirse a partir de lo que Vain (2015) denomina la biografía escolar. Los docentes universitarios suelen replicar las lógicas de enseñanza tradicionales bajo las cuales fueron formados y legitimados profesionalmente; por lo tanto, la imposición externa de un nuevo lenguaje de gestión centrado en los resultados de aprendizaje y las competencias de los estudiantes suele ser interpretada por el profesorado como una agresión a su autonomía intelectual, una intromisión burocrática del Estado evaluador o una sobrecarga de tareas administrativas sin un sentido pedagógico claro. </w:t>
      </w:r>
    </w:p>
    <w:p w14:paraId="418A9D08" w14:textId="3C155EB6" w:rsidR="00CF4610" w:rsidRPr="000E1CAA" w:rsidRDefault="000E1CAA" w:rsidP="000E1CAA">
      <w:pPr>
        <w:spacing w:line="240" w:lineRule="auto"/>
        <w:jc w:val="both"/>
        <w:rPr>
          <w:rFonts w:ascii="Times New Roman" w:hAnsi="Times New Roman" w:cs="Times New Roman"/>
          <w:lang w:val="es-AR"/>
        </w:rPr>
      </w:pPr>
      <w:r w:rsidRPr="000E1CAA">
        <w:rPr>
          <w:rFonts w:ascii="Times New Roman" w:hAnsi="Times New Roman" w:cs="Times New Roman"/>
          <w:lang w:val="es-AR"/>
        </w:rPr>
        <w:t xml:space="preserve">En respuesta, las comunidades académicas despliegan sutiles estrategias de micro-resistencia organizacional, ensayando respuestas adaptativas de carácter cosmético: modifican la nomenclatura de los programas analíticos para sortear las auditorías y asegurar la acreditación de la carrera, pero preservan intactas sus prácticas tradicionales de enseñanza expositiva y evaluación memorística en el interior de las aulas, reduciendo la reforma a un ejercicio de gobernanza nominal.  </w:t>
      </w:r>
    </w:p>
    <w:p w14:paraId="777811A2" w14:textId="346F5437" w:rsidR="000E1CAA" w:rsidRPr="000E1CAA" w:rsidRDefault="00E1374F" w:rsidP="000E1CAA">
      <w:pPr>
        <w:spacing w:line="240" w:lineRule="auto"/>
        <w:jc w:val="both"/>
        <w:rPr>
          <w:rFonts w:ascii="Times New Roman" w:hAnsi="Times New Roman" w:cs="Times New Roman"/>
          <w:b/>
          <w:bCs/>
          <w:lang w:val="es-AR"/>
        </w:rPr>
      </w:pPr>
      <w:r>
        <w:rPr>
          <w:rFonts w:ascii="Times New Roman" w:hAnsi="Times New Roman" w:cs="Times New Roman"/>
          <w:b/>
          <w:bCs/>
          <w:lang w:val="es-AR"/>
        </w:rPr>
        <w:t xml:space="preserve">6- </w:t>
      </w:r>
      <w:r w:rsidR="000E1CAA" w:rsidRPr="000E1CAA">
        <w:rPr>
          <w:rFonts w:ascii="Times New Roman" w:hAnsi="Times New Roman" w:cs="Times New Roman"/>
          <w:b/>
          <w:bCs/>
          <w:lang w:val="es-AR"/>
        </w:rPr>
        <w:t>Conclusiones y reflexiones finales: Hacia una gestión situada</w:t>
      </w:r>
    </w:p>
    <w:p w14:paraId="49D2044C" w14:textId="0D01015D" w:rsidR="009244CB" w:rsidRDefault="009244CB" w:rsidP="000E1CAA">
      <w:pPr>
        <w:spacing w:line="240" w:lineRule="auto"/>
        <w:jc w:val="both"/>
        <w:rPr>
          <w:rFonts w:ascii="Times New Roman" w:hAnsi="Times New Roman" w:cs="Times New Roman"/>
          <w:lang w:val="es-AR"/>
        </w:rPr>
      </w:pPr>
      <w:r w:rsidRPr="009244CB">
        <w:rPr>
          <w:rFonts w:ascii="Times New Roman" w:hAnsi="Times New Roman" w:cs="Times New Roman"/>
          <w:lang w:val="es-AR"/>
        </w:rPr>
        <w:t xml:space="preserve">La implementación del modelo por competencias se proyecta como un proceso inacabado y atravesado por disputas de sentido. El diseño analítico propuesto sugiere que no existe una única forma de gestionar el EBC; se parte del supuesto de que los casos de la UAI, el CONFEDI y la carrera de Medicina de la Universidad Nacional de Cuyo evidenciarán trayectorias que dependen inexorablemente de la historia institucional, las regulaciones y la proactividad micropolítica de sus actores.  El análisis comparativo y cruzado que guiará este estudio busca poner a prueba la premisa de que la adopción del Enfoque Basado en Competencias en la educación superior argentina dista de ser un proceso homogéneo, lineal o meramente técnico. Por el contrario, se anticipa la identificación de un territorio fragmentado donde el tránsito entre una gobernanza nominal —restringida a la adecuación burocrática de los programas de estudio para satisfacer al Estado evaluador— y una gobernanza real —capaz de transformar las prácticas áulicas de fondo— constituirá, hipotéticamente, la principal encrucijada operativa de las reformas actuales.  A partir de los presupuestos teóricos que sustentan este proyecto, la investigación se orienta a explorar la necesidad de una "gestión académica situada". Esta perspectiva preliminar invita a problematizar la ilusión de que el mero cambio normativo o la prescripción curricular aseguran de por sí la transformación de la enseñanza. Se plantea, como </w:t>
      </w:r>
      <w:r w:rsidRPr="009244CB">
        <w:rPr>
          <w:rFonts w:ascii="Times New Roman" w:hAnsi="Times New Roman" w:cs="Times New Roman"/>
          <w:lang w:val="es-AR"/>
        </w:rPr>
        <w:lastRenderedPageBreak/>
        <w:t xml:space="preserve">horizonte de análisis, que una gestión situada debería ser aquella capaz de leer el propio ecosistema institucional, reconocer el peso de las biografías escolares y las identidades docentes, y propiciar la hibridación de las demandas internacionales con la identidad histórica y la autonomía de las universidades locales.  </w:t>
      </w:r>
    </w:p>
    <w:p w14:paraId="0171972D" w14:textId="5FB78BAA" w:rsidR="009244CB" w:rsidRPr="009244CB" w:rsidRDefault="009244CB" w:rsidP="009244CB">
      <w:pPr>
        <w:spacing w:line="240" w:lineRule="auto"/>
        <w:jc w:val="both"/>
        <w:rPr>
          <w:rFonts w:ascii="Times New Roman" w:hAnsi="Times New Roman" w:cs="Times New Roman"/>
          <w:lang w:val="es-AR"/>
        </w:rPr>
      </w:pPr>
      <w:r w:rsidRPr="009244CB">
        <w:rPr>
          <w:rFonts w:ascii="Times New Roman" w:hAnsi="Times New Roman" w:cs="Times New Roman"/>
          <w:lang w:val="es-AR"/>
        </w:rPr>
        <w:t>En definitiva, este avance de investigación asume que los desafíos del EBC obligan a interrogar de manera crítica las dinámicas de gobernanza y las capacidades de gestión de las autoridades académicas</w:t>
      </w:r>
      <w:r>
        <w:rPr>
          <w:rFonts w:ascii="Times New Roman" w:hAnsi="Times New Roman" w:cs="Times New Roman"/>
          <w:lang w:val="es-AR"/>
        </w:rPr>
        <w:t xml:space="preserve"> y sus equipos. </w:t>
      </w:r>
      <w:r w:rsidRPr="009244CB">
        <w:rPr>
          <w:rFonts w:ascii="Times New Roman" w:hAnsi="Times New Roman" w:cs="Times New Roman"/>
          <w:lang w:val="es-AR"/>
        </w:rPr>
        <w:t>Frente a estructuras organizacionales históricamente atomizadas en asignaturas independientes, el estudio se propone indagar si la viabilidad real del modelo se encuentra supeditada a la construcción de liderazgos de mediación capaces de transformar la cultura organizacional.</w:t>
      </w:r>
    </w:p>
    <w:p w14:paraId="7A9E05F4" w14:textId="38A46623" w:rsidR="009244CB" w:rsidRDefault="009244CB" w:rsidP="000E1CAA">
      <w:pPr>
        <w:spacing w:line="240" w:lineRule="auto"/>
        <w:jc w:val="both"/>
        <w:rPr>
          <w:rFonts w:ascii="Times New Roman" w:hAnsi="Times New Roman" w:cs="Times New Roman"/>
          <w:lang w:val="es-AR"/>
        </w:rPr>
      </w:pPr>
      <w:r w:rsidRPr="009244CB">
        <w:rPr>
          <w:rFonts w:ascii="Times New Roman" w:hAnsi="Times New Roman" w:cs="Times New Roman"/>
          <w:lang w:val="es-AR"/>
        </w:rPr>
        <w:t>El trabajo de campo proyectado será el encargado de contrastar estos supuestos analíticos con las narrativas fácticas de los actores en el territorio, buscando aportar insumos críticos para comprender la compleja brecha existente entre el currículum formal y el real en el siglo XXI</w:t>
      </w:r>
      <w:r>
        <w:rPr>
          <w:rFonts w:ascii="Times New Roman" w:hAnsi="Times New Roman" w:cs="Times New Roman"/>
          <w:lang w:val="es-AR"/>
        </w:rPr>
        <w:t>.</w:t>
      </w:r>
    </w:p>
    <w:p w14:paraId="462DCE02" w14:textId="7F4C7BD6" w:rsidR="009244CB" w:rsidRDefault="000E1CAA" w:rsidP="000E1CAA">
      <w:pPr>
        <w:spacing w:line="240" w:lineRule="auto"/>
        <w:jc w:val="both"/>
        <w:rPr>
          <w:rFonts w:ascii="Times New Roman" w:hAnsi="Times New Roman" w:cs="Times New Roman"/>
          <w:lang w:val="es-AR"/>
        </w:rPr>
      </w:pPr>
      <w:r w:rsidRPr="000E1CAA">
        <w:rPr>
          <w:rFonts w:ascii="Times New Roman" w:hAnsi="Times New Roman" w:cs="Times New Roman"/>
          <w:lang w:val="es-AR"/>
        </w:rPr>
        <w:t>Solo reconociendo el valor vital de lo que sucede en el territorio universitario podremos garantizar respuestas auténticas frente a la complejidad del siglo XXI.</w:t>
      </w:r>
    </w:p>
    <w:p w14:paraId="3437BCAD" w14:textId="77777777" w:rsidR="009244CB" w:rsidRPr="009244CB" w:rsidRDefault="009244CB" w:rsidP="000E1CAA">
      <w:pPr>
        <w:spacing w:line="240" w:lineRule="auto"/>
        <w:jc w:val="both"/>
        <w:rPr>
          <w:rFonts w:ascii="Times New Roman" w:hAnsi="Times New Roman" w:cs="Times New Roman"/>
          <w:lang w:val="es-AR"/>
        </w:rPr>
      </w:pPr>
      <w:bookmarkStart w:id="0" w:name="_GoBack"/>
      <w:bookmarkEnd w:id="0"/>
    </w:p>
    <w:p w14:paraId="4291FA53" w14:textId="43CDAC54" w:rsidR="000E1CAA" w:rsidRPr="000E1CAA" w:rsidRDefault="00E1374F" w:rsidP="000E1CAA">
      <w:pPr>
        <w:spacing w:line="240" w:lineRule="auto"/>
        <w:jc w:val="both"/>
        <w:rPr>
          <w:rFonts w:ascii="Times New Roman" w:hAnsi="Times New Roman" w:cs="Times New Roman"/>
          <w:b/>
          <w:bCs/>
          <w:lang w:val="es-AR"/>
        </w:rPr>
      </w:pPr>
      <w:r>
        <w:rPr>
          <w:rFonts w:ascii="Times New Roman" w:hAnsi="Times New Roman" w:cs="Times New Roman"/>
          <w:b/>
          <w:bCs/>
          <w:lang w:val="es-AR"/>
        </w:rPr>
        <w:t xml:space="preserve">7- </w:t>
      </w:r>
      <w:r w:rsidR="000E1CAA" w:rsidRPr="000E1CAA">
        <w:rPr>
          <w:rFonts w:ascii="Times New Roman" w:hAnsi="Times New Roman" w:cs="Times New Roman"/>
          <w:b/>
          <w:bCs/>
          <w:lang w:val="es-AR"/>
        </w:rPr>
        <w:t>Referencias</w:t>
      </w:r>
      <w:r w:rsidR="000E1CAA">
        <w:rPr>
          <w:rFonts w:ascii="Times New Roman" w:hAnsi="Times New Roman" w:cs="Times New Roman"/>
          <w:b/>
          <w:bCs/>
          <w:lang w:val="es-AR"/>
        </w:rPr>
        <w:t xml:space="preserve"> Bibliográficas</w:t>
      </w:r>
    </w:p>
    <w:p w14:paraId="188992DE" w14:textId="77777777" w:rsidR="00E12A0F" w:rsidRDefault="00E12A0F" w:rsidP="00E12A0F">
      <w:pPr>
        <w:spacing w:line="240" w:lineRule="auto"/>
        <w:ind w:hanging="709"/>
        <w:jc w:val="both"/>
        <w:rPr>
          <w:rFonts w:ascii="Times New Roman" w:hAnsi="Times New Roman" w:cs="Times New Roman"/>
          <w:lang w:val="es-AR"/>
        </w:rPr>
      </w:pPr>
      <w:r w:rsidRPr="00E12A0F">
        <w:rPr>
          <w:rFonts w:ascii="Times New Roman" w:hAnsi="Times New Roman" w:cs="Times New Roman"/>
          <w:b/>
          <w:bCs/>
          <w:lang w:val="es-AR"/>
        </w:rPr>
        <w:t>Beneitone, P., Esquetini, C., González, J., Maletá, M. M., Siufi, G., &amp; Wagenaar, R. (2007).</w:t>
      </w:r>
      <w:r w:rsidRPr="00E12A0F">
        <w:rPr>
          <w:rFonts w:ascii="Times New Roman" w:hAnsi="Times New Roman" w:cs="Times New Roman"/>
          <w:lang w:val="es-AR"/>
        </w:rPr>
        <w:t xml:space="preserve"> </w:t>
      </w:r>
      <w:r w:rsidRPr="00E12A0F">
        <w:rPr>
          <w:rFonts w:ascii="Times New Roman" w:hAnsi="Times New Roman" w:cs="Times New Roman"/>
          <w:i/>
          <w:iCs/>
          <w:lang w:val="es-AR"/>
        </w:rPr>
        <w:t>Reflexiones y perspectivas de la Educación Superior en América Latina: Informe Final - Proyecto Tuning - América Latina 2004-2007</w:t>
      </w:r>
      <w:r w:rsidRPr="00E12A0F">
        <w:rPr>
          <w:rFonts w:ascii="Times New Roman" w:hAnsi="Times New Roman" w:cs="Times New Roman"/>
          <w:lang w:val="es-AR"/>
        </w:rPr>
        <w:t>. Universidad de Deusto.</w:t>
      </w:r>
    </w:p>
    <w:p w14:paraId="289EACD0" w14:textId="51327A45" w:rsidR="00E12A0F" w:rsidRPr="00E12A0F" w:rsidRDefault="00E12A0F" w:rsidP="00E12A0F">
      <w:pPr>
        <w:spacing w:line="240" w:lineRule="auto"/>
        <w:ind w:hanging="709"/>
        <w:jc w:val="both"/>
        <w:rPr>
          <w:rFonts w:ascii="Times New Roman" w:hAnsi="Times New Roman" w:cs="Times New Roman"/>
          <w:lang w:val="es-AR"/>
        </w:rPr>
      </w:pPr>
      <w:r w:rsidRPr="00E12A0F">
        <w:rPr>
          <w:rFonts w:ascii="Times New Roman" w:hAnsi="Times New Roman" w:cs="Times New Roman"/>
          <w:lang w:val="es-AR"/>
        </w:rPr>
        <w:t xml:space="preserve"> </w:t>
      </w:r>
      <w:r w:rsidRPr="00E12A0F">
        <w:rPr>
          <w:rFonts w:ascii="Times New Roman" w:hAnsi="Times New Roman" w:cs="Times New Roman"/>
          <w:b/>
          <w:bCs/>
          <w:lang w:val="es-AR"/>
        </w:rPr>
        <w:t>Bonatti, J., García, L., &amp; Canan, M. (2025).</w:t>
      </w:r>
      <w:r w:rsidRPr="00E12A0F">
        <w:rPr>
          <w:rFonts w:ascii="Times New Roman" w:hAnsi="Times New Roman" w:cs="Times New Roman"/>
          <w:lang w:val="es-AR"/>
        </w:rPr>
        <w:t xml:space="preserve"> </w:t>
      </w:r>
      <w:r w:rsidRPr="00E12A0F">
        <w:rPr>
          <w:rFonts w:ascii="Times New Roman" w:hAnsi="Times New Roman" w:cs="Times New Roman"/>
          <w:i/>
          <w:iCs/>
          <w:lang w:val="es-AR"/>
        </w:rPr>
        <w:t>Autonomía y gobernanza universitaria en Argentina: debates contemporáneos</w:t>
      </w:r>
      <w:r w:rsidRPr="00E12A0F">
        <w:rPr>
          <w:rFonts w:ascii="Times New Roman" w:hAnsi="Times New Roman" w:cs="Times New Roman"/>
          <w:lang w:val="es-AR"/>
        </w:rPr>
        <w:t>. Editorial Universitaria.</w:t>
      </w:r>
    </w:p>
    <w:p w14:paraId="6A5872CA" w14:textId="70D41467" w:rsidR="00E12A0F" w:rsidRPr="00E12A0F" w:rsidRDefault="00E12A0F" w:rsidP="00E12A0F">
      <w:pPr>
        <w:spacing w:line="240" w:lineRule="auto"/>
        <w:ind w:hanging="709"/>
        <w:jc w:val="both"/>
        <w:rPr>
          <w:rFonts w:ascii="Times New Roman" w:hAnsi="Times New Roman" w:cs="Times New Roman"/>
          <w:lang w:val="es-AR"/>
        </w:rPr>
      </w:pPr>
      <w:r w:rsidRPr="00E12A0F">
        <w:rPr>
          <w:rFonts w:ascii="Times New Roman" w:hAnsi="Times New Roman" w:cs="Times New Roman"/>
          <w:b/>
          <w:bCs/>
          <w:lang w:val="es-AR"/>
        </w:rPr>
        <w:t>Bruner, J. J. (2011).</w:t>
      </w:r>
      <w:r w:rsidRPr="00E12A0F">
        <w:rPr>
          <w:rFonts w:ascii="Times New Roman" w:hAnsi="Times New Roman" w:cs="Times New Roman"/>
          <w:lang w:val="es-AR"/>
        </w:rPr>
        <w:t xml:space="preserve"> Gobernanza universitaria: Tipologías, dinámicas y tendencias. </w:t>
      </w:r>
      <w:r w:rsidRPr="00E12A0F">
        <w:rPr>
          <w:rFonts w:ascii="Times New Roman" w:hAnsi="Times New Roman" w:cs="Times New Roman"/>
          <w:i/>
          <w:iCs/>
          <w:lang w:val="es-AR"/>
        </w:rPr>
        <w:t>Revista de Educación Superior, 40</w:t>
      </w:r>
      <w:r w:rsidRPr="00E12A0F">
        <w:rPr>
          <w:rFonts w:ascii="Times New Roman" w:hAnsi="Times New Roman" w:cs="Times New Roman"/>
          <w:lang w:val="es-AR"/>
        </w:rPr>
        <w:t>(157), 81-103.</w:t>
      </w:r>
    </w:p>
    <w:p w14:paraId="5E38974F" w14:textId="1116B7B4" w:rsidR="00E12A0F" w:rsidRPr="00E12A0F" w:rsidRDefault="00E12A0F" w:rsidP="00E12A0F">
      <w:pPr>
        <w:spacing w:line="240" w:lineRule="auto"/>
        <w:ind w:hanging="709"/>
        <w:jc w:val="both"/>
        <w:rPr>
          <w:rFonts w:ascii="Times New Roman" w:hAnsi="Times New Roman" w:cs="Times New Roman"/>
          <w:lang w:val="es-AR"/>
        </w:rPr>
      </w:pPr>
      <w:r w:rsidRPr="00E12A0F">
        <w:rPr>
          <w:rFonts w:ascii="Times New Roman" w:hAnsi="Times New Roman" w:cs="Times New Roman"/>
          <w:b/>
          <w:bCs/>
          <w:lang w:val="es-AR"/>
        </w:rPr>
        <w:t>Capurro, N. (2026).</w:t>
      </w:r>
      <w:r w:rsidRPr="00E12A0F">
        <w:rPr>
          <w:rFonts w:ascii="Times New Roman" w:hAnsi="Times New Roman" w:cs="Times New Roman"/>
          <w:lang w:val="es-AR"/>
        </w:rPr>
        <w:t xml:space="preserve"> </w:t>
      </w:r>
      <w:r w:rsidRPr="00E12A0F">
        <w:rPr>
          <w:rFonts w:ascii="Times New Roman" w:hAnsi="Times New Roman" w:cs="Times New Roman"/>
          <w:i/>
          <w:iCs/>
          <w:lang w:val="es-AR"/>
        </w:rPr>
        <w:t>Tendencias contemporáneas y transformaciones en la gestión de la educación superior en Argentina</w:t>
      </w:r>
      <w:r w:rsidRPr="00E12A0F">
        <w:rPr>
          <w:rFonts w:ascii="Times New Roman" w:hAnsi="Times New Roman" w:cs="Times New Roman"/>
          <w:lang w:val="es-AR"/>
        </w:rPr>
        <w:t>. Editorial Universitaria.</w:t>
      </w:r>
    </w:p>
    <w:p w14:paraId="5452DEC8" w14:textId="77777777" w:rsidR="00E12A0F" w:rsidRDefault="00E12A0F" w:rsidP="00E12A0F">
      <w:pPr>
        <w:spacing w:line="240" w:lineRule="auto"/>
        <w:ind w:hanging="709"/>
        <w:jc w:val="both"/>
        <w:rPr>
          <w:rFonts w:ascii="Times New Roman" w:hAnsi="Times New Roman" w:cs="Times New Roman"/>
          <w:lang w:val="es-AR"/>
        </w:rPr>
      </w:pPr>
      <w:r w:rsidRPr="00E12A0F">
        <w:rPr>
          <w:rFonts w:ascii="Times New Roman" w:hAnsi="Times New Roman" w:cs="Times New Roman"/>
          <w:b/>
          <w:bCs/>
          <w:lang w:val="es-AR"/>
        </w:rPr>
        <w:t>Carli, S. (2018).</w:t>
      </w:r>
      <w:r w:rsidRPr="00E12A0F">
        <w:rPr>
          <w:rFonts w:ascii="Times New Roman" w:hAnsi="Times New Roman" w:cs="Times New Roman"/>
          <w:lang w:val="es-AR"/>
        </w:rPr>
        <w:t xml:space="preserve"> </w:t>
      </w:r>
      <w:r w:rsidRPr="00E12A0F">
        <w:rPr>
          <w:rFonts w:ascii="Times New Roman" w:hAnsi="Times New Roman" w:cs="Times New Roman"/>
          <w:i/>
          <w:iCs/>
          <w:lang w:val="es-AR"/>
        </w:rPr>
        <w:t>La universidad argentina en el siglo XXI: tensiones y desafíos</w:t>
      </w:r>
      <w:r w:rsidRPr="00E12A0F">
        <w:rPr>
          <w:rFonts w:ascii="Times New Roman" w:hAnsi="Times New Roman" w:cs="Times New Roman"/>
          <w:lang w:val="es-AR"/>
        </w:rPr>
        <w:t>. Miño y Dávila.</w:t>
      </w:r>
    </w:p>
    <w:p w14:paraId="07C42313" w14:textId="07940365" w:rsidR="00E12A0F" w:rsidRPr="00E12A0F" w:rsidRDefault="00E12A0F" w:rsidP="00E12A0F">
      <w:pPr>
        <w:spacing w:line="240" w:lineRule="auto"/>
        <w:ind w:hanging="709"/>
        <w:jc w:val="both"/>
        <w:rPr>
          <w:rFonts w:ascii="Times New Roman" w:hAnsi="Times New Roman" w:cs="Times New Roman"/>
          <w:lang w:val="es-AR"/>
        </w:rPr>
      </w:pPr>
      <w:r w:rsidRPr="00E12A0F">
        <w:rPr>
          <w:rFonts w:ascii="Times New Roman" w:hAnsi="Times New Roman" w:cs="Times New Roman"/>
          <w:b/>
          <w:bCs/>
          <w:lang w:val="es-AR"/>
        </w:rPr>
        <w:t xml:space="preserve">Conselho Nacional de Educação. (2025). </w:t>
      </w:r>
      <w:r w:rsidRPr="00E12A0F">
        <w:rPr>
          <w:rFonts w:ascii="Times New Roman" w:hAnsi="Times New Roman" w:cs="Times New Roman"/>
          <w:i/>
          <w:iCs/>
          <w:lang w:val="es-AR"/>
        </w:rPr>
        <w:t>Revisão das Diretrizes Curriculares Nacionais para Medicina e Engenharia</w:t>
      </w:r>
      <w:r w:rsidRPr="00E12A0F">
        <w:rPr>
          <w:rFonts w:ascii="Times New Roman" w:hAnsi="Times New Roman" w:cs="Times New Roman"/>
          <w:lang w:val="es-AR"/>
        </w:rPr>
        <w:t>. Brasília: MEC.</w:t>
      </w:r>
    </w:p>
    <w:p w14:paraId="0A8257D6" w14:textId="4A4A4E82" w:rsidR="00E12A0F" w:rsidRPr="00E12A0F" w:rsidRDefault="00E12A0F" w:rsidP="00E12A0F">
      <w:pPr>
        <w:spacing w:line="240" w:lineRule="auto"/>
        <w:ind w:hanging="709"/>
        <w:jc w:val="both"/>
        <w:rPr>
          <w:rFonts w:ascii="Times New Roman" w:hAnsi="Times New Roman" w:cs="Times New Roman"/>
          <w:lang w:val="es-AR"/>
        </w:rPr>
      </w:pPr>
      <w:r w:rsidRPr="00E12A0F">
        <w:rPr>
          <w:rFonts w:ascii="Times New Roman" w:hAnsi="Times New Roman" w:cs="Times New Roman"/>
          <w:b/>
          <w:bCs/>
          <w:lang w:val="es-AR"/>
        </w:rPr>
        <w:t xml:space="preserve">Díaz Barriga, A. (2011). </w:t>
      </w:r>
      <w:r w:rsidRPr="00E12A0F">
        <w:rPr>
          <w:rFonts w:ascii="Times New Roman" w:hAnsi="Times New Roman" w:cs="Times New Roman"/>
          <w:lang w:val="es-AR"/>
        </w:rPr>
        <w:t xml:space="preserve">Competencias en educación. Corrientes de pensamiento e implicaciones para el currículo y el trabajo en el aula. </w:t>
      </w:r>
      <w:r w:rsidRPr="00E12A0F">
        <w:rPr>
          <w:rFonts w:ascii="Times New Roman" w:hAnsi="Times New Roman" w:cs="Times New Roman"/>
          <w:i/>
          <w:iCs/>
          <w:lang w:val="es-AR"/>
        </w:rPr>
        <w:t>Revista Iberoamericana de Educación Superior, 2</w:t>
      </w:r>
      <w:r w:rsidRPr="00E12A0F">
        <w:rPr>
          <w:rFonts w:ascii="Times New Roman" w:hAnsi="Times New Roman" w:cs="Times New Roman"/>
          <w:lang w:val="es-AR"/>
        </w:rPr>
        <w:t>(5), 3-24.</w:t>
      </w:r>
    </w:p>
    <w:p w14:paraId="0BF79EA7" w14:textId="77777777" w:rsidR="00E12A0F" w:rsidRDefault="00E12A0F" w:rsidP="00E12A0F">
      <w:pPr>
        <w:spacing w:line="240" w:lineRule="auto"/>
        <w:ind w:hanging="709"/>
        <w:jc w:val="both"/>
        <w:rPr>
          <w:rFonts w:ascii="Times New Roman" w:hAnsi="Times New Roman" w:cs="Times New Roman"/>
          <w:lang w:val="es-AR"/>
        </w:rPr>
      </w:pPr>
      <w:r w:rsidRPr="00E12A0F">
        <w:rPr>
          <w:rFonts w:ascii="Times New Roman" w:hAnsi="Times New Roman" w:cs="Times New Roman"/>
          <w:b/>
          <w:bCs/>
          <w:lang w:val="es-AR"/>
        </w:rPr>
        <w:t>Fernández Lamarra, N. (2012).</w:t>
      </w:r>
      <w:r w:rsidRPr="00E12A0F">
        <w:rPr>
          <w:rFonts w:ascii="Times New Roman" w:hAnsi="Times New Roman" w:cs="Times New Roman"/>
          <w:lang w:val="es-AR"/>
        </w:rPr>
        <w:t xml:space="preserve"> </w:t>
      </w:r>
      <w:r w:rsidRPr="00E12A0F">
        <w:rPr>
          <w:rFonts w:ascii="Times New Roman" w:hAnsi="Times New Roman" w:cs="Times New Roman"/>
          <w:i/>
          <w:iCs/>
          <w:lang w:val="es-AR"/>
        </w:rPr>
        <w:t>La educación superior en América Latina: Desafíos y oportunidades</w:t>
      </w:r>
      <w:r w:rsidRPr="00E12A0F">
        <w:rPr>
          <w:rFonts w:ascii="Times New Roman" w:hAnsi="Times New Roman" w:cs="Times New Roman"/>
          <w:lang w:val="es-AR"/>
        </w:rPr>
        <w:t>. EDUNTREF.</w:t>
      </w:r>
    </w:p>
    <w:p w14:paraId="054FFD30" w14:textId="51CBA14B" w:rsidR="00E12A0F" w:rsidRPr="00E12A0F" w:rsidRDefault="00E12A0F" w:rsidP="00E12A0F">
      <w:pPr>
        <w:spacing w:line="240" w:lineRule="auto"/>
        <w:ind w:hanging="709"/>
        <w:jc w:val="both"/>
        <w:rPr>
          <w:rFonts w:ascii="Times New Roman" w:hAnsi="Times New Roman" w:cs="Times New Roman"/>
          <w:lang w:val="es-AR"/>
        </w:rPr>
      </w:pPr>
      <w:r w:rsidRPr="00E12A0F">
        <w:rPr>
          <w:rFonts w:ascii="Times New Roman" w:hAnsi="Times New Roman" w:cs="Times New Roman"/>
          <w:b/>
          <w:bCs/>
          <w:lang w:val="es-AR"/>
        </w:rPr>
        <w:t xml:space="preserve"> García de Fanelli,</w:t>
      </w:r>
      <w:r w:rsidRPr="00E12A0F">
        <w:rPr>
          <w:rFonts w:ascii="Times New Roman" w:hAnsi="Times New Roman" w:cs="Times New Roman"/>
          <w:lang w:val="es-AR"/>
        </w:rPr>
        <w:t xml:space="preserve"> A. (2015). El financiamiento de la educación superior en la Argentina: Tendencias y dilemas. </w:t>
      </w:r>
      <w:r w:rsidRPr="00E12A0F">
        <w:rPr>
          <w:rFonts w:ascii="Times New Roman" w:hAnsi="Times New Roman" w:cs="Times New Roman"/>
          <w:i/>
          <w:iCs/>
          <w:lang w:val="es-AR"/>
        </w:rPr>
        <w:t>Revista de la Educación Superior, 44</w:t>
      </w:r>
      <w:r w:rsidRPr="00E12A0F">
        <w:rPr>
          <w:rFonts w:ascii="Times New Roman" w:hAnsi="Times New Roman" w:cs="Times New Roman"/>
          <w:lang w:val="es-AR"/>
        </w:rPr>
        <w:t>(176), 19-44.</w:t>
      </w:r>
    </w:p>
    <w:p w14:paraId="0A05D4CD" w14:textId="77777777" w:rsidR="00E12A0F" w:rsidRDefault="00E12A0F" w:rsidP="00E12A0F">
      <w:pPr>
        <w:spacing w:line="240" w:lineRule="auto"/>
        <w:ind w:hanging="709"/>
        <w:jc w:val="both"/>
        <w:rPr>
          <w:rFonts w:ascii="Times New Roman" w:hAnsi="Times New Roman" w:cs="Times New Roman"/>
          <w:lang w:val="es-AR"/>
        </w:rPr>
      </w:pPr>
      <w:r w:rsidRPr="00E12A0F">
        <w:rPr>
          <w:rFonts w:ascii="Times New Roman" w:hAnsi="Times New Roman" w:cs="Times New Roman"/>
          <w:b/>
          <w:bCs/>
          <w:lang w:val="es-AR"/>
        </w:rPr>
        <w:lastRenderedPageBreak/>
        <w:t>González, J., Wagenaar, R., &amp; Beneitone, P.</w:t>
      </w:r>
      <w:r w:rsidRPr="00E12A0F">
        <w:rPr>
          <w:rFonts w:ascii="Times New Roman" w:hAnsi="Times New Roman" w:cs="Times New Roman"/>
          <w:lang w:val="es-AR"/>
        </w:rPr>
        <w:t xml:space="preserve"> (2004). Tuning América Latina: Un proyecto de universidades para universidades. </w:t>
      </w:r>
      <w:r w:rsidRPr="00E12A0F">
        <w:rPr>
          <w:rFonts w:ascii="Times New Roman" w:hAnsi="Times New Roman" w:cs="Times New Roman"/>
          <w:i/>
          <w:iCs/>
          <w:lang w:val="es-AR"/>
        </w:rPr>
        <w:t>Revista Iberoamericana de Educación, 35</w:t>
      </w:r>
      <w:r w:rsidRPr="00E12A0F">
        <w:rPr>
          <w:rFonts w:ascii="Times New Roman" w:hAnsi="Times New Roman" w:cs="Times New Roman"/>
          <w:lang w:val="es-AR"/>
        </w:rPr>
        <w:t>(1), 151-164</w:t>
      </w:r>
      <w:r>
        <w:rPr>
          <w:rFonts w:ascii="Times New Roman" w:hAnsi="Times New Roman" w:cs="Times New Roman"/>
          <w:lang w:val="es-AR"/>
        </w:rPr>
        <w:t>.</w:t>
      </w:r>
    </w:p>
    <w:p w14:paraId="63EF03A0" w14:textId="1DD83213" w:rsidR="00E12A0F" w:rsidRPr="00E12A0F" w:rsidRDefault="00E12A0F" w:rsidP="00E12A0F">
      <w:pPr>
        <w:spacing w:line="240" w:lineRule="auto"/>
        <w:ind w:hanging="709"/>
        <w:jc w:val="both"/>
        <w:rPr>
          <w:rFonts w:ascii="Times New Roman" w:hAnsi="Times New Roman" w:cs="Times New Roman"/>
          <w:lang w:val="es-AR"/>
        </w:rPr>
      </w:pPr>
      <w:r w:rsidRPr="00E12A0F">
        <w:rPr>
          <w:rFonts w:ascii="Times New Roman" w:hAnsi="Times New Roman" w:cs="Times New Roman"/>
          <w:b/>
          <w:bCs/>
          <w:lang w:val="es-AR"/>
        </w:rPr>
        <w:t>Haug, G. (2009).</w:t>
      </w:r>
      <w:r w:rsidRPr="00E12A0F">
        <w:rPr>
          <w:rFonts w:ascii="Times New Roman" w:hAnsi="Times New Roman" w:cs="Times New Roman"/>
          <w:lang w:val="es-AR"/>
        </w:rPr>
        <w:t xml:space="preserve"> El Espacio Europeo de Educación Superior: Más allá de los mitos. </w:t>
      </w:r>
      <w:r w:rsidRPr="00E12A0F">
        <w:rPr>
          <w:rFonts w:ascii="Times New Roman" w:hAnsi="Times New Roman" w:cs="Times New Roman"/>
          <w:i/>
          <w:iCs/>
          <w:lang w:val="es-AR"/>
        </w:rPr>
        <w:t>Revista de Currículum y Formación del Profesorado, 13</w:t>
      </w:r>
      <w:r w:rsidRPr="00E12A0F">
        <w:rPr>
          <w:rFonts w:ascii="Times New Roman" w:hAnsi="Times New Roman" w:cs="Times New Roman"/>
          <w:lang w:val="es-AR"/>
        </w:rPr>
        <w:t>(2), 1-14.</w:t>
      </w:r>
    </w:p>
    <w:p w14:paraId="636AEB43" w14:textId="1AD0FE1E" w:rsidR="00E12A0F" w:rsidRPr="00E12A0F" w:rsidRDefault="00E12A0F" w:rsidP="00E12A0F">
      <w:pPr>
        <w:spacing w:line="240" w:lineRule="auto"/>
        <w:ind w:left="709" w:hanging="709"/>
        <w:jc w:val="both"/>
        <w:rPr>
          <w:rFonts w:ascii="Times New Roman" w:hAnsi="Times New Roman" w:cs="Times New Roman"/>
          <w:lang w:val="es-AR"/>
        </w:rPr>
      </w:pPr>
      <w:r w:rsidRPr="00E12A0F">
        <w:rPr>
          <w:rFonts w:ascii="Times New Roman" w:hAnsi="Times New Roman" w:cs="Times New Roman"/>
          <w:b/>
          <w:bCs/>
          <w:lang w:val="es-AR"/>
        </w:rPr>
        <w:t>Ley N° 24.521 de Educación Superior</w:t>
      </w:r>
      <w:r w:rsidRPr="00E12A0F">
        <w:rPr>
          <w:rFonts w:ascii="Times New Roman" w:hAnsi="Times New Roman" w:cs="Times New Roman"/>
          <w:lang w:val="es-AR"/>
        </w:rPr>
        <w:t>. (1995). Honorable Congreso de la Nación Argentina.</w:t>
      </w:r>
    </w:p>
    <w:p w14:paraId="17D056E3" w14:textId="5D859CF4" w:rsidR="00E12A0F" w:rsidRPr="00E12A0F" w:rsidRDefault="00E12A0F" w:rsidP="00E12A0F">
      <w:pPr>
        <w:spacing w:line="240" w:lineRule="auto"/>
        <w:ind w:left="709" w:hanging="709"/>
        <w:jc w:val="both"/>
        <w:rPr>
          <w:rFonts w:ascii="Times New Roman" w:hAnsi="Times New Roman" w:cs="Times New Roman"/>
          <w:lang w:val="es-AR"/>
        </w:rPr>
      </w:pPr>
      <w:r w:rsidRPr="00E12A0F">
        <w:rPr>
          <w:rFonts w:ascii="Times New Roman" w:hAnsi="Times New Roman" w:cs="Times New Roman"/>
          <w:b/>
          <w:bCs/>
          <w:lang w:val="es-AR"/>
        </w:rPr>
        <w:t xml:space="preserve"> Marquina, M. (2012).</w:t>
      </w:r>
      <w:r w:rsidRPr="00E12A0F">
        <w:rPr>
          <w:rFonts w:ascii="Times New Roman" w:hAnsi="Times New Roman" w:cs="Times New Roman"/>
          <w:lang w:val="es-AR"/>
        </w:rPr>
        <w:t xml:space="preserve"> </w:t>
      </w:r>
      <w:r w:rsidRPr="00E12A0F">
        <w:rPr>
          <w:rFonts w:ascii="Times New Roman" w:hAnsi="Times New Roman" w:cs="Times New Roman"/>
          <w:i/>
          <w:iCs/>
          <w:lang w:val="es-AR"/>
        </w:rPr>
        <w:t>La profesión académica en Argentina: características, tensiones y desafíos</w:t>
      </w:r>
      <w:r w:rsidRPr="00E12A0F">
        <w:rPr>
          <w:rFonts w:ascii="Times New Roman" w:hAnsi="Times New Roman" w:cs="Times New Roman"/>
          <w:lang w:val="es-AR"/>
        </w:rPr>
        <w:t>. Editorial Eudeba.</w:t>
      </w:r>
    </w:p>
    <w:p w14:paraId="2EA20B5F" w14:textId="19DBCCDE" w:rsidR="00E12A0F" w:rsidRPr="00E12A0F" w:rsidRDefault="00E12A0F" w:rsidP="00E12A0F">
      <w:pPr>
        <w:spacing w:line="240" w:lineRule="auto"/>
        <w:ind w:left="709" w:hanging="709"/>
        <w:jc w:val="both"/>
        <w:rPr>
          <w:rFonts w:ascii="Times New Roman" w:hAnsi="Times New Roman" w:cs="Times New Roman"/>
          <w:lang w:val="es-AR"/>
        </w:rPr>
      </w:pPr>
      <w:r w:rsidRPr="00E12A0F">
        <w:rPr>
          <w:rFonts w:ascii="Times New Roman" w:hAnsi="Times New Roman" w:cs="Times New Roman"/>
          <w:b/>
          <w:bCs/>
          <w:lang w:val="es-AR"/>
        </w:rPr>
        <w:t>Marquina, M. (2013).</w:t>
      </w:r>
      <w:r w:rsidRPr="00E12A0F">
        <w:rPr>
          <w:rFonts w:ascii="Times New Roman" w:hAnsi="Times New Roman" w:cs="Times New Roman"/>
          <w:lang w:val="es-AR"/>
        </w:rPr>
        <w:t xml:space="preserve"> </w:t>
      </w:r>
      <w:r w:rsidRPr="00E12A0F">
        <w:rPr>
          <w:rFonts w:ascii="Times New Roman" w:hAnsi="Times New Roman" w:cs="Times New Roman"/>
          <w:i/>
          <w:iCs/>
          <w:lang w:val="es-AR"/>
        </w:rPr>
        <w:t>¿El futuro ya llegó? La profesión académica argentina en el escenario internacional</w:t>
      </w:r>
      <w:r w:rsidRPr="00E12A0F">
        <w:rPr>
          <w:rFonts w:ascii="Times New Roman" w:hAnsi="Times New Roman" w:cs="Times New Roman"/>
          <w:lang w:val="es-AR"/>
        </w:rPr>
        <w:t>. Editorial UNGS.</w:t>
      </w:r>
    </w:p>
    <w:p w14:paraId="199B0B3D" w14:textId="592D40FB" w:rsidR="00E12A0F" w:rsidRPr="00E12A0F" w:rsidRDefault="00E12A0F" w:rsidP="00E12A0F">
      <w:pPr>
        <w:spacing w:line="240" w:lineRule="auto"/>
        <w:ind w:left="709" w:hanging="709"/>
        <w:jc w:val="both"/>
        <w:rPr>
          <w:rFonts w:ascii="Times New Roman" w:hAnsi="Times New Roman" w:cs="Times New Roman"/>
          <w:lang w:val="es-AR"/>
        </w:rPr>
      </w:pPr>
      <w:r w:rsidRPr="00E12A0F">
        <w:rPr>
          <w:rFonts w:ascii="Times New Roman" w:hAnsi="Times New Roman" w:cs="Times New Roman"/>
          <w:b/>
          <w:bCs/>
          <w:lang w:val="es-AR"/>
        </w:rPr>
        <w:t>Marquina, M. (2018).</w:t>
      </w:r>
      <w:r w:rsidRPr="00E12A0F">
        <w:rPr>
          <w:rFonts w:ascii="Times New Roman" w:hAnsi="Times New Roman" w:cs="Times New Roman"/>
          <w:lang w:val="es-AR"/>
        </w:rPr>
        <w:t xml:space="preserve"> Las reformas universitarias como procesos de asimilación crítica: el caso argentino. </w:t>
      </w:r>
      <w:r w:rsidRPr="00E12A0F">
        <w:rPr>
          <w:rFonts w:ascii="Times New Roman" w:hAnsi="Times New Roman" w:cs="Times New Roman"/>
          <w:i/>
          <w:iCs/>
          <w:lang w:val="es-AR"/>
        </w:rPr>
        <w:t>Revista de Educación Superior, 47</w:t>
      </w:r>
      <w:r w:rsidRPr="00E12A0F">
        <w:rPr>
          <w:rFonts w:ascii="Times New Roman" w:hAnsi="Times New Roman" w:cs="Times New Roman"/>
          <w:lang w:val="es-AR"/>
        </w:rPr>
        <w:t>(186), 45-68.</w:t>
      </w:r>
    </w:p>
    <w:p w14:paraId="6C0AE0D3" w14:textId="1B80BC79" w:rsidR="00E12A0F" w:rsidRPr="00E12A0F" w:rsidRDefault="00E12A0F" w:rsidP="00E12A0F">
      <w:pPr>
        <w:spacing w:line="240" w:lineRule="auto"/>
        <w:ind w:left="709" w:hanging="709"/>
        <w:jc w:val="both"/>
        <w:rPr>
          <w:rFonts w:ascii="Times New Roman" w:hAnsi="Times New Roman" w:cs="Times New Roman"/>
          <w:lang w:val="es-AR"/>
        </w:rPr>
      </w:pPr>
      <w:r w:rsidRPr="00E12A0F">
        <w:rPr>
          <w:rFonts w:ascii="Times New Roman" w:hAnsi="Times New Roman" w:cs="Times New Roman"/>
          <w:b/>
          <w:bCs/>
          <w:lang w:val="es-AR"/>
        </w:rPr>
        <w:t>Ministério da Educação. (2014).</w:t>
      </w:r>
      <w:r w:rsidRPr="00E12A0F">
        <w:rPr>
          <w:rFonts w:ascii="Times New Roman" w:hAnsi="Times New Roman" w:cs="Times New Roman"/>
          <w:lang w:val="es-AR"/>
        </w:rPr>
        <w:t xml:space="preserve"> </w:t>
      </w:r>
      <w:r w:rsidRPr="00E12A0F">
        <w:rPr>
          <w:rFonts w:ascii="Times New Roman" w:hAnsi="Times New Roman" w:cs="Times New Roman"/>
          <w:i/>
          <w:iCs/>
          <w:lang w:val="es-AR"/>
        </w:rPr>
        <w:t>Diretrizes Curriculares Nacionais do Curso de Graduação em Medicina</w:t>
      </w:r>
      <w:r w:rsidRPr="00E12A0F">
        <w:rPr>
          <w:rFonts w:ascii="Times New Roman" w:hAnsi="Times New Roman" w:cs="Times New Roman"/>
          <w:lang w:val="es-AR"/>
        </w:rPr>
        <w:t>. Brasília: MEC.</w:t>
      </w:r>
    </w:p>
    <w:p w14:paraId="785FEB4C" w14:textId="7C9D585E" w:rsidR="00E12A0F" w:rsidRPr="00E12A0F" w:rsidRDefault="00E12A0F" w:rsidP="00E12A0F">
      <w:pPr>
        <w:spacing w:line="240" w:lineRule="auto"/>
        <w:ind w:left="709" w:hanging="709"/>
        <w:jc w:val="both"/>
        <w:rPr>
          <w:rFonts w:ascii="Times New Roman" w:hAnsi="Times New Roman" w:cs="Times New Roman"/>
          <w:lang w:val="es-AR"/>
        </w:rPr>
      </w:pPr>
      <w:r w:rsidRPr="00E12A0F">
        <w:rPr>
          <w:rFonts w:ascii="Times New Roman" w:hAnsi="Times New Roman" w:cs="Times New Roman"/>
          <w:b/>
          <w:bCs/>
          <w:lang w:val="es-AR"/>
        </w:rPr>
        <w:t>Perrenoud, P. (2004).</w:t>
      </w:r>
      <w:r w:rsidRPr="00E12A0F">
        <w:rPr>
          <w:rFonts w:ascii="Times New Roman" w:hAnsi="Times New Roman" w:cs="Times New Roman"/>
          <w:lang w:val="es-AR"/>
        </w:rPr>
        <w:t xml:space="preserve"> </w:t>
      </w:r>
      <w:r w:rsidRPr="00E12A0F">
        <w:rPr>
          <w:rFonts w:ascii="Times New Roman" w:hAnsi="Times New Roman" w:cs="Times New Roman"/>
          <w:i/>
          <w:iCs/>
          <w:lang w:val="es-AR"/>
        </w:rPr>
        <w:t>Diez nuevas competencias para enseñar</w:t>
      </w:r>
      <w:r w:rsidRPr="00E12A0F">
        <w:rPr>
          <w:rFonts w:ascii="Times New Roman" w:hAnsi="Times New Roman" w:cs="Times New Roman"/>
          <w:lang w:val="es-AR"/>
        </w:rPr>
        <w:t>. Graó.</w:t>
      </w:r>
    </w:p>
    <w:p w14:paraId="12D2AAFD" w14:textId="129DDFFE" w:rsidR="00E12A0F" w:rsidRPr="00E12A0F" w:rsidRDefault="00E12A0F" w:rsidP="00E12A0F">
      <w:pPr>
        <w:spacing w:line="240" w:lineRule="auto"/>
        <w:ind w:left="709" w:hanging="709"/>
        <w:jc w:val="both"/>
        <w:rPr>
          <w:rFonts w:ascii="Times New Roman" w:hAnsi="Times New Roman" w:cs="Times New Roman"/>
          <w:lang w:val="es-AR"/>
        </w:rPr>
      </w:pPr>
      <w:r w:rsidRPr="00E12A0F">
        <w:rPr>
          <w:rFonts w:ascii="Times New Roman" w:hAnsi="Times New Roman" w:cs="Times New Roman"/>
          <w:b/>
          <w:bCs/>
          <w:lang w:val="es-AR"/>
        </w:rPr>
        <w:t>Piovani, J. I. (2018).</w:t>
      </w:r>
      <w:r w:rsidRPr="00E12A0F">
        <w:rPr>
          <w:rFonts w:ascii="Times New Roman" w:hAnsi="Times New Roman" w:cs="Times New Roman"/>
          <w:lang w:val="es-AR"/>
        </w:rPr>
        <w:t xml:space="preserve"> </w:t>
      </w:r>
      <w:r w:rsidRPr="00E12A0F">
        <w:rPr>
          <w:rFonts w:ascii="Times New Roman" w:hAnsi="Times New Roman" w:cs="Times New Roman"/>
          <w:i/>
          <w:iCs/>
          <w:lang w:val="es-AR"/>
        </w:rPr>
        <w:t>Manual de metodología de las ciencias sociales</w:t>
      </w:r>
      <w:r w:rsidRPr="00E12A0F">
        <w:rPr>
          <w:rFonts w:ascii="Times New Roman" w:hAnsi="Times New Roman" w:cs="Times New Roman"/>
          <w:lang w:val="es-AR"/>
        </w:rPr>
        <w:t>. Siglo XXI Editores.</w:t>
      </w:r>
    </w:p>
    <w:p w14:paraId="36F66070" w14:textId="5F7A4B93" w:rsidR="00E12A0F" w:rsidRPr="00E12A0F" w:rsidRDefault="00E12A0F" w:rsidP="00E12A0F">
      <w:pPr>
        <w:spacing w:line="240" w:lineRule="auto"/>
        <w:ind w:left="709" w:hanging="709"/>
        <w:jc w:val="both"/>
        <w:rPr>
          <w:rFonts w:ascii="Times New Roman" w:hAnsi="Times New Roman" w:cs="Times New Roman"/>
          <w:lang w:val="es-AR"/>
        </w:rPr>
      </w:pPr>
      <w:r w:rsidRPr="00E12A0F">
        <w:rPr>
          <w:rFonts w:ascii="Times New Roman" w:hAnsi="Times New Roman" w:cs="Times New Roman"/>
          <w:b/>
          <w:bCs/>
          <w:lang w:val="es-AR"/>
        </w:rPr>
        <w:t xml:space="preserve">Steiman, J. (2020). </w:t>
      </w:r>
      <w:r w:rsidRPr="00E12A0F">
        <w:rPr>
          <w:rFonts w:ascii="Times New Roman" w:hAnsi="Times New Roman" w:cs="Times New Roman"/>
          <w:i/>
          <w:iCs/>
          <w:lang w:val="es-AR"/>
        </w:rPr>
        <w:t>Las prácticas de enseñanza en la educación superior: análisis y reflexiones sobre la gestión del aula</w:t>
      </w:r>
      <w:r w:rsidRPr="00E12A0F">
        <w:rPr>
          <w:rFonts w:ascii="Times New Roman" w:hAnsi="Times New Roman" w:cs="Times New Roman"/>
          <w:lang w:val="es-AR"/>
        </w:rPr>
        <w:t>. Miño y Dávila.</w:t>
      </w:r>
    </w:p>
    <w:p w14:paraId="24DE68D4" w14:textId="12CE911A" w:rsidR="00E12A0F" w:rsidRPr="00E12A0F" w:rsidRDefault="00E12A0F" w:rsidP="00E12A0F">
      <w:pPr>
        <w:spacing w:line="240" w:lineRule="auto"/>
        <w:ind w:hanging="709"/>
        <w:jc w:val="both"/>
        <w:rPr>
          <w:rFonts w:ascii="Times New Roman" w:hAnsi="Times New Roman" w:cs="Times New Roman"/>
          <w:lang w:val="es-AR"/>
        </w:rPr>
      </w:pPr>
      <w:r>
        <w:rPr>
          <w:rFonts w:ascii="Times New Roman" w:hAnsi="Times New Roman" w:cs="Times New Roman"/>
          <w:lang w:val="es-AR"/>
        </w:rPr>
        <w:t xml:space="preserve">           </w:t>
      </w:r>
      <w:r w:rsidRPr="00E12A0F">
        <w:rPr>
          <w:rFonts w:ascii="Times New Roman" w:hAnsi="Times New Roman" w:cs="Times New Roman"/>
          <w:b/>
          <w:bCs/>
          <w:lang w:val="es-AR"/>
        </w:rPr>
        <w:t>Tobón, S. (2010).</w:t>
      </w:r>
      <w:r w:rsidRPr="00E12A0F">
        <w:rPr>
          <w:rFonts w:ascii="Times New Roman" w:hAnsi="Times New Roman" w:cs="Times New Roman"/>
          <w:lang w:val="es-AR"/>
        </w:rPr>
        <w:t xml:space="preserve"> </w:t>
      </w:r>
      <w:r w:rsidRPr="00E12A0F">
        <w:rPr>
          <w:rFonts w:ascii="Times New Roman" w:hAnsi="Times New Roman" w:cs="Times New Roman"/>
          <w:i/>
          <w:iCs/>
          <w:lang w:val="es-AR"/>
        </w:rPr>
        <w:t>Formación integral y competencias: Pensamiento complejo, currículo, didáctica y evaluación</w:t>
      </w:r>
      <w:r w:rsidRPr="00E12A0F">
        <w:rPr>
          <w:rFonts w:ascii="Times New Roman" w:hAnsi="Times New Roman" w:cs="Times New Roman"/>
          <w:lang w:val="es-AR"/>
        </w:rPr>
        <w:t xml:space="preserve"> (3.ª ed.). Ecoe Ediciones.</w:t>
      </w:r>
    </w:p>
    <w:p w14:paraId="03685314" w14:textId="5490869E" w:rsidR="00E12A0F" w:rsidRPr="00E12A0F" w:rsidRDefault="00E12A0F" w:rsidP="00E12A0F">
      <w:pPr>
        <w:spacing w:line="240" w:lineRule="auto"/>
        <w:ind w:left="709" w:hanging="709"/>
        <w:jc w:val="both"/>
        <w:rPr>
          <w:rFonts w:ascii="Times New Roman" w:hAnsi="Times New Roman" w:cs="Times New Roman"/>
          <w:lang w:val="es-AR"/>
        </w:rPr>
      </w:pPr>
      <w:r w:rsidRPr="00E12A0F">
        <w:rPr>
          <w:rFonts w:ascii="Times New Roman" w:hAnsi="Times New Roman" w:cs="Times New Roman"/>
          <w:b/>
          <w:bCs/>
          <w:lang w:val="es-AR"/>
        </w:rPr>
        <w:t>Vain, P. D. (2015).</w:t>
      </w:r>
      <w:r w:rsidRPr="00E12A0F">
        <w:rPr>
          <w:rFonts w:ascii="Times New Roman" w:hAnsi="Times New Roman" w:cs="Times New Roman"/>
          <w:lang w:val="es-AR"/>
        </w:rPr>
        <w:t xml:space="preserve"> </w:t>
      </w:r>
      <w:r w:rsidRPr="00E12A0F">
        <w:rPr>
          <w:rFonts w:ascii="Times New Roman" w:hAnsi="Times New Roman" w:cs="Times New Roman"/>
          <w:i/>
          <w:iCs/>
          <w:lang w:val="es-AR"/>
        </w:rPr>
        <w:t>La educación superior en debate: Miradas, políticas y realidades</w:t>
      </w:r>
      <w:r w:rsidRPr="00E12A0F">
        <w:rPr>
          <w:rFonts w:ascii="Times New Roman" w:hAnsi="Times New Roman" w:cs="Times New Roman"/>
          <w:lang w:val="es-AR"/>
        </w:rPr>
        <w:t>. EDUNAM.</w:t>
      </w:r>
    </w:p>
    <w:p w14:paraId="5447D35F" w14:textId="3E3A2D3D" w:rsidR="00E12A0F" w:rsidRPr="00E12A0F" w:rsidRDefault="00E12A0F" w:rsidP="00E12A0F">
      <w:pPr>
        <w:spacing w:line="240" w:lineRule="auto"/>
        <w:ind w:left="709" w:hanging="709"/>
        <w:jc w:val="both"/>
        <w:rPr>
          <w:rFonts w:ascii="Times New Roman" w:hAnsi="Times New Roman" w:cs="Times New Roman"/>
          <w:lang w:val="es-AR"/>
        </w:rPr>
      </w:pPr>
      <w:r w:rsidRPr="00E12A0F">
        <w:rPr>
          <w:rFonts w:ascii="Times New Roman" w:hAnsi="Times New Roman" w:cs="Times New Roman"/>
          <w:b/>
          <w:bCs/>
          <w:lang w:val="es-AR"/>
        </w:rPr>
        <w:t>Zabalza, M. A. (2012).</w:t>
      </w:r>
      <w:r w:rsidRPr="00E12A0F">
        <w:rPr>
          <w:rFonts w:ascii="Times New Roman" w:hAnsi="Times New Roman" w:cs="Times New Roman"/>
          <w:lang w:val="es-AR"/>
        </w:rPr>
        <w:t xml:space="preserve"> El estudio de las competencias en la enseñanza superior: Límites y posibilidades. </w:t>
      </w:r>
      <w:r w:rsidRPr="00E12A0F">
        <w:rPr>
          <w:rFonts w:ascii="Times New Roman" w:hAnsi="Times New Roman" w:cs="Times New Roman"/>
          <w:i/>
          <w:iCs/>
          <w:lang w:val="es-AR"/>
        </w:rPr>
        <w:t>Revista de Docencia Universitaria, 10</w:t>
      </w:r>
      <w:r w:rsidRPr="00E12A0F">
        <w:rPr>
          <w:rFonts w:ascii="Times New Roman" w:hAnsi="Times New Roman" w:cs="Times New Roman"/>
          <w:lang w:val="es-AR"/>
        </w:rPr>
        <w:t>(1), 23-48.</w:t>
      </w:r>
    </w:p>
    <w:p w14:paraId="0BBD47CC" w14:textId="77777777" w:rsidR="000E1CAA" w:rsidRDefault="000E1CAA" w:rsidP="00E12A0F">
      <w:pPr>
        <w:spacing w:line="240" w:lineRule="auto"/>
        <w:ind w:left="709" w:hanging="709"/>
        <w:jc w:val="both"/>
        <w:rPr>
          <w:rFonts w:ascii="Times New Roman" w:hAnsi="Times New Roman" w:cs="Times New Roman"/>
          <w:lang w:val="es-AR"/>
        </w:rPr>
      </w:pPr>
    </w:p>
    <w:p w14:paraId="3B1CC540" w14:textId="77777777" w:rsidR="000E1CAA" w:rsidRPr="000E1CAA" w:rsidRDefault="000E1CAA" w:rsidP="00E12A0F">
      <w:pPr>
        <w:spacing w:line="240" w:lineRule="auto"/>
        <w:ind w:left="709" w:hanging="709"/>
        <w:jc w:val="both"/>
        <w:rPr>
          <w:rFonts w:ascii="Times New Roman" w:hAnsi="Times New Roman" w:cs="Times New Roman"/>
          <w:lang w:val="es-AR"/>
        </w:rPr>
      </w:pPr>
    </w:p>
    <w:p w14:paraId="7E83515B" w14:textId="49E76021" w:rsidR="001923DC" w:rsidRPr="000E1CAA" w:rsidRDefault="001923DC" w:rsidP="00E12A0F">
      <w:pPr>
        <w:spacing w:line="240" w:lineRule="auto"/>
        <w:ind w:left="709" w:hanging="709"/>
        <w:jc w:val="both"/>
        <w:rPr>
          <w:rFonts w:ascii="Times New Roman" w:hAnsi="Times New Roman" w:cs="Times New Roman"/>
          <w:lang w:val="pt-BR"/>
        </w:rPr>
      </w:pPr>
    </w:p>
    <w:sectPr w:rsidR="001923DC" w:rsidRPr="000E1CAA" w:rsidSect="00701F64">
      <w:headerReference w:type="default" r:id="rId8"/>
      <w:footerReference w:type="default" r:id="rId9"/>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21E341" w14:textId="77777777" w:rsidR="00A350F0" w:rsidRPr="00BA642E" w:rsidRDefault="00A350F0" w:rsidP="00C802F5">
      <w:pPr>
        <w:spacing w:after="0" w:line="240" w:lineRule="auto"/>
      </w:pPr>
      <w:r w:rsidRPr="00BA642E">
        <w:separator/>
      </w:r>
    </w:p>
  </w:endnote>
  <w:endnote w:type="continuationSeparator" w:id="0">
    <w:p w14:paraId="72E09370" w14:textId="77777777" w:rsidR="00A350F0" w:rsidRPr="00BA642E" w:rsidRDefault="00A350F0"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B9AEF3" w14:textId="77777777" w:rsidR="00A350F0" w:rsidRPr="00BA642E" w:rsidRDefault="00A350F0" w:rsidP="00C802F5">
      <w:pPr>
        <w:spacing w:after="0" w:line="240" w:lineRule="auto"/>
      </w:pPr>
      <w:r w:rsidRPr="00BA642E">
        <w:separator/>
      </w:r>
    </w:p>
  </w:footnote>
  <w:footnote w:type="continuationSeparator" w:id="0">
    <w:p w14:paraId="5E967F56" w14:textId="77777777" w:rsidR="00A350F0" w:rsidRPr="00BA642E" w:rsidRDefault="00A350F0"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A12B4F"/>
    <w:multiLevelType w:val="hybridMultilevel"/>
    <w:tmpl w:val="204A0042"/>
    <w:lvl w:ilvl="0" w:tplc="07D4C12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DE50450"/>
    <w:multiLevelType w:val="hybridMultilevel"/>
    <w:tmpl w:val="32B474F8"/>
    <w:lvl w:ilvl="0" w:tplc="EB524E16">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5A94FE5"/>
    <w:multiLevelType w:val="hybridMultilevel"/>
    <w:tmpl w:val="421CADF4"/>
    <w:lvl w:ilvl="0" w:tplc="82324E90">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04830"/>
    <w:rsid w:val="000458E8"/>
    <w:rsid w:val="000E1CAA"/>
    <w:rsid w:val="001816D6"/>
    <w:rsid w:val="00185F5E"/>
    <w:rsid w:val="001923DC"/>
    <w:rsid w:val="002326B9"/>
    <w:rsid w:val="002327C3"/>
    <w:rsid w:val="0027471A"/>
    <w:rsid w:val="002841F9"/>
    <w:rsid w:val="00312392"/>
    <w:rsid w:val="003948EB"/>
    <w:rsid w:val="004040C0"/>
    <w:rsid w:val="00437E9C"/>
    <w:rsid w:val="00460913"/>
    <w:rsid w:val="00550766"/>
    <w:rsid w:val="005F3B2E"/>
    <w:rsid w:val="00636C52"/>
    <w:rsid w:val="00701F64"/>
    <w:rsid w:val="00707273"/>
    <w:rsid w:val="007B5B5F"/>
    <w:rsid w:val="007B78FE"/>
    <w:rsid w:val="007D233B"/>
    <w:rsid w:val="007E069C"/>
    <w:rsid w:val="0085070B"/>
    <w:rsid w:val="008A759A"/>
    <w:rsid w:val="009244CB"/>
    <w:rsid w:val="00995B48"/>
    <w:rsid w:val="00A04BCD"/>
    <w:rsid w:val="00A17247"/>
    <w:rsid w:val="00A350F0"/>
    <w:rsid w:val="00AA048A"/>
    <w:rsid w:val="00B1439F"/>
    <w:rsid w:val="00B222A2"/>
    <w:rsid w:val="00B3219C"/>
    <w:rsid w:val="00B95A36"/>
    <w:rsid w:val="00BA642E"/>
    <w:rsid w:val="00BC04E5"/>
    <w:rsid w:val="00BC236F"/>
    <w:rsid w:val="00C802F5"/>
    <w:rsid w:val="00C96B2C"/>
    <w:rsid w:val="00CC04C1"/>
    <w:rsid w:val="00CF4610"/>
    <w:rsid w:val="00D843EC"/>
    <w:rsid w:val="00DE24DD"/>
    <w:rsid w:val="00DF0DAC"/>
    <w:rsid w:val="00DF73C4"/>
    <w:rsid w:val="00E12A0F"/>
    <w:rsid w:val="00E1374F"/>
    <w:rsid w:val="00E2662C"/>
    <w:rsid w:val="00FD0630"/>
    <w:rsid w:val="00FD3D61"/>
    <w:rsid w:val="00FF6D1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character" w:styleId="Hipervnculovisitado">
    <w:name w:val="FollowedHyperlink"/>
    <w:basedOn w:val="Fuentedeprrafopredeter"/>
    <w:uiPriority w:val="99"/>
    <w:semiHidden/>
    <w:unhideWhenUsed/>
    <w:rsid w:val="000E1CAA"/>
    <w:rPr>
      <w:color w:val="954F72" w:themeColor="followedHyperlink"/>
      <w:u w:val="single"/>
    </w:rPr>
  </w:style>
  <w:style w:type="paragraph" w:styleId="NormalWeb">
    <w:name w:val="Normal (Web)"/>
    <w:basedOn w:val="Normal"/>
    <w:uiPriority w:val="99"/>
    <w:unhideWhenUsed/>
    <w:rsid w:val="00DF0DAC"/>
    <w:pPr>
      <w:spacing w:before="100" w:beforeAutospacing="1" w:after="100" w:afterAutospacing="1" w:line="240" w:lineRule="auto"/>
    </w:pPr>
    <w:rPr>
      <w:rFonts w:ascii="Times New Roman" w:eastAsia="Times New Roman" w:hAnsi="Times New Roman" w:cs="Times New Roman"/>
      <w:kern w:val="0"/>
      <w:lang w:val="es-AR"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2270240">
      <w:bodyDiv w:val="1"/>
      <w:marLeft w:val="0"/>
      <w:marRight w:val="0"/>
      <w:marTop w:val="0"/>
      <w:marBottom w:val="0"/>
      <w:divBdr>
        <w:top w:val="none" w:sz="0" w:space="0" w:color="auto"/>
        <w:left w:val="none" w:sz="0" w:space="0" w:color="auto"/>
        <w:bottom w:val="none" w:sz="0" w:space="0" w:color="auto"/>
        <w:right w:val="none" w:sz="0" w:space="0" w:color="auto"/>
      </w:divBdr>
    </w:div>
    <w:div w:id="1035496794">
      <w:bodyDiv w:val="1"/>
      <w:marLeft w:val="0"/>
      <w:marRight w:val="0"/>
      <w:marTop w:val="0"/>
      <w:marBottom w:val="0"/>
      <w:divBdr>
        <w:top w:val="none" w:sz="0" w:space="0" w:color="auto"/>
        <w:left w:val="none" w:sz="0" w:space="0" w:color="auto"/>
        <w:bottom w:val="none" w:sz="0" w:space="0" w:color="auto"/>
        <w:right w:val="none" w:sz="0" w:space="0" w:color="auto"/>
      </w:divBdr>
    </w:div>
    <w:div w:id="1280450850">
      <w:bodyDiv w:val="1"/>
      <w:marLeft w:val="0"/>
      <w:marRight w:val="0"/>
      <w:marTop w:val="0"/>
      <w:marBottom w:val="0"/>
      <w:divBdr>
        <w:top w:val="none" w:sz="0" w:space="0" w:color="auto"/>
        <w:left w:val="none" w:sz="0" w:space="0" w:color="auto"/>
        <w:bottom w:val="none" w:sz="0" w:space="0" w:color="auto"/>
        <w:right w:val="none" w:sz="0" w:space="0" w:color="auto"/>
      </w:divBdr>
    </w:div>
    <w:div w:id="1896425706">
      <w:bodyDiv w:val="1"/>
      <w:marLeft w:val="0"/>
      <w:marRight w:val="0"/>
      <w:marTop w:val="0"/>
      <w:marBottom w:val="0"/>
      <w:divBdr>
        <w:top w:val="none" w:sz="0" w:space="0" w:color="auto"/>
        <w:left w:val="none" w:sz="0" w:space="0" w:color="auto"/>
        <w:bottom w:val="none" w:sz="0" w:space="0" w:color="auto"/>
        <w:right w:val="none" w:sz="0" w:space="0" w:color="auto"/>
      </w:divBdr>
    </w:div>
    <w:div w:id="2097048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Jessicaferradas@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14</Pages>
  <Words>6452</Words>
  <Characters>35491</Characters>
  <Application>Microsoft Office Word</Application>
  <DocSecurity>0</DocSecurity>
  <Lines>295</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Microsoft Office User</cp:lastModifiedBy>
  <cp:revision>24</cp:revision>
  <dcterms:created xsi:type="dcterms:W3CDTF">2026-06-08T14:14:00Z</dcterms:created>
  <dcterms:modified xsi:type="dcterms:W3CDTF">2026-06-28T22:35:00Z</dcterms:modified>
</cp:coreProperties>
</file>