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95CD41" w14:textId="77777777" w:rsidR="004F7047" w:rsidRDefault="00000000">
      <w:pPr>
        <w:spacing w:before="120" w:after="0" w:line="276" w:lineRule="auto"/>
        <w:jc w:val="center"/>
        <w:rPr>
          <w:rFonts w:ascii="Times New Roman" w:hAnsi="Times New Roman" w:cs="Times New Roman"/>
          <w:b/>
          <w:bCs/>
        </w:rPr>
      </w:pPr>
      <w:r>
        <w:rPr>
          <w:rFonts w:ascii="Times New Roman" w:hAnsi="Times New Roman" w:cs="Times New Roman"/>
          <w:b/>
          <w:bCs/>
        </w:rPr>
        <w:t>Desafíos para la definición del Sistema Argentino de Créditos Académicos Universitarios en el nivel de posgrados</w:t>
      </w:r>
    </w:p>
    <w:p w14:paraId="75EFF806" w14:textId="77777777" w:rsidR="004F7047" w:rsidRDefault="004F7047">
      <w:pPr>
        <w:jc w:val="center"/>
        <w:rPr>
          <w:rFonts w:ascii="Times New Roman" w:hAnsi="Times New Roman" w:cs="Times New Roman"/>
          <w:b/>
          <w:bCs/>
        </w:rPr>
      </w:pPr>
    </w:p>
    <w:p w14:paraId="120AEDFA" w14:textId="77777777" w:rsidR="004F7047" w:rsidRDefault="00000000">
      <w:pPr>
        <w:spacing w:after="0" w:line="240" w:lineRule="auto"/>
        <w:jc w:val="right"/>
        <w:rPr>
          <w:rFonts w:ascii="Times New Roman" w:hAnsi="Times New Roman" w:cs="Times New Roman"/>
        </w:rPr>
      </w:pPr>
      <w:r>
        <w:rPr>
          <w:rFonts w:ascii="Times New Roman" w:hAnsi="Times New Roman" w:cs="Times New Roman"/>
        </w:rPr>
        <w:t>Cristian Perez Centeno</w:t>
      </w:r>
    </w:p>
    <w:p w14:paraId="48584398" w14:textId="77777777" w:rsidR="004F7047" w:rsidRDefault="00000000">
      <w:pPr>
        <w:spacing w:after="0" w:line="240" w:lineRule="auto"/>
        <w:jc w:val="right"/>
        <w:rPr>
          <w:rFonts w:ascii="Times New Roman" w:hAnsi="Times New Roman" w:cs="Times New Roman"/>
        </w:rPr>
      </w:pPr>
      <w:r>
        <w:rPr>
          <w:rFonts w:ascii="Times New Roman" w:hAnsi="Times New Roman" w:cs="Times New Roman"/>
        </w:rPr>
        <w:t>Universidad Nacional de Tres de Febrero</w:t>
      </w:r>
    </w:p>
    <w:p w14:paraId="7D260BC3" w14:textId="77777777" w:rsidR="004F7047" w:rsidRDefault="00000000">
      <w:pPr>
        <w:spacing w:after="0" w:line="240" w:lineRule="auto"/>
        <w:jc w:val="right"/>
        <w:rPr>
          <w:rFonts w:ascii="Times New Roman" w:hAnsi="Times New Roman" w:cs="Times New Roman"/>
        </w:rPr>
      </w:pPr>
      <w:hyperlink r:id="rId7">
        <w:r>
          <w:rPr>
            <w:rFonts w:ascii="Times New Roman" w:hAnsi="Times New Roman" w:cs="Times New Roman"/>
          </w:rPr>
          <w:t>cpcenteno@untref.edu.ar</w:t>
        </w:r>
      </w:hyperlink>
    </w:p>
    <w:p w14:paraId="379E271C" w14:textId="77777777" w:rsidR="004F7047" w:rsidRDefault="004F7047">
      <w:pPr>
        <w:rPr>
          <w:rFonts w:ascii="Times New Roman" w:hAnsi="Times New Roman" w:cs="Times New Roman"/>
        </w:rPr>
      </w:pPr>
    </w:p>
    <w:p w14:paraId="494F2CF8" w14:textId="77777777" w:rsidR="004F7047" w:rsidRDefault="004F7047">
      <w:pPr>
        <w:jc w:val="center"/>
        <w:rPr>
          <w:rFonts w:ascii="Times New Roman" w:hAnsi="Times New Roman" w:cs="Times New Roman"/>
        </w:rPr>
      </w:pPr>
    </w:p>
    <w:p w14:paraId="7D7D1117" w14:textId="6A831A00" w:rsidR="004F7047" w:rsidRDefault="00000000">
      <w:pPr>
        <w:spacing w:line="240" w:lineRule="auto"/>
        <w:jc w:val="both"/>
        <w:rPr>
          <w:rFonts w:ascii="Times New Roman" w:hAnsi="Times New Roman" w:cs="Times New Roman"/>
        </w:rPr>
      </w:pPr>
      <w:r w:rsidRPr="001517B0">
        <w:rPr>
          <w:rFonts w:ascii="Times New Roman" w:hAnsi="Times New Roman" w:cs="Times New Roman"/>
          <w:b/>
          <w:bCs/>
        </w:rPr>
        <w:t xml:space="preserve">Resumen: </w:t>
      </w:r>
      <w:r>
        <w:rPr>
          <w:rFonts w:ascii="Times New Roman" w:hAnsi="Times New Roman" w:cs="Times New Roman"/>
        </w:rPr>
        <w:t>La ponencia propone abordar el desafío que representa para el sistema universitario argentino el establecimiento de un sistema de créditos académicos en el nivel de posgrado sobre la base del sistema establecido para el nivel de grado pero que, a la vez, atienda su</w:t>
      </w:r>
      <w:r w:rsidR="001517B0">
        <w:rPr>
          <w:rFonts w:ascii="Times New Roman" w:hAnsi="Times New Roman" w:cs="Times New Roman"/>
        </w:rPr>
        <w:t>s</w:t>
      </w:r>
      <w:r>
        <w:rPr>
          <w:rFonts w:ascii="Times New Roman" w:hAnsi="Times New Roman" w:cs="Times New Roman"/>
        </w:rPr>
        <w:t xml:space="preserve"> principales dificultades y requerimientos, ofrezca líneas de transformación efectiva de este nivel de formación y oriente el tratamiento y determinación de una norma nacional específica. </w:t>
      </w:r>
    </w:p>
    <w:p w14:paraId="420587E1" w14:textId="77777777" w:rsidR="004F7047" w:rsidRDefault="00000000">
      <w:pPr>
        <w:spacing w:line="240" w:lineRule="auto"/>
        <w:jc w:val="both"/>
        <w:rPr>
          <w:rFonts w:ascii="Times New Roman" w:hAnsi="Times New Roman" w:cs="Times New Roman"/>
        </w:rPr>
      </w:pPr>
      <w:r>
        <w:rPr>
          <w:rFonts w:ascii="Times New Roman" w:hAnsi="Times New Roman" w:cs="Times New Roman"/>
        </w:rPr>
        <w:t xml:space="preserve">La creación e implementación del SACAU en 2023 condensa varias de las principales tensiones de cambio que atraviesa el sistema universitario argentino a partir de problemáticas endémicas -potenciadas a partir de la pandemia del COVID-19-, de la implementación de nuevas regulaciones sistémicas y de la emergencia de un nuevo proyecto político nacional de gobierno que busca cambiar las bases sobre las cuales se asienta. Asimismo, ha forzado al interior de las universidades un trabajo de gestión curricular para adecuar sus propuestas al nuevo sistema, que empieza a dar cuenta de las dificultades y limitaciones para alcanzar los objetivos que se propone: el acortamiento de las carreras, la disminución de la duración real de los cursados, la eficaz incorporación de pedagogías no presenciales y/o mediadas por tecnología, el reconocimiento de capacidades en un marco inclusivo y de calidad, así como el desarrollo de capacidades docentes y condiciones laborales consecuentes en un contexto de precarización laboral y el deterioro del salario docente. </w:t>
      </w:r>
    </w:p>
    <w:p w14:paraId="693AAB90" w14:textId="77777777" w:rsidR="004F7047" w:rsidRDefault="00000000">
      <w:pPr>
        <w:spacing w:line="240" w:lineRule="auto"/>
        <w:jc w:val="both"/>
        <w:rPr>
          <w:rFonts w:ascii="Times New Roman" w:hAnsi="Times New Roman" w:cs="Times New Roman"/>
        </w:rPr>
      </w:pPr>
      <w:r>
        <w:rPr>
          <w:rFonts w:ascii="Times New Roman" w:hAnsi="Times New Roman" w:cs="Times New Roman"/>
        </w:rPr>
        <w:t xml:space="preserve">En el nivel de posgrados aún no se ha definido un SACAU y se debe agregar a la problemática mencionada para el nivel de grado, una serie de características que la singularizan y demandan consideración particular. Entre las principales se destacan: la inexistencia de presupuesto público para el nivel que deriva en una fuerte mercantilización y arancelamiento de la oferta; un rol subsidiario del Estado que -no obstante- regula el sistema a través del ejercicio de una función evaluadora determinante para el reconocimiento oficial y validez nacional en la totalidad de los títulos; una planta docente sin ciudadanía universitaria mayoritariamente contratada ad hoc generando condiciones precarias de desempeño académico y limitaciones para el desarrollo de la investigación; una configuración estructural diferenciada de otros países que genera desventajas comparativas; y una baja tasa de graduación, en especial a nivel de las Maestrías y los Doctorados. </w:t>
      </w:r>
    </w:p>
    <w:p w14:paraId="7E5ED6F5" w14:textId="77777777" w:rsidR="001517B0" w:rsidRDefault="00000000">
      <w:pPr>
        <w:spacing w:line="240" w:lineRule="auto"/>
        <w:jc w:val="both"/>
        <w:rPr>
          <w:rFonts w:ascii="Times New Roman" w:hAnsi="Times New Roman" w:cs="Times New Roman"/>
        </w:rPr>
      </w:pPr>
      <w:r>
        <w:rPr>
          <w:rFonts w:ascii="Times New Roman" w:hAnsi="Times New Roman" w:cs="Times New Roman"/>
        </w:rPr>
        <w:lastRenderedPageBreak/>
        <w:t xml:space="preserve">A este escenario debe incorporarse un contexto político emergente que ha generado la drástica disminución del presupuesto universitario y del sistema científico-tecnológico y que está generando severas restricciones al funcionamiento institucional y, por lo tanto, al financiamiento del nivel de posgrado. </w:t>
      </w:r>
    </w:p>
    <w:p w14:paraId="0AD49193" w14:textId="4854F599" w:rsidR="004F7047" w:rsidRDefault="00000000">
      <w:pPr>
        <w:spacing w:line="240" w:lineRule="auto"/>
        <w:jc w:val="both"/>
        <w:rPr>
          <w:rFonts w:ascii="Times New Roman" w:hAnsi="Times New Roman" w:cs="Times New Roman"/>
        </w:rPr>
      </w:pPr>
      <w:r>
        <w:rPr>
          <w:rFonts w:ascii="Times New Roman" w:hAnsi="Times New Roman" w:cs="Times New Roman"/>
        </w:rPr>
        <w:t>La ponencia propone, a partir de este contexto, una línea de desarrollo del SACAU para el nivel de posgrados basada en la experiencia de las propias universidades y de sus actores centrales, que derive en un verdadero proceso de transformación del sistema universitario bajo una nueva lógica y concepción curricular, articulado con el SACAU definido para el nivel de grado, y que pueda ofrecer conocimiento técnico pertinentes para la creación de una norma específica en nuestro país.</w:t>
      </w:r>
    </w:p>
    <w:p w14:paraId="17E17B36" w14:textId="77777777" w:rsidR="004F7047" w:rsidRDefault="004F7047">
      <w:pPr>
        <w:spacing w:line="240" w:lineRule="auto"/>
        <w:jc w:val="both"/>
        <w:rPr>
          <w:rFonts w:ascii="Times New Roman" w:hAnsi="Times New Roman" w:cs="Times New Roman"/>
          <w:b/>
          <w:bCs/>
        </w:rPr>
      </w:pPr>
    </w:p>
    <w:p w14:paraId="4040930B" w14:textId="77777777" w:rsidR="004F7047" w:rsidRDefault="00000000">
      <w:pPr>
        <w:tabs>
          <w:tab w:val="left" w:pos="5455"/>
        </w:tabs>
        <w:spacing w:line="240" w:lineRule="auto"/>
        <w:jc w:val="both"/>
        <w:rPr>
          <w:rFonts w:ascii="Times New Roman" w:hAnsi="Times New Roman" w:cs="Times New Roman"/>
        </w:rPr>
      </w:pPr>
      <w:r>
        <w:rPr>
          <w:rFonts w:ascii="Times New Roman" w:hAnsi="Times New Roman" w:cs="Times New Roman"/>
          <w:b/>
          <w:bCs/>
        </w:rPr>
        <w:t>Palabras clave: S</w:t>
      </w:r>
      <w:r>
        <w:rPr>
          <w:rFonts w:ascii="Times New Roman" w:hAnsi="Times New Roman" w:cs="Times New Roman"/>
        </w:rPr>
        <w:t>istema de créditos académicos, Nivel de posgrado, Argentina</w:t>
      </w:r>
    </w:p>
    <w:p w14:paraId="0855F154" w14:textId="77777777" w:rsidR="004F7047" w:rsidRDefault="004F7047">
      <w:pPr>
        <w:spacing w:line="240" w:lineRule="auto"/>
        <w:jc w:val="both"/>
        <w:rPr>
          <w:rFonts w:ascii="Times New Roman" w:hAnsi="Times New Roman" w:cs="Times New Roman"/>
          <w:b/>
          <w:bCs/>
        </w:rPr>
      </w:pPr>
    </w:p>
    <w:p w14:paraId="6417DF4E" w14:textId="77777777" w:rsidR="004F7047" w:rsidRDefault="00000000">
      <w:pPr>
        <w:spacing w:line="240" w:lineRule="auto"/>
        <w:rPr>
          <w:rFonts w:ascii="Times New Roman" w:hAnsi="Times New Roman" w:cs="Times New Roman"/>
          <w:b/>
          <w:bCs/>
        </w:rPr>
      </w:pPr>
      <w:r>
        <w:rPr>
          <w:rFonts w:ascii="Times New Roman" w:hAnsi="Times New Roman" w:cs="Times New Roman"/>
          <w:b/>
          <w:bCs/>
        </w:rPr>
        <w:t>Introducción</w:t>
      </w:r>
    </w:p>
    <w:p w14:paraId="02DEB198" w14:textId="5043B80E" w:rsidR="004F7047" w:rsidRDefault="00000000">
      <w:pPr>
        <w:spacing w:line="240" w:lineRule="auto"/>
        <w:jc w:val="both"/>
        <w:rPr>
          <w:rFonts w:ascii="Times New Roman" w:hAnsi="Times New Roman" w:cs="Times New Roman"/>
        </w:rPr>
      </w:pPr>
      <w:r>
        <w:rPr>
          <w:rFonts w:ascii="Times New Roman" w:hAnsi="Times New Roman" w:cs="Times New Roman"/>
        </w:rPr>
        <w:t xml:space="preserve">La crisis económica posterior a la recuperación democrática en Argentina tuvo un efecto significativo sobre el </w:t>
      </w:r>
      <w:r w:rsidR="001517B0">
        <w:rPr>
          <w:rFonts w:ascii="Times New Roman" w:hAnsi="Times New Roman" w:cs="Times New Roman"/>
        </w:rPr>
        <w:t>financiamiento</w:t>
      </w:r>
      <w:r>
        <w:rPr>
          <w:rFonts w:ascii="Times New Roman" w:hAnsi="Times New Roman" w:cs="Times New Roman"/>
        </w:rPr>
        <w:t xml:space="preserve"> de la educación. En particular, la educación superior se vio sometida -a partir de los años ‘90- a una serie de transformaciones y reformas orientadas a mejorar la eficiencia y eficacia del funcionamiento de las universidades que alcanzó a su modelo de gobernanza, su sostenimiento económico y promovió nuevos criterios de organización, funcionamiento y desarrollo. Estas transformaciones alentaron a nivel internacional -desde el marco ideológico y político neoliberal- su mercantilización y su afectación en tanto derecho público y social, y confrontaron el modelo universitario reformista con el modelo de organización y gestión pública promovido por la NGP (nueva gestión pública). Estas políticas afectaron al sistema universitario de manera total, tanto la distribución y administración del presupuesto, la implementación de mecanismos de rendición de cuentas y de evaluación de la calidad, la adopción de nuevos modelos de gobierno y gestión -como señalamos-, la emergencia de nuevos roles a nivel del sistema y de las instituciones universitarias, y la multiplicación y complejización de las tareas académicas en un marco de fragmentación y sobrecarga del trabajo (Marquina et al, 2023).</w:t>
      </w:r>
    </w:p>
    <w:p w14:paraId="344FCA2B" w14:textId="77777777" w:rsidR="004F7047" w:rsidRDefault="00000000">
      <w:pPr>
        <w:spacing w:line="240" w:lineRule="auto"/>
        <w:jc w:val="both"/>
        <w:rPr>
          <w:rFonts w:ascii="Times New Roman" w:hAnsi="Times New Roman" w:cs="Times New Roman"/>
        </w:rPr>
      </w:pPr>
      <w:r>
        <w:rPr>
          <w:rFonts w:ascii="Times New Roman" w:hAnsi="Times New Roman" w:cs="Times New Roman"/>
        </w:rPr>
        <w:t xml:space="preserve">Este proceso, aún en desarrollo, se vio a su vez afectado a partir de 2020 con la emergencia de la pandemia del COVID-19, de la implementación de nuevas regulaciones para el sistema universitario y de la emergencia de un nuevo proyecto político nacional de gobierno que busca cambiar las bases sobre las cuales se asienta. </w:t>
      </w:r>
    </w:p>
    <w:p w14:paraId="740BA511" w14:textId="1ACCFBC3" w:rsidR="004F7047" w:rsidRDefault="00000000">
      <w:pPr>
        <w:spacing w:line="240" w:lineRule="auto"/>
        <w:jc w:val="both"/>
        <w:rPr>
          <w:rFonts w:ascii="Times New Roman" w:hAnsi="Times New Roman" w:cs="Times New Roman"/>
        </w:rPr>
      </w:pPr>
      <w:r>
        <w:rPr>
          <w:rFonts w:ascii="Times New Roman" w:hAnsi="Times New Roman" w:cs="Times New Roman"/>
        </w:rPr>
        <w:t xml:space="preserve">Así, los procesos de inclusión educativa y democratización de la educación superior, la duración real de las carreras de grado y la creciente brecha con su duración teórica en un contexto que presiona sobre el acortamiento de las mismas, la virtualización de emergencia de la educación durante la pandemia y sus efectos consecuentes sobre las modalidades de enseñanza y aprendizaje establecidas, la necesidad de reconocimiento de competencias “intermedias”, la reconfiguración de la internacionalización educativa </w:t>
      </w:r>
      <w:r>
        <w:rPr>
          <w:rFonts w:ascii="Times New Roman" w:hAnsi="Times New Roman" w:cs="Times New Roman"/>
        </w:rPr>
        <w:lastRenderedPageBreak/>
        <w:t xml:space="preserve">y la movilidad estudiantil y docente, el aseguramiento de la calidad en un contexto expansivo de la cobertura universitaria y la complejización de la labor docente que incorpora requerimientos de investigación, extensión y gestión con independencia de la contratación disponible en un contexto de precarización laboral, vienen siendo objeto de preocupación y trabajo por parte del sistema universitario, el gobierno nacional, las instituciones educativas y la comunidad académica, en las últimas décadas. </w:t>
      </w:r>
    </w:p>
    <w:p w14:paraId="7DC87F06" w14:textId="77777777" w:rsidR="004F7047" w:rsidRDefault="00000000">
      <w:pPr>
        <w:spacing w:line="240" w:lineRule="auto"/>
        <w:jc w:val="both"/>
        <w:rPr>
          <w:rFonts w:ascii="Times New Roman" w:hAnsi="Times New Roman" w:cs="Times New Roman"/>
        </w:rPr>
      </w:pPr>
      <w:r>
        <w:rPr>
          <w:rFonts w:ascii="Times New Roman" w:hAnsi="Times New Roman" w:cs="Times New Roman"/>
        </w:rPr>
        <w:t>Más allá de las coyunturas políticas, este trabajo, discusión y cambio regulatorio tuvo como telón de fondo el reconocimiento de la educación como un derecho humano fundamental de carácter universal y como una herramienta de igualdad incorporada con independencia de las orientaciones ideológicas dominantes y como un derecho habilitante al ejercicio de otros derechos sociales (Ruiz, 2021). Así como también, una preminencia del Estado Nacional como actor garante de ese derecho -en el caso universitario- con un rol central en la coordinación del sistema y en su desarrollo. Sin embargo, esta tradición nacional que apostó a su construcción y desarrollo sobre la base de la educación pública hoy está siendo fuerte y eficazmente compulsada por un proyecto económico y político que discute el rol del Estado como regulador de las relaciones sociales. Las formas en que se expresa este nuevo marco es el de la desregulación de los sistemas, su privatización introduciendo lógicas propias del mercado, la desresponsabilización del Estado como garante de los derechos y funciones educativas, la desinversión, entre las más importantes.</w:t>
      </w:r>
    </w:p>
    <w:p w14:paraId="0FBE0125" w14:textId="77777777" w:rsidR="004F7047" w:rsidRDefault="00000000">
      <w:pPr>
        <w:spacing w:line="240" w:lineRule="auto"/>
        <w:jc w:val="both"/>
        <w:rPr>
          <w:rFonts w:ascii="Times New Roman" w:hAnsi="Times New Roman" w:cs="Times New Roman"/>
        </w:rPr>
      </w:pPr>
      <w:r>
        <w:rPr>
          <w:rFonts w:ascii="Times New Roman" w:hAnsi="Times New Roman" w:cs="Times New Roman"/>
        </w:rPr>
        <w:t>Este proceso de cambio, bajo estas nuevas condiciones, ha tenido especial impacto en el sistema universitario donde la acción pública posee -aún- una fuerte preminencia y potencia de acción (78,3% de los estudiantes -MCH, 2025-) y donde radican los principales desafíos públicos.</w:t>
      </w:r>
    </w:p>
    <w:p w14:paraId="073E9494" w14:textId="77777777" w:rsidR="004F7047" w:rsidRDefault="00000000">
      <w:pPr>
        <w:spacing w:line="240" w:lineRule="auto"/>
        <w:jc w:val="both"/>
        <w:rPr>
          <w:rFonts w:ascii="Times New Roman" w:hAnsi="Times New Roman"/>
        </w:rPr>
      </w:pPr>
      <w:r>
        <w:rPr>
          <w:rFonts w:ascii="Times New Roman" w:hAnsi="Times New Roman"/>
        </w:rPr>
        <w:t>La atención de este escenario complejo se agravó a partir del cambio de gobierno nacional en diciembre de 2023 que postula un cambio paradigmático respecto de lo económico, lo político y lo social. En especial, el rol asignado al Estado -que está siendo desarticulado- y la afectación de las reglas de juego democrático. En el campo educativo universitario se registró una disminución del presupuesto universitario y del sistema científico-tecnológico del orden del 40% en el primer año de gobierno (Curcio et al., 2024) que generó severas restricciones al funcionamiento institucional y, consustancialmente, al financiamiento del nivel de posgrado. También, a partir del incumplimiento de las obligaciones legales establecidas en sendos Convenios Colectivos de Trabajo de docentes y no docentes de las universidades nacionales, se efectivizó una fuerte reducción del salario y del poder adquisitivo que precarizó las condiciones de trabajo, y -por otro- generó la pérdida de docentes debido a su pauperización. Para hacerlo, el gobierno nacional desplegó un agresivo ataque al sistema universitario buscando su desprestigio y deslegitimación, a través de información falaz que fue resistida por la comunidad universitaria con un significativo apoyo social.</w:t>
      </w:r>
    </w:p>
    <w:p w14:paraId="06D6A4B8" w14:textId="77777777" w:rsidR="004F7047" w:rsidRDefault="00000000">
      <w:pPr>
        <w:spacing w:line="240" w:lineRule="auto"/>
        <w:jc w:val="both"/>
        <w:rPr>
          <w:rFonts w:ascii="Times New Roman" w:hAnsi="Times New Roman" w:cs="Times New Roman"/>
        </w:rPr>
      </w:pPr>
      <w:r>
        <w:rPr>
          <w:rFonts w:ascii="Times New Roman" w:hAnsi="Times New Roman" w:cs="Times New Roman"/>
        </w:rPr>
        <w:t>Pero también, dichas tensiones se han expresado en los procesos institucionales de implementación normas ministeriales aprobadas en el mes de noviembre de 2023 con el acuerdo del Consejo de Universidades (es decir, el conjunto del sistema universitario -</w:t>
      </w:r>
      <w:r>
        <w:rPr>
          <w:rFonts w:ascii="Times New Roman" w:hAnsi="Times New Roman" w:cs="Times New Roman"/>
        </w:rPr>
        <w:lastRenderedPageBreak/>
        <w:t>público y privado-). Nos referimos a las resoluciones ministeriales 2597 (creación de sistemas institucionales de aseguramiento de la calidad), 2598 (creación del Sistema Argentino de Créditos Académicos Universitarios -SACAU-), 2599 (modificación de reglamento de la modalidad de educación a distancia) y 2600 (modificación del marco regulatorio de posgrados). Y, muy especialmente, se ha expresado en los procesos de revisión de algunas de esas normas, como la del SACAU, finalmente modificada por Resolución del Ministerio de Capital Humano 556/25 a partir de procesos de discusión en el interior del CIN y con el CRUP .</w:t>
      </w:r>
    </w:p>
    <w:p w14:paraId="7379EE19" w14:textId="77777777" w:rsidR="004F7047" w:rsidRDefault="00000000">
      <w:pPr>
        <w:spacing w:line="240" w:lineRule="auto"/>
        <w:jc w:val="both"/>
        <w:rPr>
          <w:rFonts w:ascii="Times New Roman" w:hAnsi="Times New Roman" w:cs="Times New Roman"/>
        </w:rPr>
      </w:pPr>
      <w:r>
        <w:rPr>
          <w:rFonts w:ascii="Times New Roman" w:hAnsi="Times New Roman" w:cs="Times New Roman"/>
        </w:rPr>
        <w:t>Dentro de las universidades se está produciendo un trabajo de gestión curricular para adecuación de las propuestas de grado al nuevo sistema, que empieza a dar cuenta de las dificultades asociadas junto con un proceso de análisis de sus limitaciones para propender al logro de los objetivos que se propone: el acortamiento de las carreras, la disminución de la duración real de los cursados, la eficaz incorporación de pedagogías no presenciales y/o mediadas por tecnología, el reconocimiento de capacidades, en un marco inclusivo y de calidad, así como el desarrollo de capacidades docentes y condiciones laborales consecuentes en un contexto de precarización laboral debido a la desinversión presupuestaria y el deterioro del salario docente.</w:t>
      </w:r>
    </w:p>
    <w:p w14:paraId="329B320F" w14:textId="37EA7674" w:rsidR="009861C7" w:rsidRDefault="00000000">
      <w:pPr>
        <w:spacing w:line="240" w:lineRule="auto"/>
        <w:jc w:val="both"/>
        <w:rPr>
          <w:rFonts w:ascii="Times New Roman" w:hAnsi="Times New Roman" w:cs="Times New Roman"/>
        </w:rPr>
      </w:pPr>
      <w:r>
        <w:rPr>
          <w:rFonts w:ascii="Times New Roman" w:hAnsi="Times New Roman" w:cs="Times New Roman"/>
        </w:rPr>
        <w:t xml:space="preserve">A la problemática precedente es posible agregar, para el nivel de posgrados, una serie de características que la singularizan y demandan consideración particular. En primer lugar, la falta de presupuesto público para el nivel que deriva en una fuerte mercantilización de la oferta y funcionamiento del sistema y un rol subsidiario del Estado (una situación que es consustancial al desarrollo de los posgrados, que no es nueva, por cierto). </w:t>
      </w:r>
      <w:r w:rsidR="009861C7">
        <w:rPr>
          <w:rFonts w:ascii="Times New Roman" w:hAnsi="Times New Roman" w:cs="Times New Roman"/>
        </w:rPr>
        <w:t>En palabras de Perez Rasetti:</w:t>
      </w:r>
    </w:p>
    <w:p w14:paraId="79A0A0D2" w14:textId="1EADEAA6" w:rsidR="009861C7" w:rsidRDefault="009861C7" w:rsidP="009861C7">
      <w:pPr>
        <w:spacing w:line="240" w:lineRule="auto"/>
        <w:ind w:left="708"/>
        <w:jc w:val="both"/>
        <w:rPr>
          <w:rFonts w:ascii="Times New Roman" w:hAnsi="Times New Roman" w:cs="Times New Roman"/>
        </w:rPr>
      </w:pPr>
      <w:r w:rsidRPr="009861C7">
        <w:rPr>
          <w:rFonts w:ascii="Times New Roman" w:hAnsi="Times New Roman" w:cs="Times New Roman"/>
        </w:rPr>
        <w:t>El</w:t>
      </w:r>
      <w:r>
        <w:rPr>
          <w:rFonts w:ascii="Times New Roman" w:hAnsi="Times New Roman" w:cs="Times New Roman"/>
        </w:rPr>
        <w:t xml:space="preserve"> </w:t>
      </w:r>
      <w:r w:rsidRPr="009861C7">
        <w:rPr>
          <w:rFonts w:ascii="Times New Roman" w:hAnsi="Times New Roman" w:cs="Times New Roman"/>
        </w:rPr>
        <w:t>posgrado constituye un mercado o cuasi mercado que casi todos asumen pacíficamente,</w:t>
      </w:r>
      <w:r>
        <w:rPr>
          <w:rFonts w:ascii="Times New Roman" w:hAnsi="Times New Roman" w:cs="Times New Roman"/>
        </w:rPr>
        <w:t xml:space="preserve"> </w:t>
      </w:r>
      <w:r w:rsidRPr="009861C7">
        <w:rPr>
          <w:rFonts w:ascii="Times New Roman" w:hAnsi="Times New Roman" w:cs="Times New Roman"/>
        </w:rPr>
        <w:t>instalado al punto que aceptamos la categorización jerárquica de las carreras en los</w:t>
      </w:r>
      <w:r>
        <w:rPr>
          <w:rFonts w:ascii="Times New Roman" w:hAnsi="Times New Roman" w:cs="Times New Roman"/>
        </w:rPr>
        <w:t xml:space="preserve"> </w:t>
      </w:r>
      <w:r w:rsidRPr="009861C7">
        <w:rPr>
          <w:rFonts w:ascii="Times New Roman" w:hAnsi="Times New Roman" w:cs="Times New Roman"/>
        </w:rPr>
        <w:t>procesos de acreditación lo que, tratándose de carreras aranceladas, no puede tener otro</w:t>
      </w:r>
      <w:r>
        <w:rPr>
          <w:rFonts w:ascii="Times New Roman" w:hAnsi="Times New Roman" w:cs="Times New Roman"/>
        </w:rPr>
        <w:t xml:space="preserve"> </w:t>
      </w:r>
      <w:r w:rsidRPr="009861C7">
        <w:rPr>
          <w:rFonts w:ascii="Times New Roman" w:hAnsi="Times New Roman" w:cs="Times New Roman"/>
        </w:rPr>
        <w:t>objeto que promover la competencia (comercial). Si bien es cierto que la justificación de</w:t>
      </w:r>
      <w:r>
        <w:rPr>
          <w:rFonts w:ascii="Times New Roman" w:hAnsi="Times New Roman" w:cs="Times New Roman"/>
        </w:rPr>
        <w:t xml:space="preserve"> </w:t>
      </w:r>
      <w:r w:rsidRPr="009861C7">
        <w:rPr>
          <w:rFonts w:ascii="Times New Roman" w:hAnsi="Times New Roman" w:cs="Times New Roman"/>
        </w:rPr>
        <w:t>esta condición es que deben autofinanciarse, también es cierto que, a pesar de la</w:t>
      </w:r>
      <w:r>
        <w:rPr>
          <w:rFonts w:ascii="Times New Roman" w:hAnsi="Times New Roman" w:cs="Times New Roman"/>
        </w:rPr>
        <w:t xml:space="preserve"> </w:t>
      </w:r>
      <w:r w:rsidRPr="009861C7">
        <w:rPr>
          <w:rFonts w:ascii="Times New Roman" w:hAnsi="Times New Roman" w:cs="Times New Roman"/>
        </w:rPr>
        <w:t>importante influencia que ha tenido el CIN y los rectores y rectoras de las UUNN en la</w:t>
      </w:r>
      <w:r>
        <w:rPr>
          <w:rFonts w:ascii="Times New Roman" w:hAnsi="Times New Roman" w:cs="Times New Roman"/>
        </w:rPr>
        <w:t xml:space="preserve"> </w:t>
      </w:r>
      <w:r w:rsidRPr="009861C7">
        <w:rPr>
          <w:rFonts w:ascii="Times New Roman" w:hAnsi="Times New Roman" w:cs="Times New Roman"/>
        </w:rPr>
        <w:t>política universitaria (Erreguerena, 2017), ni en las épocas de mayor inversión del sistema</w:t>
      </w:r>
      <w:r>
        <w:rPr>
          <w:rFonts w:ascii="Times New Roman" w:hAnsi="Times New Roman" w:cs="Times New Roman"/>
        </w:rPr>
        <w:t xml:space="preserve"> </w:t>
      </w:r>
      <w:r w:rsidRPr="009861C7">
        <w:rPr>
          <w:rFonts w:ascii="Times New Roman" w:hAnsi="Times New Roman" w:cs="Times New Roman"/>
        </w:rPr>
        <w:t>se promovió una política para abordar el problema del financiamiento del posgrado de</w:t>
      </w:r>
      <w:r>
        <w:rPr>
          <w:rFonts w:ascii="Times New Roman" w:hAnsi="Times New Roman" w:cs="Times New Roman"/>
        </w:rPr>
        <w:t xml:space="preserve"> </w:t>
      </w:r>
      <w:r w:rsidRPr="009861C7">
        <w:rPr>
          <w:rFonts w:ascii="Times New Roman" w:hAnsi="Times New Roman" w:cs="Times New Roman"/>
        </w:rPr>
        <w:t>manera decidida, integral y completa</w:t>
      </w:r>
      <w:r>
        <w:rPr>
          <w:rFonts w:ascii="Times New Roman" w:hAnsi="Times New Roman" w:cs="Times New Roman"/>
        </w:rPr>
        <w:t xml:space="preserve"> (2025, </w:t>
      </w:r>
      <w:r w:rsidR="006972DD">
        <w:rPr>
          <w:rFonts w:ascii="Times New Roman" w:hAnsi="Times New Roman" w:cs="Times New Roman"/>
        </w:rPr>
        <w:t>p.144)</w:t>
      </w:r>
      <w:r w:rsidRPr="009861C7">
        <w:rPr>
          <w:rFonts w:ascii="Times New Roman" w:hAnsi="Times New Roman" w:cs="Times New Roman"/>
        </w:rPr>
        <w:t>.</w:t>
      </w:r>
    </w:p>
    <w:p w14:paraId="27B02B52" w14:textId="6312EB31" w:rsidR="004F7047" w:rsidRDefault="006972DD">
      <w:pPr>
        <w:spacing w:line="240" w:lineRule="auto"/>
        <w:jc w:val="both"/>
        <w:rPr>
          <w:rFonts w:ascii="Times New Roman" w:hAnsi="Times New Roman" w:cs="Times New Roman"/>
        </w:rPr>
      </w:pPr>
      <w:r>
        <w:rPr>
          <w:rFonts w:ascii="Times New Roman" w:hAnsi="Times New Roman" w:cs="Times New Roman"/>
        </w:rPr>
        <w:t>El Estado</w:t>
      </w:r>
      <w:r w:rsidR="00000000">
        <w:rPr>
          <w:rFonts w:ascii="Times New Roman" w:hAnsi="Times New Roman" w:cs="Times New Roman"/>
        </w:rPr>
        <w:t xml:space="preserve">, no obstante, regula el sistema a través del ejercicio de una función evaluadora determinante mediante procesos de evaluación institucional y de acreditación de carreras, como condición de reconocimiento oficial y validez nacional de los títulos, algo que en el nivel de grado sólo alcanza a las carreras de interés público. Así, las universidades públicas se ven empujadas por el sistema a desarrollar propuestas de posgrado de calidad pero sin las condiciones materiales para poder hacerlo, quedando transferida a las universidades la responsabilidad por obtener el financiamiento necesario, el cual -mayoritariamente- se tradujo en el arancelamiento de las carreras. Por la misma razón, la planta docente del nivel de posgrado debe ser mayoritariamente contratada ad hoc generando condiciones precarias de desempeño </w:t>
      </w:r>
      <w:r w:rsidR="00000000">
        <w:rPr>
          <w:rFonts w:ascii="Times New Roman" w:hAnsi="Times New Roman" w:cs="Times New Roman"/>
        </w:rPr>
        <w:lastRenderedPageBreak/>
        <w:t>académico y limitaciones para el desarrollo de la investigación (Perez Centeno, 2015; Perez Centeno y Aiello, 2021). Así, las universidades despliegan diversas estrategias para llevarlo a cabo exponiéndose según sus propias posibilidades y capacidades, a atender una función que el Estado no debería delegar: la producción de conocimiento orientado a atender necesidades productivas del país al margen de las lógicas del “mercado”. Lo cual genera una fuerte heterogeneidad y disparidad regional e institucional, de acuerdo con las condiciones de financiamiento y a la disponibilidad de recursos materiales, humanos y de infraestructura, para llevarlo a cabo.</w:t>
      </w:r>
    </w:p>
    <w:p w14:paraId="2C7AB48B" w14:textId="151C8CCE" w:rsidR="004F7047" w:rsidRDefault="00000000">
      <w:pPr>
        <w:spacing w:line="240" w:lineRule="auto"/>
        <w:jc w:val="both"/>
        <w:rPr>
          <w:rFonts w:ascii="Times New Roman" w:hAnsi="Times New Roman" w:cs="Times New Roman"/>
        </w:rPr>
      </w:pPr>
      <w:r>
        <w:rPr>
          <w:rFonts w:ascii="Times New Roman" w:hAnsi="Times New Roman" w:cs="Times New Roman"/>
        </w:rPr>
        <w:t>En segundo lugar, Argentina tiene una configuración del nivel de posgrado diferenciado respecto de otros países. Ha incorporado -además de las Maestrías y de los Doctorados-las Especializaciones como carreras oficiales de posgrado. Todas ellas están estructuradas</w:t>
      </w:r>
      <w:r w:rsidR="00527A51">
        <w:rPr>
          <w:rFonts w:ascii="Times New Roman" w:hAnsi="Times New Roman" w:cs="Times New Roman"/>
        </w:rPr>
        <w:t>,</w:t>
      </w:r>
      <w:r>
        <w:rPr>
          <w:rFonts w:ascii="Times New Roman" w:hAnsi="Times New Roman" w:cs="Times New Roman"/>
        </w:rPr>
        <w:t xml:space="preserve"> </w:t>
      </w:r>
      <w:r w:rsidR="001517B0">
        <w:rPr>
          <w:rFonts w:ascii="Times New Roman" w:hAnsi="Times New Roman" w:cs="Times New Roman"/>
        </w:rPr>
        <w:t>históricamente</w:t>
      </w:r>
      <w:r w:rsidR="00527A51">
        <w:rPr>
          <w:rFonts w:ascii="Times New Roman" w:hAnsi="Times New Roman" w:cs="Times New Roman"/>
        </w:rPr>
        <w:t>,</w:t>
      </w:r>
      <w:r w:rsidR="001517B0">
        <w:rPr>
          <w:rFonts w:ascii="Times New Roman" w:hAnsi="Times New Roman" w:cs="Times New Roman"/>
        </w:rPr>
        <w:t xml:space="preserve"> </w:t>
      </w:r>
      <w:r>
        <w:rPr>
          <w:rFonts w:ascii="Times New Roman" w:hAnsi="Times New Roman" w:cs="Times New Roman"/>
        </w:rPr>
        <w:t>en base a la duración (en horas) del dictado de las asignaturas de sus respectivos planes de estudio</w:t>
      </w:r>
      <w:r w:rsidR="001517B0">
        <w:rPr>
          <w:rFonts w:ascii="Times New Roman" w:hAnsi="Times New Roman" w:cs="Times New Roman"/>
        </w:rPr>
        <w:t xml:space="preserve">; </w:t>
      </w:r>
      <w:r>
        <w:rPr>
          <w:rFonts w:ascii="Times New Roman" w:hAnsi="Times New Roman" w:cs="Times New Roman"/>
        </w:rPr>
        <w:t xml:space="preserve">-no por créditos ni en base a las competencias de formación-; y, además, tienden a ser más extensas que sus homólogas en el exterior del país -especialmente en relación con América del Norte y Europa-. Por otra parte, si bien es un problema generalizado a nivel </w:t>
      </w:r>
      <w:r w:rsidR="001517B0">
        <w:rPr>
          <w:rFonts w:ascii="Times New Roman" w:hAnsi="Times New Roman" w:cs="Times New Roman"/>
        </w:rPr>
        <w:t>internacional</w:t>
      </w:r>
      <w:r>
        <w:rPr>
          <w:rFonts w:ascii="Times New Roman" w:hAnsi="Times New Roman" w:cs="Times New Roman"/>
        </w:rPr>
        <w:t>, uno de los principales problemas que tienen los posgrados del país -aunque se observan diferencias según tipo de carrera y campos disciplinarios- es la baja tasa de graduación; en especial, a nivel de las Maestrías y los Doctorados. En este sentido, una reforma del sistema de posgrados debería incorporar como objetivo, la atención de ambas cuestiones.</w:t>
      </w:r>
    </w:p>
    <w:p w14:paraId="7A6D0478" w14:textId="2B011B14" w:rsidR="004F7047" w:rsidRDefault="00000000">
      <w:pPr>
        <w:spacing w:line="240" w:lineRule="auto"/>
        <w:jc w:val="both"/>
        <w:rPr>
          <w:rFonts w:ascii="Times New Roman" w:hAnsi="Times New Roman" w:cs="Times New Roman"/>
        </w:rPr>
      </w:pPr>
      <w:r>
        <w:rPr>
          <w:rFonts w:ascii="Times New Roman" w:hAnsi="Times New Roman" w:cs="Times New Roman"/>
        </w:rPr>
        <w:t xml:space="preserve">Por todo esto, </w:t>
      </w:r>
      <w:r w:rsidR="001517B0">
        <w:rPr>
          <w:rFonts w:ascii="Times New Roman" w:hAnsi="Times New Roman" w:cs="Times New Roman"/>
        </w:rPr>
        <w:t>habiéndose</w:t>
      </w:r>
      <w:r>
        <w:rPr>
          <w:rFonts w:ascii="Times New Roman" w:hAnsi="Times New Roman" w:cs="Times New Roman"/>
        </w:rPr>
        <w:t xml:space="preserve"> aprobado y manteniendo vigencia plena la aprobación del SACAU en el nivel de grado, la ponencia se propone abordar el desafío que representa para el sistema universitario argentino el establecimiento de un sistema de créditos académicos en el nivel de posgrado que atienda su principales características, dificultades y requerimientos, así como ofrecer líneas de desarrollo que promuevan una transformación efectiva y pertinente de este nivel de formación, para el tratamiento y determinación de una norma específica sobre créditos académicos en el nivel de posgrado.</w:t>
      </w:r>
    </w:p>
    <w:p w14:paraId="435176D7" w14:textId="7F6AFDF1" w:rsidR="004F7047" w:rsidRDefault="00000000">
      <w:pPr>
        <w:spacing w:line="240" w:lineRule="auto"/>
        <w:jc w:val="both"/>
        <w:rPr>
          <w:rFonts w:ascii="Times New Roman" w:hAnsi="Times New Roman" w:cs="Times New Roman"/>
        </w:rPr>
      </w:pPr>
      <w:r>
        <w:rPr>
          <w:rFonts w:ascii="Times New Roman" w:hAnsi="Times New Roman" w:cs="Times New Roman"/>
        </w:rPr>
        <w:t>Antes de avanzar con el desarrollo del trabajo – a modo de advertencia- cabe mencionar que un cambio de la naturaleza que se está planteando implica una transformación del sistema universitario bajo una nueva lógica organizativa, curricular y pedagógica</w:t>
      </w:r>
      <w:r w:rsidR="003D78F1">
        <w:rPr>
          <w:rFonts w:ascii="Times New Roman" w:hAnsi="Times New Roman" w:cs="Times New Roman"/>
        </w:rPr>
        <w:t>, la integración de las funciones universitarias en el proceso formativo -enseñanza, investigación y extensión-</w:t>
      </w:r>
      <w:r>
        <w:rPr>
          <w:rFonts w:ascii="Times New Roman" w:hAnsi="Times New Roman" w:cs="Times New Roman"/>
        </w:rPr>
        <w:t xml:space="preserve"> y no una mera asignación de equivalencias entre dos sistemas de medición -basado en horas y en créditos-. El trabajo se enfoca, no obstante en este punto particular antes que las cuestiones </w:t>
      </w:r>
      <w:r w:rsidR="00527A51">
        <w:rPr>
          <w:rFonts w:ascii="Times New Roman" w:hAnsi="Times New Roman" w:cs="Times New Roman"/>
        </w:rPr>
        <w:t>“</w:t>
      </w:r>
      <w:r>
        <w:rPr>
          <w:rFonts w:ascii="Times New Roman" w:hAnsi="Times New Roman" w:cs="Times New Roman"/>
        </w:rPr>
        <w:t>sustantivas</w:t>
      </w:r>
      <w:r w:rsidR="00527A51">
        <w:rPr>
          <w:rFonts w:ascii="Times New Roman" w:hAnsi="Times New Roman" w:cs="Times New Roman"/>
        </w:rPr>
        <w:t>”</w:t>
      </w:r>
      <w:r>
        <w:rPr>
          <w:rFonts w:ascii="Times New Roman" w:hAnsi="Times New Roman" w:cs="Times New Roman"/>
        </w:rPr>
        <w:t xml:space="preserve"> que habrá de atenderse a partir de la definición de </w:t>
      </w:r>
      <w:r w:rsidR="00527A51">
        <w:rPr>
          <w:rFonts w:ascii="Times New Roman" w:hAnsi="Times New Roman" w:cs="Times New Roman"/>
        </w:rPr>
        <w:t>los aspectos</w:t>
      </w:r>
      <w:r>
        <w:rPr>
          <w:rFonts w:ascii="Times New Roman" w:hAnsi="Times New Roman" w:cs="Times New Roman"/>
        </w:rPr>
        <w:t xml:space="preserve"> </w:t>
      </w:r>
      <w:r w:rsidR="00527A51">
        <w:rPr>
          <w:rFonts w:ascii="Times New Roman" w:hAnsi="Times New Roman" w:cs="Times New Roman"/>
        </w:rPr>
        <w:t>“</w:t>
      </w:r>
      <w:r>
        <w:rPr>
          <w:rFonts w:ascii="Times New Roman" w:hAnsi="Times New Roman" w:cs="Times New Roman"/>
        </w:rPr>
        <w:t>estructurantes</w:t>
      </w:r>
      <w:r w:rsidR="00527A51">
        <w:rPr>
          <w:rFonts w:ascii="Times New Roman" w:hAnsi="Times New Roman" w:cs="Times New Roman"/>
        </w:rPr>
        <w:t>”</w:t>
      </w:r>
      <w:r>
        <w:rPr>
          <w:rFonts w:ascii="Times New Roman" w:hAnsi="Times New Roman" w:cs="Times New Roman"/>
        </w:rPr>
        <w:t>.</w:t>
      </w:r>
    </w:p>
    <w:p w14:paraId="2748EAB4" w14:textId="77777777" w:rsidR="004F7047" w:rsidRDefault="004F7047">
      <w:pPr>
        <w:spacing w:line="240" w:lineRule="auto"/>
        <w:jc w:val="both"/>
        <w:rPr>
          <w:rFonts w:ascii="Times New Roman" w:hAnsi="Times New Roman" w:cs="Times New Roman"/>
          <w:shd w:val="clear" w:color="auto" w:fill="BBE33D"/>
        </w:rPr>
      </w:pPr>
    </w:p>
    <w:p w14:paraId="3360B1A4" w14:textId="77777777" w:rsidR="004F7047" w:rsidRDefault="00000000">
      <w:pPr>
        <w:spacing w:line="240" w:lineRule="auto"/>
        <w:rPr>
          <w:rFonts w:ascii="Times New Roman" w:hAnsi="Times New Roman" w:cs="Times New Roman"/>
          <w:b/>
          <w:bCs/>
        </w:rPr>
      </w:pPr>
      <w:r>
        <w:rPr>
          <w:rFonts w:ascii="Times New Roman" w:hAnsi="Times New Roman" w:cs="Times New Roman"/>
          <w:b/>
          <w:bCs/>
        </w:rPr>
        <w:t>Desarrollo</w:t>
      </w:r>
    </w:p>
    <w:p w14:paraId="1F8BA78A" w14:textId="77777777" w:rsidR="004F7047" w:rsidRDefault="00000000">
      <w:pPr>
        <w:spacing w:line="240" w:lineRule="auto"/>
        <w:jc w:val="both"/>
        <w:rPr>
          <w:rFonts w:ascii="Times New Roman" w:hAnsi="Times New Roman" w:cs="Times New Roman"/>
          <w:i/>
          <w:iCs/>
        </w:rPr>
      </w:pPr>
      <w:r>
        <w:rPr>
          <w:rFonts w:ascii="Times New Roman" w:hAnsi="Times New Roman" w:cs="Times New Roman"/>
          <w:i/>
          <w:iCs/>
        </w:rPr>
        <w:t>Las definiciones normativas</w:t>
      </w:r>
    </w:p>
    <w:p w14:paraId="4BA70D22" w14:textId="77777777" w:rsidR="004F7047" w:rsidRDefault="00000000">
      <w:pPr>
        <w:spacing w:line="240" w:lineRule="auto"/>
        <w:jc w:val="both"/>
        <w:rPr>
          <w:rFonts w:ascii="Times New Roman" w:hAnsi="Times New Roman" w:cs="Times New Roman"/>
        </w:rPr>
      </w:pPr>
      <w:r>
        <w:rPr>
          <w:rFonts w:ascii="Times New Roman" w:hAnsi="Times New Roman" w:cs="Times New Roman"/>
        </w:rPr>
        <w:t xml:space="preserve">La RM 2598/23, aprobada el 15.nov.23, creó “el Sistema Argentino de Créditos Académicos Universitarios (SACAU), el cual fija al Crédito de Referencia del/la </w:t>
      </w:r>
      <w:r>
        <w:rPr>
          <w:rFonts w:ascii="Times New Roman" w:hAnsi="Times New Roman" w:cs="Times New Roman"/>
        </w:rPr>
        <w:lastRenderedPageBreak/>
        <w:t>Estudiante (CRE) como el valor organizador del diseño y rediseño de los planes de estudio” (Art. 2) y</w:t>
      </w:r>
    </w:p>
    <w:p w14:paraId="62AFAD70" w14:textId="77777777" w:rsidR="004F7047" w:rsidRDefault="00000000">
      <w:pPr>
        <w:spacing w:line="240" w:lineRule="auto"/>
        <w:ind w:left="708"/>
        <w:jc w:val="both"/>
        <w:rPr>
          <w:rFonts w:ascii="Times New Roman" w:hAnsi="Times New Roman" w:cs="Times New Roman"/>
          <w:sz w:val="22"/>
          <w:szCs w:val="22"/>
        </w:rPr>
      </w:pPr>
      <w:r>
        <w:rPr>
          <w:rFonts w:ascii="Times New Roman" w:hAnsi="Times New Roman" w:cs="Times New Roman"/>
          <w:sz w:val="22"/>
          <w:szCs w:val="22"/>
        </w:rPr>
        <w:t>Define el CRE como la unidad de tiempo total de trabajo académico que estimativamente dedican los estudiantes para alcanzar los objetivos formativos de cada una de las unidades y/o actividades curriculares que componen el plan de estudios. En esta unidad de tiempo se incluyen: a) las horas de docencia o interacción pedagógica docente-estudiantes, independientemente de la modalidad, incluyendo tiempo de prácticas en terreno y b) las horas de trabajo autónomo del estudiante que son adicionales a las de docencia o interacción docente-estudiantes” (Anexo, ítem 1).</w:t>
      </w:r>
    </w:p>
    <w:p w14:paraId="089D8499" w14:textId="77777777" w:rsidR="004F7047" w:rsidRDefault="00000000">
      <w:pPr>
        <w:spacing w:line="240" w:lineRule="auto"/>
        <w:jc w:val="both"/>
        <w:rPr>
          <w:rFonts w:ascii="Times New Roman" w:hAnsi="Times New Roman" w:cs="Times New Roman"/>
        </w:rPr>
      </w:pPr>
      <w:r>
        <w:rPr>
          <w:rFonts w:ascii="Times New Roman" w:hAnsi="Times New Roman" w:cs="Times New Roman"/>
        </w:rPr>
        <w:t xml:space="preserve">Asimismo establece que “el valor asignado a cada CRE oscilará entre 25 y 30 horas de trabajo total del estudiante (Anexo, ítem 2); aunque posteriormente, por RR 556/25, esa relación queda fijada en 25hs. </w:t>
      </w:r>
    </w:p>
    <w:p w14:paraId="1DF48C12" w14:textId="7AF121CE" w:rsidR="004F7047" w:rsidRDefault="00000000">
      <w:pPr>
        <w:spacing w:line="240" w:lineRule="auto"/>
        <w:jc w:val="both"/>
      </w:pPr>
      <w:r>
        <w:rPr>
          <w:rFonts w:ascii="Times New Roman" w:hAnsi="Times New Roman" w:cs="Times New Roman"/>
        </w:rPr>
        <w:t>Por otra parte, se determina que planes de estudio tendrán un valor promedio de 60 CRE anuales (Anexo, ítem 3) por lo que las carreras de grado poseerán 120 o 240 CRE (</w:t>
      </w:r>
      <w:r w:rsidR="001517B0">
        <w:rPr>
          <w:rFonts w:ascii="Times New Roman" w:hAnsi="Times New Roman" w:cs="Times New Roman"/>
        </w:rPr>
        <w:t>es</w:t>
      </w:r>
      <w:r>
        <w:rPr>
          <w:rFonts w:ascii="Times New Roman" w:hAnsi="Times New Roman" w:cs="Times New Roman"/>
        </w:rPr>
        <w:t xml:space="preserve"> decir, unas 3.000 o 6000 hs), según tengan una extensión de 2 años (complementaciones curriculares) o 4 años, respectivamente. En tanto que, para las carreras de posgrado, se considera que las de Especialización tendrán un mínimo de 60 CRE y las Maestrías, 120 CRE. No obstante, un año y medio después, en abril de 2025, la mencionada resolución modificatoria 556/25, excluyó al nivel de posgrados de la reglamentación sobre el SACAU y estableció que “las carreras de posgrado se adecuarán a lo dispuesto en la reglamentación específica” (Anexo, ítem 6); una regulación que a la fecha no ha sido aprobada y está aún pendiente, aunque se está realizando un trabajo técnico en el ámbito del CIN, con el objetivo de establecerla.</w:t>
      </w:r>
    </w:p>
    <w:p w14:paraId="49AE41A4" w14:textId="77777777" w:rsidR="004F7047" w:rsidRDefault="00000000">
      <w:pPr>
        <w:spacing w:line="240" w:lineRule="auto"/>
        <w:jc w:val="both"/>
        <w:rPr>
          <w:rFonts w:ascii="Times New Roman" w:hAnsi="Times New Roman" w:cs="Times New Roman"/>
        </w:rPr>
      </w:pPr>
      <w:r>
        <w:rPr>
          <w:rFonts w:ascii="Times New Roman" w:hAnsi="Times New Roman" w:cs="Times New Roman"/>
        </w:rPr>
        <w:t>Un último detalle importante -que luego consideraremos en el análisis- es la consideración proporcional entre la carga de horas de docencia (interacción pedagógica) y de trabajo autónomo que si bien no estaba expresamente establecida, suponía una relación aproximada de ⅓ y ⅔, ya que de las 6.000hs previstas para una carrera, 2.100 deberían ser de docencia (35%) y el resto, de trabajo autónomo (65%).</w:t>
      </w:r>
    </w:p>
    <w:p w14:paraId="3D1905C6" w14:textId="77777777" w:rsidR="004F7047" w:rsidRDefault="00000000">
      <w:pPr>
        <w:spacing w:line="240" w:lineRule="auto"/>
        <w:jc w:val="both"/>
        <w:rPr>
          <w:rFonts w:ascii="Times New Roman" w:hAnsi="Times New Roman" w:cs="Times New Roman"/>
          <w:i/>
          <w:iCs/>
        </w:rPr>
      </w:pPr>
      <w:r>
        <w:rPr>
          <w:rFonts w:ascii="Times New Roman" w:hAnsi="Times New Roman" w:cs="Times New Roman"/>
          <w:i/>
          <w:iCs/>
        </w:rPr>
        <w:t>La cuestión de los posgrados</w:t>
      </w:r>
    </w:p>
    <w:p w14:paraId="03FF4491" w14:textId="77777777" w:rsidR="004F7047" w:rsidRDefault="00000000">
      <w:pPr>
        <w:spacing w:line="240" w:lineRule="auto"/>
        <w:jc w:val="both"/>
        <w:rPr>
          <w:rFonts w:ascii="Times New Roman" w:hAnsi="Times New Roman" w:cs="Times New Roman"/>
        </w:rPr>
      </w:pPr>
      <w:r>
        <w:rPr>
          <w:rFonts w:ascii="Times New Roman" w:hAnsi="Times New Roman" w:cs="Times New Roman"/>
        </w:rPr>
        <w:t>Debe señalarse que, en referencia a las carreras de posgrado, la RM 2598/23 de alguna manera las asimilaba con las carreras de grado, en el sentido que la norma -al asignarle una carga de 60 CRE- asumía que las Especializaciones se corresponden con un trayecto formativo de un año y las Maestrías -al asignarle 120 CRE-, con trayectos de dos. Esta definición era doblemente problemática: por un lado, era poco realista y, por otro, profundiza una desventaja comparativa a nivel internacional, para nuestro país.</w:t>
      </w:r>
    </w:p>
    <w:p w14:paraId="72F614A9" w14:textId="77777777" w:rsidR="004F7047" w:rsidRDefault="00000000">
      <w:pPr>
        <w:spacing w:line="240" w:lineRule="auto"/>
        <w:jc w:val="both"/>
        <w:rPr>
          <w:rFonts w:ascii="Times New Roman" w:hAnsi="Times New Roman" w:cs="Times New Roman"/>
        </w:rPr>
      </w:pPr>
      <w:r>
        <w:rPr>
          <w:rFonts w:ascii="Times New Roman" w:hAnsi="Times New Roman" w:cs="Times New Roman"/>
        </w:rPr>
        <w:t xml:space="preserve">En efecto, la experiencia más generalizada en el sistema universitario es la de carreras de especialización organizadas con una duración de tres cuatrimestres y un cuatrimestre extra para la realización del Trabajo Final; es decir, de 2 años (y no de uno como asumía la RM), en el mejor de los casos porque las prórrogas no son infrecuentes. La explicación de este fenómeno es el contexto típico de cursado de los posgrados en nuestro país, donde la formación de posgrado se lleva a cabo al mismo tiempo que la labor profesional regular dado su arancelamiento y la falta de una política de becas </w:t>
      </w:r>
      <w:r>
        <w:rPr>
          <w:rFonts w:ascii="Times New Roman" w:hAnsi="Times New Roman" w:cs="Times New Roman"/>
        </w:rPr>
        <w:lastRenderedPageBreak/>
        <w:t>generalizada que habilite cursados de otra naturaleza. En la práctica genera la ralentización de cursados y finalización de carreras, así como desgranamiento y bajas tasas de graduación. El análisis vale también para el caso de las Maestrías aunque es todavía más crítico e insostenible ya que se agrega la dificultad extra que implican los Trabajos Finales para este nivel (Carlino, 2005; Wainerman y Levin, 2024), una exigencia por mayor cantidad de tiempo y un costo personal y económico mucho mayor.</w:t>
      </w:r>
    </w:p>
    <w:p w14:paraId="65839B1E" w14:textId="77777777" w:rsidR="004F7047" w:rsidRDefault="00000000">
      <w:pPr>
        <w:spacing w:line="240" w:lineRule="auto"/>
        <w:jc w:val="both"/>
        <w:rPr>
          <w:rFonts w:ascii="Times New Roman" w:hAnsi="Times New Roman" w:cs="Times New Roman"/>
        </w:rPr>
      </w:pPr>
      <w:r>
        <w:rPr>
          <w:rFonts w:ascii="Times New Roman" w:hAnsi="Times New Roman" w:cs="Times New Roman"/>
        </w:rPr>
        <w:t>Por lo que, establecer que las carreras de posgrado bajo este criterio, cada año de cursado implica 1.500hs de trabajo total por parte de los estudiantes (40/45 hs. semanales de dedicación -8/9 hs. diarias), es francamente establecer una regulación que no tendrá el menor correlato empírico (excepto para ciertos becarios doctorales de CONICET o para determinadas disciplinas cuyas condiciones académicas son excepcionales y minoritarias respecto del conjunto del sistema universitario -Perez Centeno, 2015- o, peor aún, para docentes universitarios con dedicaciones simples que tienden a acumular cargos para conformar una agenda laboral completa). Y, si se considerara la proporción entre horas de docencia y trabajo autónomo supuesta en la reglamentación, una Especialización debería contener unas 500 hs. de interacción pedagógica; es decir, un incremento cercano al 40% de las horas establecidas en la actualidad (360hs.).</w:t>
      </w:r>
    </w:p>
    <w:p w14:paraId="04E2B454" w14:textId="77777777" w:rsidR="004F7047" w:rsidRDefault="00000000">
      <w:pPr>
        <w:spacing w:line="240" w:lineRule="auto"/>
        <w:jc w:val="both"/>
        <w:rPr>
          <w:rFonts w:ascii="Times New Roman" w:hAnsi="Times New Roman" w:cs="Times New Roman"/>
        </w:rPr>
      </w:pPr>
      <w:r>
        <w:rPr>
          <w:rFonts w:ascii="Times New Roman" w:hAnsi="Times New Roman" w:cs="Times New Roman"/>
        </w:rPr>
        <w:t>Por otra parte, en términos comparados internacionales, la formación de posgrado en nuestro país supone una carga de formación -horas de docencia o interacción pedagógica- muy superiores a las de países de América del Norte o Europa-. Una característica que se añade a una formación de grado de mayor duración (propias de las “carreras túnel” -Fernández Lamarra, 2004-), que se está buscando revertir en la Argentina, y que genera una desventaja competitiva muy significativa para la formación de doctores y otros posgraduados. En otras palabras, en cualquier caso, cualquier modificación del sistema en la extensión de las carreras de grado y de posgrado, no debería promover el incremento de la carga horaria establecida actualmente, sino todo lo contrario.</w:t>
      </w:r>
    </w:p>
    <w:p w14:paraId="082CB99C" w14:textId="77777777" w:rsidR="004F7047" w:rsidRDefault="00000000">
      <w:pPr>
        <w:spacing w:line="240" w:lineRule="auto"/>
        <w:jc w:val="both"/>
        <w:rPr>
          <w:rFonts w:ascii="Times New Roman" w:hAnsi="Times New Roman" w:cs="Times New Roman"/>
        </w:rPr>
      </w:pPr>
      <w:r>
        <w:rPr>
          <w:rFonts w:ascii="Times New Roman" w:hAnsi="Times New Roman" w:cs="Times New Roman"/>
        </w:rPr>
        <w:t>Por todo esto, la vigencia normativa del SACAU para el nivel de posgrados hubiera implicado una modificación en el sentido opuesto de lo que debería producirse; esto es: incremento de la extensión de las carreras, deterioro de las tasas de egreso, un incremento en los costos de organización y aranceles de cursado que incidiría en el nivel de cursado de carreras de posgrado y la profundización de la divergencia del sistema de posgrados de Argentina en relación con el contexto internacional. En este sentido, la decisión plasmada en la RM 556/25 resulta apropiada y habilita una futura regulación del nivel de posgrados que atienda sus particularidades y necesidades específicas.</w:t>
      </w:r>
    </w:p>
    <w:p w14:paraId="36D946E7" w14:textId="77777777" w:rsidR="004F7047" w:rsidRDefault="00000000">
      <w:pPr>
        <w:spacing w:line="240" w:lineRule="auto"/>
        <w:jc w:val="both"/>
        <w:rPr>
          <w:rFonts w:ascii="Times New Roman" w:hAnsi="Times New Roman" w:cs="Times New Roman"/>
          <w:i/>
          <w:iCs/>
        </w:rPr>
      </w:pPr>
      <w:r>
        <w:rPr>
          <w:rFonts w:ascii="Times New Roman" w:hAnsi="Times New Roman" w:cs="Times New Roman"/>
          <w:i/>
          <w:iCs/>
        </w:rPr>
        <w:t>Hacia dónde orientar el SACAU para el nivel de posgrado en Argentina.</w:t>
      </w:r>
    </w:p>
    <w:p w14:paraId="4881CC5B" w14:textId="1B4D7834" w:rsidR="004F7047" w:rsidRDefault="00000000">
      <w:pPr>
        <w:spacing w:line="240" w:lineRule="auto"/>
        <w:jc w:val="both"/>
        <w:rPr>
          <w:rFonts w:ascii="Times New Roman" w:hAnsi="Times New Roman" w:cs="Times New Roman"/>
        </w:rPr>
      </w:pPr>
      <w:r>
        <w:rPr>
          <w:rFonts w:ascii="Times New Roman" w:hAnsi="Times New Roman" w:cs="Times New Roman"/>
        </w:rPr>
        <w:t xml:space="preserve">La exclusión del posgrado del SACAU establecido en la RM 556/25, abre una nueva posibilidad de estructurar un verdadero sistema, que favorezca -asimismo- la articulación del grado y el posgrado, y se constituya a partir de la experiencia de las propias universidades y de sus actores centrales. En este sentido, el </w:t>
      </w:r>
      <w:r w:rsidR="00527A51">
        <w:rPr>
          <w:rFonts w:ascii="Times New Roman" w:hAnsi="Times New Roman" w:cs="Times New Roman"/>
        </w:rPr>
        <w:t xml:space="preserve">Consejo de </w:t>
      </w:r>
      <w:r w:rsidR="00527A51">
        <w:rPr>
          <w:rFonts w:ascii="Times New Roman" w:hAnsi="Times New Roman" w:cs="Times New Roman"/>
        </w:rPr>
        <w:lastRenderedPageBreak/>
        <w:t xml:space="preserve">Universidades tiene pendiente </w:t>
      </w:r>
      <w:r w:rsidR="00527A51">
        <w:rPr>
          <w:rFonts w:ascii="Times New Roman" w:hAnsi="Times New Roman" w:cs="Times New Roman"/>
        </w:rPr>
        <w:t>la elaboración de una propuesta de SACAU para el nivel</w:t>
      </w:r>
      <w:r w:rsidR="00742205">
        <w:rPr>
          <w:rFonts w:ascii="Times New Roman" w:hAnsi="Times New Roman" w:cs="Times New Roman"/>
        </w:rPr>
        <w:t xml:space="preserve"> </w:t>
      </w:r>
      <w:r w:rsidR="00527A51">
        <w:rPr>
          <w:rFonts w:ascii="Times New Roman" w:hAnsi="Times New Roman" w:cs="Times New Roman"/>
        </w:rPr>
        <w:t xml:space="preserve">y el </w:t>
      </w:r>
      <w:r>
        <w:rPr>
          <w:rFonts w:ascii="Times New Roman" w:hAnsi="Times New Roman" w:cs="Times New Roman"/>
        </w:rPr>
        <w:t>CIN</w:t>
      </w:r>
      <w:r w:rsidR="00527A51">
        <w:rPr>
          <w:rFonts w:ascii="Times New Roman" w:hAnsi="Times New Roman" w:cs="Times New Roman"/>
        </w:rPr>
        <w:t xml:space="preserve">, en particular, </w:t>
      </w:r>
      <w:r>
        <w:rPr>
          <w:rFonts w:ascii="Times New Roman" w:hAnsi="Times New Roman" w:cs="Times New Roman"/>
        </w:rPr>
        <w:t xml:space="preserve">tiene abierta </w:t>
      </w:r>
      <w:r w:rsidR="00527A51">
        <w:rPr>
          <w:rFonts w:ascii="Times New Roman" w:hAnsi="Times New Roman" w:cs="Times New Roman"/>
        </w:rPr>
        <w:t>una</w:t>
      </w:r>
      <w:r>
        <w:rPr>
          <w:rFonts w:ascii="Times New Roman" w:hAnsi="Times New Roman" w:cs="Times New Roman"/>
        </w:rPr>
        <w:t xml:space="preserve"> discusión </w:t>
      </w:r>
      <w:r w:rsidR="00527A51">
        <w:rPr>
          <w:rFonts w:ascii="Times New Roman" w:hAnsi="Times New Roman" w:cs="Times New Roman"/>
        </w:rPr>
        <w:t>en su seno para</w:t>
      </w:r>
      <w:r>
        <w:rPr>
          <w:rFonts w:ascii="Times New Roman" w:hAnsi="Times New Roman" w:cs="Times New Roman"/>
        </w:rPr>
        <w:t xml:space="preserve"> el que vienen llevándose a cabo valiosos encuentros de trabajo técnico.</w:t>
      </w:r>
    </w:p>
    <w:p w14:paraId="3689A0FE" w14:textId="09AFA899" w:rsidR="004F7047" w:rsidRDefault="00000000">
      <w:pPr>
        <w:spacing w:line="240" w:lineRule="auto"/>
        <w:jc w:val="both"/>
        <w:rPr>
          <w:rFonts w:ascii="Times New Roman" w:hAnsi="Times New Roman" w:cs="Times New Roman"/>
        </w:rPr>
      </w:pPr>
      <w:r>
        <w:rPr>
          <w:rFonts w:ascii="Times New Roman" w:hAnsi="Times New Roman" w:cs="Times New Roman"/>
        </w:rPr>
        <w:t>Naturalmente que el principal desafío será lograr</w:t>
      </w:r>
      <w:r w:rsidR="003D78F1">
        <w:rPr>
          <w:rFonts w:ascii="Times New Roman" w:hAnsi="Times New Roman" w:cs="Times New Roman"/>
        </w:rPr>
        <w:t xml:space="preserve">, como se ha señalado, </w:t>
      </w:r>
      <w:r>
        <w:rPr>
          <w:rFonts w:ascii="Times New Roman" w:hAnsi="Times New Roman" w:cs="Times New Roman"/>
        </w:rPr>
        <w:t xml:space="preserve">que no se trate de una mera asignación de horas a la unidad de medida “CRE” -una </w:t>
      </w:r>
      <w:r w:rsidR="00527A51">
        <w:rPr>
          <w:rFonts w:ascii="Times New Roman" w:hAnsi="Times New Roman" w:cs="Times New Roman"/>
        </w:rPr>
        <w:t>“</w:t>
      </w:r>
      <w:r>
        <w:rPr>
          <w:rFonts w:ascii="Times New Roman" w:hAnsi="Times New Roman" w:cs="Times New Roman"/>
        </w:rPr>
        <w:t>tasa de cambio</w:t>
      </w:r>
      <w:r w:rsidR="00527A51">
        <w:rPr>
          <w:rFonts w:ascii="Times New Roman" w:hAnsi="Times New Roman" w:cs="Times New Roman"/>
        </w:rPr>
        <w:t>”</w:t>
      </w:r>
      <w:r>
        <w:rPr>
          <w:rFonts w:ascii="Times New Roman" w:hAnsi="Times New Roman" w:cs="Times New Roman"/>
        </w:rPr>
        <w:t xml:space="preserve"> entre horas y créditos- sino un verdadero proceso de transformación del sistema universitario bajo una nueva lógica organizativa, curricular y pedagógica</w:t>
      </w:r>
      <w:r w:rsidR="003D78F1">
        <w:rPr>
          <w:rFonts w:ascii="Times New Roman" w:hAnsi="Times New Roman" w:cs="Times New Roman"/>
        </w:rPr>
        <w:t xml:space="preserve">, centrada en los aprendizajes, en el trabajo formativo de los estudiantes y en la integración </w:t>
      </w:r>
      <w:r w:rsidR="003D78F1">
        <w:rPr>
          <w:rFonts w:ascii="Times New Roman" w:hAnsi="Times New Roman" w:cs="Times New Roman"/>
        </w:rPr>
        <w:t xml:space="preserve">de las funciones universitarias </w:t>
      </w:r>
      <w:r w:rsidR="003D78F1">
        <w:rPr>
          <w:rFonts w:ascii="Times New Roman" w:hAnsi="Times New Roman" w:cs="Times New Roman"/>
        </w:rPr>
        <w:t xml:space="preserve">este </w:t>
      </w:r>
      <w:r w:rsidR="003D78F1">
        <w:rPr>
          <w:rFonts w:ascii="Times New Roman" w:hAnsi="Times New Roman" w:cs="Times New Roman"/>
        </w:rPr>
        <w:t>proceso -enseñanza, investigación y extensión-</w:t>
      </w:r>
      <w:r>
        <w:rPr>
          <w:rFonts w:ascii="Times New Roman" w:hAnsi="Times New Roman" w:cs="Times New Roman"/>
        </w:rPr>
        <w:t xml:space="preserve">. Aunque, paradojalmente, quizás este sea su punto más crítico, estructural y </w:t>
      </w:r>
      <w:r>
        <w:rPr>
          <w:rFonts w:ascii="Times New Roman" w:hAnsi="Times New Roman" w:cs="Times New Roman"/>
          <w:i/>
          <w:iCs/>
        </w:rPr>
        <w:t>sine qua non</w:t>
      </w:r>
      <w:r>
        <w:rPr>
          <w:rFonts w:ascii="Times New Roman" w:hAnsi="Times New Roman" w:cs="Times New Roman"/>
        </w:rPr>
        <w:t>.</w:t>
      </w:r>
    </w:p>
    <w:p w14:paraId="58F1F342" w14:textId="2988B955" w:rsidR="004F7047" w:rsidRDefault="00000000">
      <w:pPr>
        <w:spacing w:line="240" w:lineRule="auto"/>
        <w:jc w:val="both"/>
        <w:rPr>
          <w:rFonts w:ascii="Times New Roman" w:hAnsi="Times New Roman" w:cs="Times New Roman"/>
        </w:rPr>
      </w:pPr>
      <w:r>
        <w:rPr>
          <w:rFonts w:ascii="Times New Roman" w:hAnsi="Times New Roman" w:cs="Times New Roman"/>
        </w:rPr>
        <w:t>Además, la propuesta deberá ser consistente con la regulación recientemente establecida para el nivel de grado. Sin embargo, por lo señalado, pareciera que la principal dificultad estará dada en la definición de la cantidad de créditos académicos que habrá de establecerse según el tipo de carrera de posgrado, que no podrá seguir la pauta establecida en la RM 2598/23, sino que deberá ser claramente inferior. El resto de las definiciones parece plausible (y deseable, en términos sistémicos), esto es sostener sin modificar la carga de interacción docente vigente establecida para las Especializaciones y Maestrías (360 y 540 hs., respectivamente): la relación entre la unidad de crédito y horas de trabajo totales (1 CRE equivalente a 25</w:t>
      </w:r>
      <w:r w:rsidR="00527A51">
        <w:rPr>
          <w:rFonts w:ascii="Times New Roman" w:hAnsi="Times New Roman" w:cs="Times New Roman"/>
        </w:rPr>
        <w:t>/30</w:t>
      </w:r>
      <w:r>
        <w:rPr>
          <w:rFonts w:ascii="Times New Roman" w:hAnsi="Times New Roman" w:cs="Times New Roman"/>
        </w:rPr>
        <w:t xml:space="preserve"> hs.),</w:t>
      </w:r>
      <w:r w:rsidR="00742205">
        <w:rPr>
          <w:rFonts w:ascii="Times New Roman" w:hAnsi="Times New Roman" w:cs="Times New Roman"/>
        </w:rPr>
        <w:t xml:space="preserve"> </w:t>
      </w:r>
      <w:r>
        <w:rPr>
          <w:rFonts w:ascii="Times New Roman" w:hAnsi="Times New Roman" w:cs="Times New Roman"/>
        </w:rPr>
        <w:t xml:space="preserve">y la proporción entre horas de interacción pedagógica y de trabajo autónomo de los estudiantes que representa (⅓ y ⅔, </w:t>
      </w:r>
      <w:r w:rsidR="00527A51">
        <w:rPr>
          <w:rFonts w:ascii="Times New Roman" w:hAnsi="Times New Roman" w:cs="Times New Roman"/>
        </w:rPr>
        <w:t xml:space="preserve">del total, </w:t>
      </w:r>
      <w:r>
        <w:rPr>
          <w:rFonts w:ascii="Times New Roman" w:hAnsi="Times New Roman" w:cs="Times New Roman"/>
        </w:rPr>
        <w:t>respectivamente).</w:t>
      </w:r>
    </w:p>
    <w:p w14:paraId="550E13A7" w14:textId="7BCE907C" w:rsidR="004F7047" w:rsidRDefault="00000000">
      <w:pPr>
        <w:spacing w:line="240" w:lineRule="auto"/>
        <w:jc w:val="both"/>
        <w:rPr>
          <w:rFonts w:ascii="Times New Roman" w:hAnsi="Times New Roman" w:cs="Times New Roman"/>
        </w:rPr>
      </w:pPr>
      <w:r>
        <w:rPr>
          <w:rFonts w:ascii="Times New Roman" w:hAnsi="Times New Roman" w:cs="Times New Roman"/>
        </w:rPr>
        <w:t>Si la decisión no es disminuir la carga horaria vigente de las carreras de posgrado sino mantenerlas</w:t>
      </w:r>
      <w:r w:rsidR="00527A51">
        <w:rPr>
          <w:rFonts w:ascii="Times New Roman" w:hAnsi="Times New Roman" w:cs="Times New Roman"/>
        </w:rPr>
        <w:t xml:space="preserve"> (algo que, no obstante, merecería ser puesto en discusión)</w:t>
      </w:r>
      <w:r>
        <w:rPr>
          <w:rFonts w:ascii="Times New Roman" w:hAnsi="Times New Roman" w:cs="Times New Roman"/>
        </w:rPr>
        <w:t xml:space="preserve">, una regulación consistente con el SACAU </w:t>
      </w:r>
      <w:r w:rsidR="00527A51">
        <w:rPr>
          <w:rFonts w:ascii="Times New Roman" w:hAnsi="Times New Roman" w:cs="Times New Roman"/>
        </w:rPr>
        <w:t>definido en</w:t>
      </w:r>
      <w:r>
        <w:rPr>
          <w:rFonts w:ascii="Times New Roman" w:hAnsi="Times New Roman" w:cs="Times New Roman"/>
        </w:rPr>
        <w:t xml:space="preserve"> las resoluciones 2598/23 y 556/25, debería establecer una asignación entre 40 y 45 CRE para las carreras de Especialización y del orden de los 60 y 65 CRE para las Maestrías. Esta definición asegura además la consistencia internacional con el sistema europeo que poseen Maestrías de 60CRE (a diferencia de países que excepcionalmente tienen Maestrías de 120, debido a que tienen licenciaturas de 3 años y en cuyos casos, la habilitación profesional se da con la obtención del título de Magister y no del grado profesional luego de 5 años de formación universitaria como sucede en el caso argentino). </w:t>
      </w:r>
    </w:p>
    <w:p w14:paraId="1814BDFE" w14:textId="77777777" w:rsidR="004F7047" w:rsidRDefault="004F7047">
      <w:pPr>
        <w:spacing w:line="240" w:lineRule="auto"/>
        <w:jc w:val="center"/>
        <w:rPr>
          <w:rFonts w:ascii="Times New Roman" w:hAnsi="Times New Roman" w:cs="Times New Roman"/>
          <w:shd w:val="clear" w:color="auto" w:fill="BBE33D"/>
        </w:rPr>
      </w:pPr>
    </w:p>
    <w:p w14:paraId="6EC98852" w14:textId="77777777" w:rsidR="004F7047" w:rsidRDefault="00000000">
      <w:pPr>
        <w:spacing w:line="240" w:lineRule="auto"/>
        <w:rPr>
          <w:rFonts w:ascii="Times New Roman" w:hAnsi="Times New Roman" w:cs="Times New Roman"/>
          <w:b/>
          <w:bCs/>
        </w:rPr>
      </w:pPr>
      <w:r>
        <w:rPr>
          <w:rFonts w:ascii="Times New Roman" w:hAnsi="Times New Roman" w:cs="Times New Roman"/>
          <w:b/>
          <w:bCs/>
        </w:rPr>
        <w:t>Conclusiones</w:t>
      </w:r>
    </w:p>
    <w:p w14:paraId="447FA3D4" w14:textId="1B520032" w:rsidR="004F7047" w:rsidRDefault="00000000">
      <w:pPr>
        <w:spacing w:line="240" w:lineRule="auto"/>
        <w:jc w:val="both"/>
        <w:rPr>
          <w:rFonts w:ascii="Times New Roman" w:hAnsi="Times New Roman" w:cs="Times New Roman"/>
        </w:rPr>
      </w:pPr>
      <w:r>
        <w:rPr>
          <w:rFonts w:ascii="Times New Roman" w:hAnsi="Times New Roman" w:cs="Times New Roman"/>
        </w:rPr>
        <w:t xml:space="preserve">Más allá de la pregnancia de la definición de una unidad CRE y de las cargas horarias involucradas en ella, un abordaje comprehensivo de un sistema de créditos académicos, no debería soslayar aspectos conexos cuya significación posee </w:t>
      </w:r>
      <w:r w:rsidR="00527A51">
        <w:rPr>
          <w:rFonts w:ascii="Times New Roman" w:hAnsi="Times New Roman" w:cs="Times New Roman"/>
        </w:rPr>
        <w:t>mayor</w:t>
      </w:r>
      <w:r>
        <w:rPr>
          <w:rFonts w:ascii="Times New Roman" w:hAnsi="Times New Roman" w:cs="Times New Roman"/>
        </w:rPr>
        <w:t xml:space="preserve"> importancia.</w:t>
      </w:r>
      <w:r w:rsidR="00527A51">
        <w:rPr>
          <w:rFonts w:ascii="Times New Roman" w:hAnsi="Times New Roman" w:cs="Times New Roman"/>
        </w:rPr>
        <w:t xml:space="preserve"> </w:t>
      </w:r>
    </w:p>
    <w:p w14:paraId="5C71912F" w14:textId="12DFE596" w:rsidR="00527A51" w:rsidRDefault="00000000" w:rsidP="00527A51">
      <w:pPr>
        <w:spacing w:line="240" w:lineRule="auto"/>
        <w:jc w:val="both"/>
        <w:rPr>
          <w:rFonts w:ascii="Times New Roman" w:hAnsi="Times New Roman" w:cs="Times New Roman"/>
        </w:rPr>
      </w:pPr>
      <w:r>
        <w:rPr>
          <w:rFonts w:ascii="Times New Roman" w:hAnsi="Times New Roman" w:cs="Times New Roman"/>
        </w:rPr>
        <w:t>Por el contrario, la determinación de un SACAU debería enfocarse más bien en la construcción de una nueva modalidad de organización y gestión curricular y un modelo pedagógico centrado en la totalidad de la labor que realizan los estudiantes en su proceso de formación y no restringirse a la definición de la unidad de medida para la conversión de horas en unidades “CRE”.</w:t>
      </w:r>
      <w:r w:rsidR="00527A51">
        <w:rPr>
          <w:rFonts w:ascii="Times New Roman" w:hAnsi="Times New Roman" w:cs="Times New Roman"/>
        </w:rPr>
        <w:t xml:space="preserve"> En otras palabras, d</w:t>
      </w:r>
      <w:r w:rsidR="00527A51">
        <w:rPr>
          <w:rFonts w:ascii="Times New Roman" w:hAnsi="Times New Roman" w:cs="Times New Roman"/>
        </w:rPr>
        <w:t xml:space="preserve">e nada serviría una </w:t>
      </w:r>
      <w:r w:rsidR="00527A51">
        <w:rPr>
          <w:rFonts w:ascii="Times New Roman" w:hAnsi="Times New Roman" w:cs="Times New Roman"/>
        </w:rPr>
        <w:lastRenderedPageBreak/>
        <w:t xml:space="preserve">definición adecuada </w:t>
      </w:r>
      <w:r w:rsidR="00527A51">
        <w:rPr>
          <w:rFonts w:ascii="Times New Roman" w:hAnsi="Times New Roman" w:cs="Times New Roman"/>
        </w:rPr>
        <w:t>del sistema de créditos sin una profunda revisión del modelo pedagógico y curricular</w:t>
      </w:r>
      <w:r w:rsidR="00DB122C">
        <w:rPr>
          <w:rFonts w:ascii="Times New Roman" w:hAnsi="Times New Roman" w:cs="Times New Roman"/>
        </w:rPr>
        <w:t xml:space="preserve"> sobre cuya base hoy se organizan las propuestas de formación</w:t>
      </w:r>
      <w:r w:rsidR="00527A51">
        <w:rPr>
          <w:rFonts w:ascii="Times New Roman" w:hAnsi="Times New Roman" w:cs="Times New Roman"/>
        </w:rPr>
        <w:t>.</w:t>
      </w:r>
    </w:p>
    <w:p w14:paraId="3D0B65B6" w14:textId="53D9E130" w:rsidR="004F7047" w:rsidRDefault="00000000">
      <w:pPr>
        <w:spacing w:line="240" w:lineRule="auto"/>
        <w:jc w:val="both"/>
        <w:rPr>
          <w:rFonts w:ascii="Times New Roman" w:hAnsi="Times New Roman" w:cs="Times New Roman"/>
        </w:rPr>
      </w:pPr>
      <w:r>
        <w:rPr>
          <w:rFonts w:ascii="Times New Roman" w:hAnsi="Times New Roman" w:cs="Times New Roman"/>
        </w:rPr>
        <w:t>Cuestiones referidas a la extensión y duración de las carreras, la flexibilidad curricular, el incremento de las tasas de graduación, la modalidad de enseñanza (a distancia, remota o híbrida), las singularidades de los diversos campos disciplinarios, la aplicación a propuestas de doctorado, así como la preparación de la conducción y coordinación del sistema universitario, el desarrollo de los procesos de acreditación de carreras y/o de reconocimiento oficial y la validez nacional de los títulos y las condiciones de trabajo, bajo esta nueva lógica organizativa, deberían ser parte central del análisis y el debate para la definición y paulatina implementación de un sistema que se desarrolle en una dirección acordada y que no sea un mero cambio cuyos resultados no alcancen los objetivos que se proponen</w:t>
      </w:r>
      <w:r w:rsidR="00742205">
        <w:rPr>
          <w:rFonts w:ascii="Times New Roman" w:hAnsi="Times New Roman" w:cs="Times New Roman"/>
        </w:rPr>
        <w:t xml:space="preserve"> </w:t>
      </w:r>
      <w:r>
        <w:rPr>
          <w:rFonts w:ascii="Times New Roman" w:hAnsi="Times New Roman" w:cs="Times New Roman"/>
        </w:rPr>
        <w:t xml:space="preserve">y complejicen la precaria situación vigente. </w:t>
      </w:r>
    </w:p>
    <w:p w14:paraId="3E065229" w14:textId="0512D6B9" w:rsidR="00807333" w:rsidRDefault="00DB122C" w:rsidP="00DB122C">
      <w:pPr>
        <w:spacing w:line="240" w:lineRule="auto"/>
        <w:jc w:val="both"/>
        <w:rPr>
          <w:rFonts w:ascii="Times New Roman" w:hAnsi="Times New Roman" w:cs="Times New Roman"/>
        </w:rPr>
      </w:pPr>
      <w:r>
        <w:rPr>
          <w:rFonts w:ascii="Times New Roman" w:hAnsi="Times New Roman" w:cs="Times New Roman"/>
        </w:rPr>
        <w:t xml:space="preserve">Algunos </w:t>
      </w:r>
      <w:r w:rsidR="00000000">
        <w:rPr>
          <w:rFonts w:ascii="Times New Roman" w:hAnsi="Times New Roman" w:cs="Times New Roman"/>
        </w:rPr>
        <w:t>elementos cruciales para desplegar un proceso de esta naturaleza será</w:t>
      </w:r>
      <w:r>
        <w:rPr>
          <w:rFonts w:ascii="Times New Roman" w:hAnsi="Times New Roman" w:cs="Times New Roman"/>
        </w:rPr>
        <w:t xml:space="preserve">, en primer lugar, sistematizar y evaluar las experiencias institucionales que ya han </w:t>
      </w:r>
      <w:r w:rsidRPr="00DB122C">
        <w:rPr>
          <w:rFonts w:ascii="Times New Roman" w:hAnsi="Times New Roman" w:cs="Times New Roman"/>
        </w:rPr>
        <w:t>buscado expresar los planes en términos de las horas de</w:t>
      </w:r>
      <w:r>
        <w:rPr>
          <w:rFonts w:ascii="Times New Roman" w:hAnsi="Times New Roman" w:cs="Times New Roman"/>
        </w:rPr>
        <w:t xml:space="preserve"> </w:t>
      </w:r>
      <w:r w:rsidRPr="00DB122C">
        <w:rPr>
          <w:rFonts w:ascii="Times New Roman" w:hAnsi="Times New Roman" w:cs="Times New Roman"/>
        </w:rPr>
        <w:t>trabajo académico del/la estudiante</w:t>
      </w:r>
      <w:r w:rsidR="002C1E8F">
        <w:rPr>
          <w:rFonts w:ascii="Times New Roman" w:hAnsi="Times New Roman" w:cs="Times New Roman"/>
        </w:rPr>
        <w:t xml:space="preserve"> y los han implementado</w:t>
      </w:r>
      <w:r w:rsidRPr="00DB122C">
        <w:rPr>
          <w:rFonts w:ascii="Times New Roman" w:hAnsi="Times New Roman" w:cs="Times New Roman"/>
        </w:rPr>
        <w:t>.</w:t>
      </w:r>
      <w:r>
        <w:rPr>
          <w:rFonts w:ascii="Times New Roman" w:hAnsi="Times New Roman" w:cs="Times New Roman"/>
        </w:rPr>
        <w:t xml:space="preserve"> </w:t>
      </w:r>
      <w:r w:rsidR="002C1E8F">
        <w:rPr>
          <w:rFonts w:ascii="Times New Roman" w:hAnsi="Times New Roman" w:cs="Times New Roman"/>
        </w:rPr>
        <w:t xml:space="preserve">De estas experiencias debería tomarse especialmente el </w:t>
      </w:r>
    </w:p>
    <w:p w14:paraId="04EE8109" w14:textId="0EC05F94" w:rsidR="002C1E8F" w:rsidRDefault="002C1E8F" w:rsidP="002C1E8F">
      <w:pPr>
        <w:spacing w:line="240" w:lineRule="auto"/>
        <w:ind w:left="708"/>
        <w:jc w:val="both"/>
        <w:rPr>
          <w:rFonts w:ascii="Times New Roman" w:hAnsi="Times New Roman" w:cs="Times New Roman"/>
        </w:rPr>
      </w:pPr>
      <w:r w:rsidRPr="002C1E8F">
        <w:rPr>
          <w:rFonts w:ascii="Times New Roman" w:hAnsi="Times New Roman" w:cs="Times New Roman"/>
        </w:rPr>
        <w:t>el volumen de ac</w:t>
      </w:r>
      <w:r>
        <w:rPr>
          <w:rFonts w:ascii="Times New Roman" w:hAnsi="Times New Roman" w:cs="Times New Roman"/>
        </w:rPr>
        <w:t>ti</w:t>
      </w:r>
      <w:r w:rsidRPr="002C1E8F">
        <w:rPr>
          <w:rFonts w:ascii="Times New Roman" w:hAnsi="Times New Roman" w:cs="Times New Roman"/>
        </w:rPr>
        <w:t>vidad</w:t>
      </w:r>
      <w:r>
        <w:rPr>
          <w:rFonts w:ascii="Times New Roman" w:hAnsi="Times New Roman" w:cs="Times New Roman"/>
        </w:rPr>
        <w:t xml:space="preserve"> </w:t>
      </w:r>
      <w:r w:rsidRPr="002C1E8F">
        <w:rPr>
          <w:rFonts w:ascii="Times New Roman" w:hAnsi="Times New Roman" w:cs="Times New Roman"/>
        </w:rPr>
        <w:t xml:space="preserve">y el </w:t>
      </w:r>
      <w:r>
        <w:rPr>
          <w:rFonts w:ascii="Times New Roman" w:hAnsi="Times New Roman" w:cs="Times New Roman"/>
        </w:rPr>
        <w:t>ti</w:t>
      </w:r>
      <w:r w:rsidRPr="002C1E8F">
        <w:rPr>
          <w:rFonts w:ascii="Times New Roman" w:hAnsi="Times New Roman" w:cs="Times New Roman"/>
        </w:rPr>
        <w:t>empo real que demanda a las y los estudiantes cumplir con los requisitos de las propuestas</w:t>
      </w:r>
      <w:r>
        <w:rPr>
          <w:rFonts w:ascii="Times New Roman" w:hAnsi="Times New Roman" w:cs="Times New Roman"/>
        </w:rPr>
        <w:t xml:space="preserve"> </w:t>
      </w:r>
      <w:r w:rsidRPr="002C1E8F">
        <w:rPr>
          <w:rFonts w:ascii="Times New Roman" w:hAnsi="Times New Roman" w:cs="Times New Roman"/>
        </w:rPr>
        <w:t>académicas. Dicha ponderación permi</w:t>
      </w:r>
      <w:r>
        <w:rPr>
          <w:rFonts w:ascii="Times New Roman" w:hAnsi="Times New Roman" w:cs="Times New Roman"/>
        </w:rPr>
        <w:t>ti</w:t>
      </w:r>
      <w:r w:rsidRPr="002C1E8F">
        <w:rPr>
          <w:rFonts w:ascii="Times New Roman" w:hAnsi="Times New Roman" w:cs="Times New Roman"/>
        </w:rPr>
        <w:t>ría transparentar las horas reales de los planes de estudio, y a par</w:t>
      </w:r>
      <w:r>
        <w:rPr>
          <w:rFonts w:ascii="Times New Roman" w:hAnsi="Times New Roman" w:cs="Times New Roman"/>
        </w:rPr>
        <w:t>ti</w:t>
      </w:r>
      <w:r w:rsidRPr="002C1E8F">
        <w:rPr>
          <w:rFonts w:ascii="Times New Roman" w:hAnsi="Times New Roman" w:cs="Times New Roman"/>
        </w:rPr>
        <w:t>r</w:t>
      </w:r>
      <w:r>
        <w:rPr>
          <w:rFonts w:ascii="Times New Roman" w:hAnsi="Times New Roman" w:cs="Times New Roman"/>
        </w:rPr>
        <w:t xml:space="preserve"> </w:t>
      </w:r>
      <w:r w:rsidRPr="002C1E8F">
        <w:rPr>
          <w:rFonts w:ascii="Times New Roman" w:hAnsi="Times New Roman" w:cs="Times New Roman"/>
        </w:rPr>
        <w:t>de allí, la posibilidad de pensar en una unidad de medida que sea más realista y que colabore en la forma de</w:t>
      </w:r>
      <w:r>
        <w:rPr>
          <w:rFonts w:ascii="Times New Roman" w:hAnsi="Times New Roman" w:cs="Times New Roman"/>
        </w:rPr>
        <w:t xml:space="preserve"> </w:t>
      </w:r>
      <w:r w:rsidRPr="002C1E8F">
        <w:rPr>
          <w:rFonts w:ascii="Times New Roman" w:hAnsi="Times New Roman" w:cs="Times New Roman"/>
        </w:rPr>
        <w:t>ponderar, incluso, estadís</w:t>
      </w:r>
      <w:r>
        <w:rPr>
          <w:rFonts w:ascii="Times New Roman" w:hAnsi="Times New Roman" w:cs="Times New Roman"/>
        </w:rPr>
        <w:t>ti</w:t>
      </w:r>
      <w:r w:rsidRPr="002C1E8F">
        <w:rPr>
          <w:rFonts w:ascii="Times New Roman" w:hAnsi="Times New Roman" w:cs="Times New Roman"/>
        </w:rPr>
        <w:t>camente el proceso</w:t>
      </w:r>
      <w:r w:rsidR="003D78F1">
        <w:rPr>
          <w:rFonts w:ascii="Times New Roman" w:hAnsi="Times New Roman" w:cs="Times New Roman"/>
        </w:rPr>
        <w:t xml:space="preserve"> (CIN, 2022).</w:t>
      </w:r>
    </w:p>
    <w:p w14:paraId="50D9A6FB" w14:textId="482B9ECA" w:rsidR="00594C18" w:rsidRPr="00594C18" w:rsidRDefault="00DB122C" w:rsidP="003D4A41">
      <w:pPr>
        <w:tabs>
          <w:tab w:val="num" w:pos="720"/>
        </w:tabs>
        <w:spacing w:line="240" w:lineRule="auto"/>
        <w:jc w:val="both"/>
        <w:rPr>
          <w:rFonts w:ascii="Times New Roman" w:hAnsi="Times New Roman" w:cs="Times New Roman"/>
        </w:rPr>
      </w:pPr>
      <w:r>
        <w:rPr>
          <w:rFonts w:ascii="Times New Roman" w:hAnsi="Times New Roman" w:cs="Times New Roman"/>
        </w:rPr>
        <w:t xml:space="preserve">En segundo lugar, atender los antecedentes </w:t>
      </w:r>
      <w:r w:rsidR="002C1E8F">
        <w:rPr>
          <w:rFonts w:ascii="Times New Roman" w:hAnsi="Times New Roman" w:cs="Times New Roman"/>
        </w:rPr>
        <w:t xml:space="preserve">sistémicos de carácter nacional e internacional. Por un lado, </w:t>
      </w:r>
      <w:r w:rsidRPr="00DB122C">
        <w:rPr>
          <w:rFonts w:ascii="Times New Roman" w:hAnsi="Times New Roman" w:cs="Times New Roman"/>
        </w:rPr>
        <w:t xml:space="preserve">el </w:t>
      </w:r>
      <w:r w:rsidR="002C1E8F">
        <w:rPr>
          <w:rFonts w:ascii="Times New Roman" w:hAnsi="Times New Roman" w:cs="Times New Roman"/>
        </w:rPr>
        <w:t xml:space="preserve">del </w:t>
      </w:r>
      <w:r w:rsidRPr="00DB122C">
        <w:rPr>
          <w:rFonts w:ascii="Times New Roman" w:hAnsi="Times New Roman" w:cs="Times New Roman"/>
        </w:rPr>
        <w:t xml:space="preserve">Sistema </w:t>
      </w:r>
      <w:r>
        <w:rPr>
          <w:rFonts w:ascii="Times New Roman" w:hAnsi="Times New Roman" w:cs="Times New Roman"/>
        </w:rPr>
        <w:t xml:space="preserve">Nacional </w:t>
      </w:r>
      <w:r w:rsidRPr="00DB122C">
        <w:rPr>
          <w:rFonts w:ascii="Times New Roman" w:hAnsi="Times New Roman" w:cs="Times New Roman"/>
        </w:rPr>
        <w:t>de</w:t>
      </w:r>
      <w:r>
        <w:rPr>
          <w:rFonts w:ascii="Times New Roman" w:hAnsi="Times New Roman" w:cs="Times New Roman"/>
        </w:rPr>
        <w:t xml:space="preserve"> </w:t>
      </w:r>
      <w:r w:rsidRPr="00DB122C">
        <w:rPr>
          <w:rFonts w:ascii="Times New Roman" w:hAnsi="Times New Roman" w:cs="Times New Roman"/>
        </w:rPr>
        <w:t xml:space="preserve">Reconocimiento </w:t>
      </w:r>
      <w:r>
        <w:rPr>
          <w:rFonts w:ascii="Times New Roman" w:hAnsi="Times New Roman" w:cs="Times New Roman"/>
        </w:rPr>
        <w:t xml:space="preserve">Académico </w:t>
      </w:r>
      <w:r w:rsidR="00807333">
        <w:rPr>
          <w:rFonts w:ascii="Times New Roman" w:hAnsi="Times New Roman" w:cs="Times New Roman"/>
        </w:rPr>
        <w:t xml:space="preserve">de Educación Superior -SNRA- </w:t>
      </w:r>
      <w:r w:rsidRPr="00DB122C">
        <w:rPr>
          <w:rFonts w:ascii="Times New Roman" w:hAnsi="Times New Roman" w:cs="Times New Roman"/>
        </w:rPr>
        <w:t>(RM 1870/16 y 3322/17)</w:t>
      </w:r>
      <w:r w:rsidR="00561ABE">
        <w:rPr>
          <w:rFonts w:ascii="Times New Roman" w:hAnsi="Times New Roman" w:cs="Times New Roman"/>
        </w:rPr>
        <w:t xml:space="preserve"> aún cuando su impacto pueda considerarse insignificante (Steiman, </w:t>
      </w:r>
      <w:r w:rsidR="002C1E8F">
        <w:rPr>
          <w:rFonts w:ascii="Times New Roman" w:hAnsi="Times New Roman" w:cs="Times New Roman"/>
        </w:rPr>
        <w:t>2021</w:t>
      </w:r>
      <w:r w:rsidR="00561ABE">
        <w:rPr>
          <w:rFonts w:ascii="Times New Roman" w:hAnsi="Times New Roman" w:cs="Times New Roman"/>
        </w:rPr>
        <w:t>). El SNRA</w:t>
      </w:r>
      <w:r w:rsidR="00807333">
        <w:rPr>
          <w:rFonts w:ascii="Times New Roman" w:hAnsi="Times New Roman" w:cs="Times New Roman"/>
        </w:rPr>
        <w:t xml:space="preserve"> promovió </w:t>
      </w:r>
      <w:r w:rsidR="00807333" w:rsidRPr="00807333">
        <w:rPr>
          <w:rFonts w:ascii="Times New Roman" w:hAnsi="Times New Roman" w:cs="Times New Roman"/>
        </w:rPr>
        <w:t xml:space="preserve">el reconocimiento mutuo y automático </w:t>
      </w:r>
      <w:r w:rsidR="00807333">
        <w:rPr>
          <w:rFonts w:ascii="Times New Roman" w:hAnsi="Times New Roman" w:cs="Times New Roman"/>
        </w:rPr>
        <w:t xml:space="preserve">entre universidades, </w:t>
      </w:r>
      <w:r w:rsidR="00807333" w:rsidRPr="00807333">
        <w:rPr>
          <w:rFonts w:ascii="Times New Roman" w:hAnsi="Times New Roman" w:cs="Times New Roman"/>
        </w:rPr>
        <w:t xml:space="preserve">de trayectos formativos (materias, ciclos, prácticas u otras) </w:t>
      </w:r>
      <w:r w:rsidR="00807333">
        <w:rPr>
          <w:rFonts w:ascii="Times New Roman" w:hAnsi="Times New Roman" w:cs="Times New Roman"/>
        </w:rPr>
        <w:t xml:space="preserve">a fin de </w:t>
      </w:r>
      <w:r w:rsidR="002C1E8F">
        <w:rPr>
          <w:rFonts w:ascii="Times New Roman" w:hAnsi="Times New Roman" w:cs="Times New Roman"/>
        </w:rPr>
        <w:t>enriquecer la calidad y experiencia formativa de</w:t>
      </w:r>
      <w:r w:rsidR="002C1E8F" w:rsidRPr="00807333">
        <w:rPr>
          <w:rFonts w:ascii="Times New Roman" w:hAnsi="Times New Roman" w:cs="Times New Roman"/>
        </w:rPr>
        <w:t xml:space="preserve"> </w:t>
      </w:r>
      <w:r w:rsidR="002C1E8F">
        <w:rPr>
          <w:rFonts w:ascii="Times New Roman" w:hAnsi="Times New Roman" w:cs="Times New Roman"/>
        </w:rPr>
        <w:t xml:space="preserve">los </w:t>
      </w:r>
      <w:r w:rsidR="002C1E8F" w:rsidRPr="00807333">
        <w:rPr>
          <w:rFonts w:ascii="Times New Roman" w:hAnsi="Times New Roman" w:cs="Times New Roman"/>
        </w:rPr>
        <w:t xml:space="preserve">estudiantes </w:t>
      </w:r>
      <w:r w:rsidR="002C1E8F">
        <w:rPr>
          <w:rFonts w:ascii="Times New Roman" w:hAnsi="Times New Roman" w:cs="Times New Roman"/>
        </w:rPr>
        <w:t>universitarios</w:t>
      </w:r>
      <w:r w:rsidR="002C1E8F">
        <w:rPr>
          <w:rFonts w:ascii="Times New Roman" w:hAnsi="Times New Roman" w:cs="Times New Roman"/>
        </w:rPr>
        <w:t xml:space="preserve"> y de </w:t>
      </w:r>
      <w:r w:rsidR="00807333">
        <w:rPr>
          <w:rFonts w:ascii="Times New Roman" w:hAnsi="Times New Roman" w:cs="Times New Roman"/>
        </w:rPr>
        <w:t xml:space="preserve">facilitar el tránsito </w:t>
      </w:r>
      <w:r w:rsidR="002C1E8F">
        <w:rPr>
          <w:rFonts w:ascii="Times New Roman" w:hAnsi="Times New Roman" w:cs="Times New Roman"/>
        </w:rPr>
        <w:t xml:space="preserve">de éstos </w:t>
      </w:r>
      <w:r w:rsidR="00561ABE">
        <w:rPr>
          <w:rFonts w:ascii="Times New Roman" w:hAnsi="Times New Roman" w:cs="Times New Roman"/>
        </w:rPr>
        <w:t>entre instituciones</w:t>
      </w:r>
      <w:r w:rsidR="00807333" w:rsidRPr="00807333">
        <w:rPr>
          <w:rFonts w:ascii="Times New Roman" w:hAnsi="Times New Roman" w:cs="Times New Roman"/>
        </w:rPr>
        <w:t>.</w:t>
      </w:r>
      <w:r w:rsidR="00807333">
        <w:rPr>
          <w:rFonts w:ascii="Times New Roman" w:hAnsi="Times New Roman" w:cs="Times New Roman"/>
        </w:rPr>
        <w:t xml:space="preserve"> Para lo cual se creó una “uni</w:t>
      </w:r>
      <w:r w:rsidR="00807333" w:rsidRPr="00807333">
        <w:rPr>
          <w:rFonts w:ascii="Times New Roman" w:hAnsi="Times New Roman" w:cs="Times New Roman"/>
        </w:rPr>
        <w:t xml:space="preserve">dad de </w:t>
      </w:r>
      <w:r w:rsidR="00807333" w:rsidRPr="00807333">
        <w:rPr>
          <w:rFonts w:ascii="Times New Roman" w:hAnsi="Times New Roman" w:cs="Times New Roman"/>
        </w:rPr>
        <w:t>medida</w:t>
      </w:r>
      <w:r w:rsidR="00807333">
        <w:rPr>
          <w:rFonts w:ascii="Times New Roman" w:hAnsi="Times New Roman" w:cs="Times New Roman"/>
        </w:rPr>
        <w:t xml:space="preserve">” académica -el </w:t>
      </w:r>
      <w:r w:rsidR="00807333" w:rsidRPr="00807333">
        <w:rPr>
          <w:rFonts w:ascii="Times New Roman" w:hAnsi="Times New Roman" w:cs="Times New Roman"/>
        </w:rPr>
        <w:t>RTF</w:t>
      </w:r>
      <w:r w:rsidR="00807333">
        <w:rPr>
          <w:rFonts w:ascii="Times New Roman" w:hAnsi="Times New Roman" w:cs="Times New Roman"/>
        </w:rPr>
        <w:t xml:space="preserve">- </w:t>
      </w:r>
      <w:r w:rsidR="00561ABE">
        <w:rPr>
          <w:rFonts w:ascii="Times New Roman" w:hAnsi="Times New Roman" w:cs="Times New Roman"/>
        </w:rPr>
        <w:t>que puede considerarse como antecedente</w:t>
      </w:r>
      <w:r w:rsidR="00561ABE" w:rsidRPr="00594C18">
        <w:rPr>
          <w:rFonts w:ascii="Times New Roman" w:hAnsi="Times New Roman" w:cs="Times New Roman"/>
        </w:rPr>
        <w:t>.</w:t>
      </w:r>
      <w:r w:rsidR="00594C18" w:rsidRPr="00594C18">
        <w:rPr>
          <w:rFonts w:ascii="Times New Roman" w:hAnsi="Times New Roman" w:cs="Times New Roman"/>
        </w:rPr>
        <w:t xml:space="preserve"> Y, por otra parte, la propuesta realizada </w:t>
      </w:r>
      <w:r w:rsidR="00594C18" w:rsidRPr="00594C18">
        <w:rPr>
          <w:rFonts w:ascii="Times New Roman" w:hAnsi="Times New Roman" w:cs="Times New Roman"/>
        </w:rPr>
        <w:t>en el marco del Proyecto Tuning América Latina (Tuning AL) denomina</w:t>
      </w:r>
      <w:r w:rsidR="00594C18" w:rsidRPr="00594C18">
        <w:rPr>
          <w:rFonts w:ascii="Times New Roman" w:hAnsi="Times New Roman" w:cs="Times New Roman"/>
        </w:rPr>
        <w:t>do</w:t>
      </w:r>
      <w:r w:rsidR="00594C18" w:rsidRPr="00594C18">
        <w:rPr>
          <w:rFonts w:ascii="Times New Roman" w:hAnsi="Times New Roman" w:cs="Times New Roman"/>
        </w:rPr>
        <w:t xml:space="preserve"> Crédito Latinoamericano de Referencia (CLAR)</w:t>
      </w:r>
      <w:r w:rsidR="00594C18">
        <w:rPr>
          <w:rFonts w:ascii="Times New Roman" w:hAnsi="Times New Roman" w:cs="Times New Roman"/>
        </w:rPr>
        <w:t xml:space="preserve"> que también incorporó la consideración del </w:t>
      </w:r>
      <w:r w:rsidR="00594C18" w:rsidRPr="003D4A41">
        <w:rPr>
          <w:rFonts w:ascii="Times New Roman" w:hAnsi="Times New Roman" w:cs="Times New Roman"/>
        </w:rPr>
        <w:t>volumen total de trabajo de</w:t>
      </w:r>
      <w:r w:rsidR="00594C18" w:rsidRPr="003D4A41">
        <w:rPr>
          <w:rFonts w:ascii="Times New Roman" w:hAnsi="Times New Roman" w:cs="Times New Roman"/>
        </w:rPr>
        <w:t xml:space="preserve"> los </w:t>
      </w:r>
      <w:r w:rsidR="00594C18" w:rsidRPr="003D4A41">
        <w:rPr>
          <w:rFonts w:ascii="Times New Roman" w:hAnsi="Times New Roman" w:cs="Times New Roman"/>
        </w:rPr>
        <w:t>estudiante</w:t>
      </w:r>
      <w:r w:rsidR="00594C18" w:rsidRPr="003D4A41">
        <w:rPr>
          <w:rFonts w:ascii="Times New Roman" w:hAnsi="Times New Roman" w:cs="Times New Roman"/>
        </w:rPr>
        <w:t xml:space="preserve">s y una unidad </w:t>
      </w:r>
      <w:r w:rsidR="003D4A41" w:rsidRPr="003D4A41">
        <w:rPr>
          <w:rFonts w:ascii="Times New Roman" w:hAnsi="Times New Roman" w:cs="Times New Roman"/>
        </w:rPr>
        <w:t>de medida</w:t>
      </w:r>
      <w:r w:rsidR="00594C18" w:rsidRPr="00594C18">
        <w:rPr>
          <w:rFonts w:ascii="Times New Roman" w:hAnsi="Times New Roman" w:cs="Times New Roman"/>
        </w:rPr>
        <w:t xml:space="preserve"> incluyendo horas de </w:t>
      </w:r>
      <w:r w:rsidR="003D4A41">
        <w:rPr>
          <w:rFonts w:ascii="Times New Roman" w:hAnsi="Times New Roman" w:cs="Times New Roman"/>
        </w:rPr>
        <w:t>formación en el aula</w:t>
      </w:r>
      <w:r w:rsidR="00594C18" w:rsidRPr="00594C18">
        <w:rPr>
          <w:rFonts w:ascii="Times New Roman" w:hAnsi="Times New Roman" w:cs="Times New Roman"/>
        </w:rPr>
        <w:t xml:space="preserve"> y trabajo autónomo.</w:t>
      </w:r>
      <w:r w:rsidR="003D4A41">
        <w:rPr>
          <w:rFonts w:ascii="Times New Roman" w:hAnsi="Times New Roman" w:cs="Times New Roman"/>
        </w:rPr>
        <w:t xml:space="preserve"> Aquí la significación es el sustento de las propuestas curriculares a partir de la (pre)definición de </w:t>
      </w:r>
      <w:r w:rsidR="00594C18" w:rsidRPr="00594C18">
        <w:rPr>
          <w:rFonts w:ascii="Times New Roman" w:hAnsi="Times New Roman" w:cs="Times New Roman"/>
        </w:rPr>
        <w:t>perfiles profesionales por competencias y aprendizajes esperados, promoviendo un modelo centrado en el estudiante para facilitar la movilidad y la transparencia de las titulaciones.</w:t>
      </w:r>
      <w:r w:rsidR="003D4A41">
        <w:rPr>
          <w:rFonts w:ascii="Times New Roman" w:hAnsi="Times New Roman" w:cs="Times New Roman"/>
        </w:rPr>
        <w:t xml:space="preserve"> Una vez más, con independencia del alcance logrado por este sistema – un universo de </w:t>
      </w:r>
      <w:r w:rsidR="003D4A41" w:rsidRPr="00594C18">
        <w:rPr>
          <w:rFonts w:ascii="Times New Roman" w:hAnsi="Times New Roman" w:cs="Times New Roman"/>
        </w:rPr>
        <w:t>más de 180 universidades de 18 países</w:t>
      </w:r>
      <w:r w:rsidR="003D4A41">
        <w:rPr>
          <w:rFonts w:ascii="Times New Roman" w:hAnsi="Times New Roman" w:cs="Times New Roman"/>
        </w:rPr>
        <w:t xml:space="preserve"> </w:t>
      </w:r>
      <w:r w:rsidR="00594C18" w:rsidRPr="00594C18">
        <w:rPr>
          <w:rFonts w:ascii="Times New Roman" w:hAnsi="Times New Roman" w:cs="Times New Roman"/>
        </w:rPr>
        <w:t>entre 2004 y 2007</w:t>
      </w:r>
      <w:r w:rsidR="003D4A41">
        <w:rPr>
          <w:rFonts w:ascii="Times New Roman" w:hAnsi="Times New Roman" w:cs="Times New Roman"/>
        </w:rPr>
        <w:t xml:space="preserve"> y su imposición fallida </w:t>
      </w:r>
      <w:r w:rsidR="00594C18" w:rsidRPr="00594C18">
        <w:rPr>
          <w:rFonts w:ascii="Times New Roman" w:hAnsi="Times New Roman" w:cs="Times New Roman"/>
        </w:rPr>
        <w:t xml:space="preserve">norma </w:t>
      </w:r>
      <w:r w:rsidR="003D4A41">
        <w:rPr>
          <w:rFonts w:ascii="Times New Roman" w:hAnsi="Times New Roman" w:cs="Times New Roman"/>
        </w:rPr>
        <w:t xml:space="preserve">nacional y/o </w:t>
      </w:r>
      <w:r w:rsidR="00594C18" w:rsidRPr="00594C18">
        <w:rPr>
          <w:rFonts w:ascii="Times New Roman" w:hAnsi="Times New Roman" w:cs="Times New Roman"/>
        </w:rPr>
        <w:t>regional</w:t>
      </w:r>
      <w:r w:rsidR="003D4A41">
        <w:rPr>
          <w:rFonts w:ascii="Times New Roman" w:hAnsi="Times New Roman" w:cs="Times New Roman"/>
        </w:rPr>
        <w:t>-</w:t>
      </w:r>
      <w:r w:rsidR="00594C18" w:rsidRPr="00594C18">
        <w:rPr>
          <w:rFonts w:ascii="Times New Roman" w:hAnsi="Times New Roman" w:cs="Times New Roman"/>
        </w:rPr>
        <w:t xml:space="preserve"> </w:t>
      </w:r>
      <w:r w:rsidR="003D4A41">
        <w:rPr>
          <w:rFonts w:ascii="Times New Roman" w:hAnsi="Times New Roman" w:cs="Times New Roman"/>
        </w:rPr>
        <w:t xml:space="preserve">ha tenido un desarrollo considerable y ha hecho sentir su </w:t>
      </w:r>
      <w:r w:rsidR="00594C18" w:rsidRPr="00594C18">
        <w:rPr>
          <w:rFonts w:ascii="Times New Roman" w:hAnsi="Times New Roman" w:cs="Times New Roman"/>
        </w:rPr>
        <w:t xml:space="preserve">en las reformas curriculares de numerosas universidades y en los marcos normativos nacionales de países como </w:t>
      </w:r>
      <w:r w:rsidR="00594C18" w:rsidRPr="003D4A41">
        <w:rPr>
          <w:rFonts w:ascii="Times New Roman" w:hAnsi="Times New Roman" w:cs="Times New Roman"/>
        </w:rPr>
        <w:t xml:space="preserve">Chile, Colombia y </w:t>
      </w:r>
      <w:r w:rsidR="00594C18" w:rsidRPr="003D4A41">
        <w:rPr>
          <w:rFonts w:ascii="Times New Roman" w:hAnsi="Times New Roman" w:cs="Times New Roman"/>
        </w:rPr>
        <w:lastRenderedPageBreak/>
        <w:t>México</w:t>
      </w:r>
      <w:r w:rsidR="003D4A41">
        <w:rPr>
          <w:rFonts w:ascii="Times New Roman" w:hAnsi="Times New Roman" w:cs="Times New Roman"/>
        </w:rPr>
        <w:t>, por lo que su estudio y referencia no puede soslayarse</w:t>
      </w:r>
      <w:r w:rsidR="006972DD">
        <w:rPr>
          <w:rFonts w:ascii="Times New Roman" w:hAnsi="Times New Roman" w:cs="Times New Roman"/>
        </w:rPr>
        <w:t xml:space="preserve"> aun cuando “su aplicación ha sido fragmentada y discontinua” </w:t>
      </w:r>
      <w:r w:rsidR="006972DD">
        <w:rPr>
          <w:rFonts w:ascii="Times New Roman" w:hAnsi="Times New Roman" w:cs="Times New Roman"/>
        </w:rPr>
        <w:t>(Marquina, 2026</w:t>
      </w:r>
      <w:r w:rsidR="006972DD">
        <w:rPr>
          <w:rFonts w:ascii="Times New Roman" w:hAnsi="Times New Roman" w:cs="Times New Roman"/>
        </w:rPr>
        <w:t>, p. 9)</w:t>
      </w:r>
      <w:r w:rsidR="00594C18" w:rsidRPr="00594C18">
        <w:rPr>
          <w:rFonts w:ascii="Times New Roman" w:hAnsi="Times New Roman" w:cs="Times New Roman"/>
        </w:rPr>
        <w:t>.</w:t>
      </w:r>
    </w:p>
    <w:p w14:paraId="02C0BB08" w14:textId="5B50B0FF" w:rsidR="00561ABE" w:rsidRDefault="00561ABE" w:rsidP="00DB122C">
      <w:pPr>
        <w:spacing w:line="240" w:lineRule="auto"/>
        <w:jc w:val="both"/>
        <w:rPr>
          <w:rFonts w:ascii="Times New Roman" w:hAnsi="Times New Roman" w:cs="Times New Roman"/>
        </w:rPr>
      </w:pPr>
      <w:r w:rsidRPr="00594C18">
        <w:rPr>
          <w:rFonts w:ascii="Times New Roman" w:hAnsi="Times New Roman" w:cs="Times New Roman"/>
        </w:rPr>
        <w:t xml:space="preserve">Además, será indispensable poner especial atención a la articulación del sistema con los sistemas internacionales de reconocimiento académico con los que el sistema argentino se encuentra fuertemente vinculado. El más importante, sin dudas, es el </w:t>
      </w:r>
      <w:r w:rsidR="00DB122C" w:rsidRPr="00594C18">
        <w:rPr>
          <w:rFonts w:ascii="Times New Roman" w:hAnsi="Times New Roman" w:cs="Times New Roman"/>
        </w:rPr>
        <w:t xml:space="preserve">Sistema Europeo de Transferencia de Créditos (ECTS) </w:t>
      </w:r>
      <w:r w:rsidR="003D4A41">
        <w:rPr>
          <w:rFonts w:ascii="Times New Roman" w:hAnsi="Times New Roman" w:cs="Times New Roman"/>
        </w:rPr>
        <w:t>y</w:t>
      </w:r>
      <w:r w:rsidRPr="00594C18">
        <w:rPr>
          <w:rFonts w:ascii="Times New Roman" w:hAnsi="Times New Roman" w:cs="Times New Roman"/>
        </w:rPr>
        <w:t xml:space="preserve"> se expresa en </w:t>
      </w:r>
      <w:r w:rsidR="003D78F1">
        <w:rPr>
          <w:rFonts w:ascii="Times New Roman" w:hAnsi="Times New Roman" w:cs="Times New Roman"/>
        </w:rPr>
        <w:t xml:space="preserve">un significativo </w:t>
      </w:r>
      <w:r w:rsidRPr="00594C18">
        <w:rPr>
          <w:rFonts w:ascii="Times New Roman" w:hAnsi="Times New Roman" w:cs="Times New Roman"/>
        </w:rPr>
        <w:t>tránsito bilateral estudiantil</w:t>
      </w:r>
      <w:r w:rsidR="003D78F1">
        <w:rPr>
          <w:rFonts w:ascii="Times New Roman" w:hAnsi="Times New Roman" w:cs="Times New Roman"/>
        </w:rPr>
        <w:t>, docente, científico</w:t>
      </w:r>
      <w:r w:rsidRPr="00594C18">
        <w:rPr>
          <w:rFonts w:ascii="Times New Roman" w:hAnsi="Times New Roman" w:cs="Times New Roman"/>
        </w:rPr>
        <w:t xml:space="preserve"> y profesional</w:t>
      </w:r>
      <w:r w:rsidR="00F94360" w:rsidRPr="00594C18">
        <w:rPr>
          <w:rFonts w:ascii="Times New Roman" w:hAnsi="Times New Roman" w:cs="Times New Roman"/>
        </w:rPr>
        <w:t xml:space="preserve"> y que es recurrentemente </w:t>
      </w:r>
      <w:r w:rsidR="003D78F1">
        <w:rPr>
          <w:rFonts w:ascii="Times New Roman" w:hAnsi="Times New Roman" w:cs="Times New Roman"/>
        </w:rPr>
        <w:t>referenciado</w:t>
      </w:r>
      <w:r w:rsidR="00F94360" w:rsidRPr="00594C18">
        <w:rPr>
          <w:rFonts w:ascii="Times New Roman" w:hAnsi="Times New Roman" w:cs="Times New Roman"/>
        </w:rPr>
        <w:t xml:space="preserve"> desde diversas perspectivas académicas (Fernández Lamarra, 2004; Fernández Lamarra y Coppola, 2013; Marquina, 2026) y de la gestión (CIN, </w:t>
      </w:r>
      <w:r w:rsidR="00594C18" w:rsidRPr="00594C18">
        <w:rPr>
          <w:rFonts w:ascii="Times New Roman" w:hAnsi="Times New Roman" w:cs="Times New Roman"/>
        </w:rPr>
        <w:t>2022</w:t>
      </w:r>
      <w:r w:rsidR="00F94360" w:rsidRPr="00594C18">
        <w:rPr>
          <w:rFonts w:ascii="Times New Roman" w:hAnsi="Times New Roman" w:cs="Times New Roman"/>
        </w:rPr>
        <w:t>; Tavela, 2018)</w:t>
      </w:r>
      <w:r w:rsidRPr="00594C18">
        <w:rPr>
          <w:rFonts w:ascii="Times New Roman" w:hAnsi="Times New Roman" w:cs="Times New Roman"/>
        </w:rPr>
        <w:t>.</w:t>
      </w:r>
      <w:r>
        <w:rPr>
          <w:rFonts w:ascii="Times New Roman" w:hAnsi="Times New Roman" w:cs="Times New Roman"/>
        </w:rPr>
        <w:t xml:space="preserve"> </w:t>
      </w:r>
    </w:p>
    <w:p w14:paraId="7949C32B" w14:textId="4E1A26B7" w:rsidR="004F7047" w:rsidRDefault="003D78F1">
      <w:pPr>
        <w:spacing w:line="240" w:lineRule="auto"/>
        <w:jc w:val="both"/>
        <w:rPr>
          <w:rFonts w:ascii="Times New Roman" w:hAnsi="Times New Roman" w:cs="Times New Roman"/>
        </w:rPr>
      </w:pPr>
      <w:r>
        <w:rPr>
          <w:rFonts w:ascii="Times New Roman" w:hAnsi="Times New Roman" w:cs="Times New Roman"/>
        </w:rPr>
        <w:t xml:space="preserve">En tercer lugar, será necesario </w:t>
      </w:r>
      <w:r w:rsidR="00000000">
        <w:rPr>
          <w:rFonts w:ascii="Times New Roman" w:hAnsi="Times New Roman" w:cs="Times New Roman"/>
        </w:rPr>
        <w:t>involucrar a los principales actores que intervienen en la configuración y desarrollo del nivel de posgrado (docentes, estudiantes, responsables de la gestión de carreras y áreas de posgrado, además de responsables institucionales y del sistema, y de los especialistas en la temática) y, el establecimiento de plazos medianos y largos que garanticen períodos de diagnóstico y planificación pedagógica, así como de evaluación de los impactos que generen los cambios implementados, como insumos de retroalimentación. Justamente porque más allá del valor técnico de los créditos como unidad de medida e intercambio</w:t>
      </w:r>
    </w:p>
    <w:p w14:paraId="1DD13079" w14:textId="77777777" w:rsidR="004F7047" w:rsidRDefault="00000000">
      <w:pPr>
        <w:spacing w:line="240" w:lineRule="auto"/>
        <w:ind w:left="708"/>
        <w:jc w:val="both"/>
      </w:pPr>
      <w:r>
        <w:rPr>
          <w:rFonts w:ascii="Times New Roman" w:hAnsi="Times New Roman" w:cs="Times New Roman"/>
          <w:sz w:val="22"/>
          <w:szCs w:val="22"/>
        </w:rPr>
        <w:t>su aplicación efectiva como mecanismo para flexibilizar trayectorias, reconocer aprendizajes previos o facilitar la movilidad sigue siendo marginal. Esta brecha entre diseño y uso responde a múltiples factores persistentes: políticas públicas discontinuas, fragmentación institucional, competencia entre universidades, trabas burocráticas para la homologación de estudios y marcos normativos que aún no incorporan plenamente la flexibilidad y el reconocimiento como dimensiones clave de la calidad educativa (…) En este escenario, el desafío no es solo técnico, sino profundamente político y pedagógico” (Marquina, 2026, p. 40).</w:t>
      </w:r>
    </w:p>
    <w:p w14:paraId="7D3D6280" w14:textId="2325A4DA" w:rsidR="004F7047" w:rsidRDefault="00F96B5D">
      <w:pPr>
        <w:spacing w:line="240" w:lineRule="auto"/>
        <w:jc w:val="both"/>
      </w:pPr>
      <w:r>
        <w:rPr>
          <w:rFonts w:ascii="Times New Roman" w:hAnsi="Times New Roman" w:cs="Times New Roman"/>
        </w:rPr>
        <w:t>Por último, mencionemos que u</w:t>
      </w:r>
      <w:r w:rsidR="00000000">
        <w:rPr>
          <w:rFonts w:ascii="Times New Roman" w:hAnsi="Times New Roman" w:cs="Times New Roman"/>
        </w:rPr>
        <w:t>na de las principales conclusiones derivadas de la comparación internacional de sistemas de créditos académicos en América Latina (Marquina, 2026), recomienda el fortalecimiento de los marcos normativos por parte de los gobiernos con participación universitaria estableciendo consultas y procesos de implementación transitorios que incluyan apoyo técnico para las instituciones con el fin para con menor capacidad instalada. Un desafío de alta significación cuya viabilidad no está asegurada en un contexto de fuerte desfinanciamiento del Estado Nacional</w:t>
      </w:r>
      <w:r w:rsidR="00742205">
        <w:rPr>
          <w:rFonts w:ascii="Times New Roman" w:hAnsi="Times New Roman" w:cs="Times New Roman"/>
        </w:rPr>
        <w:t xml:space="preserve"> </w:t>
      </w:r>
      <w:r w:rsidR="00000000">
        <w:rPr>
          <w:rFonts w:ascii="Times New Roman" w:hAnsi="Times New Roman" w:cs="Times New Roman"/>
        </w:rPr>
        <w:t>y del sistema universitario</w:t>
      </w:r>
      <w:r>
        <w:rPr>
          <w:rFonts w:ascii="Times New Roman" w:hAnsi="Times New Roman" w:cs="Times New Roman"/>
        </w:rPr>
        <w:t xml:space="preserve"> </w:t>
      </w:r>
      <w:r>
        <w:rPr>
          <w:rFonts w:ascii="Times New Roman" w:hAnsi="Times New Roman" w:cs="Times New Roman"/>
        </w:rPr>
        <w:t>(</w:t>
      </w:r>
      <w:r w:rsidR="009861C7">
        <w:rPr>
          <w:rFonts w:ascii="Times New Roman" w:hAnsi="Times New Roman" w:cs="Times New Roman"/>
        </w:rPr>
        <w:t xml:space="preserve">CEPA, 2026; </w:t>
      </w:r>
      <w:r>
        <w:rPr>
          <w:rFonts w:ascii="Times New Roman" w:hAnsi="Times New Roman" w:cs="Times New Roman"/>
        </w:rPr>
        <w:t>Perez Rasetti, 2025)</w:t>
      </w:r>
      <w:r w:rsidR="001F14C5">
        <w:rPr>
          <w:rFonts w:ascii="Times New Roman" w:hAnsi="Times New Roman" w:cs="Times New Roman"/>
        </w:rPr>
        <w:t xml:space="preserve"> y de preminencia de un proyecto político nacional que busca desligar al Estado de las responsabilidades públicas y legales respecto de la educación</w:t>
      </w:r>
      <w:r w:rsidR="00000000">
        <w:rPr>
          <w:rFonts w:ascii="Times New Roman" w:hAnsi="Times New Roman" w:cs="Times New Roman"/>
        </w:rPr>
        <w:t xml:space="preserve">. </w:t>
      </w:r>
    </w:p>
    <w:p w14:paraId="36F8D2D2" w14:textId="77777777" w:rsidR="004F7047" w:rsidRDefault="004F7047">
      <w:pPr>
        <w:spacing w:line="240" w:lineRule="auto"/>
        <w:jc w:val="both"/>
        <w:rPr>
          <w:rFonts w:ascii="Times New Roman" w:hAnsi="Times New Roman" w:cs="Times New Roman"/>
          <w:shd w:val="clear" w:color="auto" w:fill="BBE33D"/>
        </w:rPr>
      </w:pPr>
    </w:p>
    <w:p w14:paraId="02BC81C2" w14:textId="77777777" w:rsidR="004F7047" w:rsidRDefault="00000000">
      <w:pPr>
        <w:spacing w:line="240" w:lineRule="auto"/>
        <w:rPr>
          <w:rFonts w:ascii="Times New Roman" w:hAnsi="Times New Roman" w:cs="Times New Roman"/>
          <w:b/>
          <w:bCs/>
        </w:rPr>
      </w:pPr>
      <w:r>
        <w:rPr>
          <w:rFonts w:ascii="Times New Roman" w:hAnsi="Times New Roman" w:cs="Times New Roman"/>
          <w:b/>
          <w:bCs/>
        </w:rPr>
        <w:t>Referencias Bibliográficas</w:t>
      </w:r>
    </w:p>
    <w:p w14:paraId="14CA9D30" w14:textId="77777777" w:rsidR="004F7047" w:rsidRDefault="00000000">
      <w:pPr>
        <w:spacing w:line="240" w:lineRule="auto"/>
        <w:jc w:val="both"/>
        <w:rPr>
          <w:rFonts w:ascii="Times New Roman" w:hAnsi="Times New Roman" w:cs="Times New Roman"/>
        </w:rPr>
      </w:pPr>
      <w:r>
        <w:rPr>
          <w:rFonts w:ascii="Times New Roman" w:hAnsi="Times New Roman" w:cs="Times New Roman"/>
        </w:rPr>
        <w:t>Carlino, P. (2005). ¿Por qué no se completan las tesis en los posgrados? Obstáculos percibidos por maestrandos en curso y magistri exitosos. Educere, 9(30), 415-420.</w:t>
      </w:r>
    </w:p>
    <w:p w14:paraId="4A6A95CC" w14:textId="379C1672" w:rsidR="009861C7" w:rsidRDefault="009861C7">
      <w:pPr>
        <w:spacing w:line="240" w:lineRule="auto"/>
        <w:jc w:val="both"/>
        <w:rPr>
          <w:rFonts w:ascii="Times New Roman" w:hAnsi="Times New Roman" w:cs="Times New Roman"/>
        </w:rPr>
      </w:pPr>
      <w:r w:rsidRPr="009861C7">
        <w:rPr>
          <w:rFonts w:ascii="Times New Roman" w:hAnsi="Times New Roman" w:cs="Times New Roman"/>
        </w:rPr>
        <w:lastRenderedPageBreak/>
        <w:t>Centro de Economía Política Argentina</w:t>
      </w:r>
      <w:r>
        <w:rPr>
          <w:rFonts w:ascii="Times New Roman" w:hAnsi="Times New Roman" w:cs="Times New Roman"/>
        </w:rPr>
        <w:t xml:space="preserve"> [CEPA]</w:t>
      </w:r>
      <w:r w:rsidRPr="009861C7">
        <w:rPr>
          <w:rFonts w:ascii="Times New Roman" w:hAnsi="Times New Roman" w:cs="Times New Roman"/>
        </w:rPr>
        <w:t xml:space="preserve">. (2026, 14 de marzo). </w:t>
      </w:r>
      <w:r w:rsidRPr="009861C7">
        <w:rPr>
          <w:rFonts w:ascii="Times New Roman" w:hAnsi="Times New Roman" w:cs="Times New Roman"/>
          <w:i/>
          <w:iCs/>
        </w:rPr>
        <w:t>Financiamiento de la educación universitaria y recomposición del salario docente</w:t>
      </w:r>
      <w:r w:rsidRPr="009861C7">
        <w:rPr>
          <w:rFonts w:ascii="Times New Roman" w:hAnsi="Times New Roman" w:cs="Times New Roman"/>
        </w:rPr>
        <w:t xml:space="preserve"> (Informe N° 582). </w:t>
      </w:r>
      <w:hyperlink r:id="rId8" w:history="1">
        <w:r w:rsidRPr="005B7E76">
          <w:rPr>
            <w:rStyle w:val="Hipervnculo"/>
            <w:rFonts w:ascii="Times New Roman" w:hAnsi="Times New Roman" w:cs="Times New Roman"/>
          </w:rPr>
          <w:t>https://centrocepa.com.ar/documentos/informes/757-financiamiento-de-la-educacion-universitaria-y-recomposicion-del-salario-docente</w:t>
        </w:r>
      </w:hyperlink>
    </w:p>
    <w:p w14:paraId="3BFCE646" w14:textId="0E50BCE0" w:rsidR="004F7047" w:rsidRDefault="00594C18">
      <w:pPr>
        <w:spacing w:line="240" w:lineRule="auto"/>
        <w:jc w:val="both"/>
        <w:rPr>
          <w:rFonts w:ascii="Times New Roman" w:hAnsi="Times New Roman" w:cs="Times New Roman"/>
        </w:rPr>
      </w:pPr>
      <w:r w:rsidRPr="00594C18">
        <w:rPr>
          <w:rFonts w:ascii="Times New Roman" w:hAnsi="Times New Roman" w:cs="Times New Roman"/>
        </w:rPr>
        <w:t>Comisión de Asuntos Académicos [</w:t>
      </w:r>
      <w:r w:rsidR="00000000" w:rsidRPr="00594C18">
        <w:rPr>
          <w:rFonts w:ascii="Times New Roman" w:hAnsi="Times New Roman" w:cs="Times New Roman"/>
        </w:rPr>
        <w:t>CIN</w:t>
      </w:r>
      <w:r w:rsidRPr="00594C18">
        <w:rPr>
          <w:rFonts w:ascii="Times New Roman" w:hAnsi="Times New Roman" w:cs="Times New Roman"/>
        </w:rPr>
        <w:t>]</w:t>
      </w:r>
      <w:r w:rsidR="00000000" w:rsidRPr="00594C18">
        <w:rPr>
          <w:rFonts w:ascii="Times New Roman" w:hAnsi="Times New Roman" w:cs="Times New Roman"/>
        </w:rPr>
        <w:t xml:space="preserve"> </w:t>
      </w:r>
      <w:r w:rsidRPr="00594C18">
        <w:rPr>
          <w:rFonts w:ascii="Times New Roman" w:hAnsi="Times New Roman" w:cs="Times New Roman"/>
        </w:rPr>
        <w:t xml:space="preserve">(2022). </w:t>
      </w:r>
      <w:r w:rsidR="00000000" w:rsidRPr="00594C18">
        <w:rPr>
          <w:rFonts w:ascii="Times New Roman" w:hAnsi="Times New Roman" w:cs="Times New Roman"/>
        </w:rPr>
        <w:t xml:space="preserve">Aportes para pensar la distancia entre la duración teórica y real de las carreras y el reconocimiento de trayectorias </w:t>
      </w:r>
      <w:r w:rsidR="001517B0" w:rsidRPr="00594C18">
        <w:rPr>
          <w:rFonts w:ascii="Times New Roman" w:hAnsi="Times New Roman" w:cs="Times New Roman"/>
        </w:rPr>
        <w:t>formativas</w:t>
      </w:r>
      <w:r w:rsidRPr="00594C18">
        <w:rPr>
          <w:rFonts w:ascii="Times New Roman" w:hAnsi="Times New Roman" w:cs="Times New Roman"/>
        </w:rPr>
        <w:t>. Consejo Interuniversitario Nacional.</w:t>
      </w:r>
    </w:p>
    <w:p w14:paraId="701ADFDF" w14:textId="77777777" w:rsidR="004F7047" w:rsidRDefault="00000000">
      <w:pPr>
        <w:spacing w:line="240" w:lineRule="auto"/>
        <w:jc w:val="both"/>
        <w:rPr>
          <w:rFonts w:ascii="Times New Roman" w:hAnsi="Times New Roman" w:cs="Times New Roman"/>
        </w:rPr>
      </w:pPr>
      <w:r>
        <w:rPr>
          <w:rFonts w:ascii="Times New Roman" w:hAnsi="Times New Roman" w:cs="Times New Roman"/>
        </w:rPr>
        <w:t>Curcio, J., Alzú, M.S., y Sáenz Guillén, L. (2024). Presupuesto educativo nacional 2025. Observatorio de Argentinos por la Educación.</w:t>
      </w:r>
    </w:p>
    <w:p w14:paraId="520B630D" w14:textId="4D15EC52" w:rsidR="004F7047" w:rsidRDefault="00000000">
      <w:pPr>
        <w:spacing w:line="240" w:lineRule="auto"/>
        <w:jc w:val="both"/>
        <w:rPr>
          <w:rFonts w:ascii="Times New Roman" w:hAnsi="Times New Roman" w:cs="Times New Roman"/>
        </w:rPr>
      </w:pPr>
      <w:r>
        <w:rPr>
          <w:rFonts w:ascii="Times New Roman" w:hAnsi="Times New Roman" w:cs="Times New Roman"/>
        </w:rPr>
        <w:t xml:space="preserve">Fernández Lamarra, N. (2004). Hacia la convergencia de los sistemas de educación </w:t>
      </w:r>
      <w:r w:rsidR="001517B0">
        <w:rPr>
          <w:rFonts w:ascii="Times New Roman" w:hAnsi="Times New Roman" w:cs="Times New Roman"/>
        </w:rPr>
        <w:t>superior en</w:t>
      </w:r>
      <w:r>
        <w:rPr>
          <w:rFonts w:ascii="Times New Roman" w:hAnsi="Times New Roman" w:cs="Times New Roman"/>
        </w:rPr>
        <w:t xml:space="preserve"> América Latina. Revista Iberoamericana de Educación, </w:t>
      </w:r>
      <w:r w:rsidR="001517B0">
        <w:rPr>
          <w:rFonts w:ascii="Times New Roman" w:hAnsi="Times New Roman" w:cs="Times New Roman"/>
        </w:rPr>
        <w:t>nro.</w:t>
      </w:r>
      <w:r>
        <w:rPr>
          <w:rFonts w:ascii="Times New Roman" w:hAnsi="Times New Roman" w:cs="Times New Roman"/>
        </w:rPr>
        <w:t xml:space="preserve"> 35, pp. 39-71.</w:t>
      </w:r>
    </w:p>
    <w:p w14:paraId="1BF036F1" w14:textId="37C91B14" w:rsidR="00F94360" w:rsidRPr="00F94360" w:rsidRDefault="00F94360" w:rsidP="00F94360">
      <w:pPr>
        <w:spacing w:line="240" w:lineRule="auto"/>
        <w:jc w:val="both"/>
        <w:rPr>
          <w:rFonts w:ascii="Times New Roman" w:hAnsi="Times New Roman" w:cs="Times New Roman"/>
        </w:rPr>
      </w:pPr>
      <w:r w:rsidRPr="00F94360">
        <w:rPr>
          <w:rFonts w:ascii="Times New Roman" w:hAnsi="Times New Roman" w:cs="Times New Roman"/>
        </w:rPr>
        <w:t>Fernández Lamarra, N. y Coppola, N. (2013). Desafíos para la construcción del Espacio Latinoamericano de Educación Superior, en el marco de las políticas supranacionales. Journal of Supranational Policies of Education, nº 1, pp. 67-82.</w:t>
      </w:r>
    </w:p>
    <w:p w14:paraId="19E3B913" w14:textId="472369EC" w:rsidR="004F7047" w:rsidRDefault="00000000">
      <w:pPr>
        <w:spacing w:line="240" w:lineRule="auto"/>
        <w:jc w:val="both"/>
        <w:rPr>
          <w:rFonts w:ascii="Times New Roman" w:hAnsi="Times New Roman" w:cs="Times New Roman"/>
        </w:rPr>
      </w:pPr>
      <w:r>
        <w:rPr>
          <w:rFonts w:ascii="Times New Roman" w:hAnsi="Times New Roman" w:cs="Times New Roman"/>
        </w:rPr>
        <w:t xml:space="preserve">Marquina, M., Santín, S., </w:t>
      </w:r>
      <w:r w:rsidR="001517B0">
        <w:rPr>
          <w:rFonts w:ascii="Times New Roman" w:hAnsi="Times New Roman" w:cs="Times New Roman"/>
        </w:rPr>
        <w:t>Rodríguez</w:t>
      </w:r>
      <w:r>
        <w:rPr>
          <w:rFonts w:ascii="Times New Roman" w:hAnsi="Times New Roman" w:cs="Times New Roman"/>
        </w:rPr>
        <w:t>, W., Reznik, N., Lizitza, N., Denes, C. y Lizzano, V. (2023). Políticas educativas y cambio institucional: transformaciones en el funcionamiento de las universidades públicas argentinas desde las reformas iniciadas en los ´90. RELAPAE, (18), pp. 80-92.</w:t>
      </w:r>
    </w:p>
    <w:p w14:paraId="503FCF17" w14:textId="13CB60C7" w:rsidR="004F7047" w:rsidRDefault="00000000">
      <w:pPr>
        <w:spacing w:line="240" w:lineRule="auto"/>
        <w:jc w:val="both"/>
        <w:rPr>
          <w:rFonts w:ascii="Times New Roman" w:hAnsi="Times New Roman" w:cs="Times New Roman"/>
        </w:rPr>
      </w:pPr>
      <w:r>
        <w:rPr>
          <w:rFonts w:ascii="Times New Roman" w:hAnsi="Times New Roman" w:cs="Times New Roman"/>
        </w:rPr>
        <w:t>Marquina, M. (2026). Mapeo de los sistemas de créditos académicos en América Latina y el Caribe. Hacia la armonización</w:t>
      </w:r>
      <w:r w:rsidR="00742205">
        <w:rPr>
          <w:rFonts w:ascii="Times New Roman" w:hAnsi="Times New Roman" w:cs="Times New Roman"/>
        </w:rPr>
        <w:t xml:space="preserve"> </w:t>
      </w:r>
      <w:r>
        <w:rPr>
          <w:rFonts w:ascii="Times New Roman" w:hAnsi="Times New Roman" w:cs="Times New Roman"/>
        </w:rPr>
        <w:t xml:space="preserve">regional y la transformación de la educación superior. IESALC/UNESCO. </w:t>
      </w:r>
    </w:p>
    <w:p w14:paraId="3AF8803E" w14:textId="77777777" w:rsidR="004F7047" w:rsidRDefault="00000000">
      <w:pPr>
        <w:spacing w:line="240" w:lineRule="auto"/>
        <w:jc w:val="both"/>
      </w:pPr>
      <w:r>
        <w:rPr>
          <w:rFonts w:ascii="Times New Roman" w:hAnsi="Times New Roman" w:cs="Times New Roman"/>
        </w:rPr>
        <w:t xml:space="preserve">Ministerio de Capital Humano [MCH] (2025). Anuarios Estadísticos. 2023. </w:t>
      </w:r>
      <w:hyperlink r:id="rId9">
        <w:r>
          <w:rPr>
            <w:rStyle w:val="Hipervnculo"/>
            <w:rFonts w:ascii="Times New Roman" w:hAnsi="Times New Roman"/>
          </w:rPr>
          <w:t>https://www.argentina.gob.ar/educacion/universidades/informacion/publicaciones/anuarios</w:t>
        </w:r>
      </w:hyperlink>
    </w:p>
    <w:p w14:paraId="6A5CB106" w14:textId="77777777" w:rsidR="004F7047" w:rsidRDefault="00000000">
      <w:pPr>
        <w:spacing w:line="240" w:lineRule="auto"/>
        <w:jc w:val="both"/>
        <w:rPr>
          <w:rFonts w:ascii="Times New Roman" w:hAnsi="Times New Roman" w:cs="Times New Roman"/>
        </w:rPr>
      </w:pPr>
      <w:r>
        <w:rPr>
          <w:rFonts w:ascii="Times New Roman" w:hAnsi="Times New Roman" w:cs="Times New Roman"/>
        </w:rPr>
        <w:t>Perez Centeno, C. (2015). Cuatro modos del ejercicio académico en las universidades públicas argentinas. En: Fernández Lamarra y Mundt. Sociedad, Procesos Educativos, Instituciones y Actores. Estudios de Política y Administración de la Educación II. EDUNTREF.</w:t>
      </w:r>
    </w:p>
    <w:p w14:paraId="01001F9B" w14:textId="77777777" w:rsidR="004F7047" w:rsidRDefault="00000000">
      <w:pPr>
        <w:spacing w:line="240" w:lineRule="auto"/>
        <w:jc w:val="both"/>
        <w:rPr>
          <w:rFonts w:ascii="Times New Roman" w:hAnsi="Times New Roman"/>
        </w:rPr>
      </w:pPr>
      <w:r>
        <w:rPr>
          <w:rFonts w:ascii="Times New Roman" w:hAnsi="Times New Roman" w:cs="Times New Roman"/>
        </w:rPr>
        <w:t>Perez Centeno, C. y Aiello, M. (2021) Contratos docentes, tareas múltiples: la relación entre docencia e investigación en las universidades nacionales argentinas. Revista de Educación, Año XII, 24(2), 61-94.</w:t>
      </w:r>
    </w:p>
    <w:p w14:paraId="27D278DB" w14:textId="058EC7EC" w:rsidR="00F96B5D" w:rsidRPr="00F96B5D" w:rsidRDefault="00F96B5D">
      <w:pPr>
        <w:spacing w:line="240" w:lineRule="auto"/>
        <w:jc w:val="both"/>
        <w:rPr>
          <w:rFonts w:ascii="Times New Roman" w:hAnsi="Times New Roman" w:cs="Times New Roman"/>
        </w:rPr>
      </w:pPr>
      <w:r w:rsidRPr="00F96B5D">
        <w:rPr>
          <w:rFonts w:ascii="Times New Roman" w:hAnsi="Times New Roman" w:cs="Times New Roman"/>
        </w:rPr>
        <w:t xml:space="preserve">Pérez Rasetti, C. (2025). El sistema argentino de créditos en su laberinto. En C. Marquis (Ed.), </w:t>
      </w:r>
      <w:r w:rsidRPr="00F96B5D">
        <w:rPr>
          <w:rFonts w:ascii="Times New Roman" w:hAnsi="Times New Roman" w:cs="Times New Roman"/>
          <w:i/>
          <w:iCs/>
        </w:rPr>
        <w:t>La agenda universitaria VIII: Miradas sobre las universidades nacionales desde sus investigadores</w:t>
      </w:r>
      <w:r w:rsidRPr="00F96B5D">
        <w:rPr>
          <w:rFonts w:ascii="Times New Roman" w:hAnsi="Times New Roman" w:cs="Times New Roman"/>
        </w:rPr>
        <w:t>. Universidad de Palermo</w:t>
      </w:r>
    </w:p>
    <w:p w14:paraId="7CC92A69" w14:textId="03E94A42" w:rsidR="004F7047" w:rsidRDefault="00000000">
      <w:pPr>
        <w:spacing w:line="240" w:lineRule="auto"/>
        <w:jc w:val="both"/>
        <w:rPr>
          <w:rFonts w:ascii="Times New Roman" w:hAnsi="Times New Roman" w:cs="Times New Roman"/>
        </w:rPr>
      </w:pPr>
      <w:r>
        <w:rPr>
          <w:rFonts w:ascii="Times New Roman" w:hAnsi="Times New Roman" w:cs="Times New Roman"/>
        </w:rPr>
        <w:t>Ruiz, G. R. (2021). El derecho a la educación: definiciones constitucionales comparadas en América del Sur. Revista Española de Educación Comparada, núm. 39 (julio-diciembre 2021), 61-80.</w:t>
      </w:r>
    </w:p>
    <w:p w14:paraId="56ECF6BF" w14:textId="65F5AD7D" w:rsidR="002C1E8F" w:rsidRDefault="002C1E8F" w:rsidP="002C1E8F">
      <w:pPr>
        <w:spacing w:line="240" w:lineRule="auto"/>
        <w:jc w:val="both"/>
        <w:rPr>
          <w:rFonts w:ascii="Times New Roman" w:hAnsi="Times New Roman" w:cs="Times New Roman"/>
        </w:rPr>
      </w:pPr>
      <w:r w:rsidRPr="002C1E8F">
        <w:rPr>
          <w:rFonts w:ascii="Times New Roman" w:hAnsi="Times New Roman" w:cs="Times New Roman"/>
        </w:rPr>
        <w:lastRenderedPageBreak/>
        <w:t>Steiman</w:t>
      </w:r>
      <w:r>
        <w:rPr>
          <w:rFonts w:ascii="Times New Roman" w:hAnsi="Times New Roman" w:cs="Times New Roman"/>
        </w:rPr>
        <w:t xml:space="preserve">, J. (2021). </w:t>
      </w:r>
      <w:r w:rsidRPr="002C1E8F">
        <w:rPr>
          <w:rFonts w:ascii="Times New Roman" w:hAnsi="Times New Roman" w:cs="Times New Roman"/>
        </w:rPr>
        <w:t>Políticas académicas en la universidad argentina: el escenario de la pospandemia</w:t>
      </w:r>
      <w:r>
        <w:rPr>
          <w:rFonts w:ascii="Times New Roman" w:hAnsi="Times New Roman" w:cs="Times New Roman"/>
        </w:rPr>
        <w:t>. Integración y Conocimiento, 1(10), 163-181</w:t>
      </w:r>
    </w:p>
    <w:p w14:paraId="4C6D0BAF" w14:textId="00C4B96D" w:rsidR="004F7047" w:rsidRPr="00594C18" w:rsidRDefault="00000000">
      <w:pPr>
        <w:spacing w:line="240" w:lineRule="auto"/>
        <w:jc w:val="both"/>
        <w:rPr>
          <w:rFonts w:ascii="Times New Roman" w:hAnsi="Times New Roman" w:cs="Times New Roman"/>
        </w:rPr>
      </w:pPr>
      <w:r w:rsidRPr="00594C18">
        <w:rPr>
          <w:rFonts w:ascii="Times New Roman" w:hAnsi="Times New Roman" w:cs="Times New Roman"/>
        </w:rPr>
        <w:t>Tavela, D. (2018). RTF: Reconocimiento de Trayectos Formativos en Educación Superior. Una política de articulación del sistema para brindar más opciones de formación al estudiante. Ministerio de Educación, Cultura, Ciencia y Tecnología.</w:t>
      </w:r>
    </w:p>
    <w:p w14:paraId="0E66229A" w14:textId="5D31FDC0" w:rsidR="004F7047" w:rsidRDefault="00000000">
      <w:pPr>
        <w:spacing w:line="240" w:lineRule="auto"/>
        <w:jc w:val="both"/>
        <w:rPr>
          <w:rFonts w:ascii="Times New Roman" w:hAnsi="Times New Roman" w:cs="Times New Roman"/>
        </w:rPr>
      </w:pPr>
      <w:r>
        <w:rPr>
          <w:rFonts w:ascii="Times New Roman" w:hAnsi="Times New Roman" w:cs="Times New Roman"/>
        </w:rPr>
        <w:t>Wainerman, C. y Levin, L. (2024). La supervisión de tesis como objeto de estudio. Origen y desarrollo. Ciencia, Docencia y Tecnología, 35 (72), pp. 01-30.</w:t>
      </w:r>
    </w:p>
    <w:sectPr w:rsidR="004F7047">
      <w:headerReference w:type="even" r:id="rId10"/>
      <w:headerReference w:type="default" r:id="rId11"/>
      <w:footerReference w:type="even" r:id="rId12"/>
      <w:footerReference w:type="default" r:id="rId13"/>
      <w:headerReference w:type="first" r:id="rId14"/>
      <w:footerReference w:type="first" r:id="rId15"/>
      <w:pgSz w:w="11906" w:h="16838"/>
      <w:pgMar w:top="2410" w:right="1701" w:bottom="1843" w:left="1701" w:header="284" w:footer="0" w:gutter="0"/>
      <w:pgBorders w:offsetFrom="page">
        <w:left w:val="single" w:sz="48" w:space="12" w:color="00B0F0"/>
        <w:right w:val="single" w:sz="48" w:space="12" w:color="00B0F0"/>
      </w:pgBorders>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D5CA5A" w14:textId="77777777" w:rsidR="00682A0E" w:rsidRDefault="00682A0E">
      <w:pPr>
        <w:spacing w:after="0" w:line="240" w:lineRule="auto"/>
      </w:pPr>
      <w:r>
        <w:separator/>
      </w:r>
    </w:p>
  </w:endnote>
  <w:endnote w:type="continuationSeparator" w:id="0">
    <w:p w14:paraId="74AACEFB" w14:textId="77777777" w:rsidR="00682A0E" w:rsidRDefault="00682A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OpenSymbol">
    <w:altName w:val="Arial Unicode MS"/>
    <w:panose1 w:val="05010000000000000000"/>
    <w:charset w:val="00"/>
    <w:family w:val="auto"/>
    <w:pitch w:val="variable"/>
    <w:sig w:usb0="800000AF" w:usb1="1001ECEA" w:usb2="00000000" w:usb3="00000000" w:csb0="80000001" w:csb1="00000000"/>
  </w:font>
  <w:font w:name="Lucida Sans">
    <w:panose1 w:val="020B0602030504020204"/>
    <w:charset w:val="00"/>
    <w:family w:val="swiss"/>
    <w:pitch w:val="variable"/>
    <w:sig w:usb0="00000003" w:usb1="00000000" w:usb2="00000000" w:usb3="00000000" w:csb0="00000001" w:csb1="00000000"/>
  </w:font>
  <w:font w:name="HelveticaNeue MediumCond">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613C1" w14:textId="77777777" w:rsidR="004F7047" w:rsidRDefault="004F704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58B60" w14:textId="77777777" w:rsidR="004F7047" w:rsidRDefault="00000000">
    <w:pPr>
      <w:pStyle w:val="Piedepgina"/>
    </w:pPr>
    <w:r>
      <w:rPr>
        <w:noProof/>
      </w:rPr>
      <w:drawing>
        <wp:inline distT="0" distB="0" distL="0" distR="0" wp14:anchorId="0FD735A3" wp14:editId="4E317519">
          <wp:extent cx="5400040" cy="428625"/>
          <wp:effectExtent l="0" t="0" r="0" b="0"/>
          <wp:docPr id="3" name="Imagen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3"/>
                  <pic:cNvPicPr>
                    <a:picLocks noChangeAspect="1" noChangeArrowheads="1"/>
                  </pic:cNvPicPr>
                </pic:nvPicPr>
                <pic:blipFill>
                  <a:blip r:embed="rId1"/>
                  <a:stretch>
                    <a:fillRect/>
                  </a:stretch>
                </pic:blipFill>
                <pic:spPr bwMode="auto">
                  <a:xfrm>
                    <a:off x="0" y="0"/>
                    <a:ext cx="5400040" cy="428625"/>
                  </a:xfrm>
                  <a:prstGeom prst="rect">
                    <a:avLst/>
                  </a:prstGeom>
                  <a:noFill/>
                </pic:spPr>
              </pic:pic>
            </a:graphicData>
          </a:graphic>
        </wp:inline>
      </w:drawing>
    </w:r>
  </w:p>
  <w:p w14:paraId="4A70B592" w14:textId="77777777" w:rsidR="004F7047" w:rsidRDefault="004F7047">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F33D8" w14:textId="77777777" w:rsidR="004F7047" w:rsidRDefault="00000000">
    <w:pPr>
      <w:pStyle w:val="Piedepgina"/>
    </w:pPr>
    <w:r>
      <w:rPr>
        <w:noProof/>
      </w:rPr>
      <w:drawing>
        <wp:inline distT="0" distB="0" distL="0" distR="0" wp14:anchorId="37C87EBA" wp14:editId="21B277D8">
          <wp:extent cx="5400040" cy="428625"/>
          <wp:effectExtent l="0" t="0" r="0" b="0"/>
          <wp:docPr id="4" name="Imagen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3"/>
                  <pic:cNvPicPr>
                    <a:picLocks noChangeAspect="1" noChangeArrowheads="1"/>
                  </pic:cNvPicPr>
                </pic:nvPicPr>
                <pic:blipFill>
                  <a:blip r:embed="rId1"/>
                  <a:stretch>
                    <a:fillRect/>
                  </a:stretch>
                </pic:blipFill>
                <pic:spPr bwMode="auto">
                  <a:xfrm>
                    <a:off x="0" y="0"/>
                    <a:ext cx="5400040" cy="428625"/>
                  </a:xfrm>
                  <a:prstGeom prst="rect">
                    <a:avLst/>
                  </a:prstGeom>
                  <a:noFill/>
                </pic:spPr>
              </pic:pic>
            </a:graphicData>
          </a:graphic>
        </wp:inline>
      </w:drawing>
    </w:r>
  </w:p>
  <w:p w14:paraId="6E34B318" w14:textId="77777777" w:rsidR="004F7047" w:rsidRDefault="004F704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44D451" w14:textId="77777777" w:rsidR="00682A0E" w:rsidRDefault="00682A0E">
      <w:pPr>
        <w:spacing w:after="0" w:line="240" w:lineRule="auto"/>
      </w:pPr>
      <w:r>
        <w:separator/>
      </w:r>
    </w:p>
  </w:footnote>
  <w:footnote w:type="continuationSeparator" w:id="0">
    <w:p w14:paraId="4450AD07" w14:textId="77777777" w:rsidR="00682A0E" w:rsidRDefault="00682A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302A7" w14:textId="77777777" w:rsidR="004F7047" w:rsidRDefault="004F704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0125A" w14:textId="77777777" w:rsidR="004F7047" w:rsidRDefault="00000000">
    <w:pPr>
      <w:pStyle w:val="Encabezado"/>
      <w:jc w:val="center"/>
    </w:pPr>
    <w:r>
      <w:rPr>
        <w:noProof/>
      </w:rPr>
      <w:drawing>
        <wp:inline distT="0" distB="0" distL="0" distR="0" wp14:anchorId="7B337F09" wp14:editId="019D6FD0">
          <wp:extent cx="2595880" cy="108204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tretch>
                    <a:fillRect/>
                  </a:stretch>
                </pic:blipFill>
                <pic:spPr bwMode="auto">
                  <a:xfrm>
                    <a:off x="0" y="0"/>
                    <a:ext cx="2595880" cy="108204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91F86" w14:textId="77777777" w:rsidR="004F7047" w:rsidRDefault="00000000">
    <w:pPr>
      <w:pStyle w:val="Encabezado"/>
      <w:jc w:val="center"/>
    </w:pPr>
    <w:r>
      <w:rPr>
        <w:noProof/>
      </w:rPr>
      <w:drawing>
        <wp:inline distT="0" distB="0" distL="0" distR="0" wp14:anchorId="5A661EFA" wp14:editId="1ABF4BB7">
          <wp:extent cx="2595880" cy="1082040"/>
          <wp:effectExtent l="0" t="0" r="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
                  <a:stretch>
                    <a:fillRect/>
                  </a:stretch>
                </pic:blipFill>
                <pic:spPr bwMode="auto">
                  <a:xfrm>
                    <a:off x="0" y="0"/>
                    <a:ext cx="2595880" cy="108204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27502E"/>
    <w:multiLevelType w:val="hybridMultilevel"/>
    <w:tmpl w:val="499EB80C"/>
    <w:lvl w:ilvl="0" w:tplc="EDF0C79C">
      <w:start w:val="1"/>
      <w:numFmt w:val="bullet"/>
      <w:lvlText w:val="-"/>
      <w:lvlJc w:val="left"/>
      <w:pPr>
        <w:ind w:left="360" w:hanging="360"/>
      </w:pPr>
      <w:rPr>
        <w:rFonts w:ascii="Tahoma" w:eastAsia="Times New Roman" w:hAnsi="Tahoma" w:hint="default"/>
      </w:rPr>
    </w:lvl>
    <w:lvl w:ilvl="1" w:tplc="2C0A0003">
      <w:start w:val="1"/>
      <w:numFmt w:val="bullet"/>
      <w:lvlText w:val="o"/>
      <w:lvlJc w:val="left"/>
      <w:pPr>
        <w:ind w:left="1080" w:hanging="360"/>
      </w:pPr>
      <w:rPr>
        <w:rFonts w:ascii="Courier New" w:hAnsi="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1" w15:restartNumberingAfterBreak="0">
    <w:nsid w:val="76821F48"/>
    <w:multiLevelType w:val="multilevel"/>
    <w:tmpl w:val="7A08F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78898521">
    <w:abstractNumId w:val="0"/>
  </w:num>
  <w:num w:numId="2" w16cid:durableId="10723879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0"/>
  <w:characterSpacingControl w:val="doNotCompress"/>
  <w:footnotePr>
    <w:footnote w:id="-1"/>
    <w:footnote w:id="0"/>
  </w:footnotePr>
  <w:endnotePr>
    <w:endnote w:id="-1"/>
    <w:endnote w:id="0"/>
  </w:endnotePr>
  <w:compat>
    <w:doNotBreakWrappedTables/>
    <w:compatSetting w:name="compatibilityMode" w:uri="http://schemas.microsoft.com/office/word" w:val="12"/>
    <w:compatSetting w:name="useWord2013TrackBottomHyphenation" w:uri="http://schemas.microsoft.com/office/word" w:val="1"/>
  </w:compat>
  <w:rsids>
    <w:rsidRoot w:val="004F7047"/>
    <w:rsid w:val="001517B0"/>
    <w:rsid w:val="001F14C5"/>
    <w:rsid w:val="002C1E8F"/>
    <w:rsid w:val="003D4A41"/>
    <w:rsid w:val="003D78F1"/>
    <w:rsid w:val="004F7047"/>
    <w:rsid w:val="00527A51"/>
    <w:rsid w:val="00561ABE"/>
    <w:rsid w:val="00594C18"/>
    <w:rsid w:val="006658FC"/>
    <w:rsid w:val="00682A0E"/>
    <w:rsid w:val="006972DD"/>
    <w:rsid w:val="00742205"/>
    <w:rsid w:val="00807333"/>
    <w:rsid w:val="009861C7"/>
    <w:rsid w:val="00C33174"/>
    <w:rsid w:val="00DB122C"/>
    <w:rsid w:val="00F36AB2"/>
    <w:rsid w:val="00F94360"/>
    <w:rsid w:val="00F96B5D"/>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9A545C"/>
  <w15:docId w15:val="{8C428527-A581-44EC-A08B-65FC7DB5C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78" w:lineRule="auto"/>
    </w:pPr>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qFormat/>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qFormat/>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qFormat/>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qFormat/>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qFormat/>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qFormat/>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qFormat/>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qFormat/>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qFormat/>
    <w:rsid w:val="001923DC"/>
    <w:rPr>
      <w:rFonts w:eastAsiaTheme="majorEastAsia" w:cstheme="majorBidi"/>
      <w:color w:val="272727" w:themeColor="text1" w:themeTint="D8"/>
    </w:rPr>
  </w:style>
  <w:style w:type="character" w:customStyle="1" w:styleId="TtuloCar">
    <w:name w:val="Título Car"/>
    <w:basedOn w:val="Fuentedeprrafopredeter"/>
    <w:link w:val="Ttulo"/>
    <w:uiPriority w:val="10"/>
    <w:qFormat/>
    <w:rsid w:val="001923DC"/>
    <w:rPr>
      <w:rFonts w:asciiTheme="majorHAnsi" w:eastAsiaTheme="majorEastAsia" w:hAnsiTheme="majorHAnsi" w:cstheme="majorBidi"/>
      <w:spacing w:val="-10"/>
      <w:kern w:val="2"/>
      <w:sz w:val="56"/>
      <w:szCs w:val="56"/>
    </w:rPr>
  </w:style>
  <w:style w:type="character" w:customStyle="1" w:styleId="SubttuloCar">
    <w:name w:val="Subtítulo Car"/>
    <w:basedOn w:val="Fuentedeprrafopredeter"/>
    <w:link w:val="Subttulo"/>
    <w:uiPriority w:val="11"/>
    <w:qFormat/>
    <w:rsid w:val="001923DC"/>
    <w:rPr>
      <w:rFonts w:eastAsiaTheme="majorEastAsia" w:cstheme="majorBidi"/>
      <w:color w:val="595959" w:themeColor="text1" w:themeTint="A6"/>
      <w:spacing w:val="15"/>
      <w:sz w:val="28"/>
      <w:szCs w:val="28"/>
    </w:rPr>
  </w:style>
  <w:style w:type="character" w:customStyle="1" w:styleId="CitaCar">
    <w:name w:val="Cita Car"/>
    <w:basedOn w:val="Fuentedeprrafopredeter"/>
    <w:link w:val="Cita"/>
    <w:uiPriority w:val="29"/>
    <w:qFormat/>
    <w:rsid w:val="001923DC"/>
    <w:rPr>
      <w:i/>
      <w:iCs/>
      <w:color w:val="404040" w:themeColor="text1" w:themeTint="BF"/>
    </w:rPr>
  </w:style>
  <w:style w:type="character" w:styleId="nfasisintenso">
    <w:name w:val="Intense Emphasis"/>
    <w:basedOn w:val="Fuentedeprrafopredeter"/>
    <w:uiPriority w:val="21"/>
    <w:qFormat/>
    <w:rsid w:val="001923DC"/>
    <w:rPr>
      <w:i/>
      <w:iCs/>
      <w:color w:val="2F5496" w:themeColor="accent1" w:themeShade="BF"/>
    </w:rPr>
  </w:style>
  <w:style w:type="character" w:customStyle="1" w:styleId="CitadestacadaCar">
    <w:name w:val="Cita destacada Car"/>
    <w:basedOn w:val="Fuentedeprrafopredeter"/>
    <w:link w:val="Citadestacada"/>
    <w:uiPriority w:val="30"/>
    <w:qFormat/>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character" w:customStyle="1" w:styleId="EncabezadoCar">
    <w:name w:val="Encabezado Car"/>
    <w:basedOn w:val="Fuentedeprrafopredeter"/>
    <w:link w:val="Encabezado"/>
    <w:uiPriority w:val="99"/>
    <w:qFormat/>
    <w:rsid w:val="00C802F5"/>
  </w:style>
  <w:style w:type="character" w:customStyle="1" w:styleId="PiedepginaCar">
    <w:name w:val="Pie de página Car"/>
    <w:basedOn w:val="Fuentedeprrafopredeter"/>
    <w:link w:val="Piedepgina"/>
    <w:uiPriority w:val="99"/>
    <w:qFormat/>
    <w:rsid w:val="00C802F5"/>
  </w:style>
  <w:style w:type="character" w:styleId="Hipervnculo">
    <w:name w:val="Hyperlink"/>
    <w:basedOn w:val="Fuentedeprrafopredeter"/>
    <w:uiPriority w:val="99"/>
    <w:unhideWhenUsed/>
    <w:rsid w:val="00C802F5"/>
    <w:rPr>
      <w:color w:val="0563C1" w:themeColor="hyperlink"/>
      <w:u w:val="single"/>
    </w:rPr>
  </w:style>
  <w:style w:type="character" w:customStyle="1" w:styleId="Mencinsinresolver1">
    <w:name w:val="Mención sin resolver1"/>
    <w:basedOn w:val="Fuentedeprrafopredeter"/>
    <w:uiPriority w:val="99"/>
    <w:semiHidden/>
    <w:unhideWhenUsed/>
    <w:qFormat/>
    <w:rsid w:val="00C802F5"/>
    <w:rPr>
      <w:color w:val="605E5C"/>
      <w:shd w:val="clear" w:color="auto" w:fill="E1DFDD"/>
    </w:rPr>
  </w:style>
  <w:style w:type="character" w:customStyle="1" w:styleId="TextodegloboCar">
    <w:name w:val="Texto de globo Car"/>
    <w:basedOn w:val="Fuentedeprrafopredeter"/>
    <w:link w:val="Textodeglobo"/>
    <w:uiPriority w:val="99"/>
    <w:semiHidden/>
    <w:qFormat/>
    <w:rsid w:val="001D46DC"/>
    <w:rPr>
      <w:rFonts w:ascii="Tahoma" w:hAnsi="Tahoma" w:cs="Tahoma"/>
      <w:sz w:val="16"/>
      <w:szCs w:val="16"/>
      <w:lang w:val="es-419"/>
    </w:rPr>
  </w:style>
  <w:style w:type="character" w:customStyle="1" w:styleId="TextonotapieCar">
    <w:name w:val="Texto nota pie Car"/>
    <w:basedOn w:val="Fuentedeprrafopredeter"/>
    <w:link w:val="Textonotapie"/>
    <w:uiPriority w:val="99"/>
    <w:semiHidden/>
    <w:qFormat/>
    <w:rsid w:val="00203237"/>
    <w:rPr>
      <w:rFonts w:ascii="Times New Roman" w:eastAsia="Times New Roman" w:hAnsi="Times New Roman" w:cs="Times New Roman"/>
      <w:kern w:val="0"/>
      <w:sz w:val="20"/>
      <w:szCs w:val="20"/>
      <w:lang w:eastAsia="es-419"/>
      <w14:ligatures w14:val="none"/>
    </w:rPr>
  </w:style>
  <w:style w:type="character" w:customStyle="1" w:styleId="Caracteresdenotaalpie">
    <w:name w:val="Caracteres de nota al pie"/>
    <w:basedOn w:val="Fuentedeprrafopredeter"/>
    <w:uiPriority w:val="99"/>
    <w:semiHidden/>
    <w:unhideWhenUsed/>
    <w:qFormat/>
    <w:rsid w:val="00203237"/>
    <w:rPr>
      <w:vertAlign w:val="superscript"/>
    </w:rPr>
  </w:style>
  <w:style w:type="character" w:styleId="Refdenotaalpie">
    <w:name w:val="footnote reference"/>
    <w:rPr>
      <w:vertAlign w:val="superscript"/>
    </w:rPr>
  </w:style>
  <w:style w:type="character" w:styleId="Refdecomentario">
    <w:name w:val="annotation reference"/>
    <w:basedOn w:val="Fuentedeprrafopredeter"/>
    <w:uiPriority w:val="99"/>
    <w:semiHidden/>
    <w:unhideWhenUsed/>
    <w:qFormat/>
    <w:rsid w:val="001F5A8A"/>
    <w:rPr>
      <w:sz w:val="16"/>
      <w:szCs w:val="16"/>
    </w:rPr>
  </w:style>
  <w:style w:type="character" w:customStyle="1" w:styleId="TextocomentarioCar">
    <w:name w:val="Texto comentario Car"/>
    <w:basedOn w:val="Fuentedeprrafopredeter"/>
    <w:link w:val="Textocomentario"/>
    <w:uiPriority w:val="99"/>
    <w:semiHidden/>
    <w:qFormat/>
    <w:rsid w:val="001F5A8A"/>
    <w:rPr>
      <w:sz w:val="20"/>
      <w:szCs w:val="20"/>
      <w:lang w:val="es-419"/>
    </w:rPr>
  </w:style>
  <w:style w:type="character" w:customStyle="1" w:styleId="AsuntodelcomentarioCar">
    <w:name w:val="Asunto del comentario Car"/>
    <w:basedOn w:val="TextocomentarioCar"/>
    <w:link w:val="Asuntodelcomentario"/>
    <w:uiPriority w:val="99"/>
    <w:semiHidden/>
    <w:qFormat/>
    <w:rsid w:val="001F5A8A"/>
    <w:rPr>
      <w:b/>
      <w:bCs/>
      <w:sz w:val="20"/>
      <w:szCs w:val="20"/>
      <w:lang w:val="es-419"/>
    </w:rPr>
  </w:style>
  <w:style w:type="character" w:customStyle="1" w:styleId="Caracteresdenotafinal">
    <w:name w:val="Caracteres de nota final"/>
    <w:qFormat/>
  </w:style>
  <w:style w:type="character" w:styleId="Refdenotaalfinal">
    <w:name w:val="endnote reference"/>
    <w:rPr>
      <w:vertAlign w:val="superscript"/>
    </w:rPr>
  </w:style>
  <w:style w:type="character" w:customStyle="1" w:styleId="Bolos">
    <w:name w:val="Bolos"/>
    <w:qFormat/>
    <w:rPr>
      <w:rFonts w:ascii="OpenSymbol" w:eastAsia="OpenSymbol" w:hAnsi="OpenSymbol" w:cs="OpenSymbol"/>
    </w:rPr>
  </w:style>
  <w:style w:type="paragraph" w:styleId="Ttulo">
    <w:name w:val="Title"/>
    <w:basedOn w:val="Normal"/>
    <w:next w:val="Textoindependiente"/>
    <w:link w:val="TtuloCar"/>
    <w:uiPriority w:val="10"/>
    <w:qFormat/>
    <w:rsid w:val="001923DC"/>
    <w:pPr>
      <w:spacing w:after="80" w:line="240" w:lineRule="auto"/>
      <w:contextualSpacing/>
    </w:pPr>
    <w:rPr>
      <w:rFonts w:asciiTheme="majorHAnsi" w:eastAsiaTheme="majorEastAsia" w:hAnsiTheme="majorHAnsi" w:cstheme="majorBidi"/>
      <w:spacing w:val="-10"/>
      <w:sz w:val="56"/>
      <w:szCs w:val="56"/>
    </w:rPr>
  </w:style>
  <w:style w:type="paragraph" w:styleId="Textoindependiente">
    <w:name w:val="Body Text"/>
    <w:basedOn w:val="Normal"/>
    <w:pPr>
      <w:spacing w:after="140" w:line="276" w:lineRule="auto"/>
    </w:pPr>
  </w:style>
  <w:style w:type="paragraph" w:styleId="Lista">
    <w:name w:val="List"/>
    <w:basedOn w:val="Textoindependiente"/>
    <w:rPr>
      <w:rFonts w:cs="Lucida Sans"/>
    </w:rPr>
  </w:style>
  <w:style w:type="paragraph" w:styleId="Descripcin">
    <w:name w:val="caption"/>
    <w:basedOn w:val="Normal"/>
    <w:qFormat/>
    <w:pPr>
      <w:suppressLineNumbers/>
      <w:spacing w:before="120" w:after="120"/>
    </w:pPr>
    <w:rPr>
      <w:rFonts w:cs="Lucida Sans"/>
      <w:i/>
      <w:iCs/>
    </w:rPr>
  </w:style>
  <w:style w:type="paragraph" w:customStyle="1" w:styleId="ndice">
    <w:name w:val="Índice"/>
    <w:basedOn w:val="Normal"/>
    <w:qFormat/>
    <w:pPr>
      <w:suppressLineNumbers/>
    </w:pPr>
    <w:rPr>
      <w:rFonts w:cs="Lucida Sans"/>
    </w:rPr>
  </w:style>
  <w:style w:type="paragraph" w:styleId="Subttulo">
    <w:name w:val="Subtitle"/>
    <w:basedOn w:val="Normal"/>
    <w:next w:val="Normal"/>
    <w:link w:val="SubttuloCar"/>
    <w:uiPriority w:val="11"/>
    <w:qFormat/>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paragraph" w:styleId="Prrafodelista">
    <w:name w:val="List Paragraph"/>
    <w:basedOn w:val="Normal"/>
    <w:uiPriority w:val="34"/>
    <w:qFormat/>
    <w:rsid w:val="001923DC"/>
    <w:pPr>
      <w:ind w:left="720"/>
      <w:contextualSpacing/>
    </w:p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paragraph" w:styleId="Textodeglobo">
    <w:name w:val="Balloon Text"/>
    <w:basedOn w:val="Normal"/>
    <w:link w:val="TextodegloboCar"/>
    <w:uiPriority w:val="99"/>
    <w:semiHidden/>
    <w:unhideWhenUsed/>
    <w:qFormat/>
    <w:rsid w:val="001D46DC"/>
    <w:pPr>
      <w:spacing w:after="0" w:line="240" w:lineRule="auto"/>
    </w:pPr>
    <w:rPr>
      <w:rFonts w:ascii="Tahoma" w:hAnsi="Tahoma" w:cs="Tahoma"/>
      <w:sz w:val="16"/>
      <w:szCs w:val="16"/>
    </w:rPr>
  </w:style>
  <w:style w:type="paragraph" w:styleId="Textonotapie">
    <w:name w:val="footnote text"/>
    <w:basedOn w:val="Normal"/>
    <w:link w:val="TextonotapieCar"/>
    <w:uiPriority w:val="99"/>
    <w:semiHidden/>
    <w:unhideWhenUsed/>
    <w:rsid w:val="00203237"/>
    <w:pPr>
      <w:spacing w:after="0" w:line="240" w:lineRule="auto"/>
      <w:jc w:val="both"/>
    </w:pPr>
    <w:rPr>
      <w:rFonts w:ascii="Times New Roman" w:eastAsia="Times New Roman" w:hAnsi="Times New Roman" w:cs="Times New Roman"/>
      <w:kern w:val="0"/>
      <w:sz w:val="20"/>
      <w:szCs w:val="20"/>
      <w:lang w:val="es-AR" w:eastAsia="es-419"/>
      <w14:ligatures w14:val="none"/>
    </w:rPr>
  </w:style>
  <w:style w:type="paragraph" w:styleId="Textocomentario">
    <w:name w:val="annotation text"/>
    <w:basedOn w:val="Normal"/>
    <w:link w:val="TextocomentarioCar"/>
    <w:uiPriority w:val="99"/>
    <w:semiHidden/>
    <w:unhideWhenUsed/>
    <w:rsid w:val="001F5A8A"/>
    <w:pPr>
      <w:spacing w:line="240" w:lineRule="auto"/>
    </w:pPr>
    <w:rPr>
      <w:sz w:val="20"/>
      <w:szCs w:val="20"/>
    </w:rPr>
  </w:style>
  <w:style w:type="paragraph" w:styleId="Asuntodelcomentario">
    <w:name w:val="annotation subject"/>
    <w:basedOn w:val="Textocomentario"/>
    <w:next w:val="Textocomentario"/>
    <w:link w:val="AsuntodelcomentarioCar"/>
    <w:uiPriority w:val="99"/>
    <w:semiHidden/>
    <w:unhideWhenUsed/>
    <w:qFormat/>
    <w:rsid w:val="001F5A8A"/>
    <w:rPr>
      <w:b/>
      <w:bCs/>
    </w:rPr>
  </w:style>
  <w:style w:type="paragraph" w:customStyle="1" w:styleId="Default">
    <w:name w:val="Default"/>
    <w:qFormat/>
    <w:pPr>
      <w:spacing w:after="160" w:line="278" w:lineRule="auto"/>
    </w:pPr>
    <w:rPr>
      <w:rFonts w:ascii="HelveticaNeue MediumCond" w:eastAsia="Calibri" w:hAnsi="HelveticaNeue MediumCond"/>
      <w:color w:val="000000"/>
    </w:rPr>
  </w:style>
  <w:style w:type="paragraph" w:styleId="Textonotaalfinal">
    <w:name w:val="endnote text"/>
    <w:basedOn w:val="Normal"/>
    <w:pPr>
      <w:suppressLineNumbers/>
      <w:ind w:left="340" w:hanging="340"/>
    </w:pPr>
    <w:rPr>
      <w:sz w:val="20"/>
      <w:szCs w:val="20"/>
    </w:rPr>
  </w:style>
  <w:style w:type="paragraph" w:customStyle="1" w:styleId="Contenidodelatabla">
    <w:name w:val="Contenido de la tabla"/>
    <w:basedOn w:val="Normal"/>
    <w:qFormat/>
    <w:pPr>
      <w:widowControl w:val="0"/>
      <w:suppressLineNumbers/>
    </w:pPr>
  </w:style>
  <w:style w:type="paragraph" w:customStyle="1" w:styleId="Ttulodelatabla">
    <w:name w:val="Título de la tabla"/>
    <w:basedOn w:val="Contenidodelatabla"/>
    <w:qFormat/>
    <w:pPr>
      <w:jc w:val="center"/>
    </w:pPr>
    <w:rPr>
      <w:b/>
      <w:bCs/>
    </w:rPr>
  </w:style>
  <w:style w:type="numbering" w:customStyle="1" w:styleId="Ningunalista">
    <w:name w:val="Ninguna lista"/>
    <w:uiPriority w:val="99"/>
    <w:semiHidden/>
    <w:unhideWhenUsed/>
    <w:qFormat/>
  </w:style>
  <w:style w:type="character" w:styleId="Hipervnculovisitado">
    <w:name w:val="FollowedHyperlink"/>
    <w:basedOn w:val="Fuentedeprrafopredeter"/>
    <w:uiPriority w:val="99"/>
    <w:semiHidden/>
    <w:unhideWhenUsed/>
    <w:rsid w:val="00F96B5D"/>
    <w:rPr>
      <w:color w:val="954F72" w:themeColor="followedHyperlink"/>
      <w:u w:val="single"/>
    </w:rPr>
  </w:style>
  <w:style w:type="character" w:styleId="Mencinsinresolver">
    <w:name w:val="Unresolved Mention"/>
    <w:basedOn w:val="Fuentedeprrafopredeter"/>
    <w:uiPriority w:val="99"/>
    <w:semiHidden/>
    <w:unhideWhenUsed/>
    <w:rsid w:val="009861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centrocepa.com.ar/documentos/informes/757-financiamiento-de-la-educacion-universitaria-y-recomposicion-del-salario-docente"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cpcenteno@untref.edu.ar"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argentina.gob.ar/educacion/universidades/informacion/publicaciones/anuarios"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413</TotalTime>
  <Pages>12</Pages>
  <Words>5373</Words>
  <Characters>29934</Characters>
  <Application>Microsoft Office Word</Application>
  <DocSecurity>0</DocSecurity>
  <Lines>665</Lines>
  <Paragraphs>304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Cristian Perez Centeno</dc:creator>
  <dc:description/>
  <cp:lastModifiedBy>Cristian PEREZ CENTENO</cp:lastModifiedBy>
  <cp:revision>20</cp:revision>
  <dcterms:created xsi:type="dcterms:W3CDTF">2023-11-29T18:04:00Z</dcterms:created>
  <dcterms:modified xsi:type="dcterms:W3CDTF">2026-06-19T20:42:00Z</dcterms:modified>
  <dc:language>en-US</dc:language>
</cp:coreProperties>
</file>