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3A616A12" w:rsidR="005F3B2E" w:rsidRPr="00BA642E" w:rsidRDefault="00661F80" w:rsidP="001923DC">
      <w:pPr>
        <w:jc w:val="center"/>
        <w:rPr>
          <w:rFonts w:ascii="Times New Roman" w:hAnsi="Times New Roman" w:cs="Times New Roman"/>
        </w:rPr>
      </w:pPr>
      <w:r w:rsidRPr="00661F80">
        <w:rPr>
          <w:rFonts w:ascii="Times New Roman" w:hAnsi="Times New Roman" w:cs="Times New Roman"/>
          <w:b/>
          <w:bCs/>
        </w:rPr>
        <w:t>La tercera misión en Argentina: historia y actualidad de la extensión en Universidades Nacionales</w:t>
      </w:r>
    </w:p>
    <w:p w14:paraId="4E738780" w14:textId="0C8D1688" w:rsidR="005F3B2E" w:rsidRPr="00BA642E" w:rsidRDefault="00661F80" w:rsidP="005F3B2E">
      <w:pPr>
        <w:spacing w:after="0" w:line="240" w:lineRule="auto"/>
        <w:jc w:val="right"/>
        <w:rPr>
          <w:rFonts w:ascii="Times New Roman" w:hAnsi="Times New Roman" w:cs="Times New Roman"/>
        </w:rPr>
      </w:pPr>
      <w:r>
        <w:rPr>
          <w:rFonts w:ascii="Times New Roman" w:hAnsi="Times New Roman" w:cs="Times New Roman"/>
        </w:rPr>
        <w:t>Viotti, Paula Soledad</w:t>
      </w:r>
    </w:p>
    <w:p w14:paraId="1C13BFE4" w14:textId="77777777" w:rsidR="00661F80" w:rsidRDefault="00661F80" w:rsidP="005F3B2E">
      <w:pPr>
        <w:spacing w:after="0" w:line="240" w:lineRule="auto"/>
        <w:jc w:val="right"/>
        <w:rPr>
          <w:rFonts w:ascii="Times New Roman" w:hAnsi="Times New Roman" w:cs="Times New Roman"/>
        </w:rPr>
      </w:pPr>
      <w:r w:rsidRPr="00661F80">
        <w:rPr>
          <w:rFonts w:ascii="Times New Roman" w:hAnsi="Times New Roman" w:cs="Times New Roman"/>
        </w:rPr>
        <w:t>Universidad Nacional de Hurlingham (UNAHUR). Laboratorio de Investigación Aplicada para el Trabajo y la Producción (LIAPT). Hurlingham, Argentina</w:t>
      </w:r>
      <w:r>
        <w:rPr>
          <w:rFonts w:ascii="Times New Roman" w:hAnsi="Times New Roman" w:cs="Times New Roman"/>
        </w:rPr>
        <w:t xml:space="preserve">. </w:t>
      </w:r>
      <w:r w:rsidRPr="00661F80">
        <w:rPr>
          <w:rFonts w:ascii="Times New Roman" w:hAnsi="Times New Roman" w:cs="Times New Roman"/>
        </w:rPr>
        <w:t>Consejo Nacional de Investigaciones Científicas y Técnicas (CONICET)</w:t>
      </w:r>
    </w:p>
    <w:p w14:paraId="7D0026CD" w14:textId="7EF77361" w:rsidR="005F3B2E" w:rsidRPr="00BA642E" w:rsidRDefault="00661F80" w:rsidP="005F3B2E">
      <w:pPr>
        <w:spacing w:after="0" w:line="240" w:lineRule="auto"/>
        <w:jc w:val="right"/>
        <w:rPr>
          <w:rFonts w:ascii="Times New Roman" w:hAnsi="Times New Roman" w:cs="Times New Roman"/>
        </w:rPr>
      </w:pPr>
      <w:r>
        <w:rPr>
          <w:rFonts w:ascii="Times New Roman" w:hAnsi="Times New Roman" w:cs="Times New Roman"/>
        </w:rPr>
        <w:t>paulasoledad.viotti@unahur.edu.ar</w:t>
      </w:r>
    </w:p>
    <w:p w14:paraId="7B9027E2" w14:textId="77777777" w:rsidR="00BA642E" w:rsidRPr="00BA642E" w:rsidRDefault="00BA642E" w:rsidP="005F3B2E">
      <w:pPr>
        <w:rPr>
          <w:rFonts w:ascii="Times New Roman" w:hAnsi="Times New Roman" w:cs="Times New Roman"/>
          <w:b/>
          <w:bCs/>
        </w:rPr>
      </w:pPr>
    </w:p>
    <w:p w14:paraId="5E60072E" w14:textId="77777777" w:rsidR="004774B4" w:rsidRPr="004774B4" w:rsidRDefault="00BA642E" w:rsidP="007B5B5F">
      <w:pPr>
        <w:spacing w:line="240" w:lineRule="auto"/>
        <w:jc w:val="both"/>
        <w:rPr>
          <w:rFonts w:ascii="Times New Roman" w:hAnsi="Times New Roman" w:cs="Times New Roman"/>
          <w:lang w:val="es-AR"/>
        </w:rPr>
      </w:pPr>
      <w:r w:rsidRPr="004774B4">
        <w:rPr>
          <w:rFonts w:ascii="Times New Roman" w:hAnsi="Times New Roman" w:cs="Times New Roman"/>
          <w:b/>
          <w:bCs/>
          <w:lang w:val="es-AR"/>
        </w:rPr>
        <w:t>Resumen:</w:t>
      </w:r>
      <w:r w:rsidR="007B5B5F" w:rsidRPr="004774B4">
        <w:rPr>
          <w:rFonts w:ascii="Times New Roman" w:hAnsi="Times New Roman" w:cs="Times New Roman"/>
          <w:b/>
          <w:bCs/>
          <w:lang w:val="es-AR"/>
        </w:rPr>
        <w:t xml:space="preserve"> </w:t>
      </w:r>
      <w:r w:rsidR="004774B4" w:rsidRPr="004774B4">
        <w:rPr>
          <w:rFonts w:ascii="Times New Roman" w:hAnsi="Times New Roman" w:cs="Times New Roman"/>
          <w:lang w:val="es-AR"/>
        </w:rPr>
        <w:t>La presente ponencia se enfoca en el desarrollo histórico de la extensión universitaria y busca trazar, en una perspectiva de larga duración, el recorrido por el que ésta llegó a ser reconocida como tercera función sustantiva de la universidad en Argentina. Las indagaciones que aquí se presentan emergen de la investigación realizada durante la elaboración de una tesis para optar por el título de Magíster en Política Educativa en la Universidad Nacional de Hurlingham. En este trabajo el estudio de la extensión se enmarca en el proceso más amplio de expansión institucional de lo que hoy se reconoce como Sistema Universitario Argentino (SUA). A partir de ese encuadre se reconoce que la experiencia extensionista acumulada actualmente en el SUA se remonta incluso a épocas muy anteriores a las que le dieron al conjunto de universidades argentinas su carácter sistémico. La ponencia explora tanto los sentidos atribuidos a la extensión como el conjunto de actividades en las que aquella se concretó durante poco más de un siglo, especialmente desde la Reforma Universitaria de 1918, aunque atendiendo también a los registros de experiencias previas. Procura asimismo establecer relaciones entre ese devenir histórico y el desarrollo del quehacer extensionista en la actualidad. Se analizaron inicialmente fuentes secundarias para describir el devenir de la extensión durante el último siglo y para reconocer los sentidos sobre los cuales tomaron forma las diversas líneas de acción con que las universidades desarrollaron su vínculo con la sociedad en ese extenso periodo. Las mismas fuentes aportaron también a la identificación de las diversas actividades realizadas para cumplir aquel propósito. Por otra parte, se analizaron fuentes primarias, principalmente documentos institucionales, que sustentaron la descripción de la tercera misión en la actualidad. De forma inductiva se construyeron categorías para agrupar las actividades extensionistas identificadas en el desarrollo histórico y se contrastaron las mismas con las actividades que caracterizan el desarrollo actual de la extensión según una muestra intencionada de universidades nacionales. Entre los principales hallazgos se observa que en la configuración actual de la tercera misión existe un entramado de políticas institucionales y actividades extensionistas que da cuenta de una acumulación de la experiencia histórica sistémica. A partir de dicha observación, se señala la apertura de vías de profundización de estas indagaciones en el marco del desarrollo de la tesis y se abren interrogantes respecto del modo en que actividades de extensión con larga trayectoria en el sistema, conviven con sentidos y prospectivas actuales para el área.</w:t>
      </w:r>
    </w:p>
    <w:p w14:paraId="2994BAB3" w14:textId="2F01435C" w:rsidR="00BA642E" w:rsidRPr="004774B4" w:rsidRDefault="00BA642E" w:rsidP="007B5B5F">
      <w:pPr>
        <w:spacing w:line="240" w:lineRule="auto"/>
        <w:jc w:val="both"/>
        <w:rPr>
          <w:rFonts w:ascii="Times New Roman" w:hAnsi="Times New Roman" w:cs="Times New Roman"/>
          <w:b/>
          <w:bCs/>
          <w:lang w:val="es-AR"/>
        </w:rPr>
      </w:pPr>
      <w:r w:rsidRPr="004774B4">
        <w:rPr>
          <w:rFonts w:ascii="Times New Roman" w:hAnsi="Times New Roman" w:cs="Times New Roman"/>
          <w:b/>
          <w:bCs/>
          <w:lang w:val="es-AR"/>
        </w:rPr>
        <w:lastRenderedPageBreak/>
        <w:t xml:space="preserve">Palabras clave: </w:t>
      </w:r>
      <w:r w:rsidR="004774B4" w:rsidRPr="004774B4">
        <w:rPr>
          <w:rFonts w:ascii="Times New Roman" w:hAnsi="Times New Roman" w:cs="Times New Roman"/>
          <w:lang w:val="es-AR"/>
        </w:rPr>
        <w:t>extensión universitaria, sistema universitario argentino, tercera misión de la universidad, historia de la educación superior</w:t>
      </w:r>
      <w:r w:rsidRPr="004774B4">
        <w:rPr>
          <w:rFonts w:ascii="Times New Roman" w:hAnsi="Times New Roman" w:cs="Times New Roman"/>
          <w:lang w:val="es-AR"/>
        </w:rPr>
        <w:t xml:space="preserve">. </w:t>
      </w:r>
    </w:p>
    <w:p w14:paraId="6A5547A1" w14:textId="36B7FAC2" w:rsidR="00BA642E" w:rsidRPr="00661F80" w:rsidRDefault="00BA642E" w:rsidP="007B5B5F">
      <w:pPr>
        <w:spacing w:line="240" w:lineRule="auto"/>
        <w:rPr>
          <w:rFonts w:ascii="Times New Roman" w:hAnsi="Times New Roman" w:cs="Times New Roman"/>
          <w:b/>
          <w:bCs/>
          <w:lang w:val="en-GB"/>
        </w:rPr>
      </w:pPr>
      <w:r w:rsidRPr="00661F80">
        <w:rPr>
          <w:rFonts w:ascii="Times New Roman" w:hAnsi="Times New Roman" w:cs="Times New Roman"/>
          <w:b/>
          <w:bCs/>
          <w:lang w:val="en-GB"/>
        </w:rPr>
        <w:t>Introducción</w:t>
      </w:r>
    </w:p>
    <w:p w14:paraId="10EC39F3" w14:textId="77777777" w:rsidR="004774B4" w:rsidRPr="004774B4" w:rsidRDefault="004774B4" w:rsidP="004F1F42">
      <w:pPr>
        <w:spacing w:line="240" w:lineRule="auto"/>
        <w:jc w:val="both"/>
        <w:rPr>
          <w:rFonts w:ascii="Times New Roman" w:hAnsi="Times New Roman" w:cs="Times New Roman"/>
          <w:lang w:val="es-AR"/>
        </w:rPr>
      </w:pPr>
      <w:r w:rsidRPr="004774B4">
        <w:rPr>
          <w:rFonts w:ascii="Times New Roman" w:hAnsi="Times New Roman" w:cs="Times New Roman"/>
          <w:lang w:val="es-AR"/>
        </w:rPr>
        <w:t>La extensión es una de las tres funciones sustantivas de la universidad. En Argentina se ha procurado su concreción desde hace al menos un siglo y las casas de altos estudios fundadas desde entonces se han ocupado de ella cada vez más tempranamente. En el conjunto de universidades públicas y privadas, provinciales y nacionales que componen el Sistema Universitario Argentino (SUA) se observan áreas específicas de gobierno y gestión dedicadas a concretar el vínculo entre universidad y comunidad de muy variadas formas. Independientemente del grado de tradición universitaria presente en sus territorios, las universidades nacionales (UUNN) se vinculan con el entorno a través de prácticas que van desde la convocatoria a proyectos en colaboración con actores comunitarios, hasta la formación laboral y la práctica deportiva, pasando por la creación de cuerpos artísticos y por distintas experiencias de vinculación y transferencia tecnológica. Puede que esas prácticas no involucren al conjunto de la comunidad o a sus organizaciones y puede también que a veces su alcance sea bastante limitado. Pero no por eso resulta menos destacable que el desarrollo de la función sustantiva de extensión implica en el quehacer cotidiano de la universidad la convivencia de lógicas, actores y propósitos diversos a la vez que se concreta en un repertorio de muy variadas acciones, algunas de ellas, con más de un siglo de tradición. </w:t>
      </w:r>
    </w:p>
    <w:p w14:paraId="5177CBC9" w14:textId="2C20704E" w:rsidR="004774B4" w:rsidRPr="004774B4" w:rsidRDefault="004774B4" w:rsidP="004F1F42">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Este trabajo se enfoca en ese desarrollo histórico y busca trazar, en una perspectiva de larga duración, el camino por el que la extensión llegó a ser reconocida como tercera función sustantiva de la universidad en Argentina. </w:t>
      </w:r>
      <w:r w:rsidR="004F1F42" w:rsidRPr="004774B4">
        <w:rPr>
          <w:rFonts w:ascii="Times New Roman" w:hAnsi="Times New Roman" w:cs="Times New Roman"/>
          <w:lang w:val="es-AR"/>
        </w:rPr>
        <w:t>Asimismo,</w:t>
      </w:r>
      <w:r w:rsidRPr="004774B4">
        <w:rPr>
          <w:rFonts w:ascii="Times New Roman" w:hAnsi="Times New Roman" w:cs="Times New Roman"/>
          <w:lang w:val="es-AR"/>
        </w:rPr>
        <w:t xml:space="preserve"> explora el conjunto de actividades en las que se concreta actualmente la tercera misión estableciendo relaciones con aquel devenir histórico. Las indagaciones que aquí se comparten al respecto forman parte de un proceso de investigación de posgrado situado en la UNAHUR, que entre una tesis de Maestría en Política Educativa y una Tesis de Doctorado en Educación busca describir diferentes dimensiones de la extensión, analizar configuraciones institucionales y vínculos comunitarios y registrar eventuales tensiones en torno al desarrollo de la función. En ese marco, esta ponencia aborda la dimensión histórica con el objetivo de relevar sus vínculos con el quehacer extensionista en la actualidad. </w:t>
      </w:r>
    </w:p>
    <w:p w14:paraId="7BD1B3CF" w14:textId="77777777" w:rsidR="004774B4" w:rsidRPr="004774B4" w:rsidRDefault="004774B4" w:rsidP="004F1F42">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El nutrido repertorio de actividades de extensión que hoy se desarrolla en las UUNN posibilita vínculos comunitarios muy variados y los sentidos que guían esas acciones pueden ser muy diversos. Pero aun con esa variación y en esa diversidad, adquiere su dimensión más contemporánea en el marco de una concepción que entiende a la universidad como bien público y en la idea de que aquel derecho no es solo el derecho a la educación universitaria, sino a la universidad como institución en toda su complejidad (Benente 2018, Rinesi, 2016). Marcas de estas orientaciones contemporáneas en la concepción de extensión pueden encontrarse tanto en los estatutos de las UUNN como en la literatura sobre extensión del último cuarto de siglo (Petz, 2023; </w:t>
      </w:r>
      <w:proofErr w:type="spellStart"/>
      <w:r w:rsidRPr="004774B4">
        <w:rPr>
          <w:rFonts w:ascii="Times New Roman" w:hAnsi="Times New Roman" w:cs="Times New Roman"/>
          <w:lang w:val="es-AR"/>
        </w:rPr>
        <w:t>Tomassino</w:t>
      </w:r>
      <w:proofErr w:type="spellEnd"/>
      <w:r w:rsidRPr="004774B4">
        <w:rPr>
          <w:rFonts w:ascii="Times New Roman" w:hAnsi="Times New Roman" w:cs="Times New Roman"/>
          <w:lang w:val="es-AR"/>
        </w:rPr>
        <w:t xml:space="preserve"> Ferraro y Pérez Sénchez, 2022; Vacarezza, 2015; Cechi et al., 2009; Tünnermann Bernheim, 2000). Pero la experiencia extensionista del SUA se remonta incluso a épocas muy anteriores a las que le dieron al conjunto de UUNN su carácter sistémico. En ese extenso intervalo de </w:t>
      </w:r>
      <w:r w:rsidRPr="004774B4">
        <w:rPr>
          <w:rFonts w:ascii="Times New Roman" w:hAnsi="Times New Roman" w:cs="Times New Roman"/>
          <w:lang w:val="es-AR"/>
        </w:rPr>
        <w:lastRenderedPageBreak/>
        <w:t>tiempo de más de un siglo, el sentido dado a las actividades de extensión se ha transformado más que estas últimas.  Asimismo, la tercera misión se fue consolidando como función sustantiva y la experiencia que desde entonces acumularon las UUNN, hoy organizadas en el SUA, se evidencia en los modos en que se concreta y se proyecta la extensión universitaria en el presente, en todos los rincones del país. </w:t>
      </w:r>
    </w:p>
    <w:p w14:paraId="36EC0B94" w14:textId="3B185645" w:rsidR="004774B4" w:rsidRPr="004774B4" w:rsidRDefault="004774B4" w:rsidP="004F1F42">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Para la realización de este trabajo se utilizaron fuentes primarias y secundarias. Estas últimas permitieron componer una cronología básica de actividades extensionistas y reconocer los sentidos sobre los cuales tomaron forma las diversas líneas de acción con que las universidades desarrollaron su vínculo con la sociedad durante el último siglo. Así mismo permitieron identificar hitos clave en un recorrido que para la primera mitad del siglo XX muestra la consolidación de la tercera función sustantiva del SUA, mientras que desde entonces permite observar un lento proceso de institucionalización y redimensionamiento del alcance de la extensión, a la vez que evidencia el surgimiento de tensiones en torno a sus propósitos. Por su parte, fuentes primarias como los estatutos y los planes </w:t>
      </w:r>
      <w:r w:rsidR="004F1F42" w:rsidRPr="004774B4">
        <w:rPr>
          <w:rFonts w:ascii="Times New Roman" w:hAnsi="Times New Roman" w:cs="Times New Roman"/>
          <w:lang w:val="es-AR"/>
        </w:rPr>
        <w:t>estratégico-institucionales</w:t>
      </w:r>
      <w:r w:rsidRPr="004774B4">
        <w:rPr>
          <w:rFonts w:ascii="Times New Roman" w:hAnsi="Times New Roman" w:cs="Times New Roman"/>
          <w:lang w:val="es-AR"/>
        </w:rPr>
        <w:t xml:space="preserve"> junto a la información pública disponible en las páginas web de las universidades, permitieron describir algunos aspectos del quehacer extensionista en la actualidad.</w:t>
      </w:r>
    </w:p>
    <w:p w14:paraId="1884FE84" w14:textId="77777777" w:rsidR="004774B4" w:rsidRPr="004774B4" w:rsidRDefault="004774B4" w:rsidP="004F1F42">
      <w:pPr>
        <w:spacing w:line="240" w:lineRule="auto"/>
        <w:jc w:val="both"/>
        <w:rPr>
          <w:rFonts w:ascii="Times New Roman" w:hAnsi="Times New Roman" w:cs="Times New Roman"/>
          <w:lang w:val="es-AR"/>
        </w:rPr>
      </w:pPr>
      <w:r w:rsidRPr="004774B4">
        <w:rPr>
          <w:rFonts w:ascii="Times New Roman" w:hAnsi="Times New Roman" w:cs="Times New Roman"/>
          <w:lang w:val="es-AR"/>
        </w:rPr>
        <w:t>Finalmente fue necesario recuperar de modo sintético el proceso de expansión del SUA, al mismo tiempo telón de fondo y condición necesaria de los procesos vinculados a la extensión que aquí se observan. Para ello, se toma la variable de la expansión institucional con el propósito de diferenciar etapas del desarrollo sistémico que dialogan con los  procesos extensionistas. Por otra parte, si bien es cierto que las coyunturas políticas y culturales despliegan su influjo sobre los rumbos posibles de la extensión, no es este el espacio dónde se estudiarán esas relaciones. </w:t>
      </w:r>
    </w:p>
    <w:p w14:paraId="4124C7F3" w14:textId="07107965" w:rsidR="004774B4" w:rsidRPr="004774B4" w:rsidRDefault="004774B4" w:rsidP="004F1F42">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El trabajo se organiza en cinco apartados que desarrollan los planteos de esta introducción. El primero presenta una mirada rápida a la expansión institucional del SUA con foco en la segunda mitad del siglo XX. Los dos apartados siguientes presentan apuntes para una historia de la extensión organizados en dos grandes periodos y procurando recoger las características principales y los sentidos atribuidos a la práctica extensionista. En cuarto </w:t>
      </w:r>
      <w:r w:rsidR="004F1F42" w:rsidRPr="004774B4">
        <w:rPr>
          <w:rFonts w:ascii="Times New Roman" w:hAnsi="Times New Roman" w:cs="Times New Roman"/>
          <w:lang w:val="es-AR"/>
        </w:rPr>
        <w:t>lugar,</w:t>
      </w:r>
      <w:r w:rsidRPr="004774B4">
        <w:rPr>
          <w:rFonts w:ascii="Times New Roman" w:hAnsi="Times New Roman" w:cs="Times New Roman"/>
          <w:lang w:val="es-AR"/>
        </w:rPr>
        <w:t xml:space="preserve"> se describen, algunas de las actividades de extensión que se han desarrollado en el SUA en el pasado y en el presente, a la vez que se ensayan posibles criterios de clasificación para las mismas. </w:t>
      </w:r>
      <w:r w:rsidR="004F1F42" w:rsidRPr="004774B4">
        <w:rPr>
          <w:rFonts w:ascii="Times New Roman" w:hAnsi="Times New Roman" w:cs="Times New Roman"/>
          <w:lang w:val="es-AR"/>
        </w:rPr>
        <w:t>Asimismo,</w:t>
      </w:r>
      <w:r w:rsidRPr="004774B4">
        <w:rPr>
          <w:rFonts w:ascii="Times New Roman" w:hAnsi="Times New Roman" w:cs="Times New Roman"/>
          <w:lang w:val="es-AR"/>
        </w:rPr>
        <w:t xml:space="preserve"> se presentan algunas conclusiones a partir de una mirada de largo plazo que permite formular interrogantes respecto del modo en que actividades de extensión con larga trayectoria en el sistema, conviven con sentidos y prospectivas actuales para el área. </w:t>
      </w:r>
      <w:r w:rsidR="004F1F42" w:rsidRPr="004774B4">
        <w:rPr>
          <w:rFonts w:ascii="Times New Roman" w:hAnsi="Times New Roman" w:cs="Times New Roman"/>
          <w:lang w:val="es-AR"/>
        </w:rPr>
        <w:t>Finalmente</w:t>
      </w:r>
      <w:r w:rsidRPr="004774B4">
        <w:rPr>
          <w:rFonts w:ascii="Times New Roman" w:hAnsi="Times New Roman" w:cs="Times New Roman"/>
          <w:lang w:val="es-AR"/>
        </w:rPr>
        <w:t xml:space="preserve"> se explicitan caminos de profundización para la investigación de posgrado que enmarca estas indagaciones. </w:t>
      </w:r>
    </w:p>
    <w:p w14:paraId="2FD138AD" w14:textId="65FB0755" w:rsidR="005F3B2E" w:rsidRPr="004774B4" w:rsidRDefault="005F3B2E" w:rsidP="007B5B5F">
      <w:pPr>
        <w:spacing w:line="240" w:lineRule="auto"/>
        <w:rPr>
          <w:rFonts w:ascii="Times New Roman" w:hAnsi="Times New Roman" w:cs="Times New Roman"/>
          <w:b/>
          <w:bCs/>
          <w:lang w:val="es-AR"/>
        </w:rPr>
      </w:pPr>
      <w:r w:rsidRPr="004774B4">
        <w:rPr>
          <w:rFonts w:ascii="Times New Roman" w:hAnsi="Times New Roman" w:cs="Times New Roman"/>
          <w:b/>
          <w:bCs/>
          <w:lang w:val="es-AR"/>
        </w:rPr>
        <w:t>Desarrollo</w:t>
      </w:r>
    </w:p>
    <w:p w14:paraId="2EC6F1C6" w14:textId="77777777" w:rsidR="004774B4" w:rsidRPr="004774B4" w:rsidRDefault="004774B4" w:rsidP="004774B4">
      <w:pPr>
        <w:spacing w:line="240" w:lineRule="auto"/>
        <w:jc w:val="both"/>
        <w:rPr>
          <w:rFonts w:ascii="Times New Roman" w:hAnsi="Times New Roman" w:cs="Times New Roman"/>
          <w:b/>
          <w:bCs/>
          <w:lang w:val="es-AR"/>
        </w:rPr>
      </w:pPr>
      <w:r w:rsidRPr="004774B4">
        <w:rPr>
          <w:rFonts w:ascii="Times New Roman" w:hAnsi="Times New Roman" w:cs="Times New Roman"/>
          <w:b/>
          <w:bCs/>
          <w:lang w:val="es-AR"/>
        </w:rPr>
        <w:t>La expansión del SUA</w:t>
      </w:r>
    </w:p>
    <w:p w14:paraId="213601C3" w14:textId="1DAD60D1"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El acceso a los estudios universitarios en nuestro país, gratuito desde 1949, entró en franca expansión desde el retorno a la democracia. En 1983 los estudiantes universitarios eran 338.000, lo cual representaba en 1.2% de la población total del país, mientras que para </w:t>
      </w:r>
      <w:r w:rsidRPr="004774B4">
        <w:rPr>
          <w:rFonts w:ascii="Times New Roman" w:hAnsi="Times New Roman" w:cs="Times New Roman"/>
          <w:lang w:val="es-AR"/>
        </w:rPr>
        <w:lastRenderedPageBreak/>
        <w:t xml:space="preserve">2022 eran más de 2,5 millones, llegando a representar al 5.5% del total (Laboratorio de Política Educativa [LPE], 2024). Ese proceso de masificación del acceso a los estudios superiores no se observa solo en Argentina, sino que es de carácter global y sostenido. A modo de ejemplo, se puede señalar que para Iberoamérica se verifica entre 2013/14 y 2020/21 un aumento de la matrícula del nivel que pasa de 21.7 millones a 29.9 millones de estudiantes en instituciones de educación superior (Bruner, 2024). En Argentina, la cobertura de ese aumento matricular se </w:t>
      </w:r>
      <w:r w:rsidR="004F1F42" w:rsidRPr="004774B4">
        <w:rPr>
          <w:rFonts w:ascii="Times New Roman" w:hAnsi="Times New Roman" w:cs="Times New Roman"/>
          <w:lang w:val="es-AR"/>
        </w:rPr>
        <w:t>dio</w:t>
      </w:r>
      <w:r w:rsidRPr="004774B4">
        <w:rPr>
          <w:rFonts w:ascii="Times New Roman" w:hAnsi="Times New Roman" w:cs="Times New Roman"/>
          <w:lang w:val="es-AR"/>
        </w:rPr>
        <w:t xml:space="preserve"> en sintonía con la expansión institucional del sistema universitario que tuvo lugar en las últimas cuatro décadas de democracia.</w:t>
      </w:r>
    </w:p>
    <w:p w14:paraId="2FEE5E99" w14:textId="30613EA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En un ejercicio en el que la expansión institucional se tiende sobre una línea cronológica, la creación de nuevas instituciones universitarias se presenta de forma bastante continua desde la puesta en marcha de la Universidad Nacional de Formosa (UNF) en 1988, que cierra un hiato prolongado luego de aquella expansión. Esa extendida pausa está relacionada tanto con las políticas sostenidas durante el terrorismo de Estado ejercido por la última dictadura, como con las políticas de normalización institucional de los primeros años de la apertura democrática que hicieron foco en la ampliación del acceso, en el ejercicio de la democracia al interior de </w:t>
      </w:r>
      <w:r w:rsidR="004F1F42" w:rsidRPr="004774B4">
        <w:rPr>
          <w:rFonts w:ascii="Times New Roman" w:hAnsi="Times New Roman" w:cs="Times New Roman"/>
          <w:lang w:val="es-AR"/>
        </w:rPr>
        <w:t>las universidades</w:t>
      </w:r>
      <w:r w:rsidRPr="004774B4">
        <w:rPr>
          <w:rFonts w:ascii="Times New Roman" w:hAnsi="Times New Roman" w:cs="Times New Roman"/>
          <w:lang w:val="es-AR"/>
        </w:rPr>
        <w:t xml:space="preserve"> y en la </w:t>
      </w:r>
      <w:r w:rsidR="004F1F42" w:rsidRPr="004774B4">
        <w:rPr>
          <w:rFonts w:ascii="Times New Roman" w:hAnsi="Times New Roman" w:cs="Times New Roman"/>
          <w:lang w:val="es-AR"/>
        </w:rPr>
        <w:t>sustanciación</w:t>
      </w:r>
      <w:r w:rsidRPr="004774B4">
        <w:rPr>
          <w:rFonts w:ascii="Times New Roman" w:hAnsi="Times New Roman" w:cs="Times New Roman"/>
          <w:lang w:val="es-AR"/>
        </w:rPr>
        <w:t xml:space="preserve"> de concursos docentes (Buchbinder, 2010). Así mismo, con la creación de la UNF se abre un periodo en el que, hasta 2015, no pasarán más de 5 años sin que se registre la creación de una nueva universidad pública. Esa continuidad o expansión institucional sostenida, articula un conjunto variado de instituciones que incluye Institutos Universitarios y Universidades tanto públicas como privadas. Sin embargo y pese al notable incremento en el número de estas últimas, es destacable que a lo largo de toda la evolución del sistema en el periodo democrático las instituciones de gestión estatal tendieron a concentrar el 80% de la matrícula (LPE, 2024). Este aspecto pone de manifiesto el carácter eminentemente público del proceso sostenido de masificación de la educación superior universitaria en Argentina.</w:t>
      </w:r>
    </w:p>
    <w:p w14:paraId="66AFD55E" w14:textId="77777777" w:rsidR="004774B4" w:rsidRPr="004774B4" w:rsidRDefault="004774B4" w:rsidP="004774B4">
      <w:pPr>
        <w:spacing w:line="240" w:lineRule="auto"/>
        <w:jc w:val="both"/>
        <w:rPr>
          <w:rFonts w:ascii="Times New Roman" w:hAnsi="Times New Roman" w:cs="Times New Roman"/>
          <w:lang w:val="es-AR"/>
        </w:rPr>
      </w:pPr>
    </w:p>
    <w:p w14:paraId="0299636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Gráfico 1. Creación de instituciones universitarias en Argentina 1967-2024</w:t>
      </w:r>
    </w:p>
    <w:p w14:paraId="5187EBC4" w14:textId="05AAB2ED"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drawing>
          <wp:inline distT="0" distB="0" distL="0" distR="0" wp14:anchorId="587C2C93" wp14:editId="1E7B925D">
            <wp:extent cx="5400040" cy="3354705"/>
            <wp:effectExtent l="0" t="0" r="0" b="0"/>
            <wp:docPr id="1649932699" name="Imagen 2" descr="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áfic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354705"/>
                    </a:xfrm>
                    <a:prstGeom prst="rect">
                      <a:avLst/>
                    </a:prstGeom>
                    <a:noFill/>
                    <a:ln>
                      <a:noFill/>
                    </a:ln>
                  </pic:spPr>
                </pic:pic>
              </a:graphicData>
            </a:graphic>
          </wp:inline>
        </w:drawing>
      </w:r>
    </w:p>
    <w:p w14:paraId="67D4B44D" w14:textId="77777777" w:rsidR="004F1F42"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Elaboración propia en base a datos de la Subsecretaría de Políticas Universitarias de la Secretaría de Educación del Ministerio de Capital Humano de la Nación y a las leyes 27.727 y 27.728.</w:t>
      </w:r>
    </w:p>
    <w:p w14:paraId="724DA16C" w14:textId="4B9D0C95"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En la extensión temporal que presenta el Gráfico 1 puede observarse tanto la expansión institucional sostenida desde 1988 como la existencia de períodos de concentración de la expansión institucional que la literatura ha diferenciado refiriéndose a ellos como olas de expansión (Mendonca y Pérez Trento, 2020; </w:t>
      </w:r>
      <w:r w:rsidR="004F1F42" w:rsidRPr="004774B4">
        <w:rPr>
          <w:rFonts w:ascii="Times New Roman" w:hAnsi="Times New Roman" w:cs="Times New Roman"/>
          <w:lang w:val="es-AR"/>
        </w:rPr>
        <w:t>Fernández</w:t>
      </w:r>
      <w:r w:rsidRPr="004774B4">
        <w:rPr>
          <w:rFonts w:ascii="Times New Roman" w:hAnsi="Times New Roman" w:cs="Times New Roman"/>
          <w:lang w:val="es-AR"/>
        </w:rPr>
        <w:t xml:space="preserve"> Lamarra et. al, 2018; Chiroleu, Suasnábar y Rovelli, 2012). El gráfico muestra las correspondientes al periodo 1989-1999 y al periodo 2007-2015. Avanzando más allá de 2015, se verifica que se crea solo una institución de gestión privada, mientras que para 2023 se visualiza un nuevo pico con la sanción de leyes que crean 4 universidades nacionales (Madres de Plaza de Mayo, Pilar, Delta y Río Tercero). Las olas expansivas no solo incrementaron el número de instituciones a grandes saltos, sino que además cambiaron la configuración del mapa de universidades del país y le dieron su fisonomía a lo que hoy llamamos Sistema Universitario Argentino. </w:t>
      </w:r>
    </w:p>
    <w:p w14:paraId="2736A552" w14:textId="62F88851"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En el marco de un proceso histórico de expansión institucional así delineado, que transformó el alcance territorial de la universidad pública al tiempo que las tendencias regionales convergían en el reconocimiento de la educación superior como derecho y de la universidad como bien púbico, una mirada atenta a la extensión universitaria se vuelve aún más relevante. El vínculo con el territorio fue tematizado de manera singular en cada proceso expansivo (Mendonça, 2018; Roca y Schneider, 2018; Sturniolo, 2009), pero incluso antes del inicio de esa expansión más sostenida, las UUNN que luego integrarían el SUA fueron estableciendo sentidos y consolidando prácticas para el ejercicio de la tercera misión. </w:t>
      </w:r>
    </w:p>
    <w:p w14:paraId="687F5532" w14:textId="77777777" w:rsidR="004774B4" w:rsidRPr="004774B4" w:rsidRDefault="004774B4" w:rsidP="004774B4">
      <w:pPr>
        <w:spacing w:line="240" w:lineRule="auto"/>
        <w:jc w:val="both"/>
        <w:rPr>
          <w:rFonts w:ascii="Times New Roman" w:hAnsi="Times New Roman" w:cs="Times New Roman"/>
          <w:b/>
          <w:bCs/>
          <w:lang w:val="es-AR"/>
        </w:rPr>
      </w:pPr>
      <w:r w:rsidRPr="004774B4">
        <w:rPr>
          <w:rFonts w:ascii="Times New Roman" w:hAnsi="Times New Roman" w:cs="Times New Roman"/>
          <w:b/>
          <w:bCs/>
          <w:lang w:val="es-AR"/>
        </w:rPr>
        <w:lastRenderedPageBreak/>
        <w:t>Historia y sentidos de la extensión universitaria</w:t>
      </w:r>
    </w:p>
    <w:p w14:paraId="77F456AC" w14:textId="77777777" w:rsidR="004774B4" w:rsidRPr="004774B4" w:rsidRDefault="004774B4" w:rsidP="004774B4">
      <w:pPr>
        <w:spacing w:line="240" w:lineRule="auto"/>
        <w:jc w:val="both"/>
        <w:rPr>
          <w:rFonts w:ascii="Times New Roman" w:hAnsi="Times New Roman" w:cs="Times New Roman"/>
          <w:b/>
          <w:bCs/>
          <w:lang w:val="es-AR"/>
        </w:rPr>
      </w:pPr>
      <w:r w:rsidRPr="004774B4">
        <w:rPr>
          <w:rFonts w:ascii="Times New Roman" w:hAnsi="Times New Roman" w:cs="Times New Roman"/>
          <w:b/>
          <w:bCs/>
          <w:i/>
          <w:iCs/>
          <w:lang w:val="es-AR"/>
        </w:rPr>
        <w:t>Los orígenes y la construcción de una tradición universitaria nacional</w:t>
      </w:r>
    </w:p>
    <w:p w14:paraId="73ADF9D2" w14:textId="7FAAC90E"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La aparición de la extensión como práctica aplicada, asumida como tarea propia y necesaria de la universidad, diferenciada de las funciones de enseñanza e investigación (aunque ligada a ellas), puede reconocerse en Argentina y en Latinoamérica con la aparición en 1907 de las conferencias de extensión universitaria en la Universidad de La Plata, promovidas por su entonces presidente, Joaquín V. González. Desde entonces la extensión universitaria se encontrará alternando entre lo que parecen ser propósitos contrapuestos: delinear sus acciones para fortalecer a la sociedad según sus propias intenciones, o reconocer las necesidades de esa misma sociedad para moldearse a sí misma en función de darles respuesta.  </w:t>
      </w:r>
    </w:p>
    <w:p w14:paraId="7455D882" w14:textId="56CFDEFF"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Pero incluso, ese primer hito fundacional, puede reconocer antecedentes inmediatos en los ciclos de conferencias destinados a trabajadores y organizados por sociedades de carácter civil que incluyeron a destacados miembros del profesorado y graduados de la UBA de comienzos del siglo XX</w:t>
      </w:r>
      <w:r w:rsidR="004F1F42">
        <w:rPr>
          <w:rFonts w:ascii="Times New Roman" w:hAnsi="Times New Roman" w:cs="Times New Roman"/>
          <w:lang w:val="es-AR"/>
        </w:rPr>
        <w:t xml:space="preserve"> </w:t>
      </w:r>
      <w:r w:rsidRPr="004774B4">
        <w:rPr>
          <w:rFonts w:ascii="Times New Roman" w:hAnsi="Times New Roman" w:cs="Times New Roman"/>
          <w:lang w:val="es-AR"/>
        </w:rPr>
        <w:t>(Buchbinder, 2022; López, 2020). Las conferencias cubrían un amplio espectro de temas culturales en línea con la idea de que la formación cultural era clave en el proceso de adquisición de derechos cívicos. En ese marco, resulta destacable que la Universidad de Buenos Aires (UBA) incluyó estatutariamente la extensión, como respuesta a demandas de movimientos estudiantiles y con el propósito de fomentar la existencia de museos o institutos que se ocupasen de la tarea. En la segunda década del siglo, se observa también la existencia de movimientos similares a los porteños en la Córdoba pre-reforma y la creación de Universidades Populares en La Boca y en Rosario, que, siguiendo modelos europeos y norteamericanos, procuraron la formación en idiomas, artes y oficios de los trabajadores (en especial simpatizantes del socialismo), aunque en el caso de Rosario se evidencia ya una preocupación por la formación política.</w:t>
      </w:r>
    </w:p>
    <w:p w14:paraId="1C5FF0BC" w14:textId="0AD3BC30"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Aproximándose al cierre de la segunda década del siglo XX, debe señalarse como hito el proceso reformista iniciado en Argentina en 1918. Tanto en sus orígenes cordobeses, como en su consiguiente expansión por América Latina, la reforma universitaria del ´18, levantó entre otras, la bandera de la extensión universitaria en el marco de una tradición que iniciaba asimismo una pelea por la democratización de la universidad (Pautaso &amp; Méndez, 2023; Rodríguez, Yaverosky &amp; Peluso, 2018). Desde entonces puede identificarse para el caso argentino, que los debates generados por aquella pulsión democratizadora en el terreno de la llamada apertura de la universidad a la sociedad, en particular desde la función de extensión universitaria, han pivotado al menos entre dos grandes líneas orientadoras durante el último siglo. Por un lado, aquella que procura ir hacia “el pueblo” para brindar sus saberes; y por otro, aquella que promueve el ingreso de ese pueblo a la universidad (Pentito, 2018; Unzué, 2016) e imagina aquel vínculo en términos de co-construcción de saberes (Cano, 2014). Esta dicotomía se observa también a escala regional (Tommasino y Cano, 2016). Los caminos de la Reforma Universitaria han dado a la extensión en </w:t>
      </w:r>
      <w:r w:rsidR="00BD211E" w:rsidRPr="004774B4">
        <w:rPr>
          <w:rFonts w:ascii="Times New Roman" w:hAnsi="Times New Roman" w:cs="Times New Roman"/>
          <w:lang w:val="es-AR"/>
        </w:rPr>
        <w:t>Latinoamérica</w:t>
      </w:r>
      <w:r w:rsidRPr="004774B4">
        <w:rPr>
          <w:rFonts w:ascii="Times New Roman" w:hAnsi="Times New Roman" w:cs="Times New Roman"/>
          <w:lang w:val="es-AR"/>
        </w:rPr>
        <w:t xml:space="preserve"> un arraigo y una fisonomía que no ha alcanzado en otras partes del planeta (Cano Menoni, 2015) ya que otorgó a la “función social de la universidad” adoptada de modo definitivo en aquel entonces, una serie de tareas -entre </w:t>
      </w:r>
      <w:r w:rsidRPr="004774B4">
        <w:rPr>
          <w:rFonts w:ascii="Times New Roman" w:hAnsi="Times New Roman" w:cs="Times New Roman"/>
          <w:lang w:val="es-AR"/>
        </w:rPr>
        <w:lastRenderedPageBreak/>
        <w:t>las cuales predominó largamente la de difusión cultural- desconocidas en casas de altos estudios de otras latitudes (Tünnermann Bernheim, 2000)</w:t>
      </w:r>
    </w:p>
    <w:p w14:paraId="27A3195E" w14:textId="4EBBD5BE"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Entre esos ecos de la Reforma en el campo de la extensión, debe señalarse que se instala como sentido fundante de la acción extensionista la devolución al pueblo de los beneficios que los universitarios obtenían por haber podido acceder a estudios superiores. En esa línea, las prácticas extensionistas inmediatamente posteriores a la </w:t>
      </w:r>
      <w:r w:rsidR="004F1F42" w:rsidRPr="004774B4">
        <w:rPr>
          <w:rFonts w:ascii="Times New Roman" w:hAnsi="Times New Roman" w:cs="Times New Roman"/>
          <w:lang w:val="es-AR"/>
        </w:rPr>
        <w:t>Reforma</w:t>
      </w:r>
      <w:r w:rsidRPr="004774B4">
        <w:rPr>
          <w:rFonts w:ascii="Times New Roman" w:hAnsi="Times New Roman" w:cs="Times New Roman"/>
          <w:lang w:val="es-AR"/>
        </w:rPr>
        <w:t xml:space="preserve"> fueron ejercidas por agrupaciones estudiantiles, sin integrarse de plano a la estructura de las casas de altos estudios. Ese proceso fue paulatino, pero se evidenció en que los estatutos sancionados con posterioridad al movimiento del ´18 incluyeron la extensión como misión central (López, 2020; Buchbinder, 2010; Lamarra, 2002). Aquella “devolución” por el beneficio adquirido, asume para las agrupaciones estudiantiles, compuestas mayormente por estudiantes de carreras vinculadas al ejercicio de profesiones liberales, el objetivo de fortalecer la conciencia jurídica de los ciudadanos para que conociendo los mecanismos de la ley pudiesen asegurar sus intereses.  </w:t>
      </w:r>
    </w:p>
    <w:p w14:paraId="3710E00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Entre las experiencias de extensión de este periodo merece un párrafo aparte la trayectoria fundacional de la Universidad Nacional de Tucumán (UNT). Bajo el influjo de Juan B. Terán, la articulación con el entorno productivo y la situación social de la comunidad ocupó desde el inicio un lugar preponderante. Esto se evidenció no solo en que las carreras de ingeniería vinculadas a la producción provincial gravitaron fuertemente en el periodo organizacional, sino también a que la difusión del conocimiento producido para la mejora del entorno se transformó en una prioridad. La misma se realizaría en el ámbito de la extensión, en el que se esgrimió tempranamente como propósito la mejora del porvenir de los trabajadores y empleados de la región, lo cual marcó de forma singular los esfuerzos extensionistas de la UNT. Como afirma Buchbinder (2022) puede observarse en aquella experiencia tucumana un modelo de extensión más enfocado en el desarrollo productivo local que resultó diferente al que, nacido en la Reforma, sería el que desarrollarían en décadas venideras universidades como la UBA.</w:t>
      </w:r>
    </w:p>
    <w:p w14:paraId="1D700F58" w14:textId="1703ACE6"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Las décadas posteriores corresponden a trayectorias diversas en las que, con orientaciones propias, las universidades nacionales que antecedieron a la primera ola de expansión del sistema universitario dieron forma a sus áreas de extensión bajo el influjo de la reforma. Alternando entre una difusión de saberes más cultural o más política, destaca la Universidad Nacional del Litoral (UNL) que luego de adscribir a la Universidad Popular de Rosario y a la par de sus acciones de difusión, se propuso desarrollar estudios sobre problemáticas locales a través del Museo Social creado en 1928. También corresponde a esta década el fuerte influjo que Ricardo Rojas, con su visión de la universidad como promotora de una cultura nacional, le otorgó a la extensión en la UBA primero desde la facultad de Filosofía y Letras y luego desde el Consejo Superior (Buchbinder, 2022). </w:t>
      </w:r>
    </w:p>
    <w:p w14:paraId="53F88894" w14:textId="030CA2FD"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Durante la década del ´40 la relación entre las universidades y el Estado nacional se vio tensionada por las intervenciones sucesivas que tuvieron lugar desde el golpe de Estado de 1943 y que -con periodos breves de normalización- prosiguieron durante la primera etapa del peronismo. En el marco de esas disputas con fuerte eje en la autonomía, se crearon el Instituto Tecnológico del Sur (1946) y la Universidad Obrera Nacional (1948), ambos con una marcada preocupación tanto por la formación e investigación, como por </w:t>
      </w:r>
      <w:r w:rsidRPr="004774B4">
        <w:rPr>
          <w:rFonts w:ascii="Times New Roman" w:hAnsi="Times New Roman" w:cs="Times New Roman"/>
          <w:lang w:val="es-AR"/>
        </w:rPr>
        <w:lastRenderedPageBreak/>
        <w:t>el desarrollo regional y el alcance federal. Hoy Universidad Nacional del Sur y Universidad Tecnológica Nacional respectivamente, ambas instituciones cambiaron desde su origen la matriz de formación profesionalista que el SUA arrastraba con la excepción ya destacada de la UNT. Así mismo, favorecieron otra de las marcadas características de esta experiencia de política universitaria: la fuerte masificación de la matrícula (que expresaba localmente una tendencia mundial de la época). Un conjunto normativo con impacto directo en el SUA fue sancionado durante el primer peronismo y, a partir de su análisis y de la mirada a experiencias extensionistas de aquel entonces, López (2020) concluye que la extensión asume la función de “culturizar al pueblo” y en menor medida asistir a empresas del Estado. Aparece también el concepto de “responsabilidad social” ligado a la concientización de docentes y estudiantes respecto de su deber de servir al pueblo (López, 2013). </w:t>
      </w:r>
    </w:p>
    <w:p w14:paraId="009C6B6A" w14:textId="77777777" w:rsidR="004774B4" w:rsidRPr="004774B4" w:rsidRDefault="004774B4" w:rsidP="004774B4">
      <w:pPr>
        <w:spacing w:line="240" w:lineRule="auto"/>
        <w:jc w:val="both"/>
        <w:rPr>
          <w:rFonts w:ascii="Times New Roman" w:hAnsi="Times New Roman" w:cs="Times New Roman"/>
          <w:b/>
          <w:bCs/>
          <w:lang w:val="es-AR"/>
        </w:rPr>
      </w:pPr>
      <w:r w:rsidRPr="004774B4">
        <w:rPr>
          <w:rFonts w:ascii="Times New Roman" w:hAnsi="Times New Roman" w:cs="Times New Roman"/>
          <w:b/>
          <w:bCs/>
          <w:i/>
          <w:iCs/>
          <w:lang w:val="es-AR"/>
        </w:rPr>
        <w:t>El devenir de la extensión durante las sucesivas olas de expansión del SUA</w:t>
      </w:r>
    </w:p>
    <w:p w14:paraId="0BD1663A" w14:textId="16D57691"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En la segunda mitad del siglo XX pueden observarse marcados cambios tanto en las estrategias de extensión, como en sus orientaciones generales. Aquella dicotomía abierta desde la Reforma, sumada a las alternativas que de hecho se desarrollaron en el SUA para la ya consolidada función de extensión, se vio sometida fuertemente a los avatares que el contexto político de alternancia entre democracia, semi democracia y dictadura, le imprimió a la vida social, económica y cultural del país (Mendonça, 2025; López, 2020). </w:t>
      </w:r>
    </w:p>
    <w:p w14:paraId="7B4B72B2" w14:textId="23229872"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Con el golpe de Estado que proscribió al peronismo en 1955 inició para las universidades un proceso de “restauración reformista” (Buchbinder, 2010). En el campo de la tercera misión destacó entonces la estructuración orgánica del área de extensión que se </w:t>
      </w:r>
      <w:r w:rsidR="00753EBC" w:rsidRPr="004774B4">
        <w:rPr>
          <w:rFonts w:ascii="Times New Roman" w:hAnsi="Times New Roman" w:cs="Times New Roman"/>
          <w:lang w:val="es-AR"/>
        </w:rPr>
        <w:t>dio</w:t>
      </w:r>
      <w:r w:rsidRPr="004774B4">
        <w:rPr>
          <w:rFonts w:ascii="Times New Roman" w:hAnsi="Times New Roman" w:cs="Times New Roman"/>
          <w:lang w:val="es-AR"/>
        </w:rPr>
        <w:t>, por ejemplo</w:t>
      </w:r>
      <w:r w:rsidR="00753EBC">
        <w:rPr>
          <w:rFonts w:ascii="Times New Roman" w:hAnsi="Times New Roman" w:cs="Times New Roman"/>
          <w:lang w:val="es-AR"/>
        </w:rPr>
        <w:t>,</w:t>
      </w:r>
      <w:r w:rsidRPr="004774B4">
        <w:rPr>
          <w:rFonts w:ascii="Times New Roman" w:hAnsi="Times New Roman" w:cs="Times New Roman"/>
          <w:lang w:val="es-AR"/>
        </w:rPr>
        <w:t xml:space="preserve"> en la UBA en 1956 con la creación del Departamento de Extensión Universitaria. También es relevante señalar que en su ámbito tuvo lugar el proyecto interdisciplinario Isla Maciel, </w:t>
      </w:r>
      <w:r w:rsidR="00753EBC" w:rsidRPr="004774B4">
        <w:rPr>
          <w:rFonts w:ascii="Times New Roman" w:hAnsi="Times New Roman" w:cs="Times New Roman"/>
          <w:lang w:val="es-AR"/>
        </w:rPr>
        <w:t>que,</w:t>
      </w:r>
      <w:r w:rsidRPr="004774B4">
        <w:rPr>
          <w:rFonts w:ascii="Times New Roman" w:hAnsi="Times New Roman" w:cs="Times New Roman"/>
          <w:lang w:val="es-AR"/>
        </w:rPr>
        <w:t xml:space="preserve"> hasta la intervención de la universidad por una nueva dictadura en 1966, promovió acciones de educación popular con jóvenes y adultos. En aquella experiencia extensionista, el desarrollo de la comunidad se llevó adelante con trabajo conjunto en los frentes de salud, vivienda, e incluyó creación de cooperativas (Mendonça, 2025; </w:t>
      </w:r>
      <w:r w:rsidR="00753EBC" w:rsidRPr="00753EBC">
        <w:rPr>
          <w:rFonts w:ascii="Times New Roman" w:hAnsi="Times New Roman" w:cs="Times New Roman"/>
          <w:lang w:val="es-AR"/>
        </w:rPr>
        <w:t>Wanschelbaum</w:t>
      </w:r>
      <w:r w:rsidRPr="004774B4">
        <w:rPr>
          <w:rFonts w:ascii="Times New Roman" w:hAnsi="Times New Roman" w:cs="Times New Roman"/>
          <w:lang w:val="es-AR"/>
        </w:rPr>
        <w:t>, 2017). También en la UBA, en el dinamismo de la restauración reformista y relacionada a estrategias de extensión, se fundó la editorial EUDEBA.</w:t>
      </w:r>
    </w:p>
    <w:p w14:paraId="187C01C7" w14:textId="65B851C3"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Promediando la década del ´60 la preocupación por el desarrollo de la educación de adultos se reflejó en la puesta en marcha de campañas de alfabetización a las que en los años democráticos de los 70´s se sumaron algunas universidades. Los estudiantes participaron tanto en dichas campañas, como en iniciativas extensionistas que procuraban promover la mejora de las condiciones de vida de los sectores populares y fortalecer la formación del estudiantado. Un ejemplo de esto es el caso recuperado por Gezmet (2018) del “Taller Total” desarrollado en la Universidad Nacional de Córdoba (UNC), en el cual con una fuerte impronta pedagógica se abordaba con estudiantes la solución de problemas reales y socialmente sentidos. En esa misma década se observa la creación de universidades de la primera ola de expansión del sistema que sentó las bases de descentralización del SUA para el desarrollo de enfoques regionales de extensión que tendrían lugar con el correr del tiempo dado que la dictadura iniciada en 1976 clausuró, a </w:t>
      </w:r>
      <w:r w:rsidRPr="004774B4">
        <w:rPr>
          <w:rFonts w:ascii="Times New Roman" w:hAnsi="Times New Roman" w:cs="Times New Roman"/>
          <w:lang w:val="es-AR"/>
        </w:rPr>
        <w:lastRenderedPageBreak/>
        <w:t xml:space="preserve">fuerza de terrorismo de Estado, la </w:t>
      </w:r>
      <w:r w:rsidR="00753EBC" w:rsidRPr="004774B4">
        <w:rPr>
          <w:rFonts w:ascii="Times New Roman" w:hAnsi="Times New Roman" w:cs="Times New Roman"/>
          <w:lang w:val="es-AR"/>
        </w:rPr>
        <w:t>orientación</w:t>
      </w:r>
      <w:r w:rsidRPr="004774B4">
        <w:rPr>
          <w:rFonts w:ascii="Times New Roman" w:hAnsi="Times New Roman" w:cs="Times New Roman"/>
          <w:lang w:val="es-AR"/>
        </w:rPr>
        <w:t xml:space="preserve"> y el desarrollo extensionista de aquel momento.</w:t>
      </w:r>
    </w:p>
    <w:p w14:paraId="685CE8C3" w14:textId="4CE0A5D6"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Durante la apertura democrática emergen en el campo extensionista iniciativas que buscan retomar los vínculos con los sectores populares. Así en la UNC, por ejemplo, se forman brigadas juveniles y se promueven becas de extensión (López, 2020). En líneas generales, en toda la región la extensión procura trasladar saberes y tecnologías desde la universidad a la sociedad para modificar hábitos o procedimientos con un sentido asistencialista que ya se había experimentado en el SUA en periodos anteriores (Tommasino y Cano, 2016). Pero son los años ´90 los que traen mayores novedades con el impulso a la articulación con el mercado como uno de los ejes de la actividad universitaria consagrado por la Ley de Fomento a la Innovación Tecnológica de 1990 (Ley 23.877) que promueve la creación de Unidades de Vinculación Tecnológica (UVT) en las casas de altos estudios. Durante este periodo, la segunda ola de expansión del sistema, se vio un fuerte desarrollo del subsistema universitario privado a la vez que se favoreció la creación de universidades nacionales en el conurbano bonaerense. Asimismo, el sistema en su conjunto desarrolló como iniciativas de extensión los centros regionales universitarios para brindar su oferta académica en territorios distantes (Rasetti, 2014). Otra característica de la extensión en este periodo es el desarrollo de programas con alcance territorial</w:t>
      </w:r>
      <w:r w:rsidR="00753EBC">
        <w:rPr>
          <w:rFonts w:ascii="Times New Roman" w:hAnsi="Times New Roman" w:cs="Times New Roman"/>
          <w:lang w:val="es-AR"/>
        </w:rPr>
        <w:t xml:space="preserve"> </w:t>
      </w:r>
      <w:r w:rsidR="00753EBC" w:rsidRPr="004774B4">
        <w:rPr>
          <w:rFonts w:ascii="Times New Roman" w:hAnsi="Times New Roman" w:cs="Times New Roman"/>
          <w:lang w:val="es-AR"/>
        </w:rPr>
        <w:t>que,</w:t>
      </w:r>
      <w:r w:rsidRPr="004774B4">
        <w:rPr>
          <w:rFonts w:ascii="Times New Roman" w:hAnsi="Times New Roman" w:cs="Times New Roman"/>
          <w:lang w:val="es-AR"/>
        </w:rPr>
        <w:t xml:space="preserve"> en la UBA, la UNMdP y la UNLP buscaron recuperar las orientaciones de principios de los 70´s, pero que evidenciaron una fuerte fragilidad dado el aislamiento de la extensión en la estructura institucional y el escaso financiamiento dado a ese tipo de líneas de acción extensionistas que impidió desarrollar políticas de largo plazo (Tommasino y Cano, 2016).</w:t>
      </w:r>
    </w:p>
    <w:p w14:paraId="4F5A66E4"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Ya entrando en el siglo XXI, y en la antesala de la tercera ola de expansión del SUA, la creación del Programa de Voluntariado Universitario (MINCyT, 2004) cristalizó la convivencia de al menos dos tendencias para la tercera misión de las universidades: la orientación hacia el mercado consolidada en los años 90 y aquella matriz asistencialista de regular emergencia en las actividades de extensión, pero ligada ahora a las políticas sociales de los tempranos 2000. Las convocatorias a proyectos con financiamiento nacional en el marco del Programa de Voluntariado propendían a producir una integración de saberes académicos y comunitarios a la vez que buscaban centrar la atención en la resolución de necesidades de la comunidad local. También es de destacar que en este periodo se estructura a nivel sistémico la extensión universitaria con la creación de redes que nuclean a las UUNN a la vez que consagran la separación de la tercera misión entre la vinculación (ahora tecnológica) y la extensión: la Red ViTec en 2004 y la RExUni en 2008. </w:t>
      </w:r>
    </w:p>
    <w:p w14:paraId="1D5FA1AC" w14:textId="7761EE99" w:rsidR="004774B4" w:rsidRPr="004774B4" w:rsidRDefault="004F1F42"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Finalmente,</w:t>
      </w:r>
      <w:r w:rsidR="004774B4" w:rsidRPr="004774B4">
        <w:rPr>
          <w:rFonts w:ascii="Times New Roman" w:hAnsi="Times New Roman" w:cs="Times New Roman"/>
          <w:lang w:val="es-AR"/>
        </w:rPr>
        <w:t xml:space="preserve"> en las primeras décadas del siglo XXI se pone el foco en los aportes que la extensión realiza a la experiencia estudiantil a la vez que se impulsa la integralidad entre las funciones sustantivas de las universidades. Estas orientaciones reorganizaron la agenda de discusión sobre la tercera misión en torno a la curricularización de la extensión, cuestión que  en Argentina fue expresa por el CIN (2021) y tomada por el (entonces) Ministerio de Educación en la Resolución 2601/23.  </w:t>
      </w:r>
    </w:p>
    <w:p w14:paraId="78CA020C" w14:textId="77777777" w:rsidR="004774B4" w:rsidRPr="004774B4" w:rsidRDefault="004774B4" w:rsidP="004774B4">
      <w:pPr>
        <w:spacing w:line="240" w:lineRule="auto"/>
        <w:jc w:val="both"/>
        <w:rPr>
          <w:rFonts w:ascii="Times New Roman" w:hAnsi="Times New Roman" w:cs="Times New Roman"/>
          <w:b/>
          <w:bCs/>
          <w:lang w:val="es-AR"/>
        </w:rPr>
      </w:pPr>
      <w:r w:rsidRPr="004774B4">
        <w:rPr>
          <w:rFonts w:ascii="Times New Roman" w:hAnsi="Times New Roman" w:cs="Times New Roman"/>
          <w:b/>
          <w:bCs/>
          <w:lang w:val="es-AR"/>
        </w:rPr>
        <w:t>El quehacer extensionista</w:t>
      </w:r>
    </w:p>
    <w:p w14:paraId="17FA49FE" w14:textId="030B56E7" w:rsid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 xml:space="preserve">Este apartado se propone describir el tipo de actividades de extensión que hasta el momento se encontraron en la exploración de fuentes. Si bien hubiese resultado por demás conveniente mencionarlas a modo de ejemplos en el apartado anterior referido a los sentidos de las prácticas extensionistas, la decisión de agruparlas aquí está relacionada con la observación de que hay una marcada persistencia en el tipo de actividades que las universidades realizan y han realizado bajo el amplio paraguas de la extensión. Más allá de la identificación de </w:t>
      </w:r>
      <w:r w:rsidRPr="004774B4">
        <w:rPr>
          <w:rFonts w:ascii="Times New Roman" w:hAnsi="Times New Roman" w:cs="Times New Roman"/>
          <w:i/>
          <w:iCs/>
          <w:lang w:val="es-AR"/>
        </w:rPr>
        <w:t>matrices fundacionales</w:t>
      </w:r>
      <w:r w:rsidRPr="004774B4">
        <w:rPr>
          <w:rFonts w:ascii="Times New Roman" w:hAnsi="Times New Roman" w:cs="Times New Roman"/>
          <w:lang w:val="es-AR"/>
        </w:rPr>
        <w:t xml:space="preserve"> atravesadas por las coyunturas históricas; más allá también de la construcción de </w:t>
      </w:r>
      <w:r w:rsidRPr="004774B4">
        <w:rPr>
          <w:rFonts w:ascii="Times New Roman" w:hAnsi="Times New Roman" w:cs="Times New Roman"/>
          <w:i/>
          <w:iCs/>
          <w:lang w:val="es-AR"/>
        </w:rPr>
        <w:t>modelos de extensión</w:t>
      </w:r>
      <w:r w:rsidRPr="004774B4">
        <w:rPr>
          <w:rFonts w:ascii="Times New Roman" w:hAnsi="Times New Roman" w:cs="Times New Roman"/>
          <w:lang w:val="es-AR"/>
        </w:rPr>
        <w:t xml:space="preserve"> que permitan analizar los fundamentos generales de la acción extensionista, parece hacerse evidente que al delinear la fisonomía actual de la extensión universitaria en el SUA, lo que prima es un repertorio de acciones que dan cuenta de una  acumulación de la experiencia histórica del conjunto del sistema. Desde las conferencias de difusión de 1907 hasta las actuales, desde los cursos de oficios de 1912 hasta los Centros de Formación Tecnológica, pareciera que cuando un tipo de actividad se integra al quehacer universitario, tiende a permanecer con adecuaciones que le permiten adaptarse a los variados presentes históricos.</w:t>
      </w:r>
    </w:p>
    <w:p w14:paraId="18635F0E" w14:textId="77777777" w:rsidR="004774B4" w:rsidRPr="004774B4" w:rsidRDefault="004774B4" w:rsidP="004774B4">
      <w:pPr>
        <w:spacing w:line="240" w:lineRule="auto"/>
        <w:jc w:val="both"/>
        <w:rPr>
          <w:rFonts w:ascii="Times New Roman" w:hAnsi="Times New Roman" w:cs="Times New Roman"/>
          <w:lang w:val="es-AR"/>
        </w:rPr>
      </w:pPr>
    </w:p>
    <w:p w14:paraId="77F55C3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Tabla 1.1. Actividades de extensión en perspectiva histórica</w:t>
      </w:r>
    </w:p>
    <w:tbl>
      <w:tblPr>
        <w:tblW w:w="0" w:type="auto"/>
        <w:tblCellMar>
          <w:top w:w="15" w:type="dxa"/>
          <w:left w:w="15" w:type="dxa"/>
          <w:bottom w:w="15" w:type="dxa"/>
          <w:right w:w="15" w:type="dxa"/>
        </w:tblCellMar>
        <w:tblLook w:val="04A0" w:firstRow="1" w:lastRow="0" w:firstColumn="1" w:lastColumn="0" w:noHBand="0" w:noVBand="1"/>
      </w:tblPr>
      <w:tblGrid>
        <w:gridCol w:w="1805"/>
        <w:gridCol w:w="3465"/>
        <w:gridCol w:w="1813"/>
        <w:gridCol w:w="1391"/>
      </w:tblGrid>
      <w:tr w:rsidR="004774B4" w:rsidRPr="004774B4" w14:paraId="4DD1E2D6" w14:textId="77777777">
        <w:trPr>
          <w:trHeight w:val="345"/>
        </w:trPr>
        <w:tc>
          <w:tcPr>
            <w:tcW w:w="0" w:type="auto"/>
            <w:tcBorders>
              <w:top w:val="single" w:sz="12" w:space="0" w:color="000000"/>
              <w:left w:val="single" w:sz="12" w:space="0" w:color="000000"/>
              <w:bottom w:val="single" w:sz="12" w:space="0" w:color="000000"/>
              <w:right w:val="single" w:sz="8" w:space="0" w:color="000000"/>
            </w:tcBorders>
            <w:shd w:val="clear" w:color="auto" w:fill="CCCCCC"/>
            <w:tcMar>
              <w:top w:w="40" w:type="dxa"/>
              <w:left w:w="40" w:type="dxa"/>
              <w:bottom w:w="40" w:type="dxa"/>
              <w:right w:w="40" w:type="dxa"/>
            </w:tcMar>
            <w:vAlign w:val="center"/>
            <w:hideMark/>
          </w:tcPr>
          <w:p w14:paraId="1AE01DC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Período</w:t>
            </w:r>
          </w:p>
        </w:tc>
        <w:tc>
          <w:tcPr>
            <w:tcW w:w="0" w:type="auto"/>
            <w:tcBorders>
              <w:top w:val="single" w:sz="12" w:space="0" w:color="000000"/>
              <w:left w:val="single" w:sz="8" w:space="0" w:color="000000"/>
              <w:bottom w:val="single" w:sz="12" w:space="0" w:color="000000"/>
              <w:right w:val="single" w:sz="8" w:space="0" w:color="000000"/>
            </w:tcBorders>
            <w:shd w:val="clear" w:color="auto" w:fill="CCCCCC"/>
            <w:tcMar>
              <w:top w:w="40" w:type="dxa"/>
              <w:left w:w="40" w:type="dxa"/>
              <w:bottom w:w="40" w:type="dxa"/>
              <w:right w:w="40" w:type="dxa"/>
            </w:tcMar>
            <w:vAlign w:val="center"/>
            <w:hideMark/>
          </w:tcPr>
          <w:p w14:paraId="22E3F75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Sentidos de la extensión</w:t>
            </w:r>
          </w:p>
        </w:tc>
        <w:tc>
          <w:tcPr>
            <w:tcW w:w="0" w:type="auto"/>
            <w:tcBorders>
              <w:top w:val="single" w:sz="12" w:space="0" w:color="000000"/>
              <w:left w:val="single" w:sz="8" w:space="0" w:color="000000"/>
              <w:bottom w:val="single" w:sz="12" w:space="0" w:color="000000"/>
              <w:right w:val="single" w:sz="8" w:space="0" w:color="000000"/>
            </w:tcBorders>
            <w:shd w:val="clear" w:color="auto" w:fill="CCCCCC"/>
            <w:tcMar>
              <w:top w:w="40" w:type="dxa"/>
              <w:left w:w="40" w:type="dxa"/>
              <w:bottom w:w="40" w:type="dxa"/>
              <w:right w:w="40" w:type="dxa"/>
            </w:tcMar>
            <w:vAlign w:val="center"/>
            <w:hideMark/>
          </w:tcPr>
          <w:p w14:paraId="1E94DBD0"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Actividades</w:t>
            </w:r>
          </w:p>
        </w:tc>
        <w:tc>
          <w:tcPr>
            <w:tcW w:w="0" w:type="auto"/>
            <w:tcBorders>
              <w:top w:val="single" w:sz="12" w:space="0" w:color="000000"/>
              <w:left w:val="single" w:sz="8" w:space="0" w:color="000000"/>
              <w:bottom w:val="single" w:sz="12" w:space="0" w:color="000000"/>
              <w:right w:val="single" w:sz="12" w:space="0" w:color="000000"/>
            </w:tcBorders>
            <w:shd w:val="clear" w:color="auto" w:fill="CCCCCC"/>
            <w:tcMar>
              <w:top w:w="40" w:type="dxa"/>
              <w:left w:w="40" w:type="dxa"/>
              <w:bottom w:w="40" w:type="dxa"/>
              <w:right w:w="40" w:type="dxa"/>
            </w:tcMar>
            <w:vAlign w:val="center"/>
            <w:hideMark/>
          </w:tcPr>
          <w:p w14:paraId="4FC1832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Tipo de Actividad</w:t>
            </w:r>
          </w:p>
        </w:tc>
      </w:tr>
      <w:tr w:rsidR="004774B4" w:rsidRPr="004774B4" w14:paraId="19588BB4" w14:textId="77777777">
        <w:trPr>
          <w:trHeight w:val="600"/>
        </w:trPr>
        <w:tc>
          <w:tcPr>
            <w:tcW w:w="0" w:type="auto"/>
            <w:vMerge w:val="restart"/>
            <w:tcBorders>
              <w:top w:val="single" w:sz="12" w:space="0" w:color="000000"/>
              <w:left w:val="single" w:sz="12" w:space="0" w:color="000000"/>
              <w:bottom w:val="single" w:sz="12" w:space="0" w:color="000000"/>
              <w:right w:val="single" w:sz="8" w:space="0" w:color="000000"/>
            </w:tcBorders>
            <w:shd w:val="clear" w:color="auto" w:fill="FCFCFC"/>
            <w:tcMar>
              <w:top w:w="40" w:type="dxa"/>
              <w:left w:w="40" w:type="dxa"/>
              <w:bottom w:w="40" w:type="dxa"/>
              <w:right w:w="40" w:type="dxa"/>
            </w:tcMar>
            <w:vAlign w:val="center"/>
            <w:hideMark/>
          </w:tcPr>
          <w:p w14:paraId="07F7F9E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Orígenes (hasta 1918)</w:t>
            </w:r>
          </w:p>
        </w:tc>
        <w:tc>
          <w:tcPr>
            <w:tcW w:w="0" w:type="auto"/>
            <w:vMerge w:val="restart"/>
            <w:tcBorders>
              <w:top w:val="single" w:sz="12" w:space="0" w:color="000000"/>
              <w:left w:val="single" w:sz="8" w:space="0" w:color="000000"/>
              <w:bottom w:val="single" w:sz="12" w:space="0" w:color="000000"/>
              <w:right w:val="single" w:sz="8" w:space="0" w:color="000000"/>
            </w:tcBorders>
            <w:shd w:val="clear" w:color="auto" w:fill="FCFCFC"/>
            <w:tcMar>
              <w:top w:w="40" w:type="dxa"/>
              <w:left w:w="40" w:type="dxa"/>
              <w:bottom w:w="40" w:type="dxa"/>
              <w:right w:w="40" w:type="dxa"/>
            </w:tcMar>
            <w:vAlign w:val="center"/>
            <w:hideMark/>
          </w:tcPr>
          <w:p w14:paraId="4F3A8AF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Elevar el nivel cultural de la población general y de las clases trabajadoras.</w:t>
            </w:r>
          </w:p>
          <w:p w14:paraId="13F268E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Educar a la ciudadanía </w:t>
            </w:r>
          </w:p>
          <w:p w14:paraId="55AFDFE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•Apoyar la formación técnica y productiva del territorio para mejorar las perspectivas de los trabajadores</w:t>
            </w:r>
          </w:p>
        </w:tc>
        <w:tc>
          <w:tcPr>
            <w:tcW w:w="0" w:type="auto"/>
            <w:tcBorders>
              <w:top w:val="single" w:sz="12" w:space="0" w:color="000000"/>
              <w:left w:val="single" w:sz="8" w:space="0" w:color="000000"/>
              <w:bottom w:val="single" w:sz="8" w:space="0" w:color="000000"/>
              <w:right w:val="single" w:sz="8" w:space="0" w:color="000000"/>
            </w:tcBorders>
            <w:shd w:val="clear" w:color="auto" w:fill="FCFCFC"/>
            <w:tcMar>
              <w:top w:w="40" w:type="dxa"/>
              <w:left w:w="40" w:type="dxa"/>
              <w:bottom w:w="40" w:type="dxa"/>
              <w:right w:w="40" w:type="dxa"/>
            </w:tcMar>
            <w:vAlign w:val="center"/>
            <w:hideMark/>
          </w:tcPr>
          <w:p w14:paraId="572C92C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Conferencias públicas, divulgación general, fomento de museos</w:t>
            </w:r>
          </w:p>
        </w:tc>
        <w:tc>
          <w:tcPr>
            <w:tcW w:w="0" w:type="auto"/>
            <w:tcBorders>
              <w:top w:val="single" w:sz="12" w:space="0" w:color="000000"/>
              <w:left w:val="single" w:sz="8" w:space="0" w:color="000000"/>
              <w:bottom w:val="single" w:sz="8" w:space="0" w:color="000000"/>
              <w:right w:val="single" w:sz="12" w:space="0" w:color="000000"/>
            </w:tcBorders>
            <w:shd w:val="clear" w:color="auto" w:fill="FCFCFC"/>
            <w:tcMar>
              <w:top w:w="40" w:type="dxa"/>
              <w:left w:w="40" w:type="dxa"/>
              <w:bottom w:w="40" w:type="dxa"/>
              <w:right w:w="40" w:type="dxa"/>
            </w:tcMar>
            <w:vAlign w:val="center"/>
            <w:hideMark/>
          </w:tcPr>
          <w:p w14:paraId="6407C68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Difusión cultural y científica</w:t>
            </w:r>
          </w:p>
        </w:tc>
      </w:tr>
      <w:tr w:rsidR="004774B4" w:rsidRPr="004774B4" w14:paraId="25403D49" w14:textId="77777777">
        <w:trPr>
          <w:trHeight w:val="1140"/>
        </w:trPr>
        <w:tc>
          <w:tcPr>
            <w:tcW w:w="0" w:type="auto"/>
            <w:vMerge/>
            <w:tcBorders>
              <w:top w:val="single" w:sz="12" w:space="0" w:color="000000"/>
              <w:left w:val="single" w:sz="12" w:space="0" w:color="000000"/>
              <w:bottom w:val="single" w:sz="12" w:space="0" w:color="000000"/>
              <w:right w:val="single" w:sz="8" w:space="0" w:color="000000"/>
            </w:tcBorders>
            <w:vAlign w:val="center"/>
            <w:hideMark/>
          </w:tcPr>
          <w:p w14:paraId="74F43D9F"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14:paraId="58ECF6AB"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8" w:space="0" w:color="000000"/>
              <w:left w:val="single" w:sz="8" w:space="0" w:color="000000"/>
              <w:bottom w:val="single" w:sz="8" w:space="0" w:color="000000"/>
              <w:right w:val="single" w:sz="8" w:space="0" w:color="000000"/>
            </w:tcBorders>
            <w:shd w:val="clear" w:color="auto" w:fill="FCFCFC"/>
            <w:tcMar>
              <w:top w:w="40" w:type="dxa"/>
              <w:left w:w="40" w:type="dxa"/>
              <w:bottom w:w="40" w:type="dxa"/>
              <w:right w:w="40" w:type="dxa"/>
            </w:tcMar>
            <w:vAlign w:val="center"/>
            <w:hideMark/>
          </w:tcPr>
          <w:p w14:paraId="15BFEC58"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Cursos de oficios, artes, idiomas; formación técnica para obreros y agricultores; publicaciones sobre cultivos y salud</w:t>
            </w:r>
          </w:p>
        </w:tc>
        <w:tc>
          <w:tcPr>
            <w:tcW w:w="0" w:type="auto"/>
            <w:tcBorders>
              <w:top w:val="single" w:sz="8" w:space="0" w:color="000000"/>
              <w:left w:val="single" w:sz="8" w:space="0" w:color="000000"/>
              <w:bottom w:val="single" w:sz="8" w:space="0" w:color="000000"/>
              <w:right w:val="single" w:sz="12" w:space="0" w:color="000000"/>
            </w:tcBorders>
            <w:shd w:val="clear" w:color="auto" w:fill="FCFCFC"/>
            <w:tcMar>
              <w:top w:w="40" w:type="dxa"/>
              <w:left w:w="40" w:type="dxa"/>
              <w:bottom w:w="40" w:type="dxa"/>
              <w:right w:w="40" w:type="dxa"/>
            </w:tcMar>
            <w:vAlign w:val="center"/>
            <w:hideMark/>
          </w:tcPr>
          <w:p w14:paraId="7EDAA6D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Formación y capacitación laboral</w:t>
            </w:r>
          </w:p>
        </w:tc>
      </w:tr>
      <w:tr w:rsidR="004774B4" w:rsidRPr="004774B4" w14:paraId="2C41AD31" w14:textId="77777777">
        <w:trPr>
          <w:trHeight w:val="600"/>
        </w:trPr>
        <w:tc>
          <w:tcPr>
            <w:tcW w:w="0" w:type="auto"/>
            <w:vMerge w:val="restart"/>
            <w:tcBorders>
              <w:top w:val="single" w:sz="12" w:space="0" w:color="000000"/>
              <w:left w:val="single" w:sz="12" w:space="0" w:color="000000"/>
              <w:bottom w:val="single" w:sz="12" w:space="0" w:color="000000"/>
              <w:right w:val="single" w:sz="8" w:space="0" w:color="000000"/>
            </w:tcBorders>
            <w:shd w:val="clear" w:color="auto" w:fill="FCFCFC"/>
            <w:tcMar>
              <w:top w:w="40" w:type="dxa"/>
              <w:left w:w="40" w:type="dxa"/>
              <w:bottom w:w="40" w:type="dxa"/>
              <w:right w:w="40" w:type="dxa"/>
            </w:tcMar>
            <w:vAlign w:val="center"/>
            <w:hideMark/>
          </w:tcPr>
          <w:p w14:paraId="2C7BDAA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Conformación de una tradición universitaria nacional (1918 - 1955)</w:t>
            </w:r>
          </w:p>
        </w:tc>
        <w:tc>
          <w:tcPr>
            <w:tcW w:w="0" w:type="auto"/>
            <w:vMerge w:val="restart"/>
            <w:tcBorders>
              <w:top w:val="single" w:sz="12" w:space="0" w:color="000000"/>
              <w:left w:val="single" w:sz="8" w:space="0" w:color="000000"/>
              <w:bottom w:val="single" w:sz="12" w:space="0" w:color="000000"/>
              <w:right w:val="single" w:sz="8" w:space="0" w:color="000000"/>
            </w:tcBorders>
            <w:shd w:val="clear" w:color="auto" w:fill="FCFCFC"/>
            <w:tcMar>
              <w:top w:w="40" w:type="dxa"/>
              <w:left w:w="40" w:type="dxa"/>
              <w:bottom w:w="40" w:type="dxa"/>
              <w:right w:w="40" w:type="dxa"/>
            </w:tcMar>
            <w:vAlign w:val="center"/>
            <w:hideMark/>
          </w:tcPr>
          <w:p w14:paraId="267F4CC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Devolver al pueblo los beneficios de la educación pública y fortalecer su conciencia cívica y jurídica (espíritu reformista).</w:t>
            </w:r>
          </w:p>
          <w:p w14:paraId="7CB10C30"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 Cultivar a la ciudadanía y difundir la "cultura nacional”.</w:t>
            </w:r>
          </w:p>
          <w:p w14:paraId="2F2D797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Servir al pueblo y al proyecto de desarrollo nacional a través del aporte técnico.</w:t>
            </w:r>
          </w:p>
        </w:tc>
        <w:tc>
          <w:tcPr>
            <w:tcW w:w="0" w:type="auto"/>
            <w:tcBorders>
              <w:top w:val="single" w:sz="8" w:space="0" w:color="000000"/>
              <w:left w:val="single" w:sz="8" w:space="0" w:color="000000"/>
              <w:bottom w:val="single" w:sz="8" w:space="0" w:color="000000"/>
              <w:right w:val="single" w:sz="8" w:space="0" w:color="000000"/>
            </w:tcBorders>
            <w:shd w:val="clear" w:color="auto" w:fill="FCFCFC"/>
            <w:tcMar>
              <w:top w:w="40" w:type="dxa"/>
              <w:left w:w="40" w:type="dxa"/>
              <w:bottom w:w="40" w:type="dxa"/>
              <w:right w:w="40" w:type="dxa"/>
            </w:tcMar>
            <w:vAlign w:val="center"/>
            <w:hideMark/>
          </w:tcPr>
          <w:p w14:paraId="7E9A612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Conferencias, charlas, teatro universitario, ciclos de radio, EUDEBA</w:t>
            </w:r>
          </w:p>
        </w:tc>
        <w:tc>
          <w:tcPr>
            <w:tcW w:w="0" w:type="auto"/>
            <w:tcBorders>
              <w:top w:val="single" w:sz="8" w:space="0" w:color="000000"/>
              <w:left w:val="single" w:sz="8" w:space="0" w:color="000000"/>
              <w:bottom w:val="single" w:sz="8" w:space="0" w:color="000000"/>
              <w:right w:val="single" w:sz="12" w:space="0" w:color="000000"/>
            </w:tcBorders>
            <w:shd w:val="clear" w:color="auto" w:fill="FCFCFC"/>
            <w:tcMar>
              <w:top w:w="40" w:type="dxa"/>
              <w:left w:w="40" w:type="dxa"/>
              <w:bottom w:w="40" w:type="dxa"/>
              <w:right w:w="40" w:type="dxa"/>
            </w:tcMar>
            <w:vAlign w:val="center"/>
            <w:hideMark/>
          </w:tcPr>
          <w:p w14:paraId="038F51C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Difusión cultural y científica</w:t>
            </w:r>
          </w:p>
        </w:tc>
      </w:tr>
      <w:tr w:rsidR="004774B4" w:rsidRPr="004774B4" w14:paraId="1ECC0A80" w14:textId="77777777">
        <w:trPr>
          <w:trHeight w:val="855"/>
        </w:trPr>
        <w:tc>
          <w:tcPr>
            <w:tcW w:w="0" w:type="auto"/>
            <w:vMerge/>
            <w:tcBorders>
              <w:top w:val="single" w:sz="12" w:space="0" w:color="000000"/>
              <w:left w:val="single" w:sz="12" w:space="0" w:color="000000"/>
              <w:bottom w:val="single" w:sz="12" w:space="0" w:color="000000"/>
              <w:right w:val="single" w:sz="8" w:space="0" w:color="000000"/>
            </w:tcBorders>
            <w:vAlign w:val="center"/>
            <w:hideMark/>
          </w:tcPr>
          <w:p w14:paraId="6E9DFF79"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14:paraId="3E5EBA85"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3265A0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Prácticas deportivas, giras de estudio, visitas a industrias</w:t>
            </w:r>
          </w:p>
        </w:tc>
        <w:tc>
          <w:tcPr>
            <w:tcW w:w="0" w:type="auto"/>
            <w:tcBorders>
              <w:top w:val="single" w:sz="8" w:space="0" w:color="000000"/>
              <w:left w:val="single" w:sz="8" w:space="0" w:color="000000"/>
              <w:bottom w:val="single" w:sz="8" w:space="0" w:color="000000"/>
              <w:right w:val="single" w:sz="12" w:space="0" w:color="000000"/>
            </w:tcBorders>
            <w:tcMar>
              <w:top w:w="40" w:type="dxa"/>
              <w:left w:w="40" w:type="dxa"/>
              <w:bottom w:w="40" w:type="dxa"/>
              <w:right w:w="40" w:type="dxa"/>
            </w:tcMar>
            <w:vAlign w:val="bottom"/>
            <w:hideMark/>
          </w:tcPr>
          <w:p w14:paraId="0157C27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Formación y capacitación laboral</w:t>
            </w:r>
          </w:p>
        </w:tc>
      </w:tr>
      <w:tr w:rsidR="004774B4" w:rsidRPr="004774B4" w14:paraId="220C17E7" w14:textId="77777777">
        <w:trPr>
          <w:trHeight w:val="600"/>
        </w:trPr>
        <w:tc>
          <w:tcPr>
            <w:tcW w:w="0" w:type="auto"/>
            <w:vMerge/>
            <w:tcBorders>
              <w:top w:val="single" w:sz="12" w:space="0" w:color="000000"/>
              <w:left w:val="single" w:sz="12" w:space="0" w:color="000000"/>
              <w:bottom w:val="single" w:sz="12" w:space="0" w:color="000000"/>
              <w:right w:val="single" w:sz="8" w:space="0" w:color="000000"/>
            </w:tcBorders>
            <w:vAlign w:val="center"/>
            <w:hideMark/>
          </w:tcPr>
          <w:p w14:paraId="14BB9DFB"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14:paraId="7CA85E1D"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8" w:space="0" w:color="000000"/>
              <w:left w:val="single" w:sz="8" w:space="0" w:color="000000"/>
              <w:bottom w:val="single" w:sz="12" w:space="0" w:color="000000"/>
              <w:right w:val="single" w:sz="8" w:space="0" w:color="000000"/>
            </w:tcBorders>
            <w:shd w:val="clear" w:color="auto" w:fill="FCFCFC"/>
            <w:tcMar>
              <w:top w:w="40" w:type="dxa"/>
              <w:left w:w="40" w:type="dxa"/>
              <w:bottom w:w="40" w:type="dxa"/>
              <w:right w:w="40" w:type="dxa"/>
            </w:tcMar>
            <w:vAlign w:val="center"/>
            <w:hideMark/>
          </w:tcPr>
          <w:p w14:paraId="622F825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Auxilio a empresas del Estado, desarrollo de estudios locales</w:t>
            </w:r>
          </w:p>
        </w:tc>
        <w:tc>
          <w:tcPr>
            <w:tcW w:w="0" w:type="auto"/>
            <w:tcBorders>
              <w:top w:val="single" w:sz="8" w:space="0" w:color="000000"/>
              <w:left w:val="single" w:sz="8"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53A9541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Vinculación tecnológica y productiva</w:t>
            </w:r>
          </w:p>
        </w:tc>
      </w:tr>
      <w:tr w:rsidR="004774B4" w:rsidRPr="004774B4" w14:paraId="39E139AA" w14:textId="77777777">
        <w:trPr>
          <w:trHeight w:val="600"/>
        </w:trPr>
        <w:tc>
          <w:tcPr>
            <w:tcW w:w="0" w:type="auto"/>
            <w:vMerge w:val="restart"/>
            <w:tcBorders>
              <w:top w:val="single" w:sz="12" w:space="0" w:color="000000"/>
              <w:left w:val="single" w:sz="12" w:space="0" w:color="000000"/>
              <w:bottom w:val="single" w:sz="12" w:space="0" w:color="000000"/>
              <w:right w:val="single" w:sz="8" w:space="0" w:color="000000"/>
            </w:tcBorders>
            <w:shd w:val="clear" w:color="auto" w:fill="FCFCFC"/>
            <w:tcMar>
              <w:top w:w="40" w:type="dxa"/>
              <w:left w:w="40" w:type="dxa"/>
              <w:bottom w:w="40" w:type="dxa"/>
              <w:right w:w="40" w:type="dxa"/>
            </w:tcMar>
            <w:vAlign w:val="center"/>
            <w:hideMark/>
          </w:tcPr>
          <w:p w14:paraId="44FDC41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Expansión y Complejización del SUA (1955 - 2015 aprox.)</w:t>
            </w:r>
          </w:p>
        </w:tc>
        <w:tc>
          <w:tcPr>
            <w:tcW w:w="0" w:type="auto"/>
            <w:vMerge w:val="restart"/>
            <w:tcBorders>
              <w:top w:val="single" w:sz="12" w:space="0" w:color="000000"/>
              <w:left w:val="single" w:sz="8" w:space="0" w:color="000000"/>
              <w:bottom w:val="single" w:sz="12" w:space="0" w:color="000000"/>
              <w:right w:val="single" w:sz="8" w:space="0" w:color="000000"/>
            </w:tcBorders>
            <w:shd w:val="clear" w:color="auto" w:fill="FCFCFC"/>
            <w:tcMar>
              <w:top w:w="40" w:type="dxa"/>
              <w:left w:w="40" w:type="dxa"/>
              <w:bottom w:w="40" w:type="dxa"/>
              <w:right w:w="40" w:type="dxa"/>
            </w:tcMar>
            <w:vAlign w:val="center"/>
            <w:hideMark/>
          </w:tcPr>
          <w:p w14:paraId="5657C77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Asistir a la comunidad para modificar hábitos y atender necesidades sociales (transferencista/asistencialista).</w:t>
            </w:r>
          </w:p>
          <w:p w14:paraId="008D2EA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•Articular producción de conocimiento y demandas del mercado y el sector productivo.</w:t>
            </w:r>
          </w:p>
          <w:p w14:paraId="434281A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Promover un intercambio dialógico de saberes entre la universidad y la comunidad.</w:t>
            </w:r>
          </w:p>
          <w:p w14:paraId="697488C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Formar a los estudiantes de manera integral, vinculando su trayectoria disciplinar con la realidad social (curricularización).</w:t>
            </w:r>
          </w:p>
        </w:tc>
        <w:tc>
          <w:tcPr>
            <w:tcW w:w="0" w:type="auto"/>
            <w:tcBorders>
              <w:top w:val="single" w:sz="12" w:space="0" w:color="000000"/>
              <w:left w:val="single" w:sz="8" w:space="0" w:color="000000"/>
              <w:bottom w:val="single" w:sz="8" w:space="0" w:color="000000"/>
              <w:right w:val="single" w:sz="8" w:space="0" w:color="000000"/>
            </w:tcBorders>
            <w:shd w:val="clear" w:color="auto" w:fill="FCFCFC"/>
            <w:tcMar>
              <w:top w:w="40" w:type="dxa"/>
              <w:left w:w="40" w:type="dxa"/>
              <w:bottom w:w="40" w:type="dxa"/>
              <w:right w:w="40" w:type="dxa"/>
            </w:tcMar>
            <w:vAlign w:val="center"/>
            <w:hideMark/>
          </w:tcPr>
          <w:p w14:paraId="36AF5C6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Conferencias, charlas, elencos, orquestas, radios, editoriales universitarias</w:t>
            </w:r>
          </w:p>
        </w:tc>
        <w:tc>
          <w:tcPr>
            <w:tcW w:w="0" w:type="auto"/>
            <w:tcBorders>
              <w:top w:val="single" w:sz="12" w:space="0" w:color="000000"/>
              <w:left w:val="single" w:sz="8" w:space="0" w:color="000000"/>
              <w:bottom w:val="single" w:sz="8" w:space="0" w:color="000000"/>
              <w:right w:val="single" w:sz="12" w:space="0" w:color="000000"/>
            </w:tcBorders>
            <w:tcMar>
              <w:top w:w="40" w:type="dxa"/>
              <w:left w:w="40" w:type="dxa"/>
              <w:bottom w:w="40" w:type="dxa"/>
              <w:right w:w="40" w:type="dxa"/>
            </w:tcMar>
            <w:vAlign w:val="center"/>
            <w:hideMark/>
          </w:tcPr>
          <w:p w14:paraId="0078EB2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Difusión cultural y científica</w:t>
            </w:r>
          </w:p>
        </w:tc>
      </w:tr>
      <w:tr w:rsidR="004774B4" w:rsidRPr="004774B4" w14:paraId="360FF9C5" w14:textId="77777777">
        <w:trPr>
          <w:trHeight w:val="600"/>
        </w:trPr>
        <w:tc>
          <w:tcPr>
            <w:tcW w:w="0" w:type="auto"/>
            <w:vMerge/>
            <w:tcBorders>
              <w:top w:val="single" w:sz="12" w:space="0" w:color="000000"/>
              <w:left w:val="single" w:sz="12" w:space="0" w:color="000000"/>
              <w:bottom w:val="single" w:sz="12" w:space="0" w:color="000000"/>
              <w:right w:val="single" w:sz="8" w:space="0" w:color="000000"/>
            </w:tcBorders>
            <w:vAlign w:val="center"/>
            <w:hideMark/>
          </w:tcPr>
          <w:p w14:paraId="106DFF16"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14:paraId="66DFA324"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C82861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Talleres culturales y deportivos, cursos de idioma, cursos de oficios</w:t>
            </w:r>
          </w:p>
        </w:tc>
        <w:tc>
          <w:tcPr>
            <w:tcW w:w="0" w:type="auto"/>
            <w:tcBorders>
              <w:top w:val="single" w:sz="8" w:space="0" w:color="000000"/>
              <w:left w:val="single" w:sz="8" w:space="0" w:color="000000"/>
              <w:bottom w:val="single" w:sz="8" w:space="0" w:color="000000"/>
              <w:right w:val="single" w:sz="12" w:space="0" w:color="000000"/>
            </w:tcBorders>
            <w:tcMar>
              <w:top w:w="40" w:type="dxa"/>
              <w:left w:w="40" w:type="dxa"/>
              <w:bottom w:w="40" w:type="dxa"/>
              <w:right w:w="40" w:type="dxa"/>
            </w:tcMar>
            <w:vAlign w:val="center"/>
            <w:hideMark/>
          </w:tcPr>
          <w:p w14:paraId="265F6E1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Formación y capacitación laboral</w:t>
            </w:r>
          </w:p>
        </w:tc>
      </w:tr>
      <w:tr w:rsidR="004774B4" w:rsidRPr="004774B4" w14:paraId="30C14613" w14:textId="77777777">
        <w:trPr>
          <w:trHeight w:val="600"/>
        </w:trPr>
        <w:tc>
          <w:tcPr>
            <w:tcW w:w="0" w:type="auto"/>
            <w:vMerge/>
            <w:tcBorders>
              <w:top w:val="single" w:sz="12" w:space="0" w:color="000000"/>
              <w:left w:val="single" w:sz="12" w:space="0" w:color="000000"/>
              <w:bottom w:val="single" w:sz="12" w:space="0" w:color="000000"/>
              <w:right w:val="single" w:sz="8" w:space="0" w:color="000000"/>
            </w:tcBorders>
            <w:vAlign w:val="center"/>
            <w:hideMark/>
          </w:tcPr>
          <w:p w14:paraId="1DEDCCFD"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14:paraId="46DDD842"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8" w:space="0" w:color="000000"/>
              <w:left w:val="single" w:sz="8" w:space="0" w:color="000000"/>
              <w:bottom w:val="single" w:sz="8" w:space="0" w:color="000000"/>
              <w:right w:val="single" w:sz="8" w:space="0" w:color="000000"/>
            </w:tcBorders>
            <w:shd w:val="clear" w:color="auto" w:fill="FCFCFC"/>
            <w:tcMar>
              <w:top w:w="40" w:type="dxa"/>
              <w:left w:w="40" w:type="dxa"/>
              <w:bottom w:w="40" w:type="dxa"/>
              <w:right w:w="40" w:type="dxa"/>
            </w:tcMar>
            <w:vAlign w:val="center"/>
            <w:hideMark/>
          </w:tcPr>
          <w:p w14:paraId="47BE275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Creación de UVTs, transferencia de saberes y tecnologías</w:t>
            </w:r>
          </w:p>
        </w:tc>
        <w:tc>
          <w:tcPr>
            <w:tcW w:w="0" w:type="auto"/>
            <w:tcBorders>
              <w:top w:val="single" w:sz="8" w:space="0" w:color="000000"/>
              <w:left w:val="single" w:sz="8" w:space="0" w:color="000000"/>
              <w:bottom w:val="single" w:sz="8" w:space="0" w:color="000000"/>
              <w:right w:val="single" w:sz="12" w:space="0" w:color="000000"/>
            </w:tcBorders>
            <w:shd w:val="clear" w:color="auto" w:fill="FCFCFC"/>
            <w:tcMar>
              <w:top w:w="40" w:type="dxa"/>
              <w:left w:w="40" w:type="dxa"/>
              <w:bottom w:w="40" w:type="dxa"/>
              <w:right w:w="40" w:type="dxa"/>
            </w:tcMar>
            <w:vAlign w:val="center"/>
            <w:hideMark/>
          </w:tcPr>
          <w:p w14:paraId="64F89D8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Vinculación tecnológica y productiva</w:t>
            </w:r>
          </w:p>
        </w:tc>
      </w:tr>
      <w:tr w:rsidR="004774B4" w:rsidRPr="004774B4" w14:paraId="3B924459" w14:textId="77777777">
        <w:trPr>
          <w:trHeight w:val="870"/>
        </w:trPr>
        <w:tc>
          <w:tcPr>
            <w:tcW w:w="0" w:type="auto"/>
            <w:vMerge/>
            <w:tcBorders>
              <w:top w:val="single" w:sz="12" w:space="0" w:color="000000"/>
              <w:left w:val="single" w:sz="12" w:space="0" w:color="000000"/>
              <w:bottom w:val="single" w:sz="12" w:space="0" w:color="000000"/>
              <w:right w:val="single" w:sz="8" w:space="0" w:color="000000"/>
            </w:tcBorders>
            <w:vAlign w:val="center"/>
            <w:hideMark/>
          </w:tcPr>
          <w:p w14:paraId="01AA198D"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14:paraId="75A2F71C"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8" w:space="0" w:color="000000"/>
              <w:left w:val="single" w:sz="8" w:space="0" w:color="000000"/>
              <w:bottom w:val="single" w:sz="8" w:space="0" w:color="000000"/>
              <w:right w:val="single" w:sz="8" w:space="0" w:color="000000"/>
            </w:tcBorders>
            <w:shd w:val="clear" w:color="auto" w:fill="FCFCFC"/>
            <w:tcMar>
              <w:top w:w="40" w:type="dxa"/>
              <w:left w:w="40" w:type="dxa"/>
              <w:bottom w:w="40" w:type="dxa"/>
              <w:right w:w="40" w:type="dxa"/>
            </w:tcMar>
            <w:vAlign w:val="center"/>
            <w:hideMark/>
          </w:tcPr>
          <w:p w14:paraId="07EED28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Brigadas juveniles, becas de extensión, asistencia educativa, campañas sanitarias, centros comunitarios, voluntariado</w:t>
            </w:r>
          </w:p>
        </w:tc>
        <w:tc>
          <w:tcPr>
            <w:tcW w:w="0" w:type="auto"/>
            <w:tcBorders>
              <w:top w:val="single" w:sz="8" w:space="0" w:color="000000"/>
              <w:left w:val="single" w:sz="8" w:space="0" w:color="000000"/>
              <w:bottom w:val="single" w:sz="8" w:space="0" w:color="000000"/>
              <w:right w:val="single" w:sz="12" w:space="0" w:color="000000"/>
            </w:tcBorders>
            <w:shd w:val="clear" w:color="auto" w:fill="FCFCFC"/>
            <w:tcMar>
              <w:top w:w="40" w:type="dxa"/>
              <w:left w:w="40" w:type="dxa"/>
              <w:bottom w:w="40" w:type="dxa"/>
              <w:right w:w="40" w:type="dxa"/>
            </w:tcMar>
            <w:vAlign w:val="center"/>
            <w:hideMark/>
          </w:tcPr>
          <w:p w14:paraId="7010477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Intervención socio-comunitaria</w:t>
            </w:r>
          </w:p>
        </w:tc>
      </w:tr>
      <w:tr w:rsidR="004774B4" w:rsidRPr="004774B4" w14:paraId="433D4E45" w14:textId="77777777">
        <w:trPr>
          <w:trHeight w:val="600"/>
        </w:trPr>
        <w:tc>
          <w:tcPr>
            <w:tcW w:w="0" w:type="auto"/>
            <w:vMerge/>
            <w:tcBorders>
              <w:top w:val="single" w:sz="12" w:space="0" w:color="000000"/>
              <w:left w:val="single" w:sz="12" w:space="0" w:color="000000"/>
              <w:bottom w:val="single" w:sz="12" w:space="0" w:color="000000"/>
              <w:right w:val="single" w:sz="8" w:space="0" w:color="000000"/>
            </w:tcBorders>
            <w:vAlign w:val="center"/>
            <w:hideMark/>
          </w:tcPr>
          <w:p w14:paraId="7554D316"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14:paraId="5232DB24"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8" w:space="0" w:color="000000"/>
              <w:left w:val="single" w:sz="8" w:space="0" w:color="000000"/>
              <w:bottom w:val="single" w:sz="12" w:space="0" w:color="000000"/>
              <w:right w:val="single" w:sz="8" w:space="0" w:color="000000"/>
            </w:tcBorders>
            <w:shd w:val="clear" w:color="auto" w:fill="FCFCFC"/>
            <w:tcMar>
              <w:top w:w="40" w:type="dxa"/>
              <w:left w:w="40" w:type="dxa"/>
              <w:bottom w:w="40" w:type="dxa"/>
              <w:right w:w="40" w:type="dxa"/>
            </w:tcMar>
            <w:vAlign w:val="center"/>
            <w:hideMark/>
          </w:tcPr>
          <w:p w14:paraId="040DE08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Prácticas socio-comunitarias obligatorias, docencia en comunidad</w:t>
            </w:r>
          </w:p>
        </w:tc>
        <w:tc>
          <w:tcPr>
            <w:tcW w:w="0" w:type="auto"/>
            <w:tcBorders>
              <w:top w:val="single" w:sz="8" w:space="0" w:color="000000"/>
              <w:left w:val="single" w:sz="8"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236A61F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Integración curricular</w:t>
            </w:r>
          </w:p>
        </w:tc>
      </w:tr>
    </w:tbl>
    <w:p w14:paraId="6B1C055E" w14:textId="77777777" w:rsidR="004F1F42"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Fuente: elaboración propia en iteración con asistente IA, en base a Malatesta, 2010; Tommasino y Cano 2016; López, 2020 y Buchbinder, 2022.</w:t>
      </w:r>
    </w:p>
    <w:p w14:paraId="21F08B7A" w14:textId="7A14B9D3" w:rsidR="004774B4" w:rsidRPr="004774B4" w:rsidRDefault="004774B4" w:rsidP="004774B4">
      <w:pPr>
        <w:spacing w:line="240" w:lineRule="auto"/>
        <w:jc w:val="both"/>
        <w:rPr>
          <w:rFonts w:ascii="Times New Roman" w:hAnsi="Times New Roman" w:cs="Times New Roman"/>
          <w:lang w:val="es-AR"/>
        </w:rPr>
      </w:pPr>
    </w:p>
    <w:p w14:paraId="0526FC5D" w14:textId="33977A14"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La Tabla 1.1 resume los sentidos asignados a la extensión </w:t>
      </w:r>
      <w:r w:rsidR="00BD211E" w:rsidRPr="004774B4">
        <w:rPr>
          <w:rFonts w:ascii="Times New Roman" w:hAnsi="Times New Roman" w:cs="Times New Roman"/>
          <w:lang w:val="es-AR"/>
        </w:rPr>
        <w:t>de acuerdo con</w:t>
      </w:r>
      <w:r w:rsidRPr="004774B4">
        <w:rPr>
          <w:rFonts w:ascii="Times New Roman" w:hAnsi="Times New Roman" w:cs="Times New Roman"/>
          <w:lang w:val="es-AR"/>
        </w:rPr>
        <w:t xml:space="preserve"> la evolución histórica presentada en el apartado anterior. </w:t>
      </w:r>
      <w:r w:rsidR="00BD211E" w:rsidRPr="004774B4">
        <w:rPr>
          <w:rFonts w:ascii="Times New Roman" w:hAnsi="Times New Roman" w:cs="Times New Roman"/>
          <w:lang w:val="es-AR"/>
        </w:rPr>
        <w:t>Además,</w:t>
      </w:r>
      <w:r w:rsidRPr="004774B4">
        <w:rPr>
          <w:rFonts w:ascii="Times New Roman" w:hAnsi="Times New Roman" w:cs="Times New Roman"/>
          <w:lang w:val="es-AR"/>
        </w:rPr>
        <w:t xml:space="preserve"> lista las actividades en las que se concretó la tercera misión e incorpora una columna que presenta categorías, aún en exploración, para agrupar las actividades de extensión más por sus finalidades que por sus destinatarios o dependencias institucionales.</w:t>
      </w:r>
    </w:p>
    <w:p w14:paraId="43AC3A80"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En una lectura vertical de la tabla puede observarse en primer término la transformación de los sentidos o propósitos de la extensión. El cambio es leve entre los Orígenes y la Conformación de la tradición universitaria nacional y permite (por eso mismo) destacar una continuidad en las finalidades de la extensión. El avance en la misma dirección evidencia una profundización de los sentidos fundacionales de la tarea extensionista que, podría explicarse por el proceso más general de consolidación social de la institución universitaria y por el enraizamiento de la universidad y los universitarios como actores (colectivos e individuales) claves para el desarrollo de la nación. </w:t>
      </w:r>
    </w:p>
    <w:p w14:paraId="414D1B9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Por otra parte, entre los dos grandes períodos que se separan a mediados del siglo XX, la Tabla 1.1 evidencia que los cambios van en otra dirección. En línea con procesos de coyuntura (que no son objeto de este trabajo) los propósitos de la extensión se amplían y modifican incluyendo entre el conjunto de destinatarios a organizaciones no estatales y en lugar del pueblo o la nación, aparece la comunidad definiendo a la vez sujetos, espacios y ámbitos para la acción extensionista. Esto último puede leerse en línea con el proceso de construcción de la idea de </w:t>
      </w:r>
      <w:r w:rsidRPr="004774B4">
        <w:rPr>
          <w:rFonts w:ascii="Times New Roman" w:hAnsi="Times New Roman" w:cs="Times New Roman"/>
          <w:i/>
          <w:iCs/>
          <w:lang w:val="es-AR"/>
        </w:rPr>
        <w:t>territorio</w:t>
      </w:r>
      <w:r w:rsidRPr="004774B4">
        <w:rPr>
          <w:rFonts w:ascii="Times New Roman" w:hAnsi="Times New Roman" w:cs="Times New Roman"/>
          <w:lang w:val="es-AR"/>
        </w:rPr>
        <w:t xml:space="preserve"> </w:t>
      </w:r>
      <w:r w:rsidRPr="004774B4">
        <w:rPr>
          <w:rFonts w:ascii="Times New Roman" w:hAnsi="Times New Roman" w:cs="Times New Roman"/>
          <w:i/>
          <w:iCs/>
          <w:lang w:val="es-AR"/>
        </w:rPr>
        <w:t>de la universidad</w:t>
      </w:r>
      <w:r w:rsidRPr="004774B4">
        <w:rPr>
          <w:rFonts w:ascii="Times New Roman" w:hAnsi="Times New Roman" w:cs="Times New Roman"/>
          <w:lang w:val="es-AR"/>
        </w:rPr>
        <w:t xml:space="preserve"> como espacio circundante, delimitado, habitado por una parte del pueblo de la nación que experimenta cotidianamente los avatares propios de ese espacio. Esa concepción del territorio</w:t>
      </w:r>
      <w:r w:rsidRPr="004774B4">
        <w:rPr>
          <w:rFonts w:ascii="Times New Roman" w:hAnsi="Times New Roman" w:cs="Times New Roman"/>
          <w:i/>
          <w:iCs/>
          <w:lang w:val="es-AR"/>
        </w:rPr>
        <w:t xml:space="preserve"> </w:t>
      </w:r>
      <w:r w:rsidRPr="004774B4">
        <w:rPr>
          <w:rFonts w:ascii="Times New Roman" w:hAnsi="Times New Roman" w:cs="Times New Roman"/>
          <w:lang w:val="es-AR"/>
        </w:rPr>
        <w:t>se desarrolla al calor de las últimas olas de expansión del sistema y transforma las relaciones de la universidad con la sociedad para las nuevas casas de estudio a la vez interpela las concepciones territoriales del conjunto de UUNN ya existentes (Rinesi, 2016).</w:t>
      </w:r>
    </w:p>
    <w:p w14:paraId="46292B14" w14:textId="785AB679"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Por otra </w:t>
      </w:r>
      <w:r w:rsidR="00BD211E" w:rsidRPr="004774B4">
        <w:rPr>
          <w:rFonts w:ascii="Times New Roman" w:hAnsi="Times New Roman" w:cs="Times New Roman"/>
          <w:lang w:val="es-AR"/>
        </w:rPr>
        <w:t>parte,</w:t>
      </w:r>
      <w:r w:rsidRPr="004774B4">
        <w:rPr>
          <w:rFonts w:ascii="Times New Roman" w:hAnsi="Times New Roman" w:cs="Times New Roman"/>
          <w:lang w:val="es-AR"/>
        </w:rPr>
        <w:t xml:space="preserve"> y a despecho del carácter de esos cambios, los tipos de actividades de extensión tienden a permanecer. Las acciones que se pudieron identificar en este trabajo son recurrentes en el desarrollo histórico de la tercera misión y pueden organizarse grupos que se diferencian entre sí por el modo en que dan concreción a la función social de la universidad. En la Tabla 1.1 se observa el modo en que la incorporación de nuevos tipos de acción extensionista no elimina el repertorio ya existente, sino que se suma a él. Así, las variadas actividades con que los universitarios y las universidades difunden la ciencia y la cultura tienen incorporaciones en todos los periodos a la vez que se sostiene la realización de actividades que dieron origen a la extensión en la universidad argentina. Por ejemplo, la difusión concentrada en conferencias a comienzos de </w:t>
      </w:r>
      <w:r w:rsidR="00BD211E" w:rsidRPr="004774B4">
        <w:rPr>
          <w:rFonts w:ascii="Times New Roman" w:hAnsi="Times New Roman" w:cs="Times New Roman"/>
          <w:lang w:val="es-AR"/>
        </w:rPr>
        <w:t>siglo</w:t>
      </w:r>
      <w:r w:rsidRPr="004774B4">
        <w:rPr>
          <w:rFonts w:ascii="Times New Roman" w:hAnsi="Times New Roman" w:cs="Times New Roman"/>
          <w:lang w:val="es-AR"/>
        </w:rPr>
        <w:t xml:space="preserve"> puede verse expresada también en ciclos radiales desde la segunda década del siglo XX y en publicaciones de editoriales universitarias desde comienzos de la quinta. Análisis en profundidad quedan aún pendientes, pero en esta primera sistematización puede </w:t>
      </w:r>
      <w:r w:rsidRPr="004774B4">
        <w:rPr>
          <w:rFonts w:ascii="Times New Roman" w:hAnsi="Times New Roman" w:cs="Times New Roman"/>
          <w:lang w:val="es-AR"/>
        </w:rPr>
        <w:lastRenderedPageBreak/>
        <w:t>postularse la persistencia transepocal de un quehacer extensionista que va acumulando actividades a la vez que resignifica sus sentidos. </w:t>
      </w:r>
    </w:p>
    <w:p w14:paraId="34667E5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Para poder avanzar sobre una contrastación parcial de estas ideas, se realizó un relevamiento de las actividades de extensión que, según las publicaciones de sus páginas web, desarrollan actualmente algunas de las universidades nacionales del SUA. Se trabajó con una muestra intencional que buscó equilibrarse a partir de la consideración de tres criterios: la variedad regional, la diversidad en términos de tamaño y carreras y la presencia de UUNN creadas en todas las olas de expansión del sistema. Se seleccionaron 7 universidades:</w:t>
      </w:r>
    </w:p>
    <w:p w14:paraId="5B090ABF" w14:textId="77777777" w:rsidR="004774B4" w:rsidRPr="004774B4" w:rsidRDefault="004774B4" w:rsidP="004774B4">
      <w:pPr>
        <w:spacing w:line="240" w:lineRule="auto"/>
        <w:jc w:val="both"/>
        <w:rPr>
          <w:rFonts w:ascii="Times New Roman" w:hAnsi="Times New Roman" w:cs="Times New Roman"/>
          <w:lang w:val="es-AR"/>
        </w:rPr>
      </w:pPr>
    </w:p>
    <w:p w14:paraId="04EE1E0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Tabla 1.2. Muestra intencional de UUNN</w:t>
      </w:r>
    </w:p>
    <w:tbl>
      <w:tblPr>
        <w:tblW w:w="0" w:type="auto"/>
        <w:tblCellMar>
          <w:top w:w="15" w:type="dxa"/>
          <w:left w:w="15" w:type="dxa"/>
          <w:bottom w:w="15" w:type="dxa"/>
          <w:right w:w="15" w:type="dxa"/>
        </w:tblCellMar>
        <w:tblLook w:val="04A0" w:firstRow="1" w:lastRow="0" w:firstColumn="1" w:lastColumn="0" w:noHBand="0" w:noVBand="1"/>
      </w:tblPr>
      <w:tblGrid>
        <w:gridCol w:w="3158"/>
        <w:gridCol w:w="1419"/>
        <w:gridCol w:w="1617"/>
        <w:gridCol w:w="920"/>
        <w:gridCol w:w="1360"/>
      </w:tblGrid>
      <w:tr w:rsidR="004774B4" w:rsidRPr="004774B4" w14:paraId="445496A0" w14:textId="77777777">
        <w:trPr>
          <w:trHeight w:val="345"/>
        </w:trPr>
        <w:tc>
          <w:tcPr>
            <w:tcW w:w="0" w:type="auto"/>
            <w:tcBorders>
              <w:top w:val="single" w:sz="12" w:space="0" w:color="000000"/>
              <w:left w:val="single" w:sz="12" w:space="0" w:color="000000"/>
              <w:bottom w:val="single" w:sz="12" w:space="0" w:color="000000"/>
              <w:right w:val="single" w:sz="4" w:space="0" w:color="000000"/>
            </w:tcBorders>
            <w:shd w:val="clear" w:color="auto" w:fill="D9D9D9"/>
            <w:tcMar>
              <w:top w:w="40" w:type="dxa"/>
              <w:left w:w="40" w:type="dxa"/>
              <w:bottom w:w="40" w:type="dxa"/>
              <w:right w:w="40" w:type="dxa"/>
            </w:tcMar>
            <w:vAlign w:val="bottom"/>
            <w:hideMark/>
          </w:tcPr>
          <w:p w14:paraId="3E01ACF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Universidad</w:t>
            </w:r>
          </w:p>
        </w:tc>
        <w:tc>
          <w:tcPr>
            <w:tcW w:w="0" w:type="auto"/>
            <w:tcBorders>
              <w:top w:val="single" w:sz="12" w:space="0" w:color="000000"/>
              <w:left w:val="single" w:sz="4" w:space="0" w:color="000000"/>
              <w:bottom w:val="single" w:sz="12" w:space="0" w:color="000000"/>
              <w:right w:val="single" w:sz="4" w:space="0" w:color="000000"/>
            </w:tcBorders>
            <w:shd w:val="clear" w:color="auto" w:fill="D9D9D9"/>
            <w:tcMar>
              <w:top w:w="40" w:type="dxa"/>
              <w:left w:w="40" w:type="dxa"/>
              <w:bottom w:w="40" w:type="dxa"/>
              <w:right w:w="40" w:type="dxa"/>
            </w:tcMar>
            <w:vAlign w:val="bottom"/>
            <w:hideMark/>
          </w:tcPr>
          <w:p w14:paraId="61550D5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Fundación</w:t>
            </w:r>
          </w:p>
        </w:tc>
        <w:tc>
          <w:tcPr>
            <w:tcW w:w="0" w:type="auto"/>
            <w:tcBorders>
              <w:top w:val="single" w:sz="12" w:space="0" w:color="000000"/>
              <w:left w:val="single" w:sz="4" w:space="0" w:color="000000"/>
              <w:bottom w:val="single" w:sz="12" w:space="0" w:color="000000"/>
              <w:right w:val="single" w:sz="4" w:space="0" w:color="000000"/>
            </w:tcBorders>
            <w:shd w:val="clear" w:color="auto" w:fill="D9D9D9"/>
            <w:tcMar>
              <w:top w:w="40" w:type="dxa"/>
              <w:left w:w="40" w:type="dxa"/>
              <w:bottom w:w="40" w:type="dxa"/>
              <w:right w:w="40" w:type="dxa"/>
            </w:tcMar>
            <w:vAlign w:val="bottom"/>
            <w:hideMark/>
          </w:tcPr>
          <w:p w14:paraId="16EEAB3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Localización</w:t>
            </w:r>
          </w:p>
        </w:tc>
        <w:tc>
          <w:tcPr>
            <w:tcW w:w="0" w:type="auto"/>
            <w:tcBorders>
              <w:top w:val="single" w:sz="12" w:space="0" w:color="000000"/>
              <w:left w:val="single" w:sz="4" w:space="0" w:color="000000"/>
              <w:bottom w:val="single" w:sz="12" w:space="0" w:color="000000"/>
              <w:right w:val="single" w:sz="4" w:space="0" w:color="000000"/>
            </w:tcBorders>
            <w:shd w:val="clear" w:color="auto" w:fill="D9D9D9"/>
            <w:tcMar>
              <w:top w:w="40" w:type="dxa"/>
              <w:left w:w="40" w:type="dxa"/>
              <w:bottom w:w="40" w:type="dxa"/>
              <w:right w:w="40" w:type="dxa"/>
            </w:tcMar>
            <w:vAlign w:val="bottom"/>
            <w:hideMark/>
          </w:tcPr>
          <w:p w14:paraId="5D2BFFB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Tamaño</w:t>
            </w:r>
          </w:p>
        </w:tc>
        <w:tc>
          <w:tcPr>
            <w:tcW w:w="0" w:type="auto"/>
            <w:tcBorders>
              <w:top w:val="single" w:sz="12" w:space="0" w:color="000000"/>
              <w:left w:val="single" w:sz="4" w:space="0" w:color="000000"/>
              <w:bottom w:val="single" w:sz="12" w:space="0" w:color="000000"/>
              <w:right w:val="single" w:sz="12" w:space="0" w:color="000000"/>
            </w:tcBorders>
            <w:shd w:val="clear" w:color="auto" w:fill="D9D9D9"/>
            <w:tcMar>
              <w:top w:w="40" w:type="dxa"/>
              <w:left w:w="40" w:type="dxa"/>
              <w:bottom w:w="40" w:type="dxa"/>
              <w:right w:w="40" w:type="dxa"/>
            </w:tcMar>
            <w:vAlign w:val="bottom"/>
            <w:hideMark/>
          </w:tcPr>
          <w:p w14:paraId="7BFD6D3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Oferta</w:t>
            </w:r>
          </w:p>
        </w:tc>
      </w:tr>
      <w:tr w:rsidR="004774B4" w:rsidRPr="004774B4" w14:paraId="22552757" w14:textId="77777777">
        <w:trPr>
          <w:trHeight w:val="315"/>
        </w:trPr>
        <w:tc>
          <w:tcPr>
            <w:tcW w:w="0" w:type="auto"/>
            <w:tcBorders>
              <w:top w:val="single" w:sz="12" w:space="0" w:color="000000"/>
              <w:left w:val="single" w:sz="12"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7C234D7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Tucumán (UNT)</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715FCA2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1912</w:t>
            </w:r>
          </w:p>
          <w:p w14:paraId="02DB718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Periodo fundacional</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379EC11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NOA</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6061D3D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Grande</w:t>
            </w:r>
          </w:p>
        </w:tc>
        <w:tc>
          <w:tcPr>
            <w:tcW w:w="0" w:type="auto"/>
            <w:tcBorders>
              <w:top w:val="single" w:sz="12" w:space="0" w:color="000000"/>
              <w:left w:val="single" w:sz="4" w:space="0" w:color="000000"/>
              <w:bottom w:val="single" w:sz="4" w:space="0" w:color="000000"/>
              <w:right w:val="single" w:sz="12" w:space="0" w:color="000000"/>
            </w:tcBorders>
            <w:shd w:val="clear" w:color="auto" w:fill="FFFFFF"/>
            <w:tcMar>
              <w:top w:w="40" w:type="dxa"/>
              <w:left w:w="40" w:type="dxa"/>
              <w:bottom w:w="40" w:type="dxa"/>
              <w:right w:w="40" w:type="dxa"/>
            </w:tcMar>
            <w:vAlign w:val="bottom"/>
            <w:hideMark/>
          </w:tcPr>
          <w:p w14:paraId="2409AD9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Comprensiva</w:t>
            </w:r>
          </w:p>
        </w:tc>
      </w:tr>
      <w:tr w:rsidR="004774B4" w:rsidRPr="004774B4" w14:paraId="4684169B" w14:textId="77777777">
        <w:trPr>
          <w:trHeight w:val="300"/>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37D2F1E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del Litoral (UNL)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3296CE5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1919</w:t>
            </w:r>
          </w:p>
          <w:p w14:paraId="5E77760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Periodo fundacional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27F8369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Litoral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7852702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Grande</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40" w:type="dxa"/>
              <w:left w:w="40" w:type="dxa"/>
              <w:bottom w:w="40" w:type="dxa"/>
              <w:right w:w="40" w:type="dxa"/>
            </w:tcMar>
            <w:vAlign w:val="bottom"/>
            <w:hideMark/>
          </w:tcPr>
          <w:p w14:paraId="0DA6793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Comprensiva</w:t>
            </w:r>
          </w:p>
        </w:tc>
      </w:tr>
      <w:tr w:rsidR="004774B4" w:rsidRPr="004774B4" w14:paraId="41996751" w14:textId="77777777">
        <w:trPr>
          <w:trHeight w:val="330"/>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54640EE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Río Cuarto (UNRC)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1D9D730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1971</w:t>
            </w:r>
          </w:p>
          <w:p w14:paraId="3C53116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Primera ola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59CFCD9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Centro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14103CD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Mediana</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40" w:type="dxa"/>
              <w:left w:w="40" w:type="dxa"/>
              <w:bottom w:w="40" w:type="dxa"/>
              <w:right w:w="40" w:type="dxa"/>
            </w:tcMar>
            <w:vAlign w:val="bottom"/>
            <w:hideMark/>
          </w:tcPr>
          <w:p w14:paraId="4DFB6D3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Comprensiva</w:t>
            </w:r>
          </w:p>
        </w:tc>
      </w:tr>
      <w:tr w:rsidR="004774B4" w:rsidRPr="004774B4" w14:paraId="110AD712" w14:textId="77777777">
        <w:trPr>
          <w:trHeight w:val="330"/>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351D58D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General Sarmiento (UNGS)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41E5A504"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1992</w:t>
            </w:r>
          </w:p>
          <w:p w14:paraId="21F868C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Segunda ola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51D8DB28"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Conurbano Bonaerense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075C7C34"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Mediana</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40" w:type="dxa"/>
              <w:left w:w="40" w:type="dxa"/>
              <w:bottom w:w="40" w:type="dxa"/>
              <w:right w:w="40" w:type="dxa"/>
            </w:tcMar>
            <w:vAlign w:val="bottom"/>
            <w:hideMark/>
          </w:tcPr>
          <w:p w14:paraId="0215953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Focalizada</w:t>
            </w:r>
          </w:p>
        </w:tc>
      </w:tr>
      <w:tr w:rsidR="004774B4" w:rsidRPr="004774B4" w14:paraId="06447E82" w14:textId="77777777">
        <w:trPr>
          <w:trHeight w:val="330"/>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67E990D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José C. Paz (UNPAZ)</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0665E3D8"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2009 </w:t>
            </w:r>
          </w:p>
          <w:p w14:paraId="0DE28C3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Tercera ola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472AF7E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Conurbano Bonaerense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5674F01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Mediana</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40" w:type="dxa"/>
              <w:left w:w="40" w:type="dxa"/>
              <w:bottom w:w="40" w:type="dxa"/>
              <w:right w:w="40" w:type="dxa"/>
            </w:tcMar>
            <w:vAlign w:val="bottom"/>
            <w:hideMark/>
          </w:tcPr>
          <w:p w14:paraId="5F2AC13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Focalizada</w:t>
            </w:r>
          </w:p>
        </w:tc>
      </w:tr>
      <w:tr w:rsidR="004774B4" w:rsidRPr="004774B4" w14:paraId="432C6E4A" w14:textId="77777777">
        <w:trPr>
          <w:trHeight w:val="330"/>
        </w:trPr>
        <w:tc>
          <w:tcPr>
            <w:tcW w:w="0" w:type="auto"/>
            <w:tcBorders>
              <w:top w:val="single" w:sz="4" w:space="0" w:color="000000"/>
              <w:left w:val="single" w:sz="12" w:space="0" w:color="000000"/>
              <w:bottom w:val="single" w:sz="8" w:space="0" w:color="000000"/>
              <w:right w:val="single" w:sz="4" w:space="0" w:color="000000"/>
            </w:tcBorders>
            <w:shd w:val="clear" w:color="auto" w:fill="FFFFFF"/>
            <w:tcMar>
              <w:top w:w="40" w:type="dxa"/>
              <w:left w:w="40" w:type="dxa"/>
              <w:bottom w:w="40" w:type="dxa"/>
              <w:right w:w="40" w:type="dxa"/>
            </w:tcMar>
            <w:vAlign w:val="bottom"/>
            <w:hideMark/>
          </w:tcPr>
          <w:p w14:paraId="0CB5F4E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Tierra del Fuego, Antártida e Islas del Atlántico Sur (UNTDF)</w:t>
            </w:r>
          </w:p>
        </w:tc>
        <w:tc>
          <w:tcPr>
            <w:tcW w:w="0" w:type="auto"/>
            <w:tcBorders>
              <w:top w:val="single" w:sz="4" w:space="0" w:color="000000"/>
              <w:left w:val="single" w:sz="4" w:space="0" w:color="000000"/>
              <w:bottom w:val="single" w:sz="8" w:space="0" w:color="000000"/>
              <w:right w:val="single" w:sz="4" w:space="0" w:color="000000"/>
            </w:tcBorders>
            <w:shd w:val="clear" w:color="auto" w:fill="FFFFFF"/>
            <w:tcMar>
              <w:top w:w="40" w:type="dxa"/>
              <w:left w:w="40" w:type="dxa"/>
              <w:bottom w:w="40" w:type="dxa"/>
              <w:right w:w="40" w:type="dxa"/>
            </w:tcMar>
            <w:vAlign w:val="bottom"/>
            <w:hideMark/>
          </w:tcPr>
          <w:p w14:paraId="3B820EA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2009</w:t>
            </w:r>
          </w:p>
          <w:p w14:paraId="0779CFE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Tercera ola</w:t>
            </w:r>
          </w:p>
        </w:tc>
        <w:tc>
          <w:tcPr>
            <w:tcW w:w="0" w:type="auto"/>
            <w:tcBorders>
              <w:top w:val="single" w:sz="4" w:space="0" w:color="000000"/>
              <w:left w:val="single" w:sz="4" w:space="0" w:color="000000"/>
              <w:bottom w:val="single" w:sz="8" w:space="0" w:color="000000"/>
              <w:right w:val="single" w:sz="4" w:space="0" w:color="000000"/>
            </w:tcBorders>
            <w:shd w:val="clear" w:color="auto" w:fill="FFFFFF"/>
            <w:tcMar>
              <w:top w:w="40" w:type="dxa"/>
              <w:left w:w="40" w:type="dxa"/>
              <w:bottom w:w="40" w:type="dxa"/>
              <w:right w:w="40" w:type="dxa"/>
            </w:tcMar>
            <w:vAlign w:val="bottom"/>
            <w:hideMark/>
          </w:tcPr>
          <w:p w14:paraId="672893B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Patagonia</w:t>
            </w:r>
          </w:p>
        </w:tc>
        <w:tc>
          <w:tcPr>
            <w:tcW w:w="0" w:type="auto"/>
            <w:tcBorders>
              <w:top w:val="single" w:sz="4" w:space="0" w:color="000000"/>
              <w:left w:val="single" w:sz="4" w:space="0" w:color="000000"/>
              <w:bottom w:val="single" w:sz="8" w:space="0" w:color="000000"/>
              <w:right w:val="single" w:sz="4" w:space="0" w:color="000000"/>
            </w:tcBorders>
            <w:shd w:val="clear" w:color="auto" w:fill="FFFFFF"/>
            <w:tcMar>
              <w:top w:w="40" w:type="dxa"/>
              <w:left w:w="40" w:type="dxa"/>
              <w:bottom w:w="40" w:type="dxa"/>
              <w:right w:w="40" w:type="dxa"/>
            </w:tcMar>
            <w:vAlign w:val="bottom"/>
            <w:hideMark/>
          </w:tcPr>
          <w:p w14:paraId="1AB807C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Pequeña</w:t>
            </w:r>
          </w:p>
        </w:tc>
        <w:tc>
          <w:tcPr>
            <w:tcW w:w="0" w:type="auto"/>
            <w:tcBorders>
              <w:top w:val="single" w:sz="4" w:space="0" w:color="000000"/>
              <w:left w:val="single" w:sz="4" w:space="0" w:color="000000"/>
              <w:bottom w:val="single" w:sz="8" w:space="0" w:color="000000"/>
              <w:right w:val="single" w:sz="12" w:space="0" w:color="000000"/>
            </w:tcBorders>
            <w:shd w:val="clear" w:color="auto" w:fill="FFFFFF"/>
            <w:tcMar>
              <w:top w:w="40" w:type="dxa"/>
              <w:left w:w="40" w:type="dxa"/>
              <w:bottom w:w="40" w:type="dxa"/>
              <w:right w:w="40" w:type="dxa"/>
            </w:tcMar>
            <w:vAlign w:val="bottom"/>
            <w:hideMark/>
          </w:tcPr>
          <w:p w14:paraId="210E785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Focalizada</w:t>
            </w:r>
          </w:p>
        </w:tc>
      </w:tr>
      <w:tr w:rsidR="004774B4" w:rsidRPr="004774B4" w14:paraId="0C0DB7B0" w14:textId="77777777">
        <w:trPr>
          <w:trHeight w:val="330"/>
        </w:trPr>
        <w:tc>
          <w:tcPr>
            <w:tcW w:w="0" w:type="auto"/>
            <w:tcBorders>
              <w:top w:val="single" w:sz="8" w:space="0" w:color="000000"/>
              <w:left w:val="single" w:sz="12" w:space="0" w:color="000000"/>
              <w:bottom w:val="single" w:sz="12" w:space="0" w:color="000000"/>
              <w:right w:val="single" w:sz="4" w:space="0" w:color="000000"/>
            </w:tcBorders>
            <w:shd w:val="clear" w:color="auto" w:fill="FFFFFF"/>
            <w:tcMar>
              <w:top w:w="40" w:type="dxa"/>
              <w:left w:w="40" w:type="dxa"/>
              <w:bottom w:w="40" w:type="dxa"/>
              <w:right w:w="40" w:type="dxa"/>
            </w:tcMar>
            <w:vAlign w:val="bottom"/>
            <w:hideMark/>
          </w:tcPr>
          <w:p w14:paraId="1A8FD2F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Hurlingham (UNAHUR)</w:t>
            </w:r>
          </w:p>
        </w:tc>
        <w:tc>
          <w:tcPr>
            <w:tcW w:w="0" w:type="auto"/>
            <w:tcBorders>
              <w:top w:val="single" w:sz="8" w:space="0" w:color="000000"/>
              <w:left w:val="single" w:sz="4" w:space="0" w:color="000000"/>
              <w:bottom w:val="single" w:sz="12" w:space="0" w:color="000000"/>
              <w:right w:val="single" w:sz="4" w:space="0" w:color="000000"/>
            </w:tcBorders>
            <w:shd w:val="clear" w:color="auto" w:fill="FFFFFF"/>
            <w:tcMar>
              <w:top w:w="40" w:type="dxa"/>
              <w:left w:w="40" w:type="dxa"/>
              <w:bottom w:w="40" w:type="dxa"/>
              <w:right w:w="40" w:type="dxa"/>
            </w:tcMar>
            <w:vAlign w:val="bottom"/>
            <w:hideMark/>
          </w:tcPr>
          <w:p w14:paraId="1A9C3B0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2014</w:t>
            </w:r>
          </w:p>
          <w:p w14:paraId="769115F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Tercera ola</w:t>
            </w:r>
          </w:p>
        </w:tc>
        <w:tc>
          <w:tcPr>
            <w:tcW w:w="0" w:type="auto"/>
            <w:tcBorders>
              <w:top w:val="single" w:sz="8" w:space="0" w:color="000000"/>
              <w:left w:val="single" w:sz="4" w:space="0" w:color="000000"/>
              <w:bottom w:val="single" w:sz="12" w:space="0" w:color="000000"/>
              <w:right w:val="single" w:sz="4" w:space="0" w:color="000000"/>
            </w:tcBorders>
            <w:shd w:val="clear" w:color="auto" w:fill="FFFFFF"/>
            <w:tcMar>
              <w:top w:w="40" w:type="dxa"/>
              <w:left w:w="40" w:type="dxa"/>
              <w:bottom w:w="40" w:type="dxa"/>
              <w:right w:w="40" w:type="dxa"/>
            </w:tcMar>
            <w:vAlign w:val="bottom"/>
            <w:hideMark/>
          </w:tcPr>
          <w:p w14:paraId="37058FA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Conurbano Bonaerense</w:t>
            </w:r>
          </w:p>
        </w:tc>
        <w:tc>
          <w:tcPr>
            <w:tcW w:w="0" w:type="auto"/>
            <w:tcBorders>
              <w:top w:val="single" w:sz="8" w:space="0" w:color="000000"/>
              <w:left w:val="single" w:sz="4" w:space="0" w:color="000000"/>
              <w:bottom w:val="single" w:sz="12" w:space="0" w:color="000000"/>
              <w:right w:val="single" w:sz="4" w:space="0" w:color="000000"/>
            </w:tcBorders>
            <w:shd w:val="clear" w:color="auto" w:fill="FFFFFF"/>
            <w:tcMar>
              <w:top w:w="40" w:type="dxa"/>
              <w:left w:w="40" w:type="dxa"/>
              <w:bottom w:w="40" w:type="dxa"/>
              <w:right w:w="40" w:type="dxa"/>
            </w:tcMar>
            <w:vAlign w:val="bottom"/>
            <w:hideMark/>
          </w:tcPr>
          <w:p w14:paraId="6B66015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Mediana</w:t>
            </w:r>
          </w:p>
        </w:tc>
        <w:tc>
          <w:tcPr>
            <w:tcW w:w="0" w:type="auto"/>
            <w:tcBorders>
              <w:top w:val="single" w:sz="8" w:space="0" w:color="000000"/>
              <w:left w:val="single" w:sz="4" w:space="0" w:color="000000"/>
              <w:bottom w:val="single" w:sz="12" w:space="0" w:color="000000"/>
              <w:right w:val="single" w:sz="12" w:space="0" w:color="000000"/>
            </w:tcBorders>
            <w:shd w:val="clear" w:color="auto" w:fill="FFFFFF"/>
            <w:tcMar>
              <w:top w:w="40" w:type="dxa"/>
              <w:left w:w="40" w:type="dxa"/>
              <w:bottom w:w="40" w:type="dxa"/>
              <w:right w:w="40" w:type="dxa"/>
            </w:tcMar>
            <w:vAlign w:val="bottom"/>
            <w:hideMark/>
          </w:tcPr>
          <w:p w14:paraId="434D6AF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Focalizada</w:t>
            </w:r>
          </w:p>
        </w:tc>
      </w:tr>
    </w:tbl>
    <w:p w14:paraId="054C9DA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Fuente: elaboración propia en iteración con asistente IA</w:t>
      </w:r>
    </w:p>
    <w:p w14:paraId="6747CFED" w14:textId="77777777" w:rsidR="004774B4" w:rsidRPr="004774B4" w:rsidRDefault="004774B4" w:rsidP="004774B4">
      <w:pPr>
        <w:spacing w:line="240" w:lineRule="auto"/>
        <w:jc w:val="both"/>
        <w:rPr>
          <w:rFonts w:ascii="Times New Roman" w:hAnsi="Times New Roman" w:cs="Times New Roman"/>
          <w:lang w:val="es-AR"/>
        </w:rPr>
      </w:pPr>
    </w:p>
    <w:p w14:paraId="490097E8" w14:textId="70D28070"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 xml:space="preserve">La búsqueda en las páginas web de las UUNN de la muestra, arrojó los resultados que se presentan en la Tabla 1.3, aunque resulta importante observar algunos obstáculos y limitaciones emergidas en el relevamiento. En cuanto a éstas últimas, es importante considerar que los sitios web pueden presentar información desactualizada por lo que en este relevamiento podrían enumerarse tanto actividades que no se estén desarrollando actualmente como actividades que no sean visibles en esa “vidriera digital” que son las páginas web. Esta </w:t>
      </w:r>
      <w:r w:rsidR="00BD211E" w:rsidRPr="004774B4">
        <w:rPr>
          <w:rFonts w:ascii="Times New Roman" w:hAnsi="Times New Roman" w:cs="Times New Roman"/>
          <w:lang w:val="es-AR"/>
        </w:rPr>
        <w:t>limitación,</w:t>
      </w:r>
      <w:r w:rsidRPr="004774B4">
        <w:rPr>
          <w:rFonts w:ascii="Times New Roman" w:hAnsi="Times New Roman" w:cs="Times New Roman"/>
          <w:lang w:val="es-AR"/>
        </w:rPr>
        <w:t xml:space="preserve"> sin embargo, no resulta grave para este trabajo, dado que no se busca obtener una foto exhaustiva del quehacer de cada universidad, sino conocer en general el repertorio de actividades con el que contemporáneamente se concreta la tercera misión para observar cambios y continuidades y para contrastar las categorías construidas en el apartado anterior. Por otra </w:t>
      </w:r>
      <w:r w:rsidR="00BD211E" w:rsidRPr="004774B4">
        <w:rPr>
          <w:rFonts w:ascii="Times New Roman" w:hAnsi="Times New Roman" w:cs="Times New Roman"/>
          <w:lang w:val="es-AR"/>
        </w:rPr>
        <w:t>parte,</w:t>
      </w:r>
      <w:r w:rsidRPr="004774B4">
        <w:rPr>
          <w:rFonts w:ascii="Times New Roman" w:hAnsi="Times New Roman" w:cs="Times New Roman"/>
          <w:lang w:val="es-AR"/>
        </w:rPr>
        <w:t xml:space="preserve"> y entre los obstáculos más relevantes debe señalarse que la lógica comunicacional de los sitios web responde a necesidades, priorizaciones y arquitecturas institucionales que son diversas en todos los casos y que no necesariamente se alinean con la concepción amplia de extensión que se pone en juego en este trabajo, por lo que en desarrollos posteriores la búsqueda deberá expandirse revisando criterios y parámetros. </w:t>
      </w:r>
    </w:p>
    <w:p w14:paraId="36D06CD5" w14:textId="77777777" w:rsidR="004774B4" w:rsidRPr="004774B4" w:rsidRDefault="004774B4" w:rsidP="004774B4">
      <w:pPr>
        <w:spacing w:line="240" w:lineRule="auto"/>
        <w:jc w:val="both"/>
        <w:rPr>
          <w:rFonts w:ascii="Times New Roman" w:hAnsi="Times New Roman" w:cs="Times New Roman"/>
          <w:lang w:val="es-AR"/>
        </w:rPr>
      </w:pPr>
    </w:p>
    <w:p w14:paraId="74EC0124"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Tabla 1.3. La tercera misión en la vidriera digital de 7 universidades nacionales</w:t>
      </w:r>
    </w:p>
    <w:tbl>
      <w:tblPr>
        <w:tblW w:w="0" w:type="auto"/>
        <w:tblCellMar>
          <w:top w:w="15" w:type="dxa"/>
          <w:left w:w="15" w:type="dxa"/>
          <w:bottom w:w="15" w:type="dxa"/>
          <w:right w:w="15" w:type="dxa"/>
        </w:tblCellMar>
        <w:tblLook w:val="04A0" w:firstRow="1" w:lastRow="0" w:firstColumn="1" w:lastColumn="0" w:noHBand="0" w:noVBand="1"/>
      </w:tblPr>
      <w:tblGrid>
        <w:gridCol w:w="1814"/>
        <w:gridCol w:w="4027"/>
        <w:gridCol w:w="2633"/>
      </w:tblGrid>
      <w:tr w:rsidR="004774B4" w:rsidRPr="004774B4" w14:paraId="742467EF" w14:textId="77777777">
        <w:trPr>
          <w:trHeight w:val="345"/>
        </w:trPr>
        <w:tc>
          <w:tcPr>
            <w:tcW w:w="0" w:type="auto"/>
            <w:tcBorders>
              <w:top w:val="single" w:sz="12" w:space="0" w:color="000000"/>
              <w:left w:val="single" w:sz="12" w:space="0" w:color="000000"/>
              <w:bottom w:val="single" w:sz="12" w:space="0" w:color="000000"/>
              <w:right w:val="single" w:sz="6" w:space="0" w:color="000000"/>
            </w:tcBorders>
            <w:shd w:val="clear" w:color="auto" w:fill="D9D9D9"/>
            <w:tcMar>
              <w:top w:w="40" w:type="dxa"/>
              <w:left w:w="40" w:type="dxa"/>
              <w:bottom w:w="40" w:type="dxa"/>
              <w:right w:w="40" w:type="dxa"/>
            </w:tcMar>
            <w:vAlign w:val="center"/>
            <w:hideMark/>
          </w:tcPr>
          <w:p w14:paraId="1CF4B32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Universidad</w:t>
            </w:r>
          </w:p>
        </w:tc>
        <w:tc>
          <w:tcPr>
            <w:tcW w:w="0" w:type="auto"/>
            <w:tcBorders>
              <w:top w:val="single" w:sz="12" w:space="0" w:color="000000"/>
              <w:left w:val="single" w:sz="6" w:space="0" w:color="000000"/>
              <w:bottom w:val="single" w:sz="12" w:space="0" w:color="000000"/>
              <w:right w:val="single" w:sz="6" w:space="0" w:color="000000"/>
            </w:tcBorders>
            <w:shd w:val="clear" w:color="auto" w:fill="D9D9D9"/>
            <w:tcMar>
              <w:top w:w="40" w:type="dxa"/>
              <w:left w:w="40" w:type="dxa"/>
              <w:bottom w:w="40" w:type="dxa"/>
              <w:right w:w="40" w:type="dxa"/>
            </w:tcMar>
            <w:vAlign w:val="center"/>
            <w:hideMark/>
          </w:tcPr>
          <w:p w14:paraId="7289700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Sentidos de la extensión</w:t>
            </w:r>
          </w:p>
        </w:tc>
        <w:tc>
          <w:tcPr>
            <w:tcW w:w="0" w:type="auto"/>
            <w:tcBorders>
              <w:top w:val="single" w:sz="12" w:space="0" w:color="000000"/>
              <w:left w:val="single" w:sz="6" w:space="0" w:color="000000"/>
              <w:bottom w:val="single" w:sz="12" w:space="0" w:color="000000"/>
              <w:right w:val="single" w:sz="12" w:space="0" w:color="000000"/>
            </w:tcBorders>
            <w:shd w:val="clear" w:color="auto" w:fill="D9D9D9"/>
            <w:tcMar>
              <w:top w:w="40" w:type="dxa"/>
              <w:left w:w="40" w:type="dxa"/>
              <w:bottom w:w="40" w:type="dxa"/>
              <w:right w:w="40" w:type="dxa"/>
            </w:tcMar>
            <w:vAlign w:val="center"/>
            <w:hideMark/>
          </w:tcPr>
          <w:p w14:paraId="1D9B915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Actividades </w:t>
            </w:r>
          </w:p>
        </w:tc>
      </w:tr>
      <w:tr w:rsidR="004774B4" w:rsidRPr="004774B4" w14:paraId="0B3B76C9" w14:textId="77777777">
        <w:trPr>
          <w:trHeight w:val="973"/>
        </w:trPr>
        <w:tc>
          <w:tcPr>
            <w:tcW w:w="0" w:type="auto"/>
            <w:vMerge w:val="restart"/>
            <w:tcBorders>
              <w:top w:val="single" w:sz="12" w:space="0" w:color="000000"/>
              <w:left w:val="single" w:sz="12"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33B4432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Tucumán (UNT) - (1914)</w:t>
            </w:r>
          </w:p>
        </w:tc>
        <w:tc>
          <w:tcPr>
            <w:tcW w:w="0" w:type="auto"/>
            <w:vMerge w:val="restart"/>
            <w:tcBorders>
              <w:top w:val="single" w:sz="12" w:space="0" w:color="000000"/>
              <w:left w:val="single" w:sz="6"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2580BE1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"Contribuir a la elevación espiritual de la Nación y al afianzamiento de las instituciones democráticas (...) procurando el desarrollo de la cultura y la solución de los problemas regionales y nacionales." (Estatuto UNT)</w:t>
            </w:r>
          </w:p>
        </w:tc>
        <w:tc>
          <w:tcPr>
            <w:tcW w:w="0" w:type="auto"/>
            <w:tcBorders>
              <w:top w:val="single" w:sz="12"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5708E4B9" w14:textId="7FAEF6BB"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Programas y Proyectos Socioeducativos (</w:t>
            </w:r>
            <w:r w:rsidR="00753EBC" w:rsidRPr="004774B4">
              <w:rPr>
                <w:rFonts w:ascii="Times New Roman" w:hAnsi="Times New Roman" w:cs="Times New Roman"/>
                <w:lang w:val="es-AR"/>
              </w:rPr>
              <w:t>ej.</w:t>
            </w:r>
            <w:r w:rsidRPr="004774B4">
              <w:rPr>
                <w:rFonts w:ascii="Times New Roman" w:hAnsi="Times New Roman" w:cs="Times New Roman"/>
                <w:lang w:val="es-AR"/>
              </w:rPr>
              <w:t>: "Asistencia a comunidades de alta montaña").</w:t>
            </w:r>
          </w:p>
        </w:tc>
      </w:tr>
      <w:tr w:rsidR="004774B4" w:rsidRPr="004774B4" w14:paraId="29BA05FD" w14:textId="77777777">
        <w:trPr>
          <w:trHeight w:val="973"/>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0348ADE0"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16432E56"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2A55696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Organismos Artísticos (Orquesta Sinfónica, Coro Estable, Teatro Estable).</w:t>
            </w:r>
          </w:p>
        </w:tc>
      </w:tr>
      <w:tr w:rsidR="004774B4" w:rsidRPr="004774B4" w14:paraId="539B7ACC" w14:textId="77777777">
        <w:trPr>
          <w:trHeight w:val="973"/>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608485C3"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570C7549"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13FC5D7F" w14:textId="49C00F85"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Talleres de Extensión y Educación No Formal (</w:t>
            </w:r>
            <w:r w:rsidR="00753EBC" w:rsidRPr="004774B4">
              <w:rPr>
                <w:rFonts w:ascii="Times New Roman" w:hAnsi="Times New Roman" w:cs="Times New Roman"/>
                <w:lang w:val="es-AR"/>
              </w:rPr>
              <w:t>ej.</w:t>
            </w:r>
            <w:r w:rsidRPr="004774B4">
              <w:rPr>
                <w:rFonts w:ascii="Times New Roman" w:hAnsi="Times New Roman" w:cs="Times New Roman"/>
                <w:lang w:val="es-AR"/>
              </w:rPr>
              <w:t>: "Escuela de Cine, Video y Televisión").</w:t>
            </w:r>
          </w:p>
        </w:tc>
      </w:tr>
      <w:tr w:rsidR="004774B4" w:rsidRPr="004774B4" w14:paraId="2A788889" w14:textId="77777777">
        <w:trPr>
          <w:trHeight w:val="765"/>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0EC2BDA7"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5FF26577"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712B701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para la Tercera Edad (UNITE).</w:t>
            </w:r>
          </w:p>
        </w:tc>
      </w:tr>
      <w:tr w:rsidR="004774B4" w:rsidRPr="004774B4" w14:paraId="60CECB63" w14:textId="77777777">
        <w:trPr>
          <w:trHeight w:val="892"/>
        </w:trPr>
        <w:tc>
          <w:tcPr>
            <w:tcW w:w="0" w:type="auto"/>
            <w:vMerge w:val="restart"/>
            <w:tcBorders>
              <w:top w:val="single" w:sz="12" w:space="0" w:color="000000"/>
              <w:left w:val="single" w:sz="12"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6D1AC99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Universidad Nacional del </w:t>
            </w:r>
            <w:r w:rsidRPr="004774B4">
              <w:rPr>
                <w:rFonts w:ascii="Times New Roman" w:hAnsi="Times New Roman" w:cs="Times New Roman"/>
                <w:lang w:val="es-AR"/>
              </w:rPr>
              <w:lastRenderedPageBreak/>
              <w:t>Litoral (UNL) - (1919)</w:t>
            </w:r>
          </w:p>
        </w:tc>
        <w:tc>
          <w:tcPr>
            <w:tcW w:w="0" w:type="auto"/>
            <w:vMerge w:val="restart"/>
            <w:tcBorders>
              <w:top w:val="single" w:sz="12" w:space="0" w:color="000000"/>
              <w:left w:val="single" w:sz="6"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37B53758"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 xml:space="preserve">"Contribuir al desarrollo social, productivo y cultural de la región, a través de la innovación, la creación </w:t>
            </w:r>
            <w:r w:rsidRPr="004774B4">
              <w:rPr>
                <w:rFonts w:ascii="Times New Roman" w:hAnsi="Times New Roman" w:cs="Times New Roman"/>
                <w:lang w:val="es-AR"/>
              </w:rPr>
              <w:lastRenderedPageBreak/>
              <w:t>artística y la transferencia de conocimientos, con un fuerte compromiso con el desarrollo sustentable y la inclusión social." (PEI UNL)</w:t>
            </w:r>
          </w:p>
        </w:tc>
        <w:tc>
          <w:tcPr>
            <w:tcW w:w="0" w:type="auto"/>
            <w:tcBorders>
              <w:top w:val="single" w:sz="12"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3E19048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Proyectos de Extensión de Interés Social (PEIS).</w:t>
            </w:r>
          </w:p>
        </w:tc>
      </w:tr>
      <w:tr w:rsidR="004774B4" w:rsidRPr="004774B4" w14:paraId="6C266103" w14:textId="77777777">
        <w:trPr>
          <w:trHeight w:val="753"/>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785D7ED6"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35D7CAD5"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328D2738" w14:textId="18B8FF2B"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Fomento al Emprendedurismo (</w:t>
            </w:r>
            <w:r w:rsidR="00753EBC" w:rsidRPr="004774B4">
              <w:rPr>
                <w:rFonts w:ascii="Times New Roman" w:hAnsi="Times New Roman" w:cs="Times New Roman"/>
                <w:lang w:val="es-AR"/>
              </w:rPr>
              <w:t>ej.</w:t>
            </w:r>
            <w:r w:rsidRPr="004774B4">
              <w:rPr>
                <w:rFonts w:ascii="Times New Roman" w:hAnsi="Times New Roman" w:cs="Times New Roman"/>
                <w:lang w:val="es-AR"/>
              </w:rPr>
              <w:t>: Parque Tecnológico Litoral Centro).</w:t>
            </w:r>
          </w:p>
        </w:tc>
      </w:tr>
      <w:tr w:rsidR="004774B4" w:rsidRPr="004774B4" w14:paraId="212CCDBE" w14:textId="77777777">
        <w:trPr>
          <w:trHeight w:val="636"/>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1764AFD8"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0CBABFC6"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735BBB4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Editorial Universitaria ("Ediciones UNL").</w:t>
            </w:r>
          </w:p>
        </w:tc>
      </w:tr>
      <w:tr w:rsidR="004774B4" w:rsidRPr="004774B4" w14:paraId="3C1CCB61" w14:textId="77777777">
        <w:trPr>
          <w:trHeight w:val="330"/>
        </w:trPr>
        <w:tc>
          <w:tcPr>
            <w:tcW w:w="0" w:type="auto"/>
            <w:vMerge w:val="restart"/>
            <w:tcBorders>
              <w:top w:val="single" w:sz="12" w:space="0" w:color="000000"/>
              <w:left w:val="single" w:sz="12"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4EDDACF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Río Cuarto (UNRC) - (1971)</w:t>
            </w:r>
          </w:p>
        </w:tc>
        <w:tc>
          <w:tcPr>
            <w:tcW w:w="0" w:type="auto"/>
            <w:vMerge w:val="restart"/>
            <w:tcBorders>
              <w:top w:val="single" w:sz="12" w:space="0" w:color="000000"/>
              <w:left w:val="single" w:sz="6"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2942643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"Estrechar los vínculos con la comunidad, a fin de conocer e interpretar sus necesidades y aspiraciones (...) y cooperar en su satisfacción y desarrollo, a través del conocimiento científico, tecnológico y cultural que la Universidad genera." (Estatuto UNRC)</w:t>
            </w:r>
          </w:p>
        </w:tc>
        <w:tc>
          <w:tcPr>
            <w:tcW w:w="0" w:type="auto"/>
            <w:tcBorders>
              <w:top w:val="single" w:sz="12"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730C5B70"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Proyectos de Extensión a través de convocatorias.</w:t>
            </w:r>
          </w:p>
        </w:tc>
      </w:tr>
      <w:tr w:rsidR="004774B4" w:rsidRPr="004774B4" w14:paraId="4A50CD4A" w14:textId="77777777">
        <w:trPr>
          <w:trHeight w:val="33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37B30D19"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6B0A4F25"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058B413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Programa de Adultos Mayores (PEAM).</w:t>
            </w:r>
          </w:p>
        </w:tc>
      </w:tr>
      <w:tr w:rsidR="004774B4" w:rsidRPr="004774B4" w14:paraId="5EA1DA18" w14:textId="77777777">
        <w:trPr>
          <w:trHeight w:val="33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18E07D95"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773E6D9B"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30FFC128"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Departamento de Cultura y Arte.</w:t>
            </w:r>
          </w:p>
        </w:tc>
      </w:tr>
      <w:tr w:rsidR="004774B4" w:rsidRPr="004774B4" w14:paraId="62F4B6F1" w14:textId="77777777">
        <w:trPr>
          <w:trHeight w:val="33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0238BE43"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55E7C743"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37D434A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Editorial UniRío</w:t>
            </w:r>
          </w:p>
        </w:tc>
      </w:tr>
      <w:tr w:rsidR="004774B4" w:rsidRPr="004774B4" w14:paraId="36C0C51E" w14:textId="77777777">
        <w:trPr>
          <w:trHeight w:val="570"/>
        </w:trPr>
        <w:tc>
          <w:tcPr>
            <w:tcW w:w="0" w:type="auto"/>
            <w:vMerge w:val="restart"/>
            <w:tcBorders>
              <w:top w:val="single" w:sz="12" w:space="0" w:color="000000"/>
              <w:left w:val="single" w:sz="12"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611B384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General Sarmiento (UNGS) - (1993)</w:t>
            </w:r>
          </w:p>
        </w:tc>
        <w:tc>
          <w:tcPr>
            <w:tcW w:w="0" w:type="auto"/>
            <w:vMerge w:val="restart"/>
            <w:tcBorders>
              <w:top w:val="single" w:sz="12" w:space="0" w:color="000000"/>
              <w:left w:val="single" w:sz="6"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6C4BF2B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"La contribución a la democratización de la enseñanza (...) y la búsqueda de alternativas a los problemas de la sociedad, con eje en el área de su implantación, el noroeste del conurbano bonaerense." (PEI UNGS)</w:t>
            </w:r>
          </w:p>
        </w:tc>
        <w:tc>
          <w:tcPr>
            <w:tcW w:w="0" w:type="auto"/>
            <w:tcBorders>
              <w:top w:val="single" w:sz="12"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38ABED70" w14:textId="0C21D9A2"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Programas de Vinculación Social de largo aliento (ej</w:t>
            </w:r>
            <w:r w:rsidR="00753EBC">
              <w:rPr>
                <w:rFonts w:ascii="Times New Roman" w:hAnsi="Times New Roman" w:cs="Times New Roman"/>
                <w:lang w:val="es-AR"/>
              </w:rPr>
              <w:t>.</w:t>
            </w:r>
            <w:r w:rsidRPr="004774B4">
              <w:rPr>
                <w:rFonts w:ascii="Times New Roman" w:hAnsi="Times New Roman" w:cs="Times New Roman"/>
                <w:lang w:val="es-AR"/>
              </w:rPr>
              <w:t>: "Programa de Cartografía Social").</w:t>
            </w:r>
          </w:p>
        </w:tc>
      </w:tr>
      <w:tr w:rsidR="004774B4" w:rsidRPr="004774B4" w14:paraId="0BEC6826" w14:textId="77777777">
        <w:trPr>
          <w:trHeight w:val="57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1C56EB2A"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4D8866E0"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04DF7732"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Museo Interactivo de Ciencia, Tecnología y Sociedad "Imaginario".</w:t>
            </w:r>
          </w:p>
        </w:tc>
      </w:tr>
      <w:tr w:rsidR="004774B4" w:rsidRPr="004774B4" w14:paraId="34DC8273" w14:textId="77777777">
        <w:trPr>
          <w:trHeight w:val="33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07642903"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28861C34"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3BF4AEA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Unidad de Publicaciones.</w:t>
            </w:r>
          </w:p>
        </w:tc>
      </w:tr>
      <w:tr w:rsidR="004774B4" w:rsidRPr="004774B4" w14:paraId="54A39BB2" w14:textId="77777777">
        <w:trPr>
          <w:trHeight w:val="570"/>
        </w:trPr>
        <w:tc>
          <w:tcPr>
            <w:tcW w:w="0" w:type="auto"/>
            <w:vMerge w:val="restart"/>
            <w:tcBorders>
              <w:top w:val="single" w:sz="12" w:space="0" w:color="000000"/>
              <w:left w:val="single" w:sz="12"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0A854A7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José C. Paz (UNPAZ) - (2009)</w:t>
            </w:r>
          </w:p>
        </w:tc>
        <w:tc>
          <w:tcPr>
            <w:tcW w:w="0" w:type="auto"/>
            <w:vMerge w:val="restart"/>
            <w:tcBorders>
              <w:top w:val="single" w:sz="12" w:space="0" w:color="000000"/>
              <w:left w:val="single" w:sz="6"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3685DAF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"La UNPAZ se propone como misión fundamental la inclusión social a través de la producción y democratización del conocimiento (...) para contribuir al desarrollo económico, social y cultural de la región." (PEI UNPAZ)</w:t>
            </w:r>
          </w:p>
        </w:tc>
        <w:tc>
          <w:tcPr>
            <w:tcW w:w="0" w:type="auto"/>
            <w:tcBorders>
              <w:top w:val="single" w:sz="12"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482F2B7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Prácticas Socio Comunitarias (obligatorias para los estudiantes).</w:t>
            </w:r>
          </w:p>
        </w:tc>
      </w:tr>
      <w:tr w:rsidR="004774B4" w:rsidRPr="004774B4" w14:paraId="3C37DBAC" w14:textId="77777777">
        <w:trPr>
          <w:trHeight w:val="57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2398D43B"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3912A9BC"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1C06640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Talleres Culturales, Deportivos y de Oficios (ej: "Taller de Luthería Social").</w:t>
            </w:r>
          </w:p>
        </w:tc>
      </w:tr>
      <w:tr w:rsidR="004774B4" w:rsidRPr="004774B4" w14:paraId="5CD2044B" w14:textId="77777777">
        <w:trPr>
          <w:trHeight w:val="57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45F336BE"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1E87E806"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5EDCEF3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Elencos Estables con perfil popular (ej: "Orquesta Folklórica Latinoamericana").</w:t>
            </w:r>
          </w:p>
        </w:tc>
      </w:tr>
      <w:tr w:rsidR="004774B4" w:rsidRPr="004774B4" w14:paraId="1E106B8D" w14:textId="77777777">
        <w:trPr>
          <w:trHeight w:val="33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7FFB9FFD"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73359894"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6A2B66B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Editorial Universitaria ("EDUNPAZ").</w:t>
            </w:r>
          </w:p>
        </w:tc>
      </w:tr>
      <w:tr w:rsidR="004774B4" w:rsidRPr="004774B4" w14:paraId="279DCFE7" w14:textId="77777777">
        <w:trPr>
          <w:trHeight w:val="1119"/>
        </w:trPr>
        <w:tc>
          <w:tcPr>
            <w:tcW w:w="0" w:type="auto"/>
            <w:vMerge w:val="restart"/>
            <w:tcBorders>
              <w:top w:val="single" w:sz="12" w:space="0" w:color="000000"/>
              <w:left w:val="single" w:sz="12"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76FAB75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Tierra del Fuego (UNTDF) - (2009)</w:t>
            </w:r>
          </w:p>
        </w:tc>
        <w:tc>
          <w:tcPr>
            <w:tcW w:w="0" w:type="auto"/>
            <w:vMerge w:val="restart"/>
            <w:tcBorders>
              <w:top w:val="single" w:sz="12" w:space="0" w:color="000000"/>
              <w:left w:val="single" w:sz="6"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0B59855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"Constituirse en una institución de referencia (...) para la construcción de un proyecto de desarrollo provincial que promueva la inclusión social, la diversificación de la matriz productiva y el uso soberano de los recursos naturales." (PEI UNTDF)</w:t>
            </w:r>
          </w:p>
        </w:tc>
        <w:tc>
          <w:tcPr>
            <w:tcW w:w="0" w:type="auto"/>
            <w:tcBorders>
              <w:top w:val="single" w:sz="12" w:space="0" w:color="000000"/>
              <w:left w:val="single" w:sz="6" w:space="0" w:color="000000"/>
              <w:bottom w:val="single" w:sz="8" w:space="0" w:color="000000"/>
              <w:right w:val="single" w:sz="12" w:space="0" w:color="000000"/>
            </w:tcBorders>
            <w:shd w:val="clear" w:color="auto" w:fill="FCFCFC"/>
            <w:tcMar>
              <w:top w:w="40" w:type="dxa"/>
              <w:left w:w="40" w:type="dxa"/>
              <w:bottom w:w="40" w:type="dxa"/>
              <w:right w:w="40" w:type="dxa"/>
            </w:tcMar>
            <w:vAlign w:val="center"/>
            <w:hideMark/>
          </w:tcPr>
          <w:p w14:paraId="045E102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Proyectos de Extensión focalizados (ej: "Turismo, patrimonio y comunidad").</w:t>
            </w:r>
          </w:p>
        </w:tc>
      </w:tr>
      <w:tr w:rsidR="004774B4" w:rsidRPr="004774B4" w14:paraId="24DB843B" w14:textId="77777777">
        <w:trPr>
          <w:trHeight w:val="57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6C3DABCE"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14F4E457"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8" w:space="0" w:color="000000"/>
              <w:left w:val="single" w:sz="6"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11E8A3A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Editorial Universitaria ("Editora Cultural Tierra del Fuego").</w:t>
            </w:r>
          </w:p>
        </w:tc>
      </w:tr>
      <w:tr w:rsidR="004774B4" w:rsidRPr="004774B4" w14:paraId="508C823E" w14:textId="77777777">
        <w:trPr>
          <w:trHeight w:val="780"/>
        </w:trPr>
        <w:tc>
          <w:tcPr>
            <w:tcW w:w="0" w:type="auto"/>
            <w:vMerge w:val="restart"/>
            <w:tcBorders>
              <w:top w:val="single" w:sz="12" w:space="0" w:color="000000"/>
              <w:left w:val="single" w:sz="12"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146C8C40"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Universidad Nacional de Hurlingham (UNAHUR) - (2015)</w:t>
            </w:r>
          </w:p>
        </w:tc>
        <w:tc>
          <w:tcPr>
            <w:tcW w:w="0" w:type="auto"/>
            <w:vMerge w:val="restart"/>
            <w:tcBorders>
              <w:top w:val="single" w:sz="12" w:space="0" w:color="000000"/>
              <w:left w:val="single" w:sz="6" w:space="0" w:color="000000"/>
              <w:bottom w:val="single" w:sz="12" w:space="0" w:color="000000"/>
              <w:right w:val="single" w:sz="6" w:space="0" w:color="000000"/>
            </w:tcBorders>
            <w:shd w:val="clear" w:color="auto" w:fill="FCFCFC"/>
            <w:tcMar>
              <w:top w:w="40" w:type="dxa"/>
              <w:left w:w="40" w:type="dxa"/>
              <w:bottom w:w="40" w:type="dxa"/>
              <w:right w:w="40" w:type="dxa"/>
            </w:tcMar>
            <w:vAlign w:val="center"/>
            <w:hideMark/>
          </w:tcPr>
          <w:p w14:paraId="234D2B4C"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"Contribuir, a través de la producción y distribución de conocimiento, al desarrollo social, económico y cultural del partido de Hurlingham y su zona de influencia (...) con un énfasis especial en la innovación productiva y la inclusión social." (PEI UNAHUR)</w:t>
            </w:r>
          </w:p>
        </w:tc>
        <w:tc>
          <w:tcPr>
            <w:tcW w:w="0" w:type="auto"/>
            <w:tcBorders>
              <w:top w:val="single" w:sz="12"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6282D75A"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Talleres Deportivos, Culturales y de Oficios.</w:t>
            </w:r>
          </w:p>
        </w:tc>
      </w:tr>
      <w:tr w:rsidR="004774B4" w:rsidRPr="004774B4" w14:paraId="7866B9D4" w14:textId="77777777">
        <w:trPr>
          <w:trHeight w:val="675"/>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396D699A"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3579140F"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0103587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Centro Tecnológico para el Trabajo y la Producción (CTTP).</w:t>
            </w:r>
          </w:p>
        </w:tc>
      </w:tr>
      <w:tr w:rsidR="004774B4" w:rsidRPr="004774B4" w14:paraId="23590D8E" w14:textId="77777777">
        <w:trPr>
          <w:trHeight w:val="480"/>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17F3F4FA"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0509DCB0"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6" w:space="0" w:color="000000"/>
              <w:right w:val="single" w:sz="12" w:space="0" w:color="000000"/>
            </w:tcBorders>
            <w:shd w:val="clear" w:color="auto" w:fill="FCFCFC"/>
            <w:tcMar>
              <w:top w:w="40" w:type="dxa"/>
              <w:left w:w="40" w:type="dxa"/>
              <w:bottom w:w="40" w:type="dxa"/>
              <w:right w:w="40" w:type="dxa"/>
            </w:tcMar>
            <w:vAlign w:val="center"/>
            <w:hideMark/>
          </w:tcPr>
          <w:p w14:paraId="6663F27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Escuela Universitaria de Inglés.</w:t>
            </w:r>
          </w:p>
        </w:tc>
      </w:tr>
      <w:tr w:rsidR="004774B4" w:rsidRPr="004774B4" w14:paraId="2E720B53" w14:textId="77777777">
        <w:trPr>
          <w:trHeight w:val="45"/>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2A69CA04" w14:textId="77777777" w:rsidR="004774B4" w:rsidRPr="004774B4" w:rsidRDefault="004774B4" w:rsidP="004774B4">
            <w:pPr>
              <w:spacing w:line="240" w:lineRule="auto"/>
              <w:jc w:val="both"/>
              <w:rPr>
                <w:rFonts w:ascii="Times New Roman" w:hAnsi="Times New Roman" w:cs="Times New Roman"/>
                <w:lang w:val="es-AR"/>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3777D598" w14:textId="77777777" w:rsidR="004774B4" w:rsidRPr="004774B4" w:rsidRDefault="004774B4" w:rsidP="004774B4">
            <w:pPr>
              <w:spacing w:line="240" w:lineRule="auto"/>
              <w:jc w:val="both"/>
              <w:rPr>
                <w:rFonts w:ascii="Times New Roman" w:hAnsi="Times New Roman" w:cs="Times New Roman"/>
                <w:lang w:val="es-AR"/>
              </w:rPr>
            </w:pPr>
          </w:p>
        </w:tc>
        <w:tc>
          <w:tcPr>
            <w:tcW w:w="0" w:type="auto"/>
            <w:tcBorders>
              <w:top w:val="single" w:sz="6" w:space="0" w:color="000000"/>
              <w:left w:val="single" w:sz="6" w:space="0" w:color="000000"/>
              <w:bottom w:val="single" w:sz="12" w:space="0" w:color="000000"/>
              <w:right w:val="single" w:sz="12" w:space="0" w:color="000000"/>
            </w:tcBorders>
            <w:shd w:val="clear" w:color="auto" w:fill="FCFCFC"/>
            <w:tcMar>
              <w:top w:w="40" w:type="dxa"/>
              <w:left w:w="40" w:type="dxa"/>
              <w:bottom w:w="40" w:type="dxa"/>
              <w:right w:w="40" w:type="dxa"/>
            </w:tcMar>
            <w:vAlign w:val="center"/>
            <w:hideMark/>
          </w:tcPr>
          <w:p w14:paraId="0B49EF6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Editorial Universitaria ("Ediciones UNAHUR").</w:t>
            </w:r>
          </w:p>
        </w:tc>
      </w:tr>
    </w:tbl>
    <w:p w14:paraId="115DFB68" w14:textId="37426BF6"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Fuente: elaboración propia en iteración con asistente IA, en base a información obtenida en </w:t>
      </w:r>
      <w:hyperlink r:id="rId7" w:history="1">
        <w:r w:rsidRPr="004774B4">
          <w:rPr>
            <w:rStyle w:val="Hipervnculo"/>
            <w:rFonts w:ascii="Times New Roman" w:hAnsi="Times New Roman" w:cs="Times New Roman"/>
            <w:lang w:val="es-AR"/>
          </w:rPr>
          <w:t>https://www.unt.edu.ar/</w:t>
        </w:r>
      </w:hyperlink>
      <w:r w:rsidRPr="004774B4">
        <w:rPr>
          <w:rFonts w:ascii="Times New Roman" w:hAnsi="Times New Roman" w:cs="Times New Roman"/>
          <w:lang w:val="es-AR"/>
        </w:rPr>
        <w:t xml:space="preserve">, </w:t>
      </w:r>
      <w:hyperlink r:id="rId8" w:history="1">
        <w:r w:rsidRPr="004774B4">
          <w:rPr>
            <w:rStyle w:val="Hipervnculo"/>
            <w:rFonts w:ascii="Times New Roman" w:hAnsi="Times New Roman" w:cs="Times New Roman"/>
            <w:lang w:val="es-AR"/>
          </w:rPr>
          <w:t>https://www.unl.edu.ar/</w:t>
        </w:r>
      </w:hyperlink>
      <w:r w:rsidRPr="004774B4">
        <w:rPr>
          <w:rFonts w:ascii="Times New Roman" w:hAnsi="Times New Roman" w:cs="Times New Roman"/>
          <w:lang w:val="es-AR"/>
        </w:rPr>
        <w:t xml:space="preserve">, </w:t>
      </w:r>
      <w:hyperlink r:id="rId9" w:history="1">
        <w:r w:rsidRPr="004774B4">
          <w:rPr>
            <w:rStyle w:val="Hipervnculo"/>
            <w:rFonts w:ascii="Times New Roman" w:hAnsi="Times New Roman" w:cs="Times New Roman"/>
            <w:lang w:val="es-AR"/>
          </w:rPr>
          <w:t>https://www.unrc.edu.ar/</w:t>
        </w:r>
      </w:hyperlink>
      <w:r w:rsidRPr="004774B4">
        <w:rPr>
          <w:rFonts w:ascii="Times New Roman" w:hAnsi="Times New Roman" w:cs="Times New Roman"/>
          <w:lang w:val="es-AR"/>
        </w:rPr>
        <w:t xml:space="preserve">, </w:t>
      </w:r>
      <w:hyperlink r:id="rId10" w:history="1">
        <w:r w:rsidRPr="004774B4">
          <w:rPr>
            <w:rStyle w:val="Hipervnculo"/>
            <w:rFonts w:ascii="Times New Roman" w:hAnsi="Times New Roman" w:cs="Times New Roman"/>
            <w:lang w:val="es-AR"/>
          </w:rPr>
          <w:t>https://www.ungs.edu.ar/</w:t>
        </w:r>
      </w:hyperlink>
      <w:r w:rsidRPr="004774B4">
        <w:rPr>
          <w:rFonts w:ascii="Times New Roman" w:hAnsi="Times New Roman" w:cs="Times New Roman"/>
          <w:lang w:val="es-AR"/>
        </w:rPr>
        <w:t xml:space="preserve">, </w:t>
      </w:r>
      <w:hyperlink r:id="rId11" w:history="1">
        <w:r w:rsidRPr="004774B4">
          <w:rPr>
            <w:rStyle w:val="Hipervnculo"/>
            <w:rFonts w:ascii="Times New Roman" w:hAnsi="Times New Roman" w:cs="Times New Roman"/>
            <w:lang w:val="es-AR"/>
          </w:rPr>
          <w:t>https://www.unpaz.edu.ar/</w:t>
        </w:r>
      </w:hyperlink>
      <w:r w:rsidRPr="004774B4">
        <w:rPr>
          <w:rFonts w:ascii="Times New Roman" w:hAnsi="Times New Roman" w:cs="Times New Roman"/>
          <w:lang w:val="es-AR"/>
        </w:rPr>
        <w:t xml:space="preserve">, </w:t>
      </w:r>
      <w:hyperlink r:id="rId12" w:history="1">
        <w:r w:rsidRPr="004774B4">
          <w:rPr>
            <w:rStyle w:val="Hipervnculo"/>
            <w:rFonts w:ascii="Times New Roman" w:hAnsi="Times New Roman" w:cs="Times New Roman"/>
            <w:lang w:val="es-AR"/>
          </w:rPr>
          <w:t>https://www.unahur.edu.ar/</w:t>
        </w:r>
      </w:hyperlink>
      <w:r w:rsidRPr="004774B4">
        <w:rPr>
          <w:rFonts w:ascii="Times New Roman" w:hAnsi="Times New Roman" w:cs="Times New Roman"/>
          <w:lang w:val="es-AR"/>
        </w:rPr>
        <w:t xml:space="preserve">, </w:t>
      </w:r>
      <w:hyperlink r:id="rId13" w:history="1">
        <w:r w:rsidRPr="004774B4">
          <w:rPr>
            <w:rStyle w:val="Hipervnculo"/>
            <w:rFonts w:ascii="Times New Roman" w:hAnsi="Times New Roman" w:cs="Times New Roman"/>
            <w:lang w:val="es-AR"/>
          </w:rPr>
          <w:t>https://untdf.edu.ar/</w:t>
        </w:r>
      </w:hyperlink>
      <w:r w:rsidRPr="004774B4">
        <w:rPr>
          <w:rFonts w:ascii="Times New Roman" w:hAnsi="Times New Roman" w:cs="Times New Roman"/>
          <w:lang w:val="es-AR"/>
        </w:rPr>
        <w:t>; en los Estatutos de la UNT y la UNRC y en los Planes Estratégico Institucionales de la UNL, la UNGS, la UNPAZ, la UNTDF y la UNAHUR.</w:t>
      </w:r>
      <w:r w:rsidRPr="004774B4">
        <w:rPr>
          <w:rFonts w:ascii="Times New Roman" w:hAnsi="Times New Roman" w:cs="Times New Roman"/>
          <w:lang w:val="es-AR"/>
        </w:rPr>
        <w:br/>
      </w:r>
      <w:r w:rsidRPr="004774B4">
        <w:rPr>
          <w:rFonts w:ascii="Times New Roman" w:hAnsi="Times New Roman" w:cs="Times New Roman"/>
          <w:lang w:val="es-AR"/>
        </w:rPr>
        <w:tab/>
      </w:r>
    </w:p>
    <w:p w14:paraId="5D828B10" w14:textId="1C616D2B"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La Tabla 1.3 presenta las actividades relevadas para cada una de las universidades de la muestra e incorpora citas directas en las que se evidencian los sentidos atribuidos a la extensión en documentos institucionales con finalidades fundacionales y/o programáticas. </w:t>
      </w:r>
      <w:r w:rsidR="00BD211E" w:rsidRPr="004774B4">
        <w:rPr>
          <w:rFonts w:ascii="Times New Roman" w:hAnsi="Times New Roman" w:cs="Times New Roman"/>
          <w:lang w:val="es-AR"/>
        </w:rPr>
        <w:t>Con relación a</w:t>
      </w:r>
      <w:r w:rsidRPr="004774B4">
        <w:rPr>
          <w:rFonts w:ascii="Times New Roman" w:hAnsi="Times New Roman" w:cs="Times New Roman"/>
          <w:lang w:val="es-AR"/>
        </w:rPr>
        <w:t xml:space="preserve"> estos últimos, pueden reconocerse continuidades con los sentidos descriptos para el periodo de Complejización del SUA. Destaca asimismo que las finalidades que en aquel entonces se diferenciaron para ampliar el espectro de la acción extensionista (asistencia comunitaria para el desarrollo local, inclusión social, vinculación con el mercado, etc.) hoy parecen presentarse de un modo más integral en los documentos analizados. Puede observarse en general que las referencias al desarrollo social y/o productivo regional o local conviven con el compromiso o la misión de la inclusión social. </w:t>
      </w:r>
    </w:p>
    <w:p w14:paraId="741DCD2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Por otra parte, la tercera columna la Tabla 1.3 permite observar que hay actividades de extensión realizadas actualmente por las universidades nacionales que se corresponden </w:t>
      </w:r>
      <w:r w:rsidRPr="004774B4">
        <w:rPr>
          <w:rFonts w:ascii="Times New Roman" w:hAnsi="Times New Roman" w:cs="Times New Roman"/>
          <w:lang w:val="es-AR"/>
        </w:rPr>
        <w:lastRenderedPageBreak/>
        <w:t>bastante linealmente con actividades identificadas en la Tabla 1.1 y que por eso mismo podrían encuadrarse en las categorías allí formuladas. Así, puede señalarse que la Difusión cultural y científica sigue teniendo entre sus actividades la publicación de textos a través de las editoriales universitarias y la presencia de elencos estables o grupos artísticos. También puede observarse la persistencia de actividades de Formación y capacitación laboral en los talleres de oficios y los de educación no formal, mientras que los proyectos de extensión focalizados y los programas de vinculación social dan cuenta de acciones vinculadas a la Intervención sociocomunitaria. De igual modo la Vinculación tecnológica y productiva puede observarse en las actividades de Fomento al emprendedurismo. </w:t>
      </w:r>
    </w:p>
    <w:p w14:paraId="36558540" w14:textId="60A5C9EF"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Habida cuenta de tales continuidades, es relevante destacar que los contenidos que estas prácticas actuales de extensión asumen no son necesariamente asimilables a los de sus antecedentes históricos y expresan cambios que dan cuenta de transformaciones y tensiones coyunturales en los modos de concebir el rol social de la universidad. Así, por ejemplo, mientras que en gran medida los primeros elencos artísticos universitarios estuvieron ligados a la difusión de la “alta cultura”, las orquestas actuales en las universidades del conurbano buscan ser una herramienta de inclusión y construcción de identidad local, por lo que sus modos de funcionamiento y sus repertorios pueden parecer por completo diferentes. Algo similar podría argumentarse para las actividades de Formación y capacitación laboral que se desarrollan en relación a exigencias contemporáneas del mundo laboral (estructurales o circunstanciales) y a desarrollos recientes de los ámbitos productivo, cultural, deportivo, etc. </w:t>
      </w:r>
    </w:p>
    <w:p w14:paraId="12CE0BCB" w14:textId="6A82741F" w:rsidR="005F3B2E" w:rsidRPr="004774B4" w:rsidRDefault="005F3B2E" w:rsidP="007B5B5F">
      <w:pPr>
        <w:spacing w:line="240" w:lineRule="auto"/>
        <w:rPr>
          <w:rFonts w:ascii="Times New Roman" w:hAnsi="Times New Roman" w:cs="Times New Roman"/>
          <w:b/>
          <w:bCs/>
          <w:lang w:val="es-AR"/>
        </w:rPr>
      </w:pPr>
      <w:r w:rsidRPr="004774B4">
        <w:rPr>
          <w:rFonts w:ascii="Times New Roman" w:hAnsi="Times New Roman" w:cs="Times New Roman"/>
          <w:b/>
          <w:bCs/>
          <w:lang w:val="es-AR"/>
        </w:rPr>
        <w:t>Conclusiones</w:t>
      </w:r>
    </w:p>
    <w:p w14:paraId="1774F422" w14:textId="766B9E39"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En Argentina una mirada de largo plazo a la historia de la extensión como la que se busca construir en este </w:t>
      </w:r>
      <w:r w:rsidR="00BD211E" w:rsidRPr="004774B4">
        <w:rPr>
          <w:rFonts w:ascii="Times New Roman" w:hAnsi="Times New Roman" w:cs="Times New Roman"/>
          <w:lang w:val="es-AR"/>
        </w:rPr>
        <w:t>trabajo</w:t>
      </w:r>
      <w:r w:rsidRPr="004774B4">
        <w:rPr>
          <w:rFonts w:ascii="Times New Roman" w:hAnsi="Times New Roman" w:cs="Times New Roman"/>
          <w:lang w:val="es-AR"/>
        </w:rPr>
        <w:t xml:space="preserve"> permite postular que el proceso centenario de desarrollo de la tercera misión de la universidad puede explicarse más allá de una sucesión de modelos extensionistas, y que su configuración en los sucesivos presentes históricos pierde densidad al explicarse sólo como respuesta a lineamientos determinados por condiciones coyunturales. Sin restar relevancia a ambas orientaciones analíticas, resulta de interés explorar las continuidades, tensiones, solapamientos y resignificaciones que parecen desplegarse tanto en los sentidos atribuidos a la extensión como en las actividades en las que esta se concreta durante los más de cien años de experiencias acumuladas en SUA. </w:t>
      </w:r>
    </w:p>
    <w:p w14:paraId="7CC66C9A" w14:textId="19A1FA21"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En la construcción de aquella perspectiva, es clave el diálogo entre lo que este trabajo reseña como proceso de conformación y expansión del sistema universitario y lo que se describe como desarrollo de la tercera misión desde la Reforma Universitaria y hasta el cierre de la tercera ola de expansión. Además de ofrecer una incipiente periodización para organizar el análisis del derrotero histórico de la extensión en Argentina, esa relación permite plantear, a la luz de la contrastación con el presente, que la configuración actual de la extensión también tiene que explicarse por procesos que podemos reconocer, a priori, como procesos de acumulación de experiencia histórica sistémica. Esta primera afirmación requiere exploraciones que están en desarrollo en la tesis de maestría en cuyo proceso de trabajo esta ponencia se inscribe. A continuación, y a modo de cierre, se señalan algunas líneas para profundizar dicha investigación.</w:t>
      </w:r>
    </w:p>
    <w:p w14:paraId="63414F3F" w14:textId="1F81C0BA"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 xml:space="preserve">Por un </w:t>
      </w:r>
      <w:r w:rsidR="00BD211E" w:rsidRPr="004774B4">
        <w:rPr>
          <w:rFonts w:ascii="Times New Roman" w:hAnsi="Times New Roman" w:cs="Times New Roman"/>
          <w:lang w:val="es-AR"/>
        </w:rPr>
        <w:t>lado,</w:t>
      </w:r>
      <w:r w:rsidRPr="004774B4">
        <w:rPr>
          <w:rFonts w:ascii="Times New Roman" w:hAnsi="Times New Roman" w:cs="Times New Roman"/>
          <w:lang w:val="es-AR"/>
        </w:rPr>
        <w:t xml:space="preserve"> se requiere una exploración teórico conceptual que permita evaluar en qué medida el concepto de </w:t>
      </w:r>
      <w:r w:rsidRPr="004774B4">
        <w:rPr>
          <w:rFonts w:ascii="Times New Roman" w:hAnsi="Times New Roman" w:cs="Times New Roman"/>
          <w:i/>
          <w:iCs/>
          <w:lang w:val="es-AR"/>
        </w:rPr>
        <w:t>experiencia histórica</w:t>
      </w:r>
      <w:r w:rsidRPr="004774B4">
        <w:rPr>
          <w:rFonts w:ascii="Times New Roman" w:hAnsi="Times New Roman" w:cs="Times New Roman"/>
          <w:lang w:val="es-AR"/>
        </w:rPr>
        <w:t xml:space="preserve"> tal como se ha desarrollado en las discusiones del campo disciplinar de la Historia y la Filosofía de la Historia (López, 2012) expresa efectivamente lo que este trabajo presenta como derrotero de la extensión más allá de que en un uso vulgar del término pareciera haber correspondencia. Así mismo es importante inscribir la idea de que Argentina cuenta con un sistema universitario con capacidad de acumular experiencias centenarias y de disponibilizarlas para el planeamiento, la gestión y la acción política institucional, en reflexiones respecto de la historia de las universidades (</w:t>
      </w:r>
      <w:r w:rsidR="00BD211E" w:rsidRPr="004774B4">
        <w:rPr>
          <w:rFonts w:ascii="Times New Roman" w:hAnsi="Times New Roman" w:cs="Times New Roman"/>
          <w:lang w:val="es-AR"/>
        </w:rPr>
        <w:t>Fernández</w:t>
      </w:r>
      <w:r w:rsidRPr="004774B4">
        <w:rPr>
          <w:rFonts w:ascii="Times New Roman" w:hAnsi="Times New Roman" w:cs="Times New Roman"/>
          <w:lang w:val="es-AR"/>
        </w:rPr>
        <w:t xml:space="preserve"> Lamarra et. al. 2018; Buchbinder, 2010) que tensionen la mirada teleológica que orienta la periodización construida en este trabajo.</w:t>
      </w:r>
    </w:p>
    <w:p w14:paraId="5B8A151A" w14:textId="51784D15"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Por otra parte, se reconoce que resulta de interés para futuros desarrollos superar la limitación que presentó la búsqueda digital en esta ocasión para poder realizar un listado exhaustivo que permita construir una imagen más acabada del conjunto de prácticas extensionistas que se desarrollan contemporáneamente. Esto permitiría contrastar de forma más completa las categorías construidas para organizar los tipos de actividades de extensión según su finalidad y reconocer si en los últimos diez años se han producido cambios que exijan </w:t>
      </w:r>
      <w:r w:rsidR="00BD211E">
        <w:rPr>
          <w:rFonts w:ascii="Times New Roman" w:hAnsi="Times New Roman" w:cs="Times New Roman"/>
          <w:lang w:val="es-AR"/>
        </w:rPr>
        <w:t xml:space="preserve">su </w:t>
      </w:r>
      <w:r w:rsidRPr="004774B4">
        <w:rPr>
          <w:rFonts w:ascii="Times New Roman" w:hAnsi="Times New Roman" w:cs="Times New Roman"/>
          <w:lang w:val="es-AR"/>
        </w:rPr>
        <w:t>revisión ya sea para definirlas con mayor precisión, para incorporar nuevas o para suprimir alguna de ellas. </w:t>
      </w:r>
    </w:p>
    <w:p w14:paraId="5B5871E4"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Finalmente emergen preguntas por los cambios de sentido que adquieren actividades de larga data en el repertorio extensionista, en el marco de universidades mandatadas por la democratización del acceso a la educación y por la concepción de la universidad como bien público. A modo de ejemplo, pueden mencionarse prácticas como los talleres culturales y los cursos de oficios que se remontan incluso a los antecedentes de la Reforma del ´18 y siguen formando parte del repertorio casi irrenunciable de las universidades. En esta dirección, también interesa reponer los lazos de la configuración actual de la extensión con esa trayectoria sistémica para reivindicar sentidos construidos históricamente para la tercera misión en tanto parecen complementar las orientaciones coyunturales, las condiciones locales e incluso las tendencias regionales que fundamentan la extensión en las UUNN en el siglo XXI. </w:t>
      </w:r>
    </w:p>
    <w:p w14:paraId="544B704F" w14:textId="77777777" w:rsidR="00BC236F" w:rsidRPr="004774B4" w:rsidRDefault="00BC236F" w:rsidP="007B5B5F">
      <w:pPr>
        <w:spacing w:line="240" w:lineRule="auto"/>
        <w:jc w:val="both"/>
        <w:rPr>
          <w:rFonts w:ascii="Times New Roman" w:hAnsi="Times New Roman" w:cs="Times New Roman"/>
          <w:lang w:val="es-AR"/>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0F38DB6D" w14:textId="6118E7EB"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Bruner, J. J. (Ed.). (2024). </w:t>
      </w:r>
      <w:r w:rsidRPr="004774B4">
        <w:rPr>
          <w:rFonts w:ascii="Times New Roman" w:hAnsi="Times New Roman" w:cs="Times New Roman"/>
          <w:i/>
          <w:iCs/>
          <w:lang w:val="es-AR"/>
        </w:rPr>
        <w:t xml:space="preserve">Educación superior en </w:t>
      </w:r>
      <w:r w:rsidR="00753EBC" w:rsidRPr="004774B4">
        <w:rPr>
          <w:rFonts w:ascii="Times New Roman" w:hAnsi="Times New Roman" w:cs="Times New Roman"/>
          <w:i/>
          <w:iCs/>
          <w:lang w:val="es-AR"/>
        </w:rPr>
        <w:t>Iberoamérica</w:t>
      </w:r>
      <w:r w:rsidRPr="004774B4">
        <w:rPr>
          <w:rFonts w:ascii="Times New Roman" w:hAnsi="Times New Roman" w:cs="Times New Roman"/>
          <w:i/>
          <w:iCs/>
          <w:lang w:val="es-AR"/>
        </w:rPr>
        <w:t>. Informe 2024</w:t>
      </w:r>
      <w:r w:rsidRPr="004774B4">
        <w:rPr>
          <w:rFonts w:ascii="Times New Roman" w:hAnsi="Times New Roman" w:cs="Times New Roman"/>
          <w:lang w:val="es-AR"/>
        </w:rPr>
        <w:t>. Centro Interuniversitario de Desarrollo.</w:t>
      </w:r>
    </w:p>
    <w:p w14:paraId="13469F58"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Buchbinder, P. (2010). </w:t>
      </w:r>
      <w:r w:rsidRPr="004774B4">
        <w:rPr>
          <w:rFonts w:ascii="Times New Roman" w:hAnsi="Times New Roman" w:cs="Times New Roman"/>
          <w:i/>
          <w:iCs/>
          <w:lang w:val="es-AR"/>
        </w:rPr>
        <w:t>Historia de las universidades argentinas</w:t>
      </w:r>
      <w:r w:rsidRPr="004774B4">
        <w:rPr>
          <w:rFonts w:ascii="Times New Roman" w:hAnsi="Times New Roman" w:cs="Times New Roman"/>
          <w:lang w:val="es-AR"/>
        </w:rPr>
        <w:t>. Buenos Aires: Sudamericana.</w:t>
      </w:r>
    </w:p>
    <w:p w14:paraId="175BB608"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Buchbinder, P. (2022). Aportes para el estudio de los orígenes de la extensión universitaria en la Argentina. </w:t>
      </w:r>
      <w:r w:rsidRPr="004774B4">
        <w:rPr>
          <w:rFonts w:ascii="Times New Roman" w:hAnsi="Times New Roman" w:cs="Times New Roman"/>
          <w:i/>
          <w:iCs/>
          <w:lang w:val="es-AR"/>
        </w:rPr>
        <w:t>Historia de la Educación</w:t>
      </w:r>
      <w:r w:rsidRPr="004774B4">
        <w:rPr>
          <w:rFonts w:ascii="Times New Roman" w:hAnsi="Times New Roman" w:cs="Times New Roman"/>
          <w:lang w:val="es-AR"/>
        </w:rPr>
        <w:t xml:space="preserve">, </w:t>
      </w:r>
      <w:r w:rsidRPr="004774B4">
        <w:rPr>
          <w:rFonts w:ascii="Times New Roman" w:hAnsi="Times New Roman" w:cs="Times New Roman"/>
          <w:i/>
          <w:iCs/>
          <w:lang w:val="es-AR"/>
        </w:rPr>
        <w:t>41</w:t>
      </w:r>
      <w:r w:rsidRPr="004774B4">
        <w:rPr>
          <w:rFonts w:ascii="Times New Roman" w:hAnsi="Times New Roman" w:cs="Times New Roman"/>
          <w:lang w:val="es-AR"/>
        </w:rPr>
        <w:t>(1), 341–360.</w:t>
      </w:r>
    </w:p>
    <w:p w14:paraId="34631A30"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Cano Menoni, A. (2014). </w:t>
      </w:r>
      <w:r w:rsidRPr="004774B4">
        <w:rPr>
          <w:rFonts w:ascii="Times New Roman" w:hAnsi="Times New Roman" w:cs="Times New Roman"/>
          <w:i/>
          <w:iCs/>
          <w:lang w:val="es-AR"/>
        </w:rPr>
        <w:t>Extensión universitaria y alternativas pedagógicas en la Universidad Latinoamericana</w:t>
      </w:r>
      <w:r w:rsidRPr="004774B4">
        <w:rPr>
          <w:rFonts w:ascii="Times New Roman" w:hAnsi="Times New Roman" w:cs="Times New Roman"/>
          <w:lang w:val="es-AR"/>
        </w:rPr>
        <w:t xml:space="preserve">. Ponencia presentada en el 4to. Congreso Nacional en Ciencias Sociales, México. Recuperado de </w:t>
      </w:r>
      <w:hyperlink r:id="rId14" w:history="1">
        <w:r w:rsidRPr="004774B4">
          <w:rPr>
            <w:rStyle w:val="Hipervnculo"/>
            <w:rFonts w:ascii="Times New Roman" w:hAnsi="Times New Roman" w:cs="Times New Roman"/>
            <w:lang w:val="es-AR"/>
          </w:rPr>
          <w:t>https://www.academia.edu/6633298/Extensi%C3%B3n_universitaria_y_alternativas_pedag%C3%B3gicas_en_la_Universidad_Latinoamericana</w:t>
        </w:r>
      </w:hyperlink>
    </w:p>
    <w:p w14:paraId="58F06FA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Cechi, N. et al. (2009). El compromiso social de la universidad latinoamericana del siglo XXI: Entre el debate  y la acción. Buenos Aires: IEC-CONADU</w:t>
      </w:r>
    </w:p>
    <w:p w14:paraId="1AF7B60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Chiroleu, A., Suasnábar, C., &amp; Rovelli, L. I. (2012). </w:t>
      </w:r>
      <w:r w:rsidRPr="004774B4">
        <w:rPr>
          <w:rFonts w:ascii="Times New Roman" w:hAnsi="Times New Roman" w:cs="Times New Roman"/>
          <w:i/>
          <w:iCs/>
          <w:lang w:val="es-AR"/>
        </w:rPr>
        <w:t>Política universitaria en la Argentina: revisando viejos legados en busca de nuevos horizontes</w:t>
      </w:r>
      <w:r w:rsidRPr="004774B4">
        <w:rPr>
          <w:rFonts w:ascii="Times New Roman" w:hAnsi="Times New Roman" w:cs="Times New Roman"/>
          <w:lang w:val="es-AR"/>
        </w:rPr>
        <w:t>. Buenos Aires: Universidad Nacional de General Sarmiento.</w:t>
      </w:r>
    </w:p>
    <w:p w14:paraId="2C0E0C8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Fernández Lamarra, N. et. al. (2018). </w:t>
      </w:r>
      <w:r w:rsidRPr="004774B4">
        <w:rPr>
          <w:rFonts w:ascii="Times New Roman" w:hAnsi="Times New Roman" w:cs="Times New Roman"/>
          <w:i/>
          <w:iCs/>
          <w:lang w:val="es-AR"/>
        </w:rPr>
        <w:t>La educación superior universitaria argentina: situación actual en el contexto regional</w:t>
      </w:r>
      <w:r w:rsidRPr="004774B4">
        <w:rPr>
          <w:rFonts w:ascii="Times New Roman" w:hAnsi="Times New Roman" w:cs="Times New Roman"/>
          <w:lang w:val="es-AR"/>
        </w:rPr>
        <w:t>. Sáenz Peña: Universidad Nacional de Tres de Febrero. </w:t>
      </w:r>
    </w:p>
    <w:p w14:paraId="3203211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Gezmet, S. (2018). Curricularización de la extensión universitaria. Algunas consideraciones. </w:t>
      </w:r>
      <w:r w:rsidRPr="004774B4">
        <w:rPr>
          <w:rFonts w:ascii="Times New Roman" w:hAnsi="Times New Roman" w:cs="Times New Roman"/>
          <w:i/>
          <w:iCs/>
          <w:lang w:val="es-AR"/>
        </w:rPr>
        <w:t>Revista e+e</w:t>
      </w:r>
      <w:r w:rsidRPr="004774B4">
        <w:rPr>
          <w:rFonts w:ascii="Times New Roman" w:hAnsi="Times New Roman" w:cs="Times New Roman"/>
          <w:lang w:val="es-AR"/>
        </w:rPr>
        <w:t xml:space="preserve">, </w:t>
      </w:r>
      <w:r w:rsidRPr="004774B4">
        <w:rPr>
          <w:rFonts w:ascii="Times New Roman" w:hAnsi="Times New Roman" w:cs="Times New Roman"/>
          <w:i/>
          <w:iCs/>
          <w:lang w:val="es-AR"/>
        </w:rPr>
        <w:t>5</w:t>
      </w:r>
      <w:r w:rsidRPr="004774B4">
        <w:rPr>
          <w:rFonts w:ascii="Times New Roman" w:hAnsi="Times New Roman" w:cs="Times New Roman"/>
          <w:lang w:val="es-AR"/>
        </w:rPr>
        <w:t>(5), 14-23.</w:t>
      </w:r>
    </w:p>
    <w:p w14:paraId="1A160CC8" w14:textId="5AF5243B" w:rsidR="004F1F42" w:rsidRDefault="004F1F42" w:rsidP="004774B4">
      <w:pPr>
        <w:spacing w:line="240" w:lineRule="auto"/>
        <w:jc w:val="both"/>
        <w:rPr>
          <w:rFonts w:ascii="Times New Roman" w:hAnsi="Times New Roman" w:cs="Times New Roman"/>
          <w:lang w:val="es-AR"/>
        </w:rPr>
      </w:pPr>
      <w:r w:rsidRPr="004F1F42">
        <w:rPr>
          <w:rFonts w:ascii="Times New Roman" w:hAnsi="Times New Roman" w:cs="Times New Roman"/>
          <w:lang w:val="es-AR"/>
        </w:rPr>
        <w:t xml:space="preserve">Laboratorio de Política Educativa (2024). </w:t>
      </w:r>
      <w:r w:rsidRPr="004F1F42">
        <w:rPr>
          <w:rFonts w:ascii="Times New Roman" w:hAnsi="Times New Roman" w:cs="Times New Roman"/>
          <w:i/>
          <w:iCs/>
          <w:lang w:val="es-AR"/>
        </w:rPr>
        <w:t>Matrícula Universitaria</w:t>
      </w:r>
      <w:r w:rsidRPr="004F1F42">
        <w:rPr>
          <w:rFonts w:ascii="Times New Roman" w:hAnsi="Times New Roman" w:cs="Times New Roman"/>
          <w:lang w:val="es-AR"/>
        </w:rPr>
        <w:t xml:space="preserve"> (Informe N° 1). UNAHUR. https://unahur.edu.ar/wp-content/uploads/2024/05/LPE-Informe-1-Matricula-Universitaria-1.pdf </w:t>
      </w:r>
    </w:p>
    <w:p w14:paraId="3D190982" w14:textId="15027382"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Lamarra, N. F. (2002). </w:t>
      </w:r>
      <w:r w:rsidRPr="004774B4">
        <w:rPr>
          <w:rFonts w:ascii="Times New Roman" w:hAnsi="Times New Roman" w:cs="Times New Roman"/>
          <w:i/>
          <w:iCs/>
          <w:lang w:val="es-AR"/>
        </w:rPr>
        <w:t>La Educación Superior en la Argentina</w:t>
      </w:r>
      <w:r w:rsidRPr="004774B4">
        <w:rPr>
          <w:rFonts w:ascii="Times New Roman" w:hAnsi="Times New Roman" w:cs="Times New Roman"/>
          <w:lang w:val="es-AR"/>
        </w:rPr>
        <w:t>. Caracas: IESALC-UNESCO.</w:t>
      </w:r>
    </w:p>
    <w:p w14:paraId="048E82C4"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López, D. (2012). La prueba de la experiencia: Reflexiones en torno al uso del concepto de experiencia en la historiografía reciente. </w:t>
      </w:r>
      <w:r w:rsidRPr="004774B4">
        <w:rPr>
          <w:rFonts w:ascii="Times New Roman" w:hAnsi="Times New Roman" w:cs="Times New Roman"/>
          <w:i/>
          <w:iCs/>
          <w:lang w:val="es-AR"/>
        </w:rPr>
        <w:t>Prismas - Revista De Historia Intelectual</w:t>
      </w:r>
      <w:r w:rsidRPr="004774B4">
        <w:rPr>
          <w:rFonts w:ascii="Times New Roman" w:hAnsi="Times New Roman" w:cs="Times New Roman"/>
          <w:lang w:val="es-AR"/>
        </w:rPr>
        <w:t xml:space="preserve">, </w:t>
      </w:r>
      <w:r w:rsidRPr="004774B4">
        <w:rPr>
          <w:rFonts w:ascii="Times New Roman" w:hAnsi="Times New Roman" w:cs="Times New Roman"/>
          <w:i/>
          <w:iCs/>
          <w:lang w:val="es-AR"/>
        </w:rPr>
        <w:t>16</w:t>
      </w:r>
      <w:r w:rsidRPr="004774B4">
        <w:rPr>
          <w:rFonts w:ascii="Times New Roman" w:hAnsi="Times New Roman" w:cs="Times New Roman"/>
          <w:lang w:val="es-AR"/>
        </w:rPr>
        <w:t xml:space="preserve">(1), 33–52. Recuperado a partir de </w:t>
      </w:r>
      <w:hyperlink r:id="rId15" w:history="1">
        <w:r w:rsidRPr="004774B4">
          <w:rPr>
            <w:rStyle w:val="Hipervnculo"/>
            <w:rFonts w:ascii="Times New Roman" w:hAnsi="Times New Roman" w:cs="Times New Roman"/>
            <w:lang w:val="es-AR"/>
          </w:rPr>
          <w:t>https://prismas.unq.edu.ar/OJS/index.php/Prismas/article/view/L%C3%B3pez_prismas16</w:t>
        </w:r>
      </w:hyperlink>
      <w:r w:rsidRPr="004774B4">
        <w:rPr>
          <w:rFonts w:ascii="Times New Roman" w:hAnsi="Times New Roman" w:cs="Times New Roman"/>
          <w:lang w:val="es-AR"/>
        </w:rPr>
        <w:t> </w:t>
      </w:r>
    </w:p>
    <w:p w14:paraId="6A3B5811"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López, M. L. (2013). Aproximaciones a la relación primer peronismo-extensión universitaria. </w:t>
      </w:r>
      <w:r w:rsidRPr="004774B4">
        <w:rPr>
          <w:rFonts w:ascii="Times New Roman" w:hAnsi="Times New Roman" w:cs="Times New Roman"/>
          <w:i/>
          <w:iCs/>
          <w:lang w:val="es-AR"/>
        </w:rPr>
        <w:t>Revista EXT</w:t>
      </w:r>
      <w:r w:rsidRPr="004774B4">
        <w:rPr>
          <w:rFonts w:ascii="Times New Roman" w:hAnsi="Times New Roman" w:cs="Times New Roman"/>
          <w:lang w:val="es-AR"/>
        </w:rPr>
        <w:t xml:space="preserve">, (4), 1-13. Recuperado de </w:t>
      </w:r>
      <w:hyperlink r:id="rId16" w:history="1">
        <w:r w:rsidRPr="004774B4">
          <w:rPr>
            <w:rStyle w:val="Hipervnculo"/>
            <w:rFonts w:ascii="Times New Roman" w:hAnsi="Times New Roman" w:cs="Times New Roman"/>
            <w:lang w:val="es-AR"/>
          </w:rPr>
          <w:t>http://revistas.unc.edu.ar/index.php/ext/article/view/4036/pdf</w:t>
        </w:r>
      </w:hyperlink>
    </w:p>
    <w:p w14:paraId="01AE6D3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López, A. (2020). </w:t>
      </w:r>
      <w:r w:rsidRPr="004774B4">
        <w:rPr>
          <w:rFonts w:ascii="Times New Roman" w:hAnsi="Times New Roman" w:cs="Times New Roman"/>
          <w:i/>
          <w:iCs/>
          <w:lang w:val="es-AR"/>
        </w:rPr>
        <w:t>Teoría y metodología de la extensión universitaria: el caso argentino</w:t>
      </w:r>
      <w:r w:rsidRPr="004774B4">
        <w:rPr>
          <w:rFonts w:ascii="Times New Roman" w:hAnsi="Times New Roman" w:cs="Times New Roman"/>
          <w:lang w:val="es-AR"/>
        </w:rPr>
        <w:t>. San Salvador de Jujuy: El Siku.</w:t>
      </w:r>
    </w:p>
    <w:p w14:paraId="1BA116E0"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Malatesta, A. (2010). </w:t>
      </w:r>
      <w:r w:rsidRPr="004774B4">
        <w:rPr>
          <w:rFonts w:ascii="Times New Roman" w:hAnsi="Times New Roman" w:cs="Times New Roman"/>
          <w:i/>
          <w:iCs/>
          <w:lang w:val="es-AR"/>
        </w:rPr>
        <w:t>La creación de la Universidad Obrera Nacional y la hora de la industria: la conexión universitaria entre el aula y el trabajo</w:t>
      </w:r>
      <w:r w:rsidRPr="004774B4">
        <w:rPr>
          <w:rFonts w:ascii="Times New Roman" w:hAnsi="Times New Roman" w:cs="Times New Roman"/>
          <w:lang w:val="es-AR"/>
        </w:rPr>
        <w:t>. Córdoba: el autor. </w:t>
      </w:r>
    </w:p>
    <w:p w14:paraId="0DF749D3"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Mendonça, M. (2018). La primera ola de expansión universitaria en la Argentina: consecuencias en el corto y mediano plazo. Anuario de Historia de la Educación, 19(1).</w:t>
      </w:r>
    </w:p>
    <w:p w14:paraId="62D7E1D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Mendonça, M., &amp; Pérez Trento, N. S. (2020). El devenir del sistema universitario público en la Argentina a través de sus olas expansivas: Diferenciación en la formación de fuerza de trabajo y acumulación de capital (1971-2015). </w:t>
      </w:r>
      <w:r w:rsidRPr="004774B4">
        <w:rPr>
          <w:rFonts w:ascii="Times New Roman" w:hAnsi="Times New Roman" w:cs="Times New Roman"/>
          <w:i/>
          <w:iCs/>
          <w:lang w:val="es-AR"/>
        </w:rPr>
        <w:t>Archivos Analíticos de Políticas Educativas</w:t>
      </w:r>
      <w:r w:rsidRPr="004774B4">
        <w:rPr>
          <w:rFonts w:ascii="Times New Roman" w:hAnsi="Times New Roman" w:cs="Times New Roman"/>
          <w:lang w:val="es-AR"/>
        </w:rPr>
        <w:t xml:space="preserve">, </w:t>
      </w:r>
      <w:r w:rsidRPr="004774B4">
        <w:rPr>
          <w:rFonts w:ascii="Times New Roman" w:hAnsi="Times New Roman" w:cs="Times New Roman"/>
          <w:i/>
          <w:iCs/>
          <w:lang w:val="es-AR"/>
        </w:rPr>
        <w:t>28</w:t>
      </w:r>
      <w:r w:rsidRPr="004774B4">
        <w:rPr>
          <w:rFonts w:ascii="Times New Roman" w:hAnsi="Times New Roman" w:cs="Times New Roman"/>
          <w:lang w:val="es-AR"/>
        </w:rPr>
        <w:t>(49).</w:t>
      </w:r>
    </w:p>
    <w:p w14:paraId="0EFFEC2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Mendonça, M. (2025, 1 de abril). </w:t>
      </w:r>
      <w:r w:rsidRPr="004774B4">
        <w:rPr>
          <w:rFonts w:ascii="Times New Roman" w:hAnsi="Times New Roman" w:cs="Times New Roman"/>
          <w:i/>
          <w:iCs/>
          <w:lang w:val="es-AR"/>
        </w:rPr>
        <w:t>Conferencia en el I Ciclo de Seminários do PROEXT-PPGE - Unifesp</w:t>
      </w:r>
      <w:r w:rsidRPr="004774B4">
        <w:rPr>
          <w:rFonts w:ascii="Times New Roman" w:hAnsi="Times New Roman" w:cs="Times New Roman"/>
          <w:lang w:val="es-AR"/>
        </w:rPr>
        <w:t xml:space="preserve"> [Archivo de video]. Recuperado del canal PROEC Unifesp: [URL que agregará la autora]</w:t>
      </w:r>
    </w:p>
    <w:p w14:paraId="0B13F92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 xml:space="preserve">Menoni, A. C. (2015). La extensión universitaria en la transformación de la universidad latinoamericana del siglo XXI: disputas y desafíos. En A. Acosta Silva, et al., </w:t>
      </w:r>
      <w:r w:rsidRPr="004774B4">
        <w:rPr>
          <w:rFonts w:ascii="Times New Roman" w:hAnsi="Times New Roman" w:cs="Times New Roman"/>
          <w:i/>
          <w:iCs/>
          <w:lang w:val="es-AR"/>
        </w:rPr>
        <w:t>Los desafíos de la universidad pública en América Latina y el Caribe</w:t>
      </w:r>
      <w:r w:rsidRPr="004774B4">
        <w:rPr>
          <w:rFonts w:ascii="Times New Roman" w:hAnsi="Times New Roman" w:cs="Times New Roman"/>
          <w:lang w:val="es-AR"/>
        </w:rPr>
        <w:t xml:space="preserve"> (pp. 19-117).</w:t>
      </w:r>
    </w:p>
    <w:p w14:paraId="184A043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Pautasso, C. B., &amp; Méndez, B. (2023). La autonomía y el compromiso social de la universidad: Un recorrido histórico. </w:t>
      </w:r>
      <w:r w:rsidRPr="004774B4">
        <w:rPr>
          <w:rFonts w:ascii="Times New Roman" w:hAnsi="Times New Roman" w:cs="Times New Roman"/>
          <w:i/>
          <w:iCs/>
          <w:lang w:val="es-AR"/>
        </w:rPr>
        <w:t>Masquedós - Revista de Extensión Universitaria</w:t>
      </w:r>
      <w:r w:rsidRPr="004774B4">
        <w:rPr>
          <w:rFonts w:ascii="Times New Roman" w:hAnsi="Times New Roman" w:cs="Times New Roman"/>
          <w:lang w:val="es-AR"/>
        </w:rPr>
        <w:t xml:space="preserve">, </w:t>
      </w:r>
      <w:r w:rsidRPr="004774B4">
        <w:rPr>
          <w:rFonts w:ascii="Times New Roman" w:hAnsi="Times New Roman" w:cs="Times New Roman"/>
          <w:i/>
          <w:iCs/>
          <w:lang w:val="es-AR"/>
        </w:rPr>
        <w:t>8</w:t>
      </w:r>
      <w:r w:rsidRPr="004774B4">
        <w:rPr>
          <w:rFonts w:ascii="Times New Roman" w:hAnsi="Times New Roman" w:cs="Times New Roman"/>
          <w:lang w:val="es-AR"/>
        </w:rPr>
        <w:t>(9).</w:t>
      </w:r>
    </w:p>
    <w:p w14:paraId="6A91856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Pentito, C. (2018). Modelos institucionales y funciones universitarias. Del modelo reformista a las universidades del siglo XXI. En S. Gospartini, et al. (Eds.), </w:t>
      </w:r>
      <w:r w:rsidRPr="004774B4">
        <w:rPr>
          <w:rFonts w:ascii="Times New Roman" w:hAnsi="Times New Roman" w:cs="Times New Roman"/>
          <w:i/>
          <w:iCs/>
          <w:lang w:val="es-AR"/>
        </w:rPr>
        <w:t>La Universidad Nacional de Moreno a cien años de la Reforma Universitaria</w:t>
      </w:r>
      <w:r w:rsidRPr="004774B4">
        <w:rPr>
          <w:rFonts w:ascii="Times New Roman" w:hAnsi="Times New Roman" w:cs="Times New Roman"/>
          <w:lang w:val="es-AR"/>
        </w:rPr>
        <w:t xml:space="preserve"> (pp. 23-72). Moreno: UNM Editora.</w:t>
      </w:r>
    </w:p>
    <w:p w14:paraId="6BB7BA2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Petz, I. (2023). La extensión universitaria como política de conocimiento. </w:t>
      </w:r>
      <w:r w:rsidRPr="004774B4">
        <w:rPr>
          <w:rFonts w:ascii="Times New Roman" w:hAnsi="Times New Roman" w:cs="Times New Roman"/>
          <w:i/>
          <w:iCs/>
          <w:lang w:val="es-AR"/>
        </w:rPr>
        <w:t xml:space="preserve">Redes de Extensión, </w:t>
      </w:r>
      <w:r w:rsidRPr="004774B4">
        <w:rPr>
          <w:rFonts w:ascii="Times New Roman" w:hAnsi="Times New Roman" w:cs="Times New Roman"/>
          <w:lang w:val="es-AR"/>
        </w:rPr>
        <w:t>(10.1), 1-11.</w:t>
      </w:r>
    </w:p>
    <w:p w14:paraId="026E308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Rasetti, C. P. (2014). La expansión de la educación universitaria en Argentina: políticas y actores. </w:t>
      </w:r>
      <w:r w:rsidRPr="004774B4">
        <w:rPr>
          <w:rFonts w:ascii="Times New Roman" w:hAnsi="Times New Roman" w:cs="Times New Roman"/>
          <w:i/>
          <w:iCs/>
          <w:lang w:val="es-AR"/>
        </w:rPr>
        <w:t>Integración y Conocimiento: Revista del Núcleo de Estudios e Investigaciones en Educación Superior de Mercosur,</w:t>
      </w:r>
      <w:r w:rsidRPr="004774B4">
        <w:rPr>
          <w:rFonts w:ascii="Times New Roman" w:hAnsi="Times New Roman" w:cs="Times New Roman"/>
          <w:lang w:val="es-AR"/>
        </w:rPr>
        <w:t xml:space="preserve"> 3(1), 8-32.</w:t>
      </w:r>
    </w:p>
    <w:p w14:paraId="58499A1E"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Resolución SPU N° 1373/04. (2004). Creación del Programa de Voluntariado Universitario. Ministerio de Educación, Ciencia y Tecnología.</w:t>
      </w:r>
    </w:p>
    <w:p w14:paraId="1AAA454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Roca, A. y Schneider, C. (2018). </w:t>
      </w:r>
      <w:r w:rsidRPr="004774B4">
        <w:rPr>
          <w:rFonts w:ascii="Times New Roman" w:hAnsi="Times New Roman" w:cs="Times New Roman"/>
          <w:i/>
          <w:iCs/>
          <w:lang w:val="es-AR"/>
        </w:rPr>
        <w:t>El legado reformista en las nuevas universidades del conurbano: inclusión, democracia, conocimiento</w:t>
      </w:r>
      <w:r w:rsidRPr="004774B4">
        <w:rPr>
          <w:rFonts w:ascii="Times New Roman" w:hAnsi="Times New Roman" w:cs="Times New Roman"/>
          <w:lang w:val="es-AR"/>
        </w:rPr>
        <w:t>. Undav Ediciones y EDUNPAZ.</w:t>
      </w:r>
    </w:p>
    <w:p w14:paraId="113046C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Rodríguez, L. M., Yaverosky, A., &amp; Peluso, N. (2018). Reforma, extensión universitaria y nuevos sujetos pedagógicos. En E. Rinesi, N. Peluso y L.C. Ríos (Comps.), </w:t>
      </w:r>
      <w:r w:rsidRPr="004774B4">
        <w:rPr>
          <w:rFonts w:ascii="Times New Roman" w:hAnsi="Times New Roman" w:cs="Times New Roman"/>
          <w:i/>
          <w:iCs/>
          <w:lang w:val="es-AR"/>
        </w:rPr>
        <w:t>Las libertades que faltan: dimensiones latinoamericanas y legados democráticos de la Reforma Universitaria</w:t>
      </w:r>
      <w:r w:rsidRPr="004774B4">
        <w:rPr>
          <w:rFonts w:ascii="Times New Roman" w:hAnsi="Times New Roman" w:cs="Times New Roman"/>
          <w:lang w:val="es-AR"/>
        </w:rPr>
        <w:t xml:space="preserve"> (pp. 59-75).</w:t>
      </w:r>
    </w:p>
    <w:p w14:paraId="04180A8D" w14:textId="6F0BB841"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Sturniolo, S. (2009). La universidad y su articulación </w:t>
      </w:r>
      <w:r w:rsidR="00753EBC" w:rsidRPr="004774B4">
        <w:rPr>
          <w:rFonts w:ascii="Times New Roman" w:hAnsi="Times New Roman" w:cs="Times New Roman"/>
          <w:lang w:val="es-AR"/>
        </w:rPr>
        <w:t>local. ¿Nuevos</w:t>
      </w:r>
      <w:r w:rsidRPr="004774B4">
        <w:rPr>
          <w:rFonts w:ascii="Times New Roman" w:hAnsi="Times New Roman" w:cs="Times New Roman"/>
          <w:lang w:val="es-AR"/>
        </w:rPr>
        <w:t xml:space="preserve"> sentidos?</w:t>
      </w:r>
      <w:r w:rsidRPr="004774B4">
        <w:rPr>
          <w:rFonts w:ascii="Times New Roman" w:hAnsi="Times New Roman" w:cs="Times New Roman"/>
          <w:i/>
          <w:iCs/>
          <w:lang w:val="es-AR"/>
        </w:rPr>
        <w:t xml:space="preserve"> XXVII Congreso de la Asociación Latinoamericana de Sociología. VIII Jornadas de Sociología de la Universidad de Buenos Aires</w:t>
      </w:r>
      <w:r w:rsidRPr="004774B4">
        <w:rPr>
          <w:rFonts w:ascii="Times New Roman" w:hAnsi="Times New Roman" w:cs="Times New Roman"/>
          <w:lang w:val="es-AR"/>
        </w:rPr>
        <w:t>. Buenos Aires: Asociación latinoamericana de sociología.</w:t>
      </w:r>
    </w:p>
    <w:p w14:paraId="295976ED"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Tommasino, H. y Cano, A. (2016). Modelos y prácticas de extensión universitaria en las universidades latinoamericanas. </w:t>
      </w:r>
      <w:r w:rsidRPr="004774B4">
        <w:rPr>
          <w:rFonts w:ascii="Times New Roman" w:hAnsi="Times New Roman" w:cs="Times New Roman"/>
          <w:i/>
          <w:iCs/>
          <w:lang w:val="es-AR"/>
        </w:rPr>
        <w:t>Universidades</w:t>
      </w:r>
      <w:r w:rsidRPr="004774B4">
        <w:rPr>
          <w:rFonts w:ascii="Times New Roman" w:hAnsi="Times New Roman" w:cs="Times New Roman"/>
          <w:lang w:val="es-AR"/>
        </w:rPr>
        <w:t>, (67), 24-34.</w:t>
      </w:r>
    </w:p>
    <w:p w14:paraId="6834224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Tommasino Ferraro, H. y Pérez Sánchez, M. (2022) La investigación participativa: sus aportes a la extensión crítica. </w:t>
      </w:r>
      <w:r w:rsidRPr="004774B4">
        <w:rPr>
          <w:rFonts w:ascii="Times New Roman" w:hAnsi="Times New Roman" w:cs="Times New Roman"/>
          <w:i/>
          <w:iCs/>
          <w:lang w:val="es-AR"/>
        </w:rPr>
        <w:t>Saberes y prácticas. Revista de Filosofía y Educación</w:t>
      </w:r>
      <w:r w:rsidRPr="004774B4">
        <w:rPr>
          <w:rFonts w:ascii="Times New Roman" w:hAnsi="Times New Roman" w:cs="Times New Roman"/>
          <w:lang w:val="es-AR"/>
        </w:rPr>
        <w:t>. (7) 1-21.</w:t>
      </w:r>
    </w:p>
    <w:p w14:paraId="33152417"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Tünnermann Bernheim, C. (2000). El nuevo concepto de la extensión universitaria. En </w:t>
      </w:r>
      <w:r w:rsidRPr="004774B4">
        <w:rPr>
          <w:rFonts w:ascii="Times New Roman" w:hAnsi="Times New Roman" w:cs="Times New Roman"/>
          <w:i/>
          <w:iCs/>
          <w:lang w:val="es-AR"/>
        </w:rPr>
        <w:t>Memorias V Congreso Iberoamericano de extensión</w:t>
      </w:r>
      <w:r w:rsidRPr="004774B4">
        <w:rPr>
          <w:rFonts w:ascii="Times New Roman" w:hAnsi="Times New Roman" w:cs="Times New Roman"/>
          <w:lang w:val="es-AR"/>
        </w:rPr>
        <w:t>. México.</w:t>
      </w:r>
    </w:p>
    <w:p w14:paraId="4D1655B4"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Unzué, M. (2016). Los sentidos de la idea de democratización de la universidad en Argentina. En I. Aranciaga (Comp.), </w:t>
      </w:r>
      <w:r w:rsidRPr="004774B4">
        <w:rPr>
          <w:rFonts w:ascii="Times New Roman" w:hAnsi="Times New Roman" w:cs="Times New Roman"/>
          <w:i/>
          <w:iCs/>
          <w:lang w:val="es-AR"/>
        </w:rPr>
        <w:t>La universidad y el desafío de construir sociedades inclusivas</w:t>
      </w:r>
      <w:r w:rsidRPr="004774B4">
        <w:rPr>
          <w:rFonts w:ascii="Times New Roman" w:hAnsi="Times New Roman" w:cs="Times New Roman"/>
          <w:lang w:val="es-AR"/>
        </w:rPr>
        <w:t xml:space="preserve"> (pp. 50-66). Río Gallegos: Universidad Nacional de la Patagonia Austral.</w:t>
      </w:r>
    </w:p>
    <w:p w14:paraId="6CE2C1F0"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lastRenderedPageBreak/>
        <w:t xml:space="preserve">Vaccarezza, L. (2015). Apropiación social e hibridación de conocimientos en los procesos de extensión universitaria. </w:t>
      </w:r>
      <w:r w:rsidRPr="004774B4">
        <w:rPr>
          <w:rFonts w:ascii="Times New Roman" w:hAnsi="Times New Roman" w:cs="Times New Roman"/>
          <w:i/>
          <w:iCs/>
          <w:lang w:val="es-AR"/>
        </w:rPr>
        <w:t>Cuestiones de Sociología</w:t>
      </w:r>
      <w:r w:rsidRPr="004774B4">
        <w:rPr>
          <w:rFonts w:ascii="Times New Roman" w:hAnsi="Times New Roman" w:cs="Times New Roman"/>
          <w:lang w:val="es-AR"/>
        </w:rPr>
        <w:t xml:space="preserve">, (12). </w:t>
      </w:r>
      <w:hyperlink r:id="rId17" w:history="1">
        <w:r w:rsidRPr="004774B4">
          <w:rPr>
            <w:rStyle w:val="Hipervnculo"/>
            <w:rFonts w:ascii="Times New Roman" w:hAnsi="Times New Roman" w:cs="Times New Roman"/>
            <w:lang w:val="es-AR"/>
          </w:rPr>
          <w:t>https://www.memoria.fahce.unlp.edu.ar/library?a=d&amp;c=arti&amp;d=Jpr6759</w:t>
        </w:r>
      </w:hyperlink>
      <w:r w:rsidRPr="004774B4">
        <w:rPr>
          <w:rFonts w:ascii="Times New Roman" w:hAnsi="Times New Roman" w:cs="Times New Roman"/>
          <w:lang w:val="es-AR"/>
        </w:rPr>
        <w:t> </w:t>
      </w:r>
    </w:p>
    <w:p w14:paraId="263E5044" w14:textId="0B097AD0" w:rsidR="004774B4" w:rsidRPr="004774B4" w:rsidRDefault="00753EBC" w:rsidP="004774B4">
      <w:pPr>
        <w:spacing w:line="240" w:lineRule="auto"/>
        <w:jc w:val="both"/>
        <w:rPr>
          <w:rFonts w:ascii="Times New Roman" w:hAnsi="Times New Roman" w:cs="Times New Roman"/>
          <w:lang w:val="es-AR"/>
        </w:rPr>
      </w:pPr>
      <w:r w:rsidRPr="00753EBC">
        <w:rPr>
          <w:rFonts w:ascii="Times New Roman" w:hAnsi="Times New Roman" w:cs="Times New Roman"/>
          <w:lang w:val="es-AR"/>
        </w:rPr>
        <w:t>Wanschelbaum</w:t>
      </w:r>
      <w:r w:rsidR="004774B4" w:rsidRPr="004774B4">
        <w:rPr>
          <w:rFonts w:ascii="Times New Roman" w:hAnsi="Times New Roman" w:cs="Times New Roman"/>
          <w:lang w:val="es-AR"/>
        </w:rPr>
        <w:t xml:space="preserve">, C. (2017). El programa educativo del departamento de extensión universitaria en Isla Maciel (1956-1966). </w:t>
      </w:r>
      <w:r w:rsidR="004774B4" w:rsidRPr="004774B4">
        <w:rPr>
          <w:rFonts w:ascii="Times New Roman" w:hAnsi="Times New Roman" w:cs="Times New Roman"/>
          <w:i/>
          <w:iCs/>
          <w:lang w:val="es-AR"/>
        </w:rPr>
        <w:t>Revista de la Escuela de Ciencias de la Educación</w:t>
      </w:r>
      <w:r w:rsidR="004774B4" w:rsidRPr="004774B4">
        <w:rPr>
          <w:rFonts w:ascii="Times New Roman" w:hAnsi="Times New Roman" w:cs="Times New Roman"/>
          <w:lang w:val="es-AR"/>
        </w:rPr>
        <w:t xml:space="preserve">, </w:t>
      </w:r>
      <w:r w:rsidR="004774B4" w:rsidRPr="004774B4">
        <w:rPr>
          <w:rFonts w:ascii="Times New Roman" w:hAnsi="Times New Roman" w:cs="Times New Roman"/>
          <w:i/>
          <w:iCs/>
          <w:lang w:val="es-AR"/>
        </w:rPr>
        <w:t>2</w:t>
      </w:r>
      <w:r w:rsidR="004774B4" w:rsidRPr="004774B4">
        <w:rPr>
          <w:rFonts w:ascii="Times New Roman" w:hAnsi="Times New Roman" w:cs="Times New Roman"/>
          <w:lang w:val="es-AR"/>
        </w:rPr>
        <w:t>(12), 49-65.</w:t>
      </w:r>
    </w:p>
    <w:p w14:paraId="3F9A0DBB"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Documentos Institucionales</w:t>
      </w:r>
    </w:p>
    <w:p w14:paraId="140D8E49"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Universidad Nacional de General Sarmiento. (2015). </w:t>
      </w:r>
      <w:r w:rsidRPr="004774B4">
        <w:rPr>
          <w:rFonts w:ascii="Times New Roman" w:hAnsi="Times New Roman" w:cs="Times New Roman"/>
          <w:i/>
          <w:iCs/>
          <w:lang w:val="es-AR"/>
        </w:rPr>
        <w:t>Plan de Desarrollo Institucional 2010-2014. Informe de Autoevaluación</w:t>
      </w:r>
      <w:r w:rsidRPr="004774B4">
        <w:rPr>
          <w:rFonts w:ascii="Times New Roman" w:hAnsi="Times New Roman" w:cs="Times New Roman"/>
          <w:lang w:val="es-AR"/>
        </w:rPr>
        <w:t>. Los Polvorines: UNGS.</w:t>
      </w:r>
    </w:p>
    <w:p w14:paraId="671847B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Universidad Nacional de Hurlingham. (2018). </w:t>
      </w:r>
      <w:r w:rsidRPr="004774B4">
        <w:rPr>
          <w:rFonts w:ascii="Times New Roman" w:hAnsi="Times New Roman" w:cs="Times New Roman"/>
          <w:i/>
          <w:iCs/>
          <w:lang w:val="es-AR"/>
        </w:rPr>
        <w:t>Plan Estratégico 2016-2021</w:t>
      </w:r>
      <w:r w:rsidRPr="004774B4">
        <w:rPr>
          <w:rFonts w:ascii="Times New Roman" w:hAnsi="Times New Roman" w:cs="Times New Roman"/>
          <w:lang w:val="es-AR"/>
        </w:rPr>
        <w:t>. Hurlingham: UNAHUR.</w:t>
      </w:r>
    </w:p>
    <w:p w14:paraId="2983C5A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Universidad Nacional de José C. Paz. (2018). </w:t>
      </w:r>
      <w:r w:rsidRPr="004774B4">
        <w:rPr>
          <w:rFonts w:ascii="Times New Roman" w:hAnsi="Times New Roman" w:cs="Times New Roman"/>
          <w:i/>
          <w:iCs/>
          <w:lang w:val="es-AR"/>
        </w:rPr>
        <w:t>Plan Estratégico Institucional 2016-2020</w:t>
      </w:r>
      <w:r w:rsidRPr="004774B4">
        <w:rPr>
          <w:rFonts w:ascii="Times New Roman" w:hAnsi="Times New Roman" w:cs="Times New Roman"/>
          <w:lang w:val="es-AR"/>
        </w:rPr>
        <w:t>. José C. Paz: UNPAZ.</w:t>
      </w:r>
    </w:p>
    <w:p w14:paraId="3F420B15"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Universidad Nacional de Río Cuarto. (2016). </w:t>
      </w:r>
      <w:r w:rsidRPr="004774B4">
        <w:rPr>
          <w:rFonts w:ascii="Times New Roman" w:hAnsi="Times New Roman" w:cs="Times New Roman"/>
          <w:i/>
          <w:iCs/>
          <w:lang w:val="es-AR"/>
        </w:rPr>
        <w:t>Estatuto de la Universidad Nacional de Río Cuarto</w:t>
      </w:r>
      <w:r w:rsidRPr="004774B4">
        <w:rPr>
          <w:rFonts w:ascii="Times New Roman" w:hAnsi="Times New Roman" w:cs="Times New Roman"/>
          <w:lang w:val="es-AR"/>
        </w:rPr>
        <w:t>. Río Cuarto: UNRC.</w:t>
      </w:r>
    </w:p>
    <w:p w14:paraId="63AFEAA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Universidad Nacional de Tierra del Fuego, Antártida e Islas del Atlántico Sur. (2019). </w:t>
      </w:r>
      <w:r w:rsidRPr="004774B4">
        <w:rPr>
          <w:rFonts w:ascii="Times New Roman" w:hAnsi="Times New Roman" w:cs="Times New Roman"/>
          <w:i/>
          <w:iCs/>
          <w:lang w:val="es-AR"/>
        </w:rPr>
        <w:t>Plan Estratégico Institucional 2019-2023</w:t>
      </w:r>
      <w:r w:rsidRPr="004774B4">
        <w:rPr>
          <w:rFonts w:ascii="Times New Roman" w:hAnsi="Times New Roman" w:cs="Times New Roman"/>
          <w:lang w:val="es-AR"/>
        </w:rPr>
        <w:t>. Ushuaia: UNTDF.</w:t>
      </w:r>
    </w:p>
    <w:p w14:paraId="6ECB3568"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Universidad Nacional de Tucumán. (2018). </w:t>
      </w:r>
      <w:r w:rsidRPr="004774B4">
        <w:rPr>
          <w:rFonts w:ascii="Times New Roman" w:hAnsi="Times New Roman" w:cs="Times New Roman"/>
          <w:i/>
          <w:iCs/>
          <w:lang w:val="es-AR"/>
        </w:rPr>
        <w:t>Estatuto de la Universidad Nacional de Tucumán (Texto Ordenado 2018)</w:t>
      </w:r>
      <w:r w:rsidRPr="004774B4">
        <w:rPr>
          <w:rFonts w:ascii="Times New Roman" w:hAnsi="Times New Roman" w:cs="Times New Roman"/>
          <w:lang w:val="es-AR"/>
        </w:rPr>
        <w:t>. San Miguel de Tucumán: UNT.</w:t>
      </w:r>
    </w:p>
    <w:p w14:paraId="04CCBDF6"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lang w:val="es-AR"/>
        </w:rPr>
        <w:t xml:space="preserve">Universidad Nacional del Litoral. (2021). </w:t>
      </w:r>
      <w:r w:rsidRPr="004774B4">
        <w:rPr>
          <w:rFonts w:ascii="Times New Roman" w:hAnsi="Times New Roman" w:cs="Times New Roman"/>
          <w:i/>
          <w:iCs/>
          <w:lang w:val="es-AR"/>
        </w:rPr>
        <w:t>Plan Institucional Estratégico 2020-2029</w:t>
      </w:r>
      <w:r w:rsidRPr="004774B4">
        <w:rPr>
          <w:rFonts w:ascii="Times New Roman" w:hAnsi="Times New Roman" w:cs="Times New Roman"/>
          <w:lang w:val="es-AR"/>
        </w:rPr>
        <w:t>. Santa Fe: UNL.</w:t>
      </w:r>
    </w:p>
    <w:p w14:paraId="478A1D1F" w14:textId="77777777" w:rsidR="004774B4" w:rsidRPr="004774B4" w:rsidRDefault="004774B4" w:rsidP="004774B4">
      <w:pPr>
        <w:spacing w:line="240" w:lineRule="auto"/>
        <w:jc w:val="both"/>
        <w:rPr>
          <w:rFonts w:ascii="Times New Roman" w:hAnsi="Times New Roman" w:cs="Times New Roman"/>
          <w:lang w:val="es-AR"/>
        </w:rPr>
      </w:pPr>
      <w:r w:rsidRPr="004774B4">
        <w:rPr>
          <w:rFonts w:ascii="Times New Roman" w:hAnsi="Times New Roman" w:cs="Times New Roman"/>
          <w:b/>
          <w:bCs/>
          <w:lang w:val="es-AR"/>
        </w:rPr>
        <w:t>Páginas web</w:t>
      </w:r>
    </w:p>
    <w:p w14:paraId="188C14B1" w14:textId="77777777" w:rsidR="004774B4" w:rsidRPr="004774B4" w:rsidRDefault="004774B4" w:rsidP="004774B4">
      <w:pPr>
        <w:spacing w:line="240" w:lineRule="auto"/>
        <w:jc w:val="both"/>
        <w:rPr>
          <w:rFonts w:ascii="Times New Roman" w:hAnsi="Times New Roman" w:cs="Times New Roman"/>
          <w:lang w:val="es-AR"/>
        </w:rPr>
      </w:pPr>
      <w:hyperlink r:id="rId18" w:history="1">
        <w:r w:rsidRPr="004774B4">
          <w:rPr>
            <w:rStyle w:val="Hipervnculo"/>
            <w:rFonts w:ascii="Times New Roman" w:hAnsi="Times New Roman" w:cs="Times New Roman"/>
            <w:lang w:val="es-AR"/>
          </w:rPr>
          <w:t>https://www.unt.edu.ar/</w:t>
        </w:r>
      </w:hyperlink>
    </w:p>
    <w:p w14:paraId="51028964" w14:textId="77777777" w:rsidR="004774B4" w:rsidRPr="004774B4" w:rsidRDefault="004774B4" w:rsidP="004774B4">
      <w:pPr>
        <w:spacing w:line="240" w:lineRule="auto"/>
        <w:jc w:val="both"/>
        <w:rPr>
          <w:rFonts w:ascii="Times New Roman" w:hAnsi="Times New Roman" w:cs="Times New Roman"/>
          <w:lang w:val="es-AR"/>
        </w:rPr>
      </w:pPr>
      <w:hyperlink r:id="rId19" w:history="1">
        <w:r w:rsidRPr="004774B4">
          <w:rPr>
            <w:rStyle w:val="Hipervnculo"/>
            <w:rFonts w:ascii="Times New Roman" w:hAnsi="Times New Roman" w:cs="Times New Roman"/>
            <w:lang w:val="es-AR"/>
          </w:rPr>
          <w:t>https://www.unl.edu.ar/</w:t>
        </w:r>
      </w:hyperlink>
    </w:p>
    <w:p w14:paraId="695D98EB" w14:textId="77777777" w:rsidR="004774B4" w:rsidRPr="004774B4" w:rsidRDefault="004774B4" w:rsidP="004774B4">
      <w:pPr>
        <w:spacing w:line="240" w:lineRule="auto"/>
        <w:jc w:val="both"/>
        <w:rPr>
          <w:rFonts w:ascii="Times New Roman" w:hAnsi="Times New Roman" w:cs="Times New Roman"/>
          <w:lang w:val="es-AR"/>
        </w:rPr>
      </w:pPr>
      <w:hyperlink r:id="rId20" w:history="1">
        <w:r w:rsidRPr="004774B4">
          <w:rPr>
            <w:rStyle w:val="Hipervnculo"/>
            <w:rFonts w:ascii="Times New Roman" w:hAnsi="Times New Roman" w:cs="Times New Roman"/>
            <w:lang w:val="es-AR"/>
          </w:rPr>
          <w:t>https://www.unrc.edu.ar/</w:t>
        </w:r>
      </w:hyperlink>
    </w:p>
    <w:p w14:paraId="46C0562C" w14:textId="77777777" w:rsidR="004774B4" w:rsidRPr="004774B4" w:rsidRDefault="004774B4" w:rsidP="004774B4">
      <w:pPr>
        <w:spacing w:line="240" w:lineRule="auto"/>
        <w:jc w:val="both"/>
        <w:rPr>
          <w:rFonts w:ascii="Times New Roman" w:hAnsi="Times New Roman" w:cs="Times New Roman"/>
          <w:lang w:val="es-AR"/>
        </w:rPr>
      </w:pPr>
      <w:hyperlink r:id="rId21" w:history="1">
        <w:r w:rsidRPr="004774B4">
          <w:rPr>
            <w:rStyle w:val="Hipervnculo"/>
            <w:rFonts w:ascii="Times New Roman" w:hAnsi="Times New Roman" w:cs="Times New Roman"/>
            <w:lang w:val="es-AR"/>
          </w:rPr>
          <w:t>https://www.ungs.edu.ar/</w:t>
        </w:r>
      </w:hyperlink>
    </w:p>
    <w:p w14:paraId="5BB6B7EA" w14:textId="77777777" w:rsidR="004774B4" w:rsidRPr="004774B4" w:rsidRDefault="004774B4" w:rsidP="004774B4">
      <w:pPr>
        <w:spacing w:line="240" w:lineRule="auto"/>
        <w:jc w:val="both"/>
        <w:rPr>
          <w:rFonts w:ascii="Times New Roman" w:hAnsi="Times New Roman" w:cs="Times New Roman"/>
          <w:lang w:val="es-AR"/>
        </w:rPr>
      </w:pPr>
      <w:hyperlink r:id="rId22" w:history="1">
        <w:r w:rsidRPr="004774B4">
          <w:rPr>
            <w:rStyle w:val="Hipervnculo"/>
            <w:rFonts w:ascii="Times New Roman" w:hAnsi="Times New Roman" w:cs="Times New Roman"/>
            <w:lang w:val="es-AR"/>
          </w:rPr>
          <w:t>https://www.unpaz.edu.ar/</w:t>
        </w:r>
      </w:hyperlink>
    </w:p>
    <w:p w14:paraId="0BBA755C" w14:textId="77777777" w:rsidR="004774B4" w:rsidRPr="004774B4" w:rsidRDefault="004774B4" w:rsidP="004774B4">
      <w:pPr>
        <w:spacing w:line="240" w:lineRule="auto"/>
        <w:jc w:val="both"/>
        <w:rPr>
          <w:rFonts w:ascii="Times New Roman" w:hAnsi="Times New Roman" w:cs="Times New Roman"/>
          <w:lang w:val="es-AR"/>
        </w:rPr>
      </w:pPr>
      <w:hyperlink r:id="rId23" w:history="1">
        <w:r w:rsidRPr="004774B4">
          <w:rPr>
            <w:rStyle w:val="Hipervnculo"/>
            <w:rFonts w:ascii="Times New Roman" w:hAnsi="Times New Roman" w:cs="Times New Roman"/>
            <w:lang w:val="es-AR"/>
          </w:rPr>
          <w:t>https://www.unahur.edu.ar/</w:t>
        </w:r>
      </w:hyperlink>
    </w:p>
    <w:p w14:paraId="0B350CBD" w14:textId="77777777" w:rsidR="004774B4" w:rsidRPr="004774B4" w:rsidRDefault="004774B4" w:rsidP="004774B4">
      <w:pPr>
        <w:spacing w:line="240" w:lineRule="auto"/>
        <w:jc w:val="both"/>
        <w:rPr>
          <w:rFonts w:ascii="Times New Roman" w:hAnsi="Times New Roman" w:cs="Times New Roman"/>
          <w:lang w:val="es-AR"/>
        </w:rPr>
      </w:pPr>
      <w:hyperlink r:id="rId24" w:history="1">
        <w:r w:rsidRPr="004774B4">
          <w:rPr>
            <w:rStyle w:val="Hipervnculo"/>
            <w:rFonts w:ascii="Times New Roman" w:hAnsi="Times New Roman" w:cs="Times New Roman"/>
            <w:lang w:val="es-AR"/>
          </w:rPr>
          <w:t>https://untdf.edu.ar/</w:t>
        </w:r>
      </w:hyperlink>
      <w:r w:rsidRPr="004774B4">
        <w:rPr>
          <w:rFonts w:ascii="Times New Roman" w:hAnsi="Times New Roman" w:cs="Times New Roman"/>
          <w:lang w:val="es-AR"/>
        </w:rPr>
        <w:t> </w:t>
      </w:r>
    </w:p>
    <w:p w14:paraId="7E83515B" w14:textId="2A3004E7" w:rsidR="001923DC" w:rsidRPr="00BA642E" w:rsidRDefault="001923DC" w:rsidP="004774B4">
      <w:pPr>
        <w:spacing w:line="240" w:lineRule="auto"/>
        <w:jc w:val="both"/>
        <w:rPr>
          <w:rFonts w:ascii="Times New Roman" w:hAnsi="Times New Roman" w:cs="Times New Roman"/>
          <w:lang w:val="pt-BR"/>
        </w:rPr>
      </w:pPr>
    </w:p>
    <w:sectPr w:rsidR="001923DC" w:rsidRPr="00BA642E" w:rsidSect="00701F64">
      <w:headerReference w:type="default" r:id="rId25"/>
      <w:footerReference w:type="default" r:id="rId26"/>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0D339" w14:textId="77777777" w:rsidR="00582261" w:rsidRPr="00BA642E" w:rsidRDefault="00582261" w:rsidP="00C802F5">
      <w:pPr>
        <w:spacing w:after="0" w:line="240" w:lineRule="auto"/>
      </w:pPr>
      <w:r w:rsidRPr="00BA642E">
        <w:separator/>
      </w:r>
    </w:p>
  </w:endnote>
  <w:endnote w:type="continuationSeparator" w:id="0">
    <w:p w14:paraId="79B98925" w14:textId="77777777" w:rsidR="00582261" w:rsidRPr="00BA642E" w:rsidRDefault="0058226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3FD7D" w14:textId="77777777" w:rsidR="00582261" w:rsidRPr="00BA642E" w:rsidRDefault="00582261" w:rsidP="00C802F5">
      <w:pPr>
        <w:spacing w:after="0" w:line="240" w:lineRule="auto"/>
      </w:pPr>
      <w:r w:rsidRPr="00BA642E">
        <w:separator/>
      </w:r>
    </w:p>
  </w:footnote>
  <w:footnote w:type="continuationSeparator" w:id="0">
    <w:p w14:paraId="01C7C31A" w14:textId="77777777" w:rsidR="00582261" w:rsidRPr="00BA642E" w:rsidRDefault="0058226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4774B4"/>
    <w:rsid w:val="004F1F42"/>
    <w:rsid w:val="00550766"/>
    <w:rsid w:val="00582261"/>
    <w:rsid w:val="005F3B2E"/>
    <w:rsid w:val="00661F80"/>
    <w:rsid w:val="00701F64"/>
    <w:rsid w:val="00753EBC"/>
    <w:rsid w:val="007B5B5F"/>
    <w:rsid w:val="007B5CC4"/>
    <w:rsid w:val="007D233B"/>
    <w:rsid w:val="0085070B"/>
    <w:rsid w:val="009B2097"/>
    <w:rsid w:val="00A17247"/>
    <w:rsid w:val="00BA642E"/>
    <w:rsid w:val="00BC236F"/>
    <w:rsid w:val="00BD211E"/>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edu.ar/" TargetMode="External"/><Relationship Id="rId13" Type="http://schemas.openxmlformats.org/officeDocument/2006/relationships/hyperlink" Target="https://untdf.edu.ar/" TargetMode="External"/><Relationship Id="rId18" Type="http://schemas.openxmlformats.org/officeDocument/2006/relationships/hyperlink" Target="https://www.unt.edu.ar/"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www.ungs.edu.ar/" TargetMode="External"/><Relationship Id="rId7" Type="http://schemas.openxmlformats.org/officeDocument/2006/relationships/hyperlink" Target="https://www.unt.edu.ar/" TargetMode="External"/><Relationship Id="rId12" Type="http://schemas.openxmlformats.org/officeDocument/2006/relationships/hyperlink" Target="https://www.unahur.edu.ar/" TargetMode="External"/><Relationship Id="rId17" Type="http://schemas.openxmlformats.org/officeDocument/2006/relationships/hyperlink" Target="https://www.memoria.fahce.unlp.edu.ar/library?a=d&amp;c=arti&amp;d=Jpr6759"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revistas.unc.edu.ar/index.php/ext/article/view/4036/pdf" TargetMode="External"/><Relationship Id="rId20" Type="http://schemas.openxmlformats.org/officeDocument/2006/relationships/hyperlink" Target="https://www.unrc.edu.ar/"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unpaz.edu.ar/" TargetMode="External"/><Relationship Id="rId24" Type="http://schemas.openxmlformats.org/officeDocument/2006/relationships/hyperlink" Target="https://untdf.edu.ar/" TargetMode="External"/><Relationship Id="rId5" Type="http://schemas.openxmlformats.org/officeDocument/2006/relationships/endnotes" Target="endnotes.xml"/><Relationship Id="rId15" Type="http://schemas.openxmlformats.org/officeDocument/2006/relationships/hyperlink" Target="https://prismas.unq.edu.ar/OJS/index.php/Prismas/article/view/L%C3%B3pez_prismas16" TargetMode="External"/><Relationship Id="rId23" Type="http://schemas.openxmlformats.org/officeDocument/2006/relationships/hyperlink" Target="https://www.unahur.edu.ar/" TargetMode="External"/><Relationship Id="rId28" Type="http://schemas.openxmlformats.org/officeDocument/2006/relationships/theme" Target="theme/theme1.xml"/><Relationship Id="rId10" Type="http://schemas.openxmlformats.org/officeDocument/2006/relationships/hyperlink" Target="https://www.ungs.edu.ar/" TargetMode="External"/><Relationship Id="rId19" Type="http://schemas.openxmlformats.org/officeDocument/2006/relationships/hyperlink" Target="https://www.unl.edu.ar/" TargetMode="External"/><Relationship Id="rId4" Type="http://schemas.openxmlformats.org/officeDocument/2006/relationships/footnotes" Target="footnotes.xml"/><Relationship Id="rId9" Type="http://schemas.openxmlformats.org/officeDocument/2006/relationships/hyperlink" Target="https://www.unrc.edu.ar/" TargetMode="External"/><Relationship Id="rId14" Type="http://schemas.openxmlformats.org/officeDocument/2006/relationships/hyperlink" Target="https://www.academia.edu/6633298/Extensi%C3%B3n_universitaria_y_alternativas_pedag%C3%B3gicas_en_la_Universidad_Latinoamericana" TargetMode="External"/><Relationship Id="rId22" Type="http://schemas.openxmlformats.org/officeDocument/2006/relationships/hyperlink" Target="https://www.unpaz.edu.ar/"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8312</Words>
  <Characters>47684</Characters>
  <Application>Microsoft Office Word</Application>
  <DocSecurity>0</DocSecurity>
  <Lines>1030</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Paula Soledad Viotti</cp:lastModifiedBy>
  <cp:revision>2</cp:revision>
  <dcterms:created xsi:type="dcterms:W3CDTF">2026-07-12T20:05:00Z</dcterms:created>
  <dcterms:modified xsi:type="dcterms:W3CDTF">2026-07-12T20:05:00Z</dcterms:modified>
</cp:coreProperties>
</file>