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1DABD42B" w14:textId="0E7F4966" w:rsidR="001923DC" w:rsidRPr="00BA642E" w:rsidRDefault="002A72E4" w:rsidP="001923DC">
      <w:pPr>
        <w:jc w:val="center"/>
        <w:rPr>
          <w:rFonts w:ascii="Times New Roman" w:hAnsi="Times New Roman" w:cs="Times New Roman"/>
          <w:b/>
          <w:bCs/>
        </w:rPr>
      </w:pPr>
      <w:r w:rsidRPr="002A72E4">
        <w:rPr>
          <w:rFonts w:ascii="Times New Roman" w:hAnsi="Times New Roman" w:cs="Times New Roman"/>
          <w:b/>
          <w:bCs/>
          <w:lang w:val="es-AR"/>
        </w:rPr>
        <w:t>¿Quién accede a la internacionalización? Movilidad, desigualdad e internacionalización a distancia entre Argentina y China</w:t>
      </w:r>
    </w:p>
    <w:p w14:paraId="43C49479" w14:textId="77777777" w:rsidR="005F3B2E" w:rsidRPr="00BA642E" w:rsidRDefault="005F3B2E" w:rsidP="001923DC">
      <w:pPr>
        <w:jc w:val="center"/>
        <w:rPr>
          <w:rFonts w:ascii="Times New Roman" w:hAnsi="Times New Roman" w:cs="Times New Roman"/>
        </w:rPr>
      </w:pPr>
    </w:p>
    <w:p w14:paraId="4E738780" w14:textId="608A78F7" w:rsidR="005F3B2E" w:rsidRPr="002A72E4" w:rsidRDefault="002A72E4" w:rsidP="005F3B2E">
      <w:pPr>
        <w:spacing w:after="0" w:line="240" w:lineRule="auto"/>
        <w:jc w:val="right"/>
        <w:rPr>
          <w:rFonts w:ascii="Times New Roman" w:hAnsi="Times New Roman" w:cs="Times New Roman"/>
          <w:lang w:val="es-AR"/>
        </w:rPr>
      </w:pPr>
      <w:r w:rsidRPr="002A72E4">
        <w:rPr>
          <w:rFonts w:ascii="Times New Roman" w:hAnsi="Times New Roman" w:cs="Times New Roman"/>
          <w:lang w:val="es-AR"/>
        </w:rPr>
        <w:t>Perrotta Daniela Van</w:t>
      </w:r>
      <w:r>
        <w:rPr>
          <w:rFonts w:ascii="Times New Roman" w:hAnsi="Times New Roman" w:cs="Times New Roman"/>
          <w:lang w:val="es-AR"/>
        </w:rPr>
        <w:t>esa</w:t>
      </w:r>
    </w:p>
    <w:p w14:paraId="06A5A3C4" w14:textId="27903436" w:rsidR="002A72E4" w:rsidRDefault="002A72E4" w:rsidP="005F3B2E">
      <w:pPr>
        <w:spacing w:after="0" w:line="240" w:lineRule="auto"/>
        <w:jc w:val="right"/>
        <w:rPr>
          <w:rFonts w:ascii="Times New Roman" w:hAnsi="Times New Roman" w:cs="Times New Roman"/>
          <w:lang w:val="es-AR"/>
        </w:rPr>
      </w:pPr>
      <w:r>
        <w:rPr>
          <w:rFonts w:ascii="Times New Roman" w:hAnsi="Times New Roman" w:cs="Times New Roman"/>
          <w:lang w:val="es-AR"/>
        </w:rPr>
        <w:t xml:space="preserve">Instituto de Investigaciones en Ciencias de la Educación (IICE), Facultad de Filosofía y Letras de la </w:t>
      </w:r>
      <w:r w:rsidRPr="002A72E4">
        <w:rPr>
          <w:rFonts w:ascii="Times New Roman" w:hAnsi="Times New Roman" w:cs="Times New Roman"/>
          <w:lang w:val="es-AR"/>
        </w:rPr>
        <w:t>Universidad de Buenos Aires (UBA) – Consejo Nacional de Investigaciones Científicas y Técnicas (CONICET)</w:t>
      </w:r>
    </w:p>
    <w:p w14:paraId="7D0026CD" w14:textId="7DBBF89F" w:rsidR="005F3B2E" w:rsidRPr="00BA642E" w:rsidRDefault="002A72E4" w:rsidP="005F3B2E">
      <w:pPr>
        <w:spacing w:after="0" w:line="240" w:lineRule="auto"/>
        <w:jc w:val="right"/>
        <w:rPr>
          <w:rFonts w:ascii="Times New Roman" w:hAnsi="Times New Roman" w:cs="Times New Roman"/>
        </w:rPr>
      </w:pPr>
      <w:r>
        <w:rPr>
          <w:rFonts w:ascii="Times New Roman" w:hAnsi="Times New Roman" w:cs="Times New Roman"/>
        </w:rPr>
        <w:t>danielaperrotta@gmail.com</w:t>
      </w:r>
    </w:p>
    <w:p w14:paraId="1FA0F857" w14:textId="77777777" w:rsidR="005F3B2E" w:rsidRPr="00BA642E" w:rsidRDefault="005F3B2E" w:rsidP="005F3B2E">
      <w:pPr>
        <w:rPr>
          <w:rFonts w:ascii="Times New Roman" w:hAnsi="Times New Roman" w:cs="Times New Roman"/>
        </w:rPr>
      </w:pPr>
    </w:p>
    <w:p w14:paraId="1275A9C7" w14:textId="4CD4EC95" w:rsidR="005F3B2E" w:rsidRPr="00BA642E" w:rsidRDefault="002A72E4" w:rsidP="005F3B2E">
      <w:pPr>
        <w:spacing w:after="0" w:line="240" w:lineRule="auto"/>
        <w:jc w:val="right"/>
        <w:rPr>
          <w:rFonts w:ascii="Times New Roman" w:hAnsi="Times New Roman" w:cs="Times New Roman"/>
        </w:rPr>
      </w:pPr>
      <w:r>
        <w:rPr>
          <w:rFonts w:ascii="Times New Roman" w:hAnsi="Times New Roman" w:cs="Times New Roman"/>
        </w:rPr>
        <w:t>Andrés Mercedes Victoria</w:t>
      </w:r>
    </w:p>
    <w:p w14:paraId="2BB0DCB8" w14:textId="77777777" w:rsidR="002A72E4" w:rsidRDefault="002A72E4" w:rsidP="002A72E4">
      <w:pPr>
        <w:spacing w:after="0" w:line="240" w:lineRule="auto"/>
        <w:jc w:val="right"/>
        <w:rPr>
          <w:rFonts w:ascii="Times New Roman" w:hAnsi="Times New Roman" w:cs="Times New Roman"/>
          <w:lang w:val="es-AR"/>
        </w:rPr>
      </w:pPr>
      <w:r>
        <w:rPr>
          <w:rFonts w:ascii="Times New Roman" w:hAnsi="Times New Roman" w:cs="Times New Roman"/>
          <w:lang w:val="es-AR"/>
        </w:rPr>
        <w:t xml:space="preserve">Instituto de Investigaciones en Ciencias de la Educación (IICE), Facultad de Filosofía y Letras de la </w:t>
      </w:r>
      <w:r w:rsidRPr="002A72E4">
        <w:rPr>
          <w:rFonts w:ascii="Times New Roman" w:hAnsi="Times New Roman" w:cs="Times New Roman"/>
          <w:lang w:val="es-AR"/>
        </w:rPr>
        <w:t>Universidad de Buenos Aires (UBA) – Consejo Nacional de Investigaciones Científicas y Técnicas (CONICET)</w:t>
      </w:r>
    </w:p>
    <w:p w14:paraId="640847CC" w14:textId="7900CE2E" w:rsidR="005F3B2E" w:rsidRPr="00BA642E" w:rsidRDefault="002A72E4" w:rsidP="005F3B2E">
      <w:pPr>
        <w:spacing w:after="0" w:line="240" w:lineRule="auto"/>
        <w:jc w:val="right"/>
        <w:rPr>
          <w:rFonts w:ascii="Times New Roman" w:hAnsi="Times New Roman" w:cs="Times New Roman"/>
        </w:rPr>
      </w:pPr>
      <w:r w:rsidRPr="002A72E4">
        <w:rPr>
          <w:rFonts w:ascii="Times New Roman" w:hAnsi="Times New Roman" w:cs="Times New Roman"/>
        </w:rPr>
        <w:t>mercedesvandres@gmail.com</w:t>
      </w:r>
    </w:p>
    <w:p w14:paraId="3D73DB11" w14:textId="7C866F46" w:rsidR="005F3B2E" w:rsidRPr="00BA642E" w:rsidRDefault="00C802F5" w:rsidP="002A72E4">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p>
    <w:p w14:paraId="7B9027E2" w14:textId="77777777" w:rsidR="00BA642E" w:rsidRPr="00BA642E" w:rsidRDefault="00BA642E" w:rsidP="005F3B2E">
      <w:pPr>
        <w:rPr>
          <w:rFonts w:ascii="Times New Roman" w:hAnsi="Times New Roman" w:cs="Times New Roman"/>
          <w:b/>
          <w:bCs/>
        </w:rPr>
      </w:pPr>
    </w:p>
    <w:p w14:paraId="0DDA6B62" w14:textId="77777777" w:rsidR="002A72E4" w:rsidRPr="002A72E4" w:rsidRDefault="00BA642E" w:rsidP="002A72E4">
      <w:pPr>
        <w:spacing w:line="240" w:lineRule="auto"/>
        <w:jc w:val="both"/>
        <w:rPr>
          <w:rFonts w:ascii="Times New Roman" w:hAnsi="Times New Roman" w:cs="Times New Roman"/>
          <w:lang w:val="es-AR"/>
        </w:rPr>
      </w:pPr>
      <w:r w:rsidRPr="002A72E4">
        <w:rPr>
          <w:rFonts w:ascii="Times New Roman" w:hAnsi="Times New Roman" w:cs="Times New Roman"/>
          <w:b/>
          <w:bCs/>
          <w:lang w:val="es-AR"/>
        </w:rPr>
        <w:t>Resumen:</w:t>
      </w:r>
      <w:r w:rsidR="007B5B5F" w:rsidRPr="002A72E4">
        <w:rPr>
          <w:rFonts w:ascii="Times New Roman" w:hAnsi="Times New Roman" w:cs="Times New Roman"/>
          <w:b/>
          <w:bCs/>
          <w:lang w:val="es-AR"/>
        </w:rPr>
        <w:t xml:space="preserve"> </w:t>
      </w:r>
      <w:r w:rsidR="002A72E4" w:rsidRPr="002A72E4">
        <w:rPr>
          <w:rFonts w:ascii="Times New Roman" w:hAnsi="Times New Roman" w:cs="Times New Roman"/>
          <w:lang w:val="es-AR"/>
        </w:rPr>
        <w:t>La internacionalización de la educación superior ha estado históricamente asociada a la movilidad física de estudiantes y académicos, convertida en uno de los principales indicadores del carácter internacional de las instituciones universitarias. Sin embargo, en contextos atravesados por profundas desigualdades sociales, económicas y territoriales, como América Latina, esta forma de internacionalización tiende a beneficiar a sectores que cuentan con mayores recursos económicos, capital cultural, dominio de lenguas extranjeras y disponibilidad biográfica para desplazarse. En este marco, el presente trabajo se pregunta quiénes acceden efectivamente a las oportunidades de internacionalización y quiénes permanecen excluidos de ellas, analizando críticamente la noción de internacionalización a distancia (</w:t>
      </w:r>
      <w:proofErr w:type="spellStart"/>
      <w:r w:rsidR="002A72E4" w:rsidRPr="002A72E4">
        <w:rPr>
          <w:rFonts w:ascii="Times New Roman" w:hAnsi="Times New Roman" w:cs="Times New Roman"/>
          <w:i/>
          <w:iCs/>
          <w:lang w:val="es-AR"/>
        </w:rPr>
        <w:t>Internationalization</w:t>
      </w:r>
      <w:proofErr w:type="spellEnd"/>
      <w:r w:rsidR="002A72E4" w:rsidRPr="002A72E4">
        <w:rPr>
          <w:rFonts w:ascii="Times New Roman" w:hAnsi="Times New Roman" w:cs="Times New Roman"/>
          <w:i/>
          <w:iCs/>
          <w:lang w:val="es-AR"/>
        </w:rPr>
        <w:t xml:space="preserve"> at a Distance</w:t>
      </w:r>
      <w:r w:rsidR="002A72E4" w:rsidRPr="002A72E4">
        <w:rPr>
          <w:rFonts w:ascii="Times New Roman" w:hAnsi="Times New Roman" w:cs="Times New Roman"/>
          <w:lang w:val="es-AR"/>
        </w:rPr>
        <w:t xml:space="preserve">) como una modalidad con potencial para ampliar el acceso a experiencias internacionales. A partir de la propuesta conceptual desarrollada por </w:t>
      </w:r>
      <w:proofErr w:type="spellStart"/>
      <w:r w:rsidR="002A72E4" w:rsidRPr="002A72E4">
        <w:rPr>
          <w:rFonts w:ascii="Times New Roman" w:hAnsi="Times New Roman" w:cs="Times New Roman"/>
          <w:lang w:val="es-AR"/>
        </w:rPr>
        <w:t>Mittelmeier</w:t>
      </w:r>
      <w:proofErr w:type="spellEnd"/>
      <w:r w:rsidR="002A72E4" w:rsidRPr="002A72E4">
        <w:rPr>
          <w:rFonts w:ascii="Times New Roman" w:hAnsi="Times New Roman" w:cs="Times New Roman"/>
          <w:lang w:val="es-AR"/>
        </w:rPr>
        <w:t xml:space="preserve"> y colaboradores, el artículo examina en qué medida esta modalidad puede constituirse en una estrategia complementaria frente a las restricciones que estructuran la movilidad estudiantil tradicional.</w:t>
      </w:r>
    </w:p>
    <w:p w14:paraId="0F565842" w14:textId="77777777" w:rsidR="002A72E4" w:rsidRPr="002A72E4" w:rsidRDefault="002A72E4" w:rsidP="002A72E4">
      <w:pPr>
        <w:spacing w:line="240" w:lineRule="auto"/>
        <w:jc w:val="both"/>
        <w:rPr>
          <w:rFonts w:ascii="Times New Roman" w:hAnsi="Times New Roman" w:cs="Times New Roman"/>
          <w:lang w:val="es-AR"/>
        </w:rPr>
      </w:pPr>
      <w:r w:rsidRPr="002A72E4">
        <w:rPr>
          <w:rFonts w:ascii="Times New Roman" w:hAnsi="Times New Roman" w:cs="Times New Roman"/>
          <w:lang w:val="es-AR"/>
        </w:rPr>
        <w:t xml:space="preserve">El caso empírico se centra en las movilidades de estudiantes argentinos hacia China, un destino emergente en la cooperación educativa Sur-Sur y un escenario particularmente fértil para analizar formas no hegemónicas de internacionalización. Metodológicamente, el estudio combina el análisis de tres bases de datos sobre becas otorgadas entre 2009 y 2023 —becas unilaterales de la Embajada de China, becas bilaterales China-Argentina y becas del Instituto Confucio de la Universidad de Buenos Aires— con entrevistas en profundidad a estudiantes y graduados que realizaron experiencias de movilidad, así como a personas que estudian idioma chino o desarrollan actividades académicas y profesionales vinculadas con China, pero que no realizaron movilidad internacional. Esta </w:t>
      </w:r>
      <w:r w:rsidRPr="002A72E4">
        <w:rPr>
          <w:rFonts w:ascii="Times New Roman" w:hAnsi="Times New Roman" w:cs="Times New Roman"/>
          <w:lang w:val="es-AR"/>
        </w:rPr>
        <w:lastRenderedPageBreak/>
        <w:t>estrategia metodológica permite reconstruir tanto las tendencias objetivas de acceso como las motivaciones, restricciones y valoraciones que configuran las trayectorias de internacionalización.</w:t>
      </w:r>
    </w:p>
    <w:p w14:paraId="7E84A4A7" w14:textId="77777777" w:rsidR="002A72E4" w:rsidRPr="002A72E4" w:rsidRDefault="002A72E4" w:rsidP="002A72E4">
      <w:pPr>
        <w:spacing w:line="240" w:lineRule="auto"/>
        <w:jc w:val="both"/>
        <w:rPr>
          <w:rFonts w:ascii="Times New Roman" w:hAnsi="Times New Roman" w:cs="Times New Roman"/>
          <w:lang w:val="es-AR"/>
        </w:rPr>
      </w:pPr>
      <w:r w:rsidRPr="002A72E4">
        <w:rPr>
          <w:rFonts w:ascii="Times New Roman" w:hAnsi="Times New Roman" w:cs="Times New Roman"/>
          <w:lang w:val="es-AR"/>
        </w:rPr>
        <w:t>Los resultados muestran que la movilidad argentina hacia China se concentra en perfiles relativamente específicos: estudiantes jóvenes, radicados principalmente en grandes centros urbanos, con trayectorias vinculadas al aprendizaje del idioma chino y a las ciencias sociales. Asimismo, el análisis cualitativo evidencia que una parte significativa de quienes desean internacionalizarse no logra concretar experiencias de movilidad por razones asociadas a la edad, la inserción laboral, las responsabilidades de cuidado, el arraigo territorial, las condiciones económicas y otras dimensiones biográficas que exceden la disponibilidad de financiamiento. En este contexto, la internacionalización a distancia aparece no como un sustituto de la movilidad presencial, sino como una modalidad complementaria capaz de ampliar las oportunidades de acceso a experiencias internacionales para sectores habitualmente excluidos de la movilidad tradicional.</w:t>
      </w:r>
    </w:p>
    <w:p w14:paraId="35A6682C" w14:textId="41ADA237" w:rsidR="00BA642E" w:rsidRPr="002A72E4" w:rsidRDefault="002A72E4" w:rsidP="002A72E4">
      <w:pPr>
        <w:spacing w:line="240" w:lineRule="auto"/>
        <w:jc w:val="both"/>
        <w:rPr>
          <w:rFonts w:ascii="Times New Roman" w:hAnsi="Times New Roman" w:cs="Times New Roman"/>
          <w:b/>
          <w:bCs/>
          <w:lang w:val="es-AR"/>
        </w:rPr>
      </w:pPr>
      <w:r w:rsidRPr="002A72E4">
        <w:rPr>
          <w:rFonts w:ascii="Times New Roman" w:hAnsi="Times New Roman" w:cs="Times New Roman"/>
          <w:lang w:val="es-AR"/>
        </w:rPr>
        <w:t>El trabajo sostiene que el principal desafío para las universidades ya no consiste únicamente en incrementar el número de movilidades internacionales, sino en democratizar el acceso a la internacionalización mediante políticas capaces de reconocer la diversidad de trayectorias estudiantiles y ampliar las oportunidades de participación internacional. Si bien el análisis se desarrolla a partir del caso argentino hacia China, las dinámicas identificadas remiten a desigualdades estructurales presentes en otros procesos de internacionalización de la educación superior, especialmente en los sistemas universitarios del Sur Global. En este sentido, el artículo propone desplazar el foco desde los instrumentos de internacionalización hacia las condiciones efectivas de acceso, abriendo una agenda de investigación orientada a repensar la internacionalización desde la equidad, la inclusión y la función pública de la universidad</w:t>
      </w:r>
      <w:r w:rsidR="00BA642E" w:rsidRPr="002A72E4">
        <w:rPr>
          <w:rFonts w:ascii="Times New Roman" w:hAnsi="Times New Roman" w:cs="Times New Roman"/>
          <w:lang w:val="es-AR"/>
        </w:rPr>
        <w:t>.</w:t>
      </w:r>
    </w:p>
    <w:p w14:paraId="2994BAB3" w14:textId="32B1DD09"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rPr>
        <w:t>Palabras clave</w:t>
      </w:r>
      <w:r w:rsidR="002A72E4">
        <w:rPr>
          <w:rFonts w:ascii="Times New Roman" w:hAnsi="Times New Roman" w:cs="Times New Roman"/>
          <w:b/>
          <w:bCs/>
        </w:rPr>
        <w:t>:</w:t>
      </w:r>
      <w:r w:rsidR="002A72E4" w:rsidRPr="002A72E4">
        <w:rPr>
          <w:sz w:val="22"/>
          <w:szCs w:val="22"/>
          <w:lang w:val="es-AR"/>
        </w:rPr>
        <w:t xml:space="preserve"> </w:t>
      </w:r>
      <w:r w:rsidR="002A72E4" w:rsidRPr="002A72E4">
        <w:rPr>
          <w:rFonts w:ascii="Times New Roman" w:hAnsi="Times New Roman" w:cs="Times New Roman"/>
          <w:lang w:val="es-AR"/>
        </w:rPr>
        <w:t>internacionalización a distancia; educación superior; movilidad estudiantil; China; inclusión; democratización de la internacionalización</w:t>
      </w:r>
      <w:r w:rsidRPr="007B5B5F">
        <w:rPr>
          <w:rFonts w:ascii="Times New Roman" w:hAnsi="Times New Roman" w:cs="Times New Roman"/>
        </w:rPr>
        <w:t xml:space="preserve">. </w:t>
      </w:r>
    </w:p>
    <w:p w14:paraId="6A5547A1" w14:textId="3F909F37" w:rsidR="00BA642E" w:rsidRPr="007B5B5F" w:rsidRDefault="002061AE" w:rsidP="007B5B5F">
      <w:pPr>
        <w:spacing w:line="240" w:lineRule="auto"/>
        <w:rPr>
          <w:rFonts w:ascii="Times New Roman" w:hAnsi="Times New Roman" w:cs="Times New Roman"/>
          <w:b/>
          <w:bCs/>
        </w:rPr>
      </w:pPr>
      <w:r>
        <w:rPr>
          <w:rFonts w:ascii="Times New Roman" w:hAnsi="Times New Roman" w:cs="Times New Roman"/>
          <w:b/>
          <w:bCs/>
        </w:rPr>
        <w:t xml:space="preserve">1. </w:t>
      </w:r>
      <w:r w:rsidR="00BA642E" w:rsidRPr="007B5B5F">
        <w:rPr>
          <w:rFonts w:ascii="Times New Roman" w:hAnsi="Times New Roman" w:cs="Times New Roman"/>
          <w:b/>
          <w:bCs/>
        </w:rPr>
        <w:t>Introducción</w:t>
      </w:r>
    </w:p>
    <w:p w14:paraId="2C07F00D"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Durante las últimas décadas, la internacionalización se consolidó como una dimensión relevante de las transformaciones de la educación superior. La incorporación de componentes internacionales e interculturales a la enseñanza, la investigación y la vinculación pasó a formar parte de las estrategias institucionales y de las políticas universitarias, al tiempo que comenzó a ser utilizada como indicador de calidad, reconocimiento y posicionamiento académico (Knight, 2004; </w:t>
      </w:r>
      <w:proofErr w:type="spellStart"/>
      <w:r w:rsidRPr="00704DDE">
        <w:rPr>
          <w:rFonts w:ascii="Times New Roman" w:hAnsi="Times New Roman" w:cs="Times New Roman"/>
          <w:lang w:val="es-AR"/>
        </w:rPr>
        <w:t>Altbach</w:t>
      </w:r>
      <w:proofErr w:type="spellEnd"/>
      <w:r w:rsidRPr="00704DDE">
        <w:rPr>
          <w:rFonts w:ascii="Times New Roman" w:hAnsi="Times New Roman" w:cs="Times New Roman"/>
          <w:lang w:val="es-AR"/>
        </w:rPr>
        <w:t xml:space="preserve"> et al., 2009). Dentro de este proceso, la movilidad física de estudiantes y académicos adquirió un lugar predominante: la cantidad de personas que realizan una experiencia formativa en el exterior continúa siendo una de las manifestaciones más visibles y frecuentemente utilizadas para medir el grado de internacionalización de las instituciones y los sistemas de educación superior.</w:t>
      </w:r>
    </w:p>
    <w:p w14:paraId="4790E39C" w14:textId="6D950A34"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Sin embargo, la internacionalización no constituye una respuesta automática, neutral o inevitable frente a la globalización</w:t>
      </w:r>
      <w:r w:rsidR="002061AE">
        <w:rPr>
          <w:rFonts w:ascii="Times New Roman" w:hAnsi="Times New Roman" w:cs="Times New Roman"/>
          <w:lang w:val="es-AR"/>
        </w:rPr>
        <w:t xml:space="preserve"> y el capitalismo académico</w:t>
      </w:r>
      <w:r w:rsidRPr="00704DDE">
        <w:rPr>
          <w:rFonts w:ascii="Times New Roman" w:hAnsi="Times New Roman" w:cs="Times New Roman"/>
          <w:lang w:val="es-AR"/>
        </w:rPr>
        <w:t xml:space="preserve">. Desde América Latina se ha mostrado que se trata de un proceso político, impulsado por actores que movilizan </w:t>
      </w:r>
      <w:r w:rsidRPr="00704DDE">
        <w:rPr>
          <w:rFonts w:ascii="Times New Roman" w:hAnsi="Times New Roman" w:cs="Times New Roman"/>
          <w:lang w:val="es-AR"/>
        </w:rPr>
        <w:lastRenderedPageBreak/>
        <w:t>ideas, recursos y dispositivos institucionales para definir sus sentidos, prioridades y beneficiarios</w:t>
      </w:r>
      <w:r w:rsidR="002061AE">
        <w:rPr>
          <w:rFonts w:ascii="Times New Roman" w:hAnsi="Times New Roman" w:cs="Times New Roman"/>
          <w:lang w:val="es-AR"/>
        </w:rPr>
        <w:t xml:space="preserve"> (Perrotta, 2016)</w:t>
      </w:r>
      <w:r w:rsidRPr="00704DDE">
        <w:rPr>
          <w:rFonts w:ascii="Times New Roman" w:hAnsi="Times New Roman" w:cs="Times New Roman"/>
          <w:lang w:val="es-AR"/>
        </w:rPr>
        <w:t>. Las formas concretas que adopta la internacionalización expresan proyectos universitarios en disputa y diferentes concepciones acerca de la relación entre universidad, sociedad y conocimiento. En consecuencia, la centralidad alcanzada por la movilidad tampoco puede considerarse natural: es el resultado de una determinada manera de concebir y organizar la internacionalización, que privilegia el desplazamiento físico y los beneficios individuales por sobre otras formas posibles de cooperación, circulación del conocimiento y construcción de capacidades colectivas.</w:t>
      </w:r>
    </w:p>
    <w:p w14:paraId="1C78BD0D" w14:textId="2828EA4E"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La producción latinoamericana no se ha limitado a recibir o adaptar las categorías formuladas en los sistemas centrales de educación superior. Por el contrario, ha construido perspectivas críticas y propuestas propias orientadas a discutir para qué, para quiénes y desde dónde internacionalizar. La noción de internacionalización solidaria</w:t>
      </w:r>
      <w:r w:rsidR="002061AE">
        <w:rPr>
          <w:rFonts w:ascii="Times New Roman" w:hAnsi="Times New Roman" w:cs="Times New Roman"/>
          <w:lang w:val="es-AR"/>
        </w:rPr>
        <w:t xml:space="preserve"> (Perrotta, 2008a, 2008b, 2012)</w:t>
      </w:r>
      <w:r w:rsidRPr="00704DDE">
        <w:rPr>
          <w:rFonts w:ascii="Times New Roman" w:hAnsi="Times New Roman" w:cs="Times New Roman"/>
          <w:lang w:val="es-AR"/>
        </w:rPr>
        <w:t xml:space="preserve"> plantea una alternativa a las lógicas competitivas, mercantiles y jerárquicas que caracterizan a buena parte de la internacionalización dominante. Esta perspectiva desplaza el énfasis puesto en el posicionamiento institucional, la captación de estudiantes y la acumulación individual de ventajas para priorizar la cooperación, la reciprocidad, la reducción de asimetrías y la generación de capacidades y beneficios colectivos (Perrotta, </w:t>
      </w:r>
      <w:r w:rsidR="00B1474D">
        <w:rPr>
          <w:rFonts w:ascii="Times New Roman" w:hAnsi="Times New Roman" w:cs="Times New Roman"/>
          <w:lang w:val="es-AR"/>
        </w:rPr>
        <w:t>2013, 2016</w:t>
      </w:r>
      <w:r w:rsidR="002061AE">
        <w:rPr>
          <w:rFonts w:ascii="Times New Roman" w:hAnsi="Times New Roman" w:cs="Times New Roman"/>
          <w:lang w:val="es-AR"/>
        </w:rPr>
        <w:t>; Del Valle y Perrotta, 202</w:t>
      </w:r>
      <w:r w:rsidR="00E70B96">
        <w:rPr>
          <w:rFonts w:ascii="Times New Roman" w:hAnsi="Times New Roman" w:cs="Times New Roman"/>
          <w:lang w:val="es-AR"/>
        </w:rPr>
        <w:t>3</w:t>
      </w:r>
      <w:r w:rsidRPr="00704DDE">
        <w:rPr>
          <w:rFonts w:ascii="Times New Roman" w:hAnsi="Times New Roman" w:cs="Times New Roman"/>
          <w:lang w:val="es-AR"/>
        </w:rPr>
        <w:t>). La solidaridad no constituye, en este enfoque, un atributo accesorio de las relaciones internacionales universitarias, sino un principio político que orienta sus propósitos, modalidades y resultados.</w:t>
      </w:r>
    </w:p>
    <w:p w14:paraId="5EF96C58"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Desde esta matriz latinoamericana, la internacionalización también puede ser interrogada en términos de derechos. Si las experiencias internacionales contribuyen a la formación académica, cultural y profesional de los estudiantes, su distribución no puede quedar librada únicamente a la disponibilidad individual de recursos económicos, capital cultural, dominio de lenguas extranjeras o posibilidades personales de desplazamiento. Vincular internacionalización y derechos supone preguntarse quiénes acceden efectivamente a sus beneficios, quiénes permanecen excluidos y qué responsabilidades les corresponden a las instituciones y a las políticas públicas en la ampliación de esas oportunidades. Esta perspectiva permite pasar de una preocupación centrada exclusivamente en el crecimiento cuantitativo de la movilidad hacia otra orientada por la democratización del acceso a la internacionalización.</w:t>
      </w:r>
    </w:p>
    <w:p w14:paraId="21BE56E5" w14:textId="62888453"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Este problema resulta particularmente relevante en América Latina. La expansión y masificación de la educación superior incorporaron nuevos sectores sociales y diversificaron las trayectorias, edades, responsabilidades y condiciones de vida de las poblaciones universitarias. No obstante, esta democratización del acceso a la universidad no estuvo acompañada por una ampliación equivalente de las oportunidades internacionales. La movilidad académica continúa alcanzando a una proporción muy reducida del estudiantado y se concentra en quienes reúnen determinadas condiciones económicas, lingüísticas, territoriales e institucionales. La literatura regional ha caracterizado este fenómeno como una forma </w:t>
      </w:r>
      <w:proofErr w:type="spellStart"/>
      <w:r w:rsidRPr="00704DDE">
        <w:rPr>
          <w:rFonts w:ascii="Times New Roman" w:hAnsi="Times New Roman" w:cs="Times New Roman"/>
          <w:lang w:val="es-AR"/>
        </w:rPr>
        <w:t>elitizada</w:t>
      </w:r>
      <w:proofErr w:type="spellEnd"/>
      <w:r w:rsidRPr="00704DDE">
        <w:rPr>
          <w:rFonts w:ascii="Times New Roman" w:hAnsi="Times New Roman" w:cs="Times New Roman"/>
          <w:lang w:val="es-AR"/>
        </w:rPr>
        <w:t xml:space="preserve"> de internacionalización y ha propuesto alternativas críticas, inclusivas y situadas para superar la identificación entre experiencia internacional y desplazamiento físico (</w:t>
      </w:r>
      <w:proofErr w:type="spellStart"/>
      <w:r w:rsidRPr="00704DDE">
        <w:rPr>
          <w:rFonts w:ascii="Times New Roman" w:hAnsi="Times New Roman" w:cs="Times New Roman"/>
          <w:lang w:val="es-AR"/>
        </w:rPr>
        <w:t>Beneitone</w:t>
      </w:r>
      <w:proofErr w:type="spellEnd"/>
      <w:r w:rsidRPr="00704DDE">
        <w:rPr>
          <w:rFonts w:ascii="Times New Roman" w:hAnsi="Times New Roman" w:cs="Times New Roman"/>
          <w:lang w:val="es-AR"/>
        </w:rPr>
        <w:t>, 2022; Finardi, 202</w:t>
      </w:r>
      <w:r w:rsidR="002061AE">
        <w:rPr>
          <w:rFonts w:ascii="Times New Roman" w:hAnsi="Times New Roman" w:cs="Times New Roman"/>
          <w:lang w:val="es-AR"/>
        </w:rPr>
        <w:t>2</w:t>
      </w:r>
      <w:r w:rsidRPr="00704DDE">
        <w:rPr>
          <w:rFonts w:ascii="Times New Roman" w:hAnsi="Times New Roman" w:cs="Times New Roman"/>
          <w:lang w:val="es-AR"/>
        </w:rPr>
        <w:t>; Gacel-Ávila, 2022; Leal et al., 2022).</w:t>
      </w:r>
    </w:p>
    <w:p w14:paraId="1E184A63"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lastRenderedPageBreak/>
        <w:t>En este marco, el artículo se pregunta quiénes acceden efectivamente a las oportunidades de internacionalización y quiénes permanecen excluidos de ellas. En lugar de observar exclusivamente las experiencias de quienes logran estudiar en el exterior, se propone incorporar las trayectorias de quienes desean internacionalizarse, pero no pueden hacerlo o no están en condiciones de reorganizar sus vidas para participar de una movilidad prolongada. El desplazamiento analítico es relevante porque permite visibilizar desigualdades que permanecen ocultas cuando el fenómeno se estudia únicamente a partir de los registros de las movilidades efectivamente realizadas. La ausencia de movilidad no necesariamente expresa falta de interés, de preparación o de compromiso con la internacionalización; puede ser el resultado de condiciones laborales, familiares, territoriales, económicas y biográficas que limitan el acceso.</w:t>
      </w:r>
    </w:p>
    <w:p w14:paraId="24EA7E79" w14:textId="18BF462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La propuesta de internacionalización a distancia (</w:t>
      </w:r>
      <w:proofErr w:type="spellStart"/>
      <w:r w:rsidRPr="00704DDE">
        <w:rPr>
          <w:rFonts w:ascii="Times New Roman" w:hAnsi="Times New Roman" w:cs="Times New Roman"/>
          <w:lang w:val="es-AR"/>
        </w:rPr>
        <w:t>Internationalisation</w:t>
      </w:r>
      <w:proofErr w:type="spellEnd"/>
      <w:r w:rsidRPr="00704DDE">
        <w:rPr>
          <w:rFonts w:ascii="Times New Roman" w:hAnsi="Times New Roman" w:cs="Times New Roman"/>
          <w:lang w:val="es-AR"/>
        </w:rPr>
        <w:t xml:space="preserve"> at a Distance, </w:t>
      </w:r>
      <w:proofErr w:type="spellStart"/>
      <w:r w:rsidRPr="00704DDE">
        <w:rPr>
          <w:rFonts w:ascii="Times New Roman" w:hAnsi="Times New Roman" w:cs="Times New Roman"/>
          <w:lang w:val="es-AR"/>
        </w:rPr>
        <w:t>IaD</w:t>
      </w:r>
      <w:proofErr w:type="spellEnd"/>
      <w:r w:rsidRPr="00704DDE">
        <w:rPr>
          <w:rFonts w:ascii="Times New Roman" w:hAnsi="Times New Roman" w:cs="Times New Roman"/>
          <w:lang w:val="es-AR"/>
        </w:rPr>
        <w:t xml:space="preserve">) formulada por </w:t>
      </w:r>
      <w:proofErr w:type="spellStart"/>
      <w:r w:rsidRPr="00704DDE">
        <w:rPr>
          <w:rFonts w:ascii="Times New Roman" w:hAnsi="Times New Roman" w:cs="Times New Roman"/>
          <w:lang w:val="es-AR"/>
        </w:rPr>
        <w:t>Mittelmeier</w:t>
      </w:r>
      <w:proofErr w:type="spellEnd"/>
      <w:r w:rsidRPr="00704DDE">
        <w:rPr>
          <w:rFonts w:ascii="Times New Roman" w:hAnsi="Times New Roman" w:cs="Times New Roman"/>
          <w:lang w:val="es-AR"/>
        </w:rPr>
        <w:t xml:space="preserve"> et al. (202</w:t>
      </w:r>
      <w:r w:rsidR="00E70B96">
        <w:rPr>
          <w:rFonts w:ascii="Times New Roman" w:hAnsi="Times New Roman" w:cs="Times New Roman"/>
          <w:lang w:val="es-AR"/>
        </w:rPr>
        <w:t>1</w:t>
      </w:r>
      <w:r w:rsidRPr="00704DDE">
        <w:rPr>
          <w:rFonts w:ascii="Times New Roman" w:hAnsi="Times New Roman" w:cs="Times New Roman"/>
          <w:lang w:val="es-AR"/>
        </w:rPr>
        <w:t xml:space="preserve">) ofrece una herramienta conceptual para pensar esta problemática. A diferencia de la internacionalización en casa y de la internacionalización del currículo, la </w:t>
      </w:r>
      <w:proofErr w:type="spellStart"/>
      <w:r w:rsidRPr="00704DDE">
        <w:rPr>
          <w:rFonts w:ascii="Times New Roman" w:hAnsi="Times New Roman" w:cs="Times New Roman"/>
          <w:lang w:val="es-AR"/>
        </w:rPr>
        <w:t>IaD</w:t>
      </w:r>
      <w:proofErr w:type="spellEnd"/>
      <w:r w:rsidRPr="00704DDE">
        <w:rPr>
          <w:rFonts w:ascii="Times New Roman" w:hAnsi="Times New Roman" w:cs="Times New Roman"/>
          <w:lang w:val="es-AR"/>
        </w:rPr>
        <w:t xml:space="preserve"> supone la participación en experiencias académicas ofrecidas por instituciones extranjeras mediante tecnologías digitales, sin que las personas deban trasladarse físicamente al país de destino. Su relevancia para este trabajo no radica en presentar una innovación tecnológica ni en sostener que la virtualidad pueda sustituir la inmersión cultural, lingüística y académica que ofrece la movilidad. La internacionalización a distancia se analiza como una modalidad complementaria que puede ampliar las formas de participación internacional y alcanzar a estudiantes cuyas trayectorias no se corresponden con el perfil sobre el cual suelen organizarse los programas tradicionales de movilidad.</w:t>
      </w:r>
    </w:p>
    <w:p w14:paraId="5302BEDF"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El caso empírico se centra en la movilidad de estudiantes argentinos hacia China. La elección responde, en primer lugar, a que China constituye un destino emergente dentro de la cooperación educativa Sur-Sur y una alternativa a los circuitos históricamente orientados hacia Europa y América del Norte. En segundo lugar, la política de becas promovida por el Estado chino permite observar una situación particularmente significativa para la pregunta de investigación: aun cuando existen mecanismos de financiamiento relativamente amplios, el acceso continúa concentrándose en determinados perfiles y las estancias breves predominan sobre las trayectorias formativas de larga duración. El caso permite, por lo tanto, distinguir las barreras económicas directas de otros condicionantes menos visibles que estructuran las posibilidades de movilidad.</w:t>
      </w:r>
    </w:p>
    <w:p w14:paraId="2B6165D4"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No se sostiene, sin embargo, que los mecanismos identificados sean exclusivos de la relación entre Argentina y China. Las características específicas del idioma, la distancia geográfica, la organización de las becas y las diferencias culturales configuran este vínculo particular, pero las restricciones relacionadas con la edad, el empleo, las responsabilidades de cuidado, el lugar de residencia y los proyectos de vida remiten a desigualdades más amplias. En este sentido, el caso funciona como un caso revelador: permite observar con especial claridad mecanismos de inclusión y exclusión que, con distintas intensidades y configuraciones, pueden estar presentes en otros procesos de </w:t>
      </w:r>
      <w:r w:rsidRPr="00704DDE">
        <w:rPr>
          <w:rFonts w:ascii="Times New Roman" w:hAnsi="Times New Roman" w:cs="Times New Roman"/>
          <w:lang w:val="es-AR"/>
        </w:rPr>
        <w:lastRenderedPageBreak/>
        <w:t>internacionalización de la educación superior, especialmente en sistemas universitarios masificados y desiguales del Sur Global.</w:t>
      </w:r>
    </w:p>
    <w:p w14:paraId="528C304F"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Metodológicamente, la investigación combina el análisis de tres bases de datos sobre becas otorgadas entre 2009 y 2023 —becas unilaterales promovidas por el gobierno chino, becas bilaterales China-Argentina y becas del Instituto Confucio de la Universidad de Buenos Aires— con entrevistas en profundidad a personas que realizaron experiencias de movilidad y a otras que, pese a estudiar el idioma chino o desarrollar actividades académicas y profesionales vinculadas con China, decidieron no movilizarse o no pudieron hacerlo. Esta estrategia permite reconstruir, por un lado, las características de quienes accedieron a las oportunidades existentes y, por otro, las motivaciones, restricciones y decisiones que explican por qué otras trayectorias permanecen fuera de los circuitos tradicionales de movilidad.</w:t>
      </w:r>
    </w:p>
    <w:p w14:paraId="6B5F782E" w14:textId="67262CAD" w:rsidR="00DF4EE0" w:rsidRDefault="00704DDE" w:rsidP="00704DDE">
      <w:pPr>
        <w:spacing w:line="240" w:lineRule="auto"/>
        <w:jc w:val="both"/>
        <w:rPr>
          <w:rFonts w:ascii="Times New Roman" w:hAnsi="Times New Roman" w:cs="Times New Roman"/>
        </w:rPr>
      </w:pPr>
      <w:r w:rsidRPr="00704DDE">
        <w:rPr>
          <w:rFonts w:ascii="Times New Roman" w:hAnsi="Times New Roman" w:cs="Times New Roman"/>
          <w:lang w:val="es-AR"/>
        </w:rPr>
        <w:t>El argumento central sostiene que la movilidad internacional continúa funcionando como un mecanismo selectivo y que la disponibilidad de becas, aunque indispensable, no elimina las desigualdades que estructuran su acceso. Las oportunidades se organizan alrededor de un perfil de estudiante relativamente específico: joven, residente en grandes centros urbanos, con formación lingüística previa, disponibilidad para desplazarse y posibilidades de interrumpir o reorganizar sus responsabilidades laborales, familiares y personales. Frente a ello, la internacionalización a distancia posee potencial para ampliar el acceso, siempre que sea concebida como parte de una política de democratización y no como una solución tecnológica destinada a reducir costos o sustituir las experiencias presenciales. Desde una tradición latinoamericana que vincula internacionalización, solidaridad, derechos y función social de la universidad, el desafío no consiste únicamente en incrementar el número de movilidades, sino en discutir cómo se distribuyen las oportunidades de participación internacional y qué dispositivos pueden contribuir a hacerlas más amplias, equitativas y socialmente relevantes</w:t>
      </w:r>
      <w:r w:rsidR="00DF4EE0">
        <w:rPr>
          <w:rFonts w:ascii="Times New Roman" w:hAnsi="Times New Roman" w:cs="Times New Roman"/>
        </w:rPr>
        <w:t>.</w:t>
      </w:r>
    </w:p>
    <w:p w14:paraId="3AF911C8" w14:textId="77777777" w:rsidR="00704DDE" w:rsidRPr="00704DDE" w:rsidRDefault="00704DDE" w:rsidP="00704DDE">
      <w:pPr>
        <w:spacing w:line="240" w:lineRule="auto"/>
        <w:jc w:val="both"/>
        <w:rPr>
          <w:rFonts w:ascii="Times New Roman" w:hAnsi="Times New Roman" w:cs="Times New Roman"/>
          <w:b/>
          <w:bCs/>
          <w:lang w:val="es-AR"/>
        </w:rPr>
      </w:pPr>
      <w:r w:rsidRPr="00704DDE">
        <w:rPr>
          <w:rFonts w:ascii="Times New Roman" w:hAnsi="Times New Roman" w:cs="Times New Roman"/>
          <w:b/>
          <w:bCs/>
          <w:lang w:val="es-AR"/>
        </w:rPr>
        <w:t>2. Internacionalización, movilidad y desigualdad: aportes latinoamericanos para repensar el acceso</w:t>
      </w:r>
    </w:p>
    <w:p w14:paraId="002BE98C" w14:textId="77777777" w:rsidR="00704DDE" w:rsidRPr="00704DDE" w:rsidRDefault="00704DDE" w:rsidP="00704DDE">
      <w:pPr>
        <w:spacing w:line="240" w:lineRule="auto"/>
        <w:jc w:val="both"/>
        <w:rPr>
          <w:rFonts w:ascii="Times New Roman" w:hAnsi="Times New Roman" w:cs="Times New Roman"/>
          <w:b/>
          <w:bCs/>
          <w:lang w:val="es-AR"/>
        </w:rPr>
      </w:pPr>
      <w:r w:rsidRPr="00704DDE">
        <w:rPr>
          <w:rFonts w:ascii="Times New Roman" w:hAnsi="Times New Roman" w:cs="Times New Roman"/>
          <w:b/>
          <w:bCs/>
          <w:lang w:val="es-AR"/>
        </w:rPr>
        <w:t>2.1. La internacionalización como proceso político y campo de disputa</w:t>
      </w:r>
    </w:p>
    <w:p w14:paraId="2FAB4E2B"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Desde finales del siglo XX, la internacionalización se consolidó como una dimensión central de las transformaciones de la educación superior. La incorporación de componentes internacionales, interculturales y globales a las funciones universitarias comenzó a ser considerada un atributo de calidad, reconocimiento académico e inserción institucional en un escenario crecientemente interdependiente (Knight, 2004). En ese proceso, la movilidad de estudiantes, docentes e investigadores adquirió una posición privilegiada como manifestación visible de la internacionalización y como uno de los principales indicadores utilizados por gobiernos, organismos internacionales y universidades para evaluar sus políticas y su desempeño internacional (</w:t>
      </w:r>
      <w:proofErr w:type="spellStart"/>
      <w:r w:rsidRPr="00704DDE">
        <w:rPr>
          <w:rFonts w:ascii="Times New Roman" w:hAnsi="Times New Roman" w:cs="Times New Roman"/>
          <w:lang w:val="es-AR"/>
        </w:rPr>
        <w:t>Altbach</w:t>
      </w:r>
      <w:proofErr w:type="spellEnd"/>
      <w:r w:rsidRPr="00704DDE">
        <w:rPr>
          <w:rFonts w:ascii="Times New Roman" w:hAnsi="Times New Roman" w:cs="Times New Roman"/>
          <w:lang w:val="es-AR"/>
        </w:rPr>
        <w:t xml:space="preserve"> et al., 2009).</w:t>
      </w:r>
    </w:p>
    <w:p w14:paraId="59E284D6"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Esta centralidad de la movilidad se vinculó con un contexto global caracterizado por el incremento de la circulación transfronteriza de personas, programas, instituciones y conocimientos, pero también por la creciente competencia entre universidades. La </w:t>
      </w:r>
      <w:r w:rsidRPr="00704DDE">
        <w:rPr>
          <w:rFonts w:ascii="Times New Roman" w:hAnsi="Times New Roman" w:cs="Times New Roman"/>
          <w:lang w:val="es-AR"/>
        </w:rPr>
        <w:lastRenderedPageBreak/>
        <w:t>atracción de estudiantes internacionales, el establecimiento de alianzas estratégicas, la participación en redes globales y el posicionamiento en rankings comenzaron a integrar las agendas institucionales. La experiencia en el exterior pasó, a su vez, a presentarse como un componente deseable de la formación profesional y como una forma de adquirir competencias valoradas en mercados laborales internacionalizados.</w:t>
      </w:r>
    </w:p>
    <w:p w14:paraId="620EFD53"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Sin embargo, la internacionalización no constituye una consecuencia automática de la globalización ni una respuesta institucional neutral frente a transformaciones externas. La producción latinoamericana ha contribuido a mostrar que se trata de un proceso profundamente político, configurado por actores que movilizan ideas, intereses, recursos y dispositivos para definir qué significa internacionalizar, cuáles deben ser sus objetivos y quiénes serán sus beneficiarios. Las políticas internacionales de las universidades expresan distintos proyectos institucionales y diferentes concepciones acerca de la educación superior, el conocimiento y la relación entre universidad y sociedad.</w:t>
      </w:r>
    </w:p>
    <w:p w14:paraId="74195575" w14:textId="35FE848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Desde esta perspectiva, la internacionalización puede entenderse como un campo de disputa entre orientaciones que no necesariamente resultan compatibles</w:t>
      </w:r>
      <w:r w:rsidR="00E70B96">
        <w:rPr>
          <w:rFonts w:ascii="Times New Roman" w:hAnsi="Times New Roman" w:cs="Times New Roman"/>
          <w:lang w:val="es-AR"/>
        </w:rPr>
        <w:t xml:space="preserve"> (Perrotta, 2016)</w:t>
      </w:r>
      <w:r w:rsidRPr="00704DDE">
        <w:rPr>
          <w:rFonts w:ascii="Times New Roman" w:hAnsi="Times New Roman" w:cs="Times New Roman"/>
          <w:lang w:val="es-AR"/>
        </w:rPr>
        <w:t>. Algunas priorizan la competencia, el prestigio institucional, la captación de recursos y la inserción en circuitos académicos jerarquizados. Otras colocan en el centro la cooperación, la integración regional, la producción de capacidades compartidas y la contribución de las universidades al desarrollo social. La internacionalización no posee, por lo tanto, un sentido previamente establecido: sus propósitos y sus efectos dependen de las decisiones políticas mediante las cuales se la construye.</w:t>
      </w:r>
    </w:p>
    <w:p w14:paraId="0AF05075"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El análisis de la internacionalización universitaria como movilización política permite, además, superar las aproximaciones que la reducen a un conjunto de actividades administrativas o instrumentos técnicos. Las oficinas de relaciones internacionales, los programas de movilidad, las redes académicas, los convenios y las políticas de reconocimiento son el resultado de procesos en los que distintos actores buscan instalar definiciones, construir alianzas y orientar recursos institucionales. En este sentido, la internacionalización no sucede simplemente porque las universidades se encuentran expuestas a la globalización, sino porque determinados actores consiguen movilizar un proyecto de universidad y traducirlo en políticas concretas (Del Valle &amp; Perrotta, 2023; Perrotta &amp; Del Valle, 2018).</w:t>
      </w:r>
    </w:p>
    <w:p w14:paraId="404B6229"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Esta lectura también permite desnaturalizar la asociación entre internacionalización y movilidad física. Que el número de personas movilizadas se haya convertido en uno de los principales criterios de internacionalización no expresa una característica necesaria del fenómeno, sino el predominio de una determinada forma de concebirlo. La movilidad privilegia experiencias individuales, visibles y fácilmente cuantificables, pero no necesariamente permite evaluar la amplitud, la orientación o los efectos colectivos de una política internacional. Cuando se transforma en la medida casi exclusiva del éxito institucional, otras formas de circulación del conocimiento, cooperación académica e integración universitaria quedan relegadas.</w:t>
      </w:r>
    </w:p>
    <w:p w14:paraId="27018794"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La producción latinoamericana permite, así, desplazar la pregunta acerca de cuánto se internacionalizan las universidades hacia interrogantes políticamente más relevantes: para </w:t>
      </w:r>
      <w:r w:rsidRPr="00704DDE">
        <w:rPr>
          <w:rFonts w:ascii="Times New Roman" w:hAnsi="Times New Roman" w:cs="Times New Roman"/>
          <w:lang w:val="es-AR"/>
        </w:rPr>
        <w:lastRenderedPageBreak/>
        <w:t>qué se internacionalizan, en beneficio de quiénes, mediante qué relaciones y con qué consecuencias para sus sociedades. Este desplazamiento es central para analizar las desigualdades de acceso a la internacionalización y para discutir alternativas que no reproduzcan mecánicamente los parámetros construidos en los sistemas centrales de educación superior.</w:t>
      </w:r>
    </w:p>
    <w:p w14:paraId="00BAF397" w14:textId="77777777" w:rsidR="00704DDE" w:rsidRPr="00704DDE" w:rsidRDefault="00704DDE" w:rsidP="00704DDE">
      <w:pPr>
        <w:spacing w:line="240" w:lineRule="auto"/>
        <w:jc w:val="both"/>
        <w:rPr>
          <w:rFonts w:ascii="Times New Roman" w:hAnsi="Times New Roman" w:cs="Times New Roman"/>
          <w:b/>
          <w:bCs/>
          <w:lang w:val="es-AR"/>
        </w:rPr>
      </w:pPr>
      <w:r w:rsidRPr="00704DDE">
        <w:rPr>
          <w:rFonts w:ascii="Times New Roman" w:hAnsi="Times New Roman" w:cs="Times New Roman"/>
          <w:b/>
          <w:bCs/>
          <w:lang w:val="es-AR"/>
        </w:rPr>
        <w:t>2.2. Internacionalización solidaria y construcción de alternativas desde América Latina</w:t>
      </w:r>
    </w:p>
    <w:p w14:paraId="1F1F8B86" w14:textId="67FA076F"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La participación latinoamericana en los procesos de internacionalización ha estado atravesada por desigualdades estructurales entre países, sistemas universitarios e instituciones. La circulación internacional del conocimiento continúa organizada alrededor de centros de prestigio, lenguas dominantes, sistemas de evaluación y agendas de investigación que conceden posiciones diferenciales a los actores del Norte Global. En ese escenario, las universidades latinoamericanas no ingresan en condiciones equivalentes, sino desde posiciones históricas de dependencia, menor disponibilidad de recursos y subordinación en los circuitos internacionales de producción y validación del conocimiento (Finardi, 202</w:t>
      </w:r>
      <w:r w:rsidR="00E70B96">
        <w:rPr>
          <w:rFonts w:ascii="Times New Roman" w:hAnsi="Times New Roman" w:cs="Times New Roman"/>
          <w:lang w:val="es-AR"/>
        </w:rPr>
        <w:t>2</w:t>
      </w:r>
      <w:r w:rsidRPr="00704DDE">
        <w:rPr>
          <w:rFonts w:ascii="Times New Roman" w:hAnsi="Times New Roman" w:cs="Times New Roman"/>
          <w:lang w:val="es-AR"/>
        </w:rPr>
        <w:t>; Leal et al., 2022).</w:t>
      </w:r>
    </w:p>
    <w:p w14:paraId="183858D8"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No obstante, América Latina no ha sido únicamente receptora de modelos, conceptos o políticas elaborados en otros espacios. La región desarrolló tradiciones propias de cooperación universitaria, integración educativa y construcción de conocimiento vinculadas con el carácter público de la educación superior y con la función social de las universidades. Estas experiencias permitieron producir categorías alternativas para pensar la internacionalización desde los problemas, necesidades y proyectos políticos latinoamericanos.</w:t>
      </w:r>
    </w:p>
    <w:p w14:paraId="44B5082F"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Entre esos aportes, la noción de internacionalización solidaria propone una orientación explícitamente diferente de la internacionalización organizada por la competencia institucional. El concepto parte de reconocer la existencia de dos regímenes contrapuestos: un régimen de competencia, basado en la acumulación de prestigio, la captación de estudiantes y recursos, los rankings y la diferenciación entre instituciones; y un régimen de solidaridad, centrado en la cooperación, la reciprocidad, la reducción de asimetrías y la construcción de capacidades colectivas (Perrotta, 2016).</w:t>
      </w:r>
    </w:p>
    <w:p w14:paraId="7007CD9F"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La solidaridad no funciona, en este enfoque, como un valor moral accesorio ni como una cualidad general de toda actividad cooperativa. Constituye un principio político que organiza los objetivos, las modalidades y la distribución de los beneficios de la internacionalización. Una política solidaria no se evalúa únicamente por el número de convenios celebrados, personas movilizadas o proyectos internacionales desarrollados, sino también por su capacidad para fortalecer a los actores con menores recursos, producir bienes colectivos y generar respuestas compartidas frente a problemas comunes.</w:t>
      </w:r>
    </w:p>
    <w:p w14:paraId="76684D7C"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Este enfoque resulta especialmente relevante en sistemas universitarios profundamente asimétricos. La cooperación entre instituciones formalmente iguales puede reproducir desigualdades cuando una de ellas concentra recursos financieros, capacidades lingüísticas, infraestructuras científicas y poder para definir las agendas. La internacionalización solidaria exige, por lo tanto, reconocer esas asimetrías y construir </w:t>
      </w:r>
      <w:r w:rsidRPr="00704DDE">
        <w:rPr>
          <w:rFonts w:ascii="Times New Roman" w:hAnsi="Times New Roman" w:cs="Times New Roman"/>
          <w:lang w:val="es-AR"/>
        </w:rPr>
        <w:lastRenderedPageBreak/>
        <w:t>mecanismos orientados a reducirlas. No se trata solamente de promover más vínculos, sino de discutir la calidad política de esos vínculos, las reglas mediante las cuales se organizan y las capacidades que contribuyen a desarrollar.</w:t>
      </w:r>
    </w:p>
    <w:p w14:paraId="1A7190A6"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La integración regional constituye uno de los espacios privilegiados para esta concepción. Las redes académicas y las políticas universitarias regionales pueden operar como ámbitos de movilización política capaces de disputar los sentidos dominantes de la internacionalización y construir proyectos asentados en la cooperación, la autonomía y la producción compartida de conocimiento (Perrotta &amp; Del Valle, 2018; Perrotta, 2018). En esta perspectiva, la internacionalización no se opone a la vinculación de las universidades con sus sociedades ni supone el abandono de sus responsabilidades territoriales. Por el contrario, adquiere sentido cuando fortalece las capacidades institucionales para responder a los problemas públicos y ampliar los beneficios sociales del conocimiento.</w:t>
      </w:r>
    </w:p>
    <w:p w14:paraId="11C6FADD" w14:textId="7CBF24C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Los aportes </w:t>
      </w:r>
      <w:r w:rsidR="00E70B96">
        <w:rPr>
          <w:rFonts w:ascii="Times New Roman" w:hAnsi="Times New Roman" w:cs="Times New Roman"/>
          <w:lang w:val="es-AR"/>
        </w:rPr>
        <w:t>críticos latinoamericanos</w:t>
      </w:r>
      <w:r w:rsidRPr="00704DDE">
        <w:rPr>
          <w:rFonts w:ascii="Times New Roman" w:hAnsi="Times New Roman" w:cs="Times New Roman"/>
          <w:lang w:val="es-AR"/>
        </w:rPr>
        <w:t xml:space="preserve"> convergen con esta preocupación al cuestionar la adopción acrítica de modelos hegemónicos y proponer una internacionalización situada en las condiciones históricas, políticas y epistémicas de América Latina. Una internacionalización desde y para el Sur Global no consiste en invertir mecánicamente los flujos ni en sustituir un centro geográfico por otro. Implica revisar las jerarquías lingüísticas, los criterios de calidad, las agendas académicas, los dispositivos institucionales y las finalidades sociales que organizan la internacionalización (</w:t>
      </w:r>
      <w:r w:rsidR="00E70B96">
        <w:rPr>
          <w:rFonts w:ascii="Times New Roman" w:hAnsi="Times New Roman" w:cs="Times New Roman"/>
          <w:lang w:val="es-AR"/>
        </w:rPr>
        <w:t xml:space="preserve">Perrotta, 2016, Finardi, 2022, </w:t>
      </w:r>
      <w:r w:rsidRPr="00704DDE">
        <w:rPr>
          <w:rFonts w:ascii="Times New Roman" w:hAnsi="Times New Roman" w:cs="Times New Roman"/>
          <w:lang w:val="es-AR"/>
        </w:rPr>
        <w:t>Leal et al., 2022).</w:t>
      </w:r>
    </w:p>
    <w:p w14:paraId="19929980"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Desde esta perspectiva, internacionalizar no equivale simplemente a circular más. Supone disputar las condiciones bajo las cuales circulan las personas y los conocimientos, quién posee capacidad para definir las reglas y cómo se distribuyen los beneficios. La producción latinoamericana amplía así el debate: frente a una internacionalización pensada principalmente como adaptación a un escenario global competitivo, propone comprenderla como una herramienta política para la cooperación, la integración, la autonomía y la democratización universitaria.</w:t>
      </w:r>
    </w:p>
    <w:p w14:paraId="2817733B" w14:textId="77777777" w:rsidR="00704DDE" w:rsidRPr="00704DDE" w:rsidRDefault="00704DDE" w:rsidP="00704DDE">
      <w:pPr>
        <w:spacing w:line="240" w:lineRule="auto"/>
        <w:jc w:val="both"/>
        <w:rPr>
          <w:rFonts w:ascii="Times New Roman" w:hAnsi="Times New Roman" w:cs="Times New Roman"/>
          <w:b/>
          <w:bCs/>
          <w:lang w:val="es-AR"/>
        </w:rPr>
      </w:pPr>
      <w:r w:rsidRPr="00704DDE">
        <w:rPr>
          <w:rFonts w:ascii="Times New Roman" w:hAnsi="Times New Roman" w:cs="Times New Roman"/>
          <w:b/>
          <w:bCs/>
          <w:lang w:val="es-AR"/>
        </w:rPr>
        <w:t xml:space="preserve">2.3. Movilidad </w:t>
      </w:r>
      <w:proofErr w:type="spellStart"/>
      <w:r w:rsidRPr="00704DDE">
        <w:rPr>
          <w:rFonts w:ascii="Times New Roman" w:hAnsi="Times New Roman" w:cs="Times New Roman"/>
          <w:b/>
          <w:bCs/>
          <w:lang w:val="es-AR"/>
        </w:rPr>
        <w:t>elitizada</w:t>
      </w:r>
      <w:proofErr w:type="spellEnd"/>
      <w:r w:rsidRPr="00704DDE">
        <w:rPr>
          <w:rFonts w:ascii="Times New Roman" w:hAnsi="Times New Roman" w:cs="Times New Roman"/>
          <w:b/>
          <w:bCs/>
          <w:lang w:val="es-AR"/>
        </w:rPr>
        <w:t>, inclusión y derecho a la internacionalización</w:t>
      </w:r>
    </w:p>
    <w:p w14:paraId="26AC6CF6"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La expansión de la educación superior latinoamericana durante las últimas décadas permitió incorporar nuevos sectores sociales y diversificar de manera significativa el perfil del estudiantado. La masificación universitaria amplió el acceso de personas provenientes de grupos sociales, territorios y trayectorias previamente subrepresentados. Sin embargo, esta democratización de la matrícula no fue acompañada por una ampliación equivalente de las oportunidades de internacionalización.</w:t>
      </w:r>
    </w:p>
    <w:p w14:paraId="3FDCDAA1"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La movilidad académica continúa alcanzando a una proporción muy reducida del estudiantado y se concentra en quienes cuentan con recursos económicos, capital académico, dominio de lenguas extranjeras, acceso a información y redes institucionales, además de la posibilidad de interrumpir o reorganizar sus trayectorias laborales y familiares. En consecuencia, las políticas tradicionales de movilidad pueden reproducir dentro de las universidades desigualdades ya existentes en la sociedad. La experiencia internacional se convierte, así, en una ventaja adicional para quienes parten de mejores condiciones, mientras permanece fuera del alcance de buena parte de la población </w:t>
      </w:r>
      <w:r w:rsidRPr="00704DDE">
        <w:rPr>
          <w:rFonts w:ascii="Times New Roman" w:hAnsi="Times New Roman" w:cs="Times New Roman"/>
          <w:lang w:val="es-AR"/>
        </w:rPr>
        <w:lastRenderedPageBreak/>
        <w:t xml:space="preserve">universitaria. El carácter minoritario y territorialmente concentrado de la movilidad regional ya fue señalado en los materiales de base de este trabajo. </w:t>
      </w:r>
    </w:p>
    <w:p w14:paraId="16BC3459" w14:textId="319DFCCC" w:rsidR="00704DDE" w:rsidRPr="00704DDE" w:rsidRDefault="00704DDE" w:rsidP="00704DDE">
      <w:pPr>
        <w:spacing w:line="240" w:lineRule="auto"/>
        <w:jc w:val="both"/>
        <w:rPr>
          <w:rFonts w:ascii="Times New Roman" w:hAnsi="Times New Roman" w:cs="Times New Roman"/>
          <w:lang w:val="es-AR"/>
        </w:rPr>
      </w:pPr>
      <w:proofErr w:type="spellStart"/>
      <w:r w:rsidRPr="00704DDE">
        <w:rPr>
          <w:rFonts w:ascii="Times New Roman" w:hAnsi="Times New Roman" w:cs="Times New Roman"/>
          <w:lang w:val="es-AR"/>
        </w:rPr>
        <w:t>Beneitone</w:t>
      </w:r>
      <w:proofErr w:type="spellEnd"/>
      <w:r w:rsidRPr="00704DDE">
        <w:rPr>
          <w:rFonts w:ascii="Times New Roman" w:hAnsi="Times New Roman" w:cs="Times New Roman"/>
          <w:lang w:val="es-AR"/>
        </w:rPr>
        <w:t xml:space="preserve"> (2022</w:t>
      </w:r>
      <w:r w:rsidR="00E70B96">
        <w:rPr>
          <w:rFonts w:ascii="Times New Roman" w:hAnsi="Times New Roman" w:cs="Times New Roman"/>
          <w:lang w:val="es-AR"/>
        </w:rPr>
        <w:t>a, 2022b</w:t>
      </w:r>
      <w:r w:rsidRPr="00704DDE">
        <w:rPr>
          <w:rFonts w:ascii="Times New Roman" w:hAnsi="Times New Roman" w:cs="Times New Roman"/>
          <w:lang w:val="es-AR"/>
        </w:rPr>
        <w:t>) caracteriza esta situación como una forma de movilidad académica elitista y propone la internacionalización del currículo como una respuesta democratizadora. Su planteo resulta relevante porque desplaza la evaluación de las políticas desde la cantidad de personas movilizadas hacia el alcance efectivo de la dimensión internacional dentro del conjunto del estudiantado. La internacionalización del currículo permite incorporar contenidos, perspectivas, lenguas, problemas y dinámicas interculturales a las experiencias formativas regulares, sin restringirlas a quienes realizan un desplazamiento físico.</w:t>
      </w:r>
    </w:p>
    <w:p w14:paraId="4D30F659"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En un sentido convergente, Gacel-Ávila (2022) plantea la necesidad de una internacionalización inclusiva en América Latina y el Caribe. Esta perspectiva permite reconocer que las actividades internacionales no pueden limitarse a una elite móvil ni a las instituciones con mayores capacidades. Sin embargo, pensar la internacionalización desde una perspectiva de derechos exige avanzar un paso adicional. No se trata solamente de incorporar nuevos participantes a instrumentos que permanecen inalterados, sino de revisar los criterios mediante los cuales las oportunidades internacionales son concebidas, distribuidas y evaluadas.</w:t>
      </w:r>
    </w:p>
    <w:p w14:paraId="6A67A120"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Vincular internacionalización y derechos supone reconocer que las experiencias internacionales forman parte de las oportunidades educativas contemporáneas. Si contribuyen a ampliar conocimientos, desarrollar competencias interculturales, construir redes y mejorar trayectorias académicas y profesionales, su acceso no debería depender exclusivamente de las capacidades individuales para financiar o sostener un desplazamiento. La desigualdad no constituye entonces una consecuencia secundaria o una falla eventual de la movilidad, sino un problema que debe ser incorporado desde el diseño de las políticas.</w:t>
      </w:r>
    </w:p>
    <w:p w14:paraId="249D3EF0"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Esta relación entre internacionalización y derechos encuentra sustento en la tradición latinoamericana que concibe la educación superior como un bien público y un derecho social. Desde esa matriz, la universidad no puede limitarse a ofrecer oportunidades formalmente abiertas si las condiciones reales de acceso permanecen distribuidas de manera profundamente desigual. La igualdad formal de las convocatorias no elimina los costos económicos, territoriales, laborales, familiares y biográficos que enfrentan las personas para participar.</w:t>
      </w:r>
    </w:p>
    <w:p w14:paraId="3F844FC2"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La perspectiva de derechos también modifica la unidad de análisis. Las políticas suelen concentrarse en los individuos que logran movilizarse y en los resultados que obtienen de esa experiencia. Una mirada basada en derechos y solidaridad obliga a considerar también a quienes quedan fuera, las razones de esa exclusión y las responsabilidades institucionales para ampliar las posibilidades de participación. La ausencia de movilidad no debe interpretarse automáticamente como falta de interés, de mérito o de disposición internacional. Puede expresar la imposibilidad de adecuarse a un modelo de estudiante implícitamente joven, disponible, sin responsabilidades de cuidado y capaz de suspender temporalmente su vida laboral y familiar.</w:t>
      </w:r>
    </w:p>
    <w:p w14:paraId="51F4A5C2"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lastRenderedPageBreak/>
        <w:t>Por ello, ampliar las oportunidades de acceso a experiencias internacionales no significa convertir la movilidad física en una experiencia universal —algo difícilmente alcanzable—, sino diversificar los dispositivos a través de los cuales la dimensión internacional puede incorporarse a la formación. La movilidad conserva un valor específico e irreductible, especialmente por sus posibilidades de inmersión cultural, lingüística y académica. Pero no puede continuar funcionando como la única experiencia internacional plenamente reconocida ni como la principal medida del desempeño de las políticas.</w:t>
      </w:r>
    </w:p>
    <w:p w14:paraId="3187ECFA"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La internacionalización solidaria, la internacionalización inclusiva, la internacionalización del currículo y la perspectiva de derechos no constituyen propuestas idénticas, pero convergen en un punto central: la necesidad de desplazar la internacionalización desde los beneficios individuales y el posicionamiento institucional hacia la distribución de oportunidades, la reducción de desigualdades y la generación de capacidades colectivas. Este marco permite formular la pregunta que organiza el artículo: quiénes acceden efectivamente a la internacionalización y qué ocurre con quienes desean participar, pero no pueden reorganizar sus trayectorias para movilizarse.</w:t>
      </w:r>
    </w:p>
    <w:p w14:paraId="469B0312" w14:textId="77777777" w:rsidR="00704DDE" w:rsidRPr="00704DDE" w:rsidRDefault="00704DDE" w:rsidP="00704DDE">
      <w:pPr>
        <w:spacing w:line="240" w:lineRule="auto"/>
        <w:jc w:val="both"/>
        <w:rPr>
          <w:rFonts w:ascii="Times New Roman" w:hAnsi="Times New Roman" w:cs="Times New Roman"/>
          <w:b/>
          <w:bCs/>
          <w:lang w:val="es-AR"/>
        </w:rPr>
      </w:pPr>
      <w:r w:rsidRPr="00704DDE">
        <w:rPr>
          <w:rFonts w:ascii="Times New Roman" w:hAnsi="Times New Roman" w:cs="Times New Roman"/>
          <w:b/>
          <w:bCs/>
          <w:lang w:val="es-AR"/>
        </w:rPr>
        <w:t>2.4. Internacionalización a distancia: un dispositivo para ampliar el acceso</w:t>
      </w:r>
    </w:p>
    <w:p w14:paraId="43D1919F" w14:textId="21F41B76"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En este marco de debates, la internacionalización a distancia (</w:t>
      </w:r>
      <w:proofErr w:type="spellStart"/>
      <w:r w:rsidRPr="00704DDE">
        <w:rPr>
          <w:rFonts w:ascii="Times New Roman" w:hAnsi="Times New Roman" w:cs="Times New Roman"/>
          <w:i/>
          <w:iCs/>
          <w:lang w:val="es-AR"/>
        </w:rPr>
        <w:t>Internationalisation</w:t>
      </w:r>
      <w:proofErr w:type="spellEnd"/>
      <w:r w:rsidRPr="00704DDE">
        <w:rPr>
          <w:rFonts w:ascii="Times New Roman" w:hAnsi="Times New Roman" w:cs="Times New Roman"/>
          <w:i/>
          <w:iCs/>
          <w:lang w:val="es-AR"/>
        </w:rPr>
        <w:t xml:space="preserve"> at a Distance</w:t>
      </w:r>
      <w:r w:rsidRPr="00704DDE">
        <w:rPr>
          <w:rFonts w:ascii="Times New Roman" w:hAnsi="Times New Roman" w:cs="Times New Roman"/>
          <w:lang w:val="es-AR"/>
        </w:rPr>
        <w:t xml:space="preserve">, </w:t>
      </w:r>
      <w:proofErr w:type="spellStart"/>
      <w:r w:rsidRPr="00704DDE">
        <w:rPr>
          <w:rFonts w:ascii="Times New Roman" w:hAnsi="Times New Roman" w:cs="Times New Roman"/>
          <w:lang w:val="es-AR"/>
        </w:rPr>
        <w:t>IaD</w:t>
      </w:r>
      <w:proofErr w:type="spellEnd"/>
      <w:r w:rsidRPr="00704DDE">
        <w:rPr>
          <w:rFonts w:ascii="Times New Roman" w:hAnsi="Times New Roman" w:cs="Times New Roman"/>
          <w:lang w:val="es-AR"/>
        </w:rPr>
        <w:t xml:space="preserve">) adquiere relevancia como un dispositivo capaz de ampliar las modalidades de participación internacional. </w:t>
      </w:r>
      <w:proofErr w:type="spellStart"/>
      <w:r w:rsidRPr="00704DDE">
        <w:rPr>
          <w:rFonts w:ascii="Times New Roman" w:hAnsi="Times New Roman" w:cs="Times New Roman"/>
          <w:lang w:val="es-AR"/>
        </w:rPr>
        <w:t>Mittelmeier</w:t>
      </w:r>
      <w:proofErr w:type="spellEnd"/>
      <w:r w:rsidRPr="00704DDE">
        <w:rPr>
          <w:rFonts w:ascii="Times New Roman" w:hAnsi="Times New Roman" w:cs="Times New Roman"/>
          <w:lang w:val="es-AR"/>
        </w:rPr>
        <w:t xml:space="preserve"> et al. (202</w:t>
      </w:r>
      <w:r w:rsidR="00E70B96">
        <w:rPr>
          <w:rFonts w:ascii="Times New Roman" w:hAnsi="Times New Roman" w:cs="Times New Roman"/>
          <w:lang w:val="es-AR"/>
        </w:rPr>
        <w:t>1</w:t>
      </w:r>
      <w:r w:rsidRPr="00704DDE">
        <w:rPr>
          <w:rFonts w:ascii="Times New Roman" w:hAnsi="Times New Roman" w:cs="Times New Roman"/>
          <w:lang w:val="es-AR"/>
        </w:rPr>
        <w:t>) la definen como una “tercera categoría” de internacionalización, diferente tanto de la internacionalización en el extranjero como de la internacionalización en casa. Su rasgo distintivo consiste en que estudiantes que permanecen en su país de residencia participan, mediante tecnologías digitales, en experiencias académicas ofrecidas por instituciones extranjeras.</w:t>
      </w:r>
    </w:p>
    <w:p w14:paraId="59CC508F"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Esta definición permite diferenciar la </w:t>
      </w:r>
      <w:proofErr w:type="spellStart"/>
      <w:r w:rsidRPr="00704DDE">
        <w:rPr>
          <w:rFonts w:ascii="Times New Roman" w:hAnsi="Times New Roman" w:cs="Times New Roman"/>
          <w:lang w:val="es-AR"/>
        </w:rPr>
        <w:t>IaD</w:t>
      </w:r>
      <w:proofErr w:type="spellEnd"/>
      <w:r w:rsidRPr="00704DDE">
        <w:rPr>
          <w:rFonts w:ascii="Times New Roman" w:hAnsi="Times New Roman" w:cs="Times New Roman"/>
          <w:lang w:val="es-AR"/>
        </w:rPr>
        <w:t xml:space="preserve"> de otras modalidades frecuentemente agrupadas bajo la idea general de virtualidad. En la internacionalización en casa, los estudiantes se encuentran vinculados con una institución local que incorpora dimensiones internacionales e interculturales a sus actividades. En la internacionalización del currículo, la dimensión internacional se integra en los contenidos, metodologías y resultados de aprendizaje de los programas formativos. En la </w:t>
      </w:r>
      <w:proofErr w:type="spellStart"/>
      <w:r w:rsidRPr="00704DDE">
        <w:rPr>
          <w:rFonts w:ascii="Times New Roman" w:hAnsi="Times New Roman" w:cs="Times New Roman"/>
          <w:lang w:val="es-AR"/>
        </w:rPr>
        <w:t>IaD</w:t>
      </w:r>
      <w:proofErr w:type="spellEnd"/>
      <w:r w:rsidRPr="00704DDE">
        <w:rPr>
          <w:rFonts w:ascii="Times New Roman" w:hAnsi="Times New Roman" w:cs="Times New Roman"/>
          <w:lang w:val="es-AR"/>
        </w:rPr>
        <w:t>, en cambio, la relación educativa atraviesa institucionalmente las fronteras: las personas acceden desde su lugar de residencia a una propuesta ofrecida por una institución situada en otro país.</w:t>
      </w:r>
    </w:p>
    <w:p w14:paraId="0E3B68F3" w14:textId="10A1C041"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Su principal aporte no reside únicamente en el uso de herramientas digitales, sino en la posibilidad de separar la experiencia internacional de la obligación de desplazarse físicamente. La tecnología permite que programas, conocimientos, docentes, estudiantes e interacciones académicas atraviesen las fronteras mientras las personas permanecen en sus comunidades. </w:t>
      </w:r>
      <w:r w:rsidR="00974630" w:rsidRPr="00974630">
        <w:rPr>
          <w:rFonts w:ascii="Times New Roman" w:hAnsi="Times New Roman" w:cs="Times New Roman"/>
        </w:rPr>
        <w:t xml:space="preserve">Como señalan Yue, De Souza y </w:t>
      </w:r>
      <w:proofErr w:type="spellStart"/>
      <w:r w:rsidR="00974630" w:rsidRPr="00974630">
        <w:rPr>
          <w:rFonts w:ascii="Times New Roman" w:hAnsi="Times New Roman" w:cs="Times New Roman"/>
        </w:rPr>
        <w:t>Townsin</w:t>
      </w:r>
      <w:proofErr w:type="spellEnd"/>
      <w:r w:rsidR="00974630" w:rsidRPr="00974630">
        <w:rPr>
          <w:rFonts w:ascii="Times New Roman" w:hAnsi="Times New Roman" w:cs="Times New Roman"/>
        </w:rPr>
        <w:t xml:space="preserve"> (2023), la internacionalización a distancia hace posible la movilidad del conocimiento sin requerir necesariamente la movilidad de las personas</w:t>
      </w:r>
      <w:r w:rsidRPr="00704DDE">
        <w:rPr>
          <w:rFonts w:ascii="Times New Roman" w:hAnsi="Times New Roman" w:cs="Times New Roman"/>
          <w:lang w:val="es-AR"/>
        </w:rPr>
        <w:t>.</w:t>
      </w:r>
    </w:p>
    <w:p w14:paraId="1835F471" w14:textId="2B00666C"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Esta modalidad puede reducir algunas de las barreras características de la movilidad. Disminuye los costos de traslado y residencia, permite compatibilizar la formación con actividades laborales y responsabilidades familiares, y puede acercar oportunidades a </w:t>
      </w:r>
      <w:r w:rsidRPr="00704DDE">
        <w:rPr>
          <w:rFonts w:ascii="Times New Roman" w:hAnsi="Times New Roman" w:cs="Times New Roman"/>
          <w:lang w:val="es-AR"/>
        </w:rPr>
        <w:lastRenderedPageBreak/>
        <w:t xml:space="preserve">quienes viven fuera de los principales centros universitarios. También ofrece una mayor flexibilidad para personas cuya edad, situación profesional o proyecto de vida dificultan una estancia prolongada en el exterior. Estudios recientes destacan, además, las posibilidades de fortalecer la agencia estudiantil, la colaboración intercultural y la participación de perfiles más diversos en experiencias de internacionalización mediadas digitalmente (Breaden et al., 2023; </w:t>
      </w:r>
      <w:r w:rsidR="00974630">
        <w:rPr>
          <w:rFonts w:ascii="Times New Roman" w:hAnsi="Times New Roman" w:cs="Times New Roman"/>
          <w:lang w:val="es-AR"/>
        </w:rPr>
        <w:t>Yue et al.,</w:t>
      </w:r>
      <w:r w:rsidRPr="00704DDE">
        <w:rPr>
          <w:rFonts w:ascii="Times New Roman" w:hAnsi="Times New Roman" w:cs="Times New Roman"/>
          <w:lang w:val="es-AR"/>
        </w:rPr>
        <w:t xml:space="preserve"> 2023).</w:t>
      </w:r>
    </w:p>
    <w:p w14:paraId="68EF556F" w14:textId="6DD80C36"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No obstante, la internacionalización a distancia no es inclusiva por definición. Su implementación depende del acceso a conectividad estable, dispositivos adecuados, espacios de estudio y competencias digitales. Estas condiciones también se distribuyen de manera desigual y pueden crear nuevas formas de exclusión. Las brechas digitales entre territorios, grupos sociales e instituciones limitan las posibilidades de participación y muestran que la democratización no resulta automáticamente de la disponibilidad tecnológica.</w:t>
      </w:r>
    </w:p>
    <w:p w14:paraId="40AD80FB"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La experiencia de la pandemia también obliga a distinguir una política de internacionalización a distancia de la simple transferencia de actividades presenciales a plataformas virtuales. Una propuesta de </w:t>
      </w:r>
      <w:proofErr w:type="spellStart"/>
      <w:r w:rsidRPr="00704DDE">
        <w:rPr>
          <w:rFonts w:ascii="Times New Roman" w:hAnsi="Times New Roman" w:cs="Times New Roman"/>
          <w:lang w:val="es-AR"/>
        </w:rPr>
        <w:t>IaD</w:t>
      </w:r>
      <w:proofErr w:type="spellEnd"/>
      <w:r w:rsidRPr="00704DDE">
        <w:rPr>
          <w:rFonts w:ascii="Times New Roman" w:hAnsi="Times New Roman" w:cs="Times New Roman"/>
          <w:lang w:val="es-AR"/>
        </w:rPr>
        <w:t xml:space="preserve"> requiere diseños pedagógicos específicos, acompañamiento académico, posibilidades efectivas de interacción, reconocimiento institucional y condiciones económicas que permitan sostener la participación. La tecnología constituye el soporte, pero el carácter inclusivo depende de las decisiones políticas e institucionales que organizan la experiencia.</w:t>
      </w:r>
    </w:p>
    <w:p w14:paraId="5B39E81C"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Tampoco corresponde plantear una oposición entre movilidad presencial e internacionalización a distancia. La inmersión en otro entorno lingüístico, cultural y académico ofrece aprendizajes que difícilmente pueden reproducirse de manera completa en un espacio virtual. La </w:t>
      </w:r>
      <w:proofErr w:type="spellStart"/>
      <w:r w:rsidRPr="00704DDE">
        <w:rPr>
          <w:rFonts w:ascii="Times New Roman" w:hAnsi="Times New Roman" w:cs="Times New Roman"/>
          <w:lang w:val="es-AR"/>
        </w:rPr>
        <w:t>IaD</w:t>
      </w:r>
      <w:proofErr w:type="spellEnd"/>
      <w:r w:rsidRPr="00704DDE">
        <w:rPr>
          <w:rFonts w:ascii="Times New Roman" w:hAnsi="Times New Roman" w:cs="Times New Roman"/>
          <w:lang w:val="es-AR"/>
        </w:rPr>
        <w:t xml:space="preserve"> no debe presentarse como una versión inferior, más económica o sustitutiva de la movilidad. Su aporte consiste en ampliar el repertorio institucional y ofrecer oportunidades internacionales significativas a quienes no pueden participar de esquemas presenciales prolongados.</w:t>
      </w:r>
    </w:p>
    <w:p w14:paraId="578A6C96"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Desde la perspectiva construida en los apartados anteriores, la </w:t>
      </w:r>
      <w:proofErr w:type="spellStart"/>
      <w:r w:rsidRPr="00704DDE">
        <w:rPr>
          <w:rFonts w:ascii="Times New Roman" w:hAnsi="Times New Roman" w:cs="Times New Roman"/>
          <w:lang w:val="es-AR"/>
        </w:rPr>
        <w:t>IaD</w:t>
      </w:r>
      <w:proofErr w:type="spellEnd"/>
      <w:r w:rsidRPr="00704DDE">
        <w:rPr>
          <w:rFonts w:ascii="Times New Roman" w:hAnsi="Times New Roman" w:cs="Times New Roman"/>
          <w:lang w:val="es-AR"/>
        </w:rPr>
        <w:t xml:space="preserve"> adquiere sentido cuando se integra en una política orientada por la solidaridad, la inclusión y los derechos. Su finalidad no debería limitarse a reducir costos institucionales ni a incrementar cuantitativamente la oferta internacional. Debe contribuir a diversificar los perfiles participantes, disminuir barreras de acceso y fortalecer capacidades que puedan ser apropiadas por las comunidades universitarias y sus sociedades.</w:t>
      </w:r>
    </w:p>
    <w:p w14:paraId="74749E57"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En este punto se articula el aporte de </w:t>
      </w:r>
      <w:proofErr w:type="spellStart"/>
      <w:r w:rsidRPr="00704DDE">
        <w:rPr>
          <w:rFonts w:ascii="Times New Roman" w:hAnsi="Times New Roman" w:cs="Times New Roman"/>
          <w:lang w:val="es-AR"/>
        </w:rPr>
        <w:t>Mittelmeier</w:t>
      </w:r>
      <w:proofErr w:type="spellEnd"/>
      <w:r w:rsidRPr="00704DDE">
        <w:rPr>
          <w:rFonts w:ascii="Times New Roman" w:hAnsi="Times New Roman" w:cs="Times New Roman"/>
          <w:lang w:val="es-AR"/>
        </w:rPr>
        <w:t xml:space="preserve"> con la producción latinoamericana. La conceptualización de la </w:t>
      </w:r>
      <w:proofErr w:type="spellStart"/>
      <w:r w:rsidRPr="00704DDE">
        <w:rPr>
          <w:rFonts w:ascii="Times New Roman" w:hAnsi="Times New Roman" w:cs="Times New Roman"/>
          <w:lang w:val="es-AR"/>
        </w:rPr>
        <w:t>IaD</w:t>
      </w:r>
      <w:proofErr w:type="spellEnd"/>
      <w:r w:rsidRPr="00704DDE">
        <w:rPr>
          <w:rFonts w:ascii="Times New Roman" w:hAnsi="Times New Roman" w:cs="Times New Roman"/>
          <w:lang w:val="es-AR"/>
        </w:rPr>
        <w:t xml:space="preserve"> permite identificar una modalidad específica de internacionalización, pero el sentido político de su implementación se define a partir de preguntas elaboradas en la región: </w:t>
      </w:r>
      <w:r w:rsidRPr="00FE6AB8">
        <w:rPr>
          <w:rFonts w:ascii="Times New Roman" w:hAnsi="Times New Roman" w:cs="Times New Roman"/>
          <w:lang w:val="es-AR"/>
        </w:rPr>
        <w:t>para quiénes se internacionaliza, cómo se distribuyen sus beneficios, qué desigualdades busca reducir y de qué manera contribuye a la función pública de la universidad</w:t>
      </w:r>
      <w:r w:rsidRPr="00704DDE">
        <w:rPr>
          <w:rFonts w:ascii="Times New Roman" w:hAnsi="Times New Roman" w:cs="Times New Roman"/>
          <w:lang w:val="es-AR"/>
        </w:rPr>
        <w:t>. La tecnología aporta un dispositivo posible; la internacionalización solidaria y la perspectiva de derechos aportan los criterios para orientarlo.</w:t>
      </w:r>
    </w:p>
    <w:p w14:paraId="38EB665E"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lastRenderedPageBreak/>
        <w:t>Este marco conceptual permite analizar el caso de la movilidad argentina hacia China desde una doble perspectiva. Por un lado, posibilita identificar los perfiles que efectivamente acceden a las oportunidades de movilidad y las características de sus experiencias. Por otro, permite recuperar las trayectorias de quienes estudian el idioma, investigan o trabajan sobre China, pero no pueden o no desean realizar estancias prolongadas. A partir de esa comparación, el artículo examina en qué medida la internacionalización a distancia puede contribuir a democratizar el acceso sin desconocer tanto el valor específico de la movilidad presencial como las desigualdades que también atraviesan los entornos digitales</w:t>
      </w:r>
    </w:p>
    <w:p w14:paraId="39C2FA3E" w14:textId="77777777" w:rsidR="00704DDE" w:rsidRPr="00704DDE" w:rsidRDefault="00704DDE" w:rsidP="00704DDE">
      <w:pPr>
        <w:spacing w:line="240" w:lineRule="auto"/>
        <w:jc w:val="both"/>
        <w:rPr>
          <w:rFonts w:ascii="Times New Roman" w:hAnsi="Times New Roman" w:cs="Times New Roman"/>
          <w:b/>
          <w:bCs/>
          <w:lang w:val="es-AR"/>
        </w:rPr>
      </w:pPr>
      <w:r w:rsidRPr="00704DDE">
        <w:rPr>
          <w:rFonts w:ascii="Times New Roman" w:hAnsi="Times New Roman" w:cs="Times New Roman"/>
          <w:b/>
          <w:bCs/>
          <w:lang w:val="es-AR"/>
        </w:rPr>
        <w:t>3. Estrategia metodológica</w:t>
      </w:r>
    </w:p>
    <w:p w14:paraId="0806EB0D"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El objetivo de este trabajo es analizar quiénes acceden a las oportunidades de internacionalización y quiénes permanecen excluidos de ellas, tomando como estudio de caso la movilidad de estudiantes argentinos hacia China. Para ello se adopta un diseño metodológico cualitativo con apoyo en datos cuantitativos, que combina el análisis de tres bases de datos oficiales sobre becas de estudio con entrevistas en profundidad a estudiantes y graduados vinculados con experiencias de internacionalización hacia China.</w:t>
      </w:r>
    </w:p>
    <w:p w14:paraId="0C7412FD"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La elección de China como caso de estudio responde a razones tanto empíricas como analíticas. En primer lugar, constituye uno de los principales destinos emergentes para la cooperación educativa entre América Latina y Asia, particularmente a partir de la política de internacionalización impulsada por el gobierno chino mediante programas de becas y acuerdos bilaterales. A diferencia de los circuitos tradicionales de movilidad orientados hacia Europa o América del Norte, el caso chino permite analizar una experiencia de cooperación Sur-Sur en expansión, caracterizada por una oferta creciente de financiamiento para estudiantes latinoamericanos. En segundo lugar, la diversidad de programas de becas disponibles posibilita reconstruir distintos perfiles de movilidad y explorar quiénes logran acceder efectivamente a estas oportunidades.</w:t>
      </w:r>
    </w:p>
    <w:p w14:paraId="5C092F67"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La investigación se apoya en tres fuentes de información complementarias. La primera corresponde a las becas unilaterales otorgadas por el gobierno chino y difundidas por la Embajada de la República Popular China en Argentina. Se relevaron las convocatorias publicadas entre 2016 y 2023, identificando un total de 222 becas adjudicadas. La información disponible permitió clasificar los tipos de estudios (idioma, licenciatura, maestría, doctorado e investigación) y caracterizar las tendencias generales de este programa. </w:t>
      </w:r>
    </w:p>
    <w:p w14:paraId="676C64CC"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La segunda fuente corresponde al programa de becas bilaterales administrado conjuntamente por el Ministerio de Educación de la República Argentina y el China </w:t>
      </w:r>
      <w:proofErr w:type="spellStart"/>
      <w:r w:rsidRPr="00704DDE">
        <w:rPr>
          <w:rFonts w:ascii="Times New Roman" w:hAnsi="Times New Roman" w:cs="Times New Roman"/>
          <w:lang w:val="es-AR"/>
        </w:rPr>
        <w:t>Scholarship</w:t>
      </w:r>
      <w:proofErr w:type="spellEnd"/>
      <w:r w:rsidRPr="00704DDE">
        <w:rPr>
          <w:rFonts w:ascii="Times New Roman" w:hAnsi="Times New Roman" w:cs="Times New Roman"/>
          <w:lang w:val="es-AR"/>
        </w:rPr>
        <w:t xml:space="preserve"> Council (CSC). La información fue obtenida mediante solicitudes de acceso a la información pública y comprende el período 2009-2023. Esta base reúne 41 becas otorgadas e incorpora variables que permiten analizar la procedencia geográfica de los estudiantes, las universidades de destino, las áreas disciplinares y los niveles de formación alcanzados. </w:t>
      </w:r>
    </w:p>
    <w:p w14:paraId="4463D2E8"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Finalmente, se analizó la información proporcionada por el Instituto Confucio de la Universidad de Buenos Aires, correspondiente a las becas concedidas entre 2009 y 2022. </w:t>
      </w:r>
      <w:r w:rsidRPr="00704DDE">
        <w:rPr>
          <w:rFonts w:ascii="Times New Roman" w:hAnsi="Times New Roman" w:cs="Times New Roman"/>
          <w:lang w:val="es-AR"/>
        </w:rPr>
        <w:lastRenderedPageBreak/>
        <w:t xml:space="preserve">Esta base registra 179 movilidades, orientadas principalmente al aprendizaje del idioma chino y a estancias académicas de corta duración. Su incorporación resulta particularmente relevante para comprender la importancia que adquiere la formación lingüística dentro de la cooperación educativa entre ambos países. </w:t>
      </w:r>
    </w:p>
    <w:p w14:paraId="449EDE3B"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El análisis de estas tres bases permitió identificar patrones de movilidad vinculados con el perfil sociodemográfico de los beneficiarios, la duración de las estancias, las áreas de estudio, la distribución territorial y los tipos de becas predominantes. Sin embargo, estas fuentes presentan una limitación importante: sólo permiten observar a quienes efectivamente accedieron a una experiencia de movilidad internacional. No ofrecen información sobre quienes aspiraban a </w:t>
      </w:r>
      <w:proofErr w:type="gramStart"/>
      <w:r w:rsidRPr="00704DDE">
        <w:rPr>
          <w:rFonts w:ascii="Times New Roman" w:hAnsi="Times New Roman" w:cs="Times New Roman"/>
          <w:lang w:val="es-AR"/>
        </w:rPr>
        <w:t>internacionalizarse</w:t>
      </w:r>
      <w:proofErr w:type="gramEnd"/>
      <w:r w:rsidRPr="00704DDE">
        <w:rPr>
          <w:rFonts w:ascii="Times New Roman" w:hAnsi="Times New Roman" w:cs="Times New Roman"/>
          <w:lang w:val="es-AR"/>
        </w:rPr>
        <w:t xml:space="preserve"> pero, por distintos motivos, no pudieron o no quisieron trasladarse a China. Precisamente allí se sitúa uno de los principales aportes de este trabajo.</w:t>
      </w:r>
    </w:p>
    <w:p w14:paraId="1DC05002"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Con el propósito de recuperar esas trayectorias se realizaron entrevistas en profundidad de carácter semiestructurado a ocho personas vinculadas académica o profesionalmente con China. Se entrevistó a seis personas que realizaron experiencias de movilidad mediante alguno de los programas de becas analizados y a dos personas que estudian idioma chino o desarrollan actividades profesionales relacionadas con China, pero que optaron por no realizar movilidad internacional. Esta selección buscó incorporar deliberadamente las voces habitualmente ausentes en los estudios sobre internacionalización: aquellas personas que manifiestan interés por la experiencia internacional, pero cuyas trayectorias están condicionadas por factores laborales, familiares, económicos o personales que dificultan la movilidad. </w:t>
      </w:r>
    </w:p>
    <w:p w14:paraId="75CA16A5"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b/>
          <w:bCs/>
          <w:lang w:val="es-AR"/>
        </w:rPr>
        <w:t>Tabla 1. Características de las personas entrevistadas</w:t>
      </w:r>
    </w:p>
    <w:tbl>
      <w:tblPr>
        <w:tblStyle w:val="Tablaconcuadrcula1clara-nfasis1"/>
        <w:tblW w:w="0" w:type="auto"/>
        <w:tblLook w:val="04A0" w:firstRow="1" w:lastRow="0" w:firstColumn="1" w:lastColumn="0" w:noHBand="0" w:noVBand="1"/>
      </w:tblPr>
      <w:tblGrid>
        <w:gridCol w:w="950"/>
        <w:gridCol w:w="1270"/>
        <w:gridCol w:w="2613"/>
        <w:gridCol w:w="3661"/>
      </w:tblGrid>
      <w:tr w:rsidR="00704DDE" w:rsidRPr="00704DDE" w14:paraId="57059F19" w14:textId="77777777" w:rsidTr="00343B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D3A170" w14:textId="77777777" w:rsidR="00704DDE" w:rsidRPr="00704DDE" w:rsidRDefault="00704DDE" w:rsidP="00704DDE">
            <w:pPr>
              <w:spacing w:after="160"/>
              <w:jc w:val="both"/>
              <w:rPr>
                <w:rFonts w:ascii="Times New Roman" w:hAnsi="Times New Roman" w:cs="Times New Roman"/>
                <w:lang w:val="es-AR"/>
              </w:rPr>
            </w:pPr>
            <w:r w:rsidRPr="00704DDE">
              <w:rPr>
                <w:rFonts w:ascii="Times New Roman" w:hAnsi="Times New Roman" w:cs="Times New Roman"/>
                <w:lang w:val="es-AR"/>
              </w:rPr>
              <w:t>Código</w:t>
            </w:r>
          </w:p>
        </w:tc>
        <w:tc>
          <w:tcPr>
            <w:tcW w:w="0" w:type="auto"/>
            <w:hideMark/>
          </w:tcPr>
          <w:p w14:paraId="25E53C4D" w14:textId="77777777" w:rsidR="00704DDE" w:rsidRPr="00704DDE" w:rsidRDefault="00704DDE" w:rsidP="00704DDE">
            <w:pPr>
              <w:spacing w:after="1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704DDE">
              <w:rPr>
                <w:rFonts w:ascii="Times New Roman" w:hAnsi="Times New Roman" w:cs="Times New Roman"/>
                <w:lang w:val="es-AR"/>
              </w:rPr>
              <w:t>Movilidad</w:t>
            </w:r>
          </w:p>
        </w:tc>
        <w:tc>
          <w:tcPr>
            <w:tcW w:w="0" w:type="auto"/>
            <w:hideMark/>
          </w:tcPr>
          <w:p w14:paraId="66471E0D" w14:textId="77777777" w:rsidR="00704DDE" w:rsidRPr="00704DDE" w:rsidRDefault="00704DDE" w:rsidP="00704DDE">
            <w:pPr>
              <w:spacing w:after="1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704DDE">
              <w:rPr>
                <w:rFonts w:ascii="Times New Roman" w:hAnsi="Times New Roman" w:cs="Times New Roman"/>
                <w:lang w:val="es-AR"/>
              </w:rPr>
              <w:t>Perfil</w:t>
            </w:r>
          </w:p>
        </w:tc>
        <w:tc>
          <w:tcPr>
            <w:tcW w:w="0" w:type="auto"/>
            <w:hideMark/>
          </w:tcPr>
          <w:p w14:paraId="5158CEE2" w14:textId="77777777" w:rsidR="00704DDE" w:rsidRPr="00704DDE" w:rsidRDefault="00704DDE" w:rsidP="00704DDE">
            <w:pPr>
              <w:spacing w:after="1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704DDE">
              <w:rPr>
                <w:rFonts w:ascii="Times New Roman" w:hAnsi="Times New Roman" w:cs="Times New Roman"/>
                <w:lang w:val="es-AR"/>
              </w:rPr>
              <w:t>Situación al momento de la entrevista</w:t>
            </w:r>
          </w:p>
        </w:tc>
      </w:tr>
      <w:tr w:rsidR="00704DDE" w:rsidRPr="00704DDE" w14:paraId="700532B1" w14:textId="77777777" w:rsidTr="00343BA5">
        <w:tc>
          <w:tcPr>
            <w:cnfStyle w:val="001000000000" w:firstRow="0" w:lastRow="0" w:firstColumn="1" w:lastColumn="0" w:oddVBand="0" w:evenVBand="0" w:oddHBand="0" w:evenHBand="0" w:firstRowFirstColumn="0" w:firstRowLastColumn="0" w:lastRowFirstColumn="0" w:lastRowLastColumn="0"/>
            <w:tcW w:w="0" w:type="auto"/>
            <w:hideMark/>
          </w:tcPr>
          <w:p w14:paraId="0DB56A9C" w14:textId="77777777" w:rsidR="00704DDE" w:rsidRPr="00704DDE" w:rsidRDefault="00704DDE" w:rsidP="00704DDE">
            <w:pPr>
              <w:spacing w:after="160"/>
              <w:jc w:val="both"/>
              <w:rPr>
                <w:rFonts w:ascii="Times New Roman" w:hAnsi="Times New Roman" w:cs="Times New Roman"/>
                <w:lang w:val="es-AR"/>
              </w:rPr>
            </w:pPr>
            <w:r w:rsidRPr="00704DDE">
              <w:rPr>
                <w:rFonts w:ascii="Times New Roman" w:hAnsi="Times New Roman" w:cs="Times New Roman"/>
                <w:lang w:val="es-AR"/>
              </w:rPr>
              <w:t>E1</w:t>
            </w:r>
          </w:p>
        </w:tc>
        <w:tc>
          <w:tcPr>
            <w:tcW w:w="0" w:type="auto"/>
            <w:hideMark/>
          </w:tcPr>
          <w:p w14:paraId="03C7A510" w14:textId="77777777" w:rsidR="00704DDE" w:rsidRPr="00704DDE" w:rsidRDefault="00704DDE" w:rsidP="00704DDE">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704DDE">
              <w:rPr>
                <w:rFonts w:ascii="Times New Roman" w:hAnsi="Times New Roman" w:cs="Times New Roman"/>
                <w:lang w:val="es-AR"/>
              </w:rPr>
              <w:t>Sí</w:t>
            </w:r>
          </w:p>
        </w:tc>
        <w:tc>
          <w:tcPr>
            <w:tcW w:w="0" w:type="auto"/>
            <w:hideMark/>
          </w:tcPr>
          <w:p w14:paraId="1D1407BE" w14:textId="77777777" w:rsidR="00704DDE" w:rsidRPr="00704DDE" w:rsidRDefault="00704DDE" w:rsidP="00704DDE">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704DDE">
              <w:rPr>
                <w:rFonts w:ascii="Times New Roman" w:hAnsi="Times New Roman" w:cs="Times New Roman"/>
                <w:lang w:val="es-AR"/>
              </w:rPr>
              <w:t>Posgrado en China</w:t>
            </w:r>
          </w:p>
        </w:tc>
        <w:tc>
          <w:tcPr>
            <w:tcW w:w="0" w:type="auto"/>
            <w:hideMark/>
          </w:tcPr>
          <w:p w14:paraId="2479CEF4" w14:textId="77777777" w:rsidR="00704DDE" w:rsidRPr="00704DDE" w:rsidRDefault="00704DDE" w:rsidP="00704DDE">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704DDE">
              <w:rPr>
                <w:rFonts w:ascii="Times New Roman" w:hAnsi="Times New Roman" w:cs="Times New Roman"/>
                <w:lang w:val="es-AR"/>
              </w:rPr>
              <w:t>Investigadora / Gestión pública</w:t>
            </w:r>
          </w:p>
        </w:tc>
      </w:tr>
      <w:tr w:rsidR="00704DDE" w:rsidRPr="00704DDE" w14:paraId="7945847E" w14:textId="77777777" w:rsidTr="00343BA5">
        <w:tc>
          <w:tcPr>
            <w:cnfStyle w:val="001000000000" w:firstRow="0" w:lastRow="0" w:firstColumn="1" w:lastColumn="0" w:oddVBand="0" w:evenVBand="0" w:oddHBand="0" w:evenHBand="0" w:firstRowFirstColumn="0" w:firstRowLastColumn="0" w:lastRowFirstColumn="0" w:lastRowLastColumn="0"/>
            <w:tcW w:w="0" w:type="auto"/>
            <w:hideMark/>
          </w:tcPr>
          <w:p w14:paraId="12769828" w14:textId="77777777" w:rsidR="00704DDE" w:rsidRPr="00704DDE" w:rsidRDefault="00704DDE" w:rsidP="00704DDE">
            <w:pPr>
              <w:spacing w:after="160"/>
              <w:jc w:val="both"/>
              <w:rPr>
                <w:rFonts w:ascii="Times New Roman" w:hAnsi="Times New Roman" w:cs="Times New Roman"/>
                <w:lang w:val="es-AR"/>
              </w:rPr>
            </w:pPr>
            <w:r w:rsidRPr="00704DDE">
              <w:rPr>
                <w:rFonts w:ascii="Times New Roman" w:hAnsi="Times New Roman" w:cs="Times New Roman"/>
                <w:lang w:val="es-AR"/>
              </w:rPr>
              <w:t>E2</w:t>
            </w:r>
          </w:p>
        </w:tc>
        <w:tc>
          <w:tcPr>
            <w:tcW w:w="0" w:type="auto"/>
            <w:hideMark/>
          </w:tcPr>
          <w:p w14:paraId="6AB7E0B7" w14:textId="77777777" w:rsidR="00704DDE" w:rsidRPr="00704DDE" w:rsidRDefault="00704DDE" w:rsidP="00704DDE">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704DDE">
              <w:rPr>
                <w:rFonts w:ascii="Times New Roman" w:hAnsi="Times New Roman" w:cs="Times New Roman"/>
                <w:lang w:val="es-AR"/>
              </w:rPr>
              <w:t>Sí</w:t>
            </w:r>
          </w:p>
        </w:tc>
        <w:tc>
          <w:tcPr>
            <w:tcW w:w="0" w:type="auto"/>
            <w:hideMark/>
          </w:tcPr>
          <w:p w14:paraId="2B34B070" w14:textId="77777777" w:rsidR="00704DDE" w:rsidRPr="00704DDE" w:rsidRDefault="00704DDE" w:rsidP="00704DDE">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704DDE">
              <w:rPr>
                <w:rFonts w:ascii="Times New Roman" w:hAnsi="Times New Roman" w:cs="Times New Roman"/>
                <w:lang w:val="es-AR"/>
              </w:rPr>
              <w:t>Formación lingüística</w:t>
            </w:r>
          </w:p>
        </w:tc>
        <w:tc>
          <w:tcPr>
            <w:tcW w:w="0" w:type="auto"/>
            <w:hideMark/>
          </w:tcPr>
          <w:p w14:paraId="1F617801" w14:textId="77777777" w:rsidR="00704DDE" w:rsidRPr="00704DDE" w:rsidRDefault="00704DDE" w:rsidP="00704DDE">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704DDE">
              <w:rPr>
                <w:rFonts w:ascii="Times New Roman" w:hAnsi="Times New Roman" w:cs="Times New Roman"/>
                <w:lang w:val="es-AR"/>
              </w:rPr>
              <w:t>Docente universitaria</w:t>
            </w:r>
          </w:p>
        </w:tc>
      </w:tr>
      <w:tr w:rsidR="00704DDE" w:rsidRPr="00704DDE" w14:paraId="766C0AD7" w14:textId="77777777" w:rsidTr="00343BA5">
        <w:tc>
          <w:tcPr>
            <w:cnfStyle w:val="001000000000" w:firstRow="0" w:lastRow="0" w:firstColumn="1" w:lastColumn="0" w:oddVBand="0" w:evenVBand="0" w:oddHBand="0" w:evenHBand="0" w:firstRowFirstColumn="0" w:firstRowLastColumn="0" w:lastRowFirstColumn="0" w:lastRowLastColumn="0"/>
            <w:tcW w:w="0" w:type="auto"/>
            <w:hideMark/>
          </w:tcPr>
          <w:p w14:paraId="7AF8D692" w14:textId="77777777" w:rsidR="00704DDE" w:rsidRPr="00704DDE" w:rsidRDefault="00704DDE" w:rsidP="00704DDE">
            <w:pPr>
              <w:spacing w:after="160"/>
              <w:jc w:val="both"/>
              <w:rPr>
                <w:rFonts w:ascii="Times New Roman" w:hAnsi="Times New Roman" w:cs="Times New Roman"/>
                <w:lang w:val="es-AR"/>
              </w:rPr>
            </w:pPr>
            <w:r w:rsidRPr="00704DDE">
              <w:rPr>
                <w:rFonts w:ascii="Times New Roman" w:hAnsi="Times New Roman" w:cs="Times New Roman"/>
                <w:lang w:val="es-AR"/>
              </w:rPr>
              <w:t>E3</w:t>
            </w:r>
          </w:p>
        </w:tc>
        <w:tc>
          <w:tcPr>
            <w:tcW w:w="0" w:type="auto"/>
            <w:hideMark/>
          </w:tcPr>
          <w:p w14:paraId="374CA889" w14:textId="77777777" w:rsidR="00704DDE" w:rsidRPr="00704DDE" w:rsidRDefault="00704DDE" w:rsidP="00704DDE">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704DDE">
              <w:rPr>
                <w:rFonts w:ascii="Times New Roman" w:hAnsi="Times New Roman" w:cs="Times New Roman"/>
                <w:lang w:val="es-AR"/>
              </w:rPr>
              <w:t>Sí</w:t>
            </w:r>
          </w:p>
        </w:tc>
        <w:tc>
          <w:tcPr>
            <w:tcW w:w="0" w:type="auto"/>
            <w:hideMark/>
          </w:tcPr>
          <w:p w14:paraId="12EA4F3D" w14:textId="77777777" w:rsidR="00704DDE" w:rsidRPr="00704DDE" w:rsidRDefault="00704DDE" w:rsidP="00704DDE">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704DDE">
              <w:rPr>
                <w:rFonts w:ascii="Times New Roman" w:hAnsi="Times New Roman" w:cs="Times New Roman"/>
                <w:lang w:val="es-AR"/>
              </w:rPr>
              <w:t>Formación lingüística</w:t>
            </w:r>
          </w:p>
        </w:tc>
        <w:tc>
          <w:tcPr>
            <w:tcW w:w="0" w:type="auto"/>
            <w:hideMark/>
          </w:tcPr>
          <w:p w14:paraId="41EE84DE" w14:textId="77777777" w:rsidR="00704DDE" w:rsidRPr="00704DDE" w:rsidRDefault="00704DDE" w:rsidP="00704DDE">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704DDE">
              <w:rPr>
                <w:rFonts w:ascii="Times New Roman" w:hAnsi="Times New Roman" w:cs="Times New Roman"/>
                <w:lang w:val="es-AR"/>
              </w:rPr>
              <w:t>Profesional</w:t>
            </w:r>
          </w:p>
        </w:tc>
      </w:tr>
      <w:tr w:rsidR="00704DDE" w:rsidRPr="00704DDE" w14:paraId="52343645" w14:textId="77777777" w:rsidTr="00343BA5">
        <w:tc>
          <w:tcPr>
            <w:cnfStyle w:val="001000000000" w:firstRow="0" w:lastRow="0" w:firstColumn="1" w:lastColumn="0" w:oddVBand="0" w:evenVBand="0" w:oddHBand="0" w:evenHBand="0" w:firstRowFirstColumn="0" w:firstRowLastColumn="0" w:lastRowFirstColumn="0" w:lastRowLastColumn="0"/>
            <w:tcW w:w="0" w:type="auto"/>
            <w:hideMark/>
          </w:tcPr>
          <w:p w14:paraId="29E8E446" w14:textId="77777777" w:rsidR="00704DDE" w:rsidRPr="00704DDE" w:rsidRDefault="00704DDE" w:rsidP="00704DDE">
            <w:pPr>
              <w:spacing w:after="160"/>
              <w:jc w:val="both"/>
              <w:rPr>
                <w:rFonts w:ascii="Times New Roman" w:hAnsi="Times New Roman" w:cs="Times New Roman"/>
                <w:lang w:val="es-AR"/>
              </w:rPr>
            </w:pPr>
            <w:r w:rsidRPr="00704DDE">
              <w:rPr>
                <w:rFonts w:ascii="Times New Roman" w:hAnsi="Times New Roman" w:cs="Times New Roman"/>
                <w:lang w:val="es-AR"/>
              </w:rPr>
              <w:t>E4</w:t>
            </w:r>
          </w:p>
        </w:tc>
        <w:tc>
          <w:tcPr>
            <w:tcW w:w="0" w:type="auto"/>
            <w:hideMark/>
          </w:tcPr>
          <w:p w14:paraId="668A292B" w14:textId="77777777" w:rsidR="00704DDE" w:rsidRPr="00704DDE" w:rsidRDefault="00704DDE" w:rsidP="00704DDE">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704DDE">
              <w:rPr>
                <w:rFonts w:ascii="Times New Roman" w:hAnsi="Times New Roman" w:cs="Times New Roman"/>
                <w:lang w:val="es-AR"/>
              </w:rPr>
              <w:t>Sí</w:t>
            </w:r>
          </w:p>
        </w:tc>
        <w:tc>
          <w:tcPr>
            <w:tcW w:w="0" w:type="auto"/>
            <w:hideMark/>
          </w:tcPr>
          <w:p w14:paraId="5D5A4B5C" w14:textId="77777777" w:rsidR="00704DDE" w:rsidRPr="00704DDE" w:rsidRDefault="00704DDE" w:rsidP="00704DDE">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704DDE">
              <w:rPr>
                <w:rFonts w:ascii="Times New Roman" w:hAnsi="Times New Roman" w:cs="Times New Roman"/>
                <w:lang w:val="es-AR"/>
              </w:rPr>
              <w:t>Posgrado en China</w:t>
            </w:r>
          </w:p>
        </w:tc>
        <w:tc>
          <w:tcPr>
            <w:tcW w:w="0" w:type="auto"/>
            <w:hideMark/>
          </w:tcPr>
          <w:p w14:paraId="6C09E21C" w14:textId="77777777" w:rsidR="00704DDE" w:rsidRPr="00704DDE" w:rsidRDefault="00704DDE" w:rsidP="00704DDE">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704DDE">
              <w:rPr>
                <w:rFonts w:ascii="Times New Roman" w:hAnsi="Times New Roman" w:cs="Times New Roman"/>
                <w:lang w:val="es-AR"/>
              </w:rPr>
              <w:t>Profesional</w:t>
            </w:r>
          </w:p>
        </w:tc>
      </w:tr>
      <w:tr w:rsidR="00704DDE" w:rsidRPr="00704DDE" w14:paraId="3B46107B" w14:textId="77777777" w:rsidTr="00343BA5">
        <w:tc>
          <w:tcPr>
            <w:cnfStyle w:val="001000000000" w:firstRow="0" w:lastRow="0" w:firstColumn="1" w:lastColumn="0" w:oddVBand="0" w:evenVBand="0" w:oddHBand="0" w:evenHBand="0" w:firstRowFirstColumn="0" w:firstRowLastColumn="0" w:lastRowFirstColumn="0" w:lastRowLastColumn="0"/>
            <w:tcW w:w="0" w:type="auto"/>
            <w:hideMark/>
          </w:tcPr>
          <w:p w14:paraId="3812D6B3" w14:textId="77777777" w:rsidR="00704DDE" w:rsidRPr="00704DDE" w:rsidRDefault="00704DDE" w:rsidP="00704DDE">
            <w:pPr>
              <w:spacing w:after="160"/>
              <w:jc w:val="both"/>
              <w:rPr>
                <w:rFonts w:ascii="Times New Roman" w:hAnsi="Times New Roman" w:cs="Times New Roman"/>
                <w:lang w:val="es-AR"/>
              </w:rPr>
            </w:pPr>
            <w:r w:rsidRPr="00704DDE">
              <w:rPr>
                <w:rFonts w:ascii="Times New Roman" w:hAnsi="Times New Roman" w:cs="Times New Roman"/>
                <w:lang w:val="es-AR"/>
              </w:rPr>
              <w:t>E5</w:t>
            </w:r>
          </w:p>
        </w:tc>
        <w:tc>
          <w:tcPr>
            <w:tcW w:w="0" w:type="auto"/>
            <w:hideMark/>
          </w:tcPr>
          <w:p w14:paraId="45C35E81" w14:textId="77777777" w:rsidR="00704DDE" w:rsidRPr="00704DDE" w:rsidRDefault="00704DDE" w:rsidP="00704DDE">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704DDE">
              <w:rPr>
                <w:rFonts w:ascii="Times New Roman" w:hAnsi="Times New Roman" w:cs="Times New Roman"/>
                <w:lang w:val="es-AR"/>
              </w:rPr>
              <w:t>No</w:t>
            </w:r>
          </w:p>
        </w:tc>
        <w:tc>
          <w:tcPr>
            <w:tcW w:w="0" w:type="auto"/>
            <w:hideMark/>
          </w:tcPr>
          <w:p w14:paraId="730D4DA8" w14:textId="77777777" w:rsidR="00704DDE" w:rsidRPr="00704DDE" w:rsidRDefault="00704DDE" w:rsidP="00704DDE">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704DDE">
              <w:rPr>
                <w:rFonts w:ascii="Times New Roman" w:hAnsi="Times New Roman" w:cs="Times New Roman"/>
                <w:lang w:val="es-AR"/>
              </w:rPr>
              <w:t>Investigador sobre China</w:t>
            </w:r>
          </w:p>
        </w:tc>
        <w:tc>
          <w:tcPr>
            <w:tcW w:w="0" w:type="auto"/>
            <w:hideMark/>
          </w:tcPr>
          <w:p w14:paraId="60691B38" w14:textId="77777777" w:rsidR="00704DDE" w:rsidRPr="00704DDE" w:rsidRDefault="00704DDE" w:rsidP="00704DDE">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704DDE">
              <w:rPr>
                <w:rFonts w:ascii="Times New Roman" w:hAnsi="Times New Roman" w:cs="Times New Roman"/>
                <w:lang w:val="es-AR"/>
              </w:rPr>
              <w:t>Docente universitario</w:t>
            </w:r>
          </w:p>
        </w:tc>
      </w:tr>
      <w:tr w:rsidR="00704DDE" w:rsidRPr="00704DDE" w14:paraId="056A2D67" w14:textId="77777777" w:rsidTr="00343BA5">
        <w:tc>
          <w:tcPr>
            <w:cnfStyle w:val="001000000000" w:firstRow="0" w:lastRow="0" w:firstColumn="1" w:lastColumn="0" w:oddVBand="0" w:evenVBand="0" w:oddHBand="0" w:evenHBand="0" w:firstRowFirstColumn="0" w:firstRowLastColumn="0" w:lastRowFirstColumn="0" w:lastRowLastColumn="0"/>
            <w:tcW w:w="0" w:type="auto"/>
            <w:hideMark/>
          </w:tcPr>
          <w:p w14:paraId="09F3100F" w14:textId="77777777" w:rsidR="00704DDE" w:rsidRPr="00704DDE" w:rsidRDefault="00704DDE" w:rsidP="00704DDE">
            <w:pPr>
              <w:spacing w:after="160"/>
              <w:jc w:val="both"/>
              <w:rPr>
                <w:rFonts w:ascii="Times New Roman" w:hAnsi="Times New Roman" w:cs="Times New Roman"/>
                <w:lang w:val="es-AR"/>
              </w:rPr>
            </w:pPr>
            <w:r w:rsidRPr="00704DDE">
              <w:rPr>
                <w:rFonts w:ascii="Times New Roman" w:hAnsi="Times New Roman" w:cs="Times New Roman"/>
                <w:lang w:val="es-AR"/>
              </w:rPr>
              <w:t>E6</w:t>
            </w:r>
          </w:p>
        </w:tc>
        <w:tc>
          <w:tcPr>
            <w:tcW w:w="0" w:type="auto"/>
            <w:hideMark/>
          </w:tcPr>
          <w:p w14:paraId="4CBBCCF7" w14:textId="77777777" w:rsidR="00704DDE" w:rsidRPr="00704DDE" w:rsidRDefault="00704DDE" w:rsidP="00704DDE">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704DDE">
              <w:rPr>
                <w:rFonts w:ascii="Times New Roman" w:hAnsi="Times New Roman" w:cs="Times New Roman"/>
                <w:lang w:val="es-AR"/>
              </w:rPr>
              <w:t>No</w:t>
            </w:r>
          </w:p>
        </w:tc>
        <w:tc>
          <w:tcPr>
            <w:tcW w:w="0" w:type="auto"/>
            <w:hideMark/>
          </w:tcPr>
          <w:p w14:paraId="5BB2FE70" w14:textId="77777777" w:rsidR="00704DDE" w:rsidRPr="00704DDE" w:rsidRDefault="00704DDE" w:rsidP="00704DDE">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704DDE">
              <w:rPr>
                <w:rFonts w:ascii="Times New Roman" w:hAnsi="Times New Roman" w:cs="Times New Roman"/>
                <w:lang w:val="es-AR"/>
              </w:rPr>
              <w:t>Estudiante de idioma chino</w:t>
            </w:r>
          </w:p>
        </w:tc>
        <w:tc>
          <w:tcPr>
            <w:tcW w:w="0" w:type="auto"/>
            <w:hideMark/>
          </w:tcPr>
          <w:p w14:paraId="7CD7FF4D" w14:textId="77777777" w:rsidR="00704DDE" w:rsidRPr="00704DDE" w:rsidRDefault="00704DDE" w:rsidP="00704DDE">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704DDE">
              <w:rPr>
                <w:rFonts w:ascii="Times New Roman" w:hAnsi="Times New Roman" w:cs="Times New Roman"/>
                <w:lang w:val="es-AR"/>
              </w:rPr>
              <w:t>Profesional</w:t>
            </w:r>
          </w:p>
        </w:tc>
      </w:tr>
      <w:tr w:rsidR="00704DDE" w:rsidRPr="00704DDE" w14:paraId="61DF4B1F" w14:textId="77777777" w:rsidTr="00343BA5">
        <w:tc>
          <w:tcPr>
            <w:cnfStyle w:val="001000000000" w:firstRow="0" w:lastRow="0" w:firstColumn="1" w:lastColumn="0" w:oddVBand="0" w:evenVBand="0" w:oddHBand="0" w:evenHBand="0" w:firstRowFirstColumn="0" w:firstRowLastColumn="0" w:lastRowFirstColumn="0" w:lastRowLastColumn="0"/>
            <w:tcW w:w="0" w:type="auto"/>
            <w:hideMark/>
          </w:tcPr>
          <w:p w14:paraId="555C88C8" w14:textId="77777777" w:rsidR="00704DDE" w:rsidRPr="00704DDE" w:rsidRDefault="00704DDE" w:rsidP="00704DDE">
            <w:pPr>
              <w:spacing w:after="160"/>
              <w:jc w:val="both"/>
              <w:rPr>
                <w:rFonts w:ascii="Times New Roman" w:hAnsi="Times New Roman" w:cs="Times New Roman"/>
                <w:lang w:val="es-AR"/>
              </w:rPr>
            </w:pPr>
            <w:r w:rsidRPr="00704DDE">
              <w:rPr>
                <w:rFonts w:ascii="Times New Roman" w:hAnsi="Times New Roman" w:cs="Times New Roman"/>
                <w:lang w:val="es-AR"/>
              </w:rPr>
              <w:t>E7</w:t>
            </w:r>
          </w:p>
        </w:tc>
        <w:tc>
          <w:tcPr>
            <w:tcW w:w="0" w:type="auto"/>
            <w:hideMark/>
          </w:tcPr>
          <w:p w14:paraId="59F83B9E" w14:textId="77777777" w:rsidR="00704DDE" w:rsidRPr="00704DDE" w:rsidRDefault="00704DDE" w:rsidP="00704DDE">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704DDE">
              <w:rPr>
                <w:rFonts w:ascii="Times New Roman" w:hAnsi="Times New Roman" w:cs="Times New Roman"/>
                <w:lang w:val="es-AR"/>
              </w:rPr>
              <w:t>Sí</w:t>
            </w:r>
          </w:p>
        </w:tc>
        <w:tc>
          <w:tcPr>
            <w:tcW w:w="0" w:type="auto"/>
            <w:hideMark/>
          </w:tcPr>
          <w:p w14:paraId="231409DF" w14:textId="77777777" w:rsidR="00704DDE" w:rsidRPr="00704DDE" w:rsidRDefault="00704DDE" w:rsidP="00704DDE">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704DDE">
              <w:rPr>
                <w:rFonts w:ascii="Times New Roman" w:hAnsi="Times New Roman" w:cs="Times New Roman"/>
                <w:lang w:val="es-AR"/>
              </w:rPr>
              <w:t>Formación lingüística</w:t>
            </w:r>
          </w:p>
        </w:tc>
        <w:tc>
          <w:tcPr>
            <w:tcW w:w="0" w:type="auto"/>
            <w:hideMark/>
          </w:tcPr>
          <w:p w14:paraId="52CB71F3" w14:textId="77777777" w:rsidR="00704DDE" w:rsidRPr="00704DDE" w:rsidRDefault="00704DDE" w:rsidP="00704DDE">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704DDE">
              <w:rPr>
                <w:rFonts w:ascii="Times New Roman" w:hAnsi="Times New Roman" w:cs="Times New Roman"/>
                <w:lang w:val="es-AR"/>
              </w:rPr>
              <w:t>Profesional</w:t>
            </w:r>
          </w:p>
        </w:tc>
      </w:tr>
      <w:tr w:rsidR="00704DDE" w:rsidRPr="00704DDE" w14:paraId="191B2D57" w14:textId="77777777" w:rsidTr="00343BA5">
        <w:tc>
          <w:tcPr>
            <w:cnfStyle w:val="001000000000" w:firstRow="0" w:lastRow="0" w:firstColumn="1" w:lastColumn="0" w:oddVBand="0" w:evenVBand="0" w:oddHBand="0" w:evenHBand="0" w:firstRowFirstColumn="0" w:firstRowLastColumn="0" w:lastRowFirstColumn="0" w:lastRowLastColumn="0"/>
            <w:tcW w:w="0" w:type="auto"/>
            <w:hideMark/>
          </w:tcPr>
          <w:p w14:paraId="4E51C7EA" w14:textId="77777777" w:rsidR="00704DDE" w:rsidRPr="00704DDE" w:rsidRDefault="00704DDE" w:rsidP="00704DDE">
            <w:pPr>
              <w:spacing w:after="160"/>
              <w:jc w:val="both"/>
              <w:rPr>
                <w:rFonts w:ascii="Times New Roman" w:hAnsi="Times New Roman" w:cs="Times New Roman"/>
                <w:lang w:val="es-AR"/>
              </w:rPr>
            </w:pPr>
            <w:r w:rsidRPr="00704DDE">
              <w:rPr>
                <w:rFonts w:ascii="Times New Roman" w:hAnsi="Times New Roman" w:cs="Times New Roman"/>
                <w:lang w:val="es-AR"/>
              </w:rPr>
              <w:t>E8</w:t>
            </w:r>
          </w:p>
        </w:tc>
        <w:tc>
          <w:tcPr>
            <w:tcW w:w="0" w:type="auto"/>
            <w:hideMark/>
          </w:tcPr>
          <w:p w14:paraId="326F4C2D" w14:textId="77777777" w:rsidR="00704DDE" w:rsidRPr="00704DDE" w:rsidRDefault="00704DDE" w:rsidP="00704DDE">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704DDE">
              <w:rPr>
                <w:rFonts w:ascii="Times New Roman" w:hAnsi="Times New Roman" w:cs="Times New Roman"/>
                <w:lang w:val="es-AR"/>
              </w:rPr>
              <w:t>Sí</w:t>
            </w:r>
          </w:p>
        </w:tc>
        <w:tc>
          <w:tcPr>
            <w:tcW w:w="0" w:type="auto"/>
            <w:hideMark/>
          </w:tcPr>
          <w:p w14:paraId="72CA30F6" w14:textId="77777777" w:rsidR="00704DDE" w:rsidRPr="00704DDE" w:rsidRDefault="00704DDE" w:rsidP="00704DDE">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704DDE">
              <w:rPr>
                <w:rFonts w:ascii="Times New Roman" w:hAnsi="Times New Roman" w:cs="Times New Roman"/>
                <w:lang w:val="es-AR"/>
              </w:rPr>
              <w:t>Formación de posgrado</w:t>
            </w:r>
          </w:p>
        </w:tc>
        <w:tc>
          <w:tcPr>
            <w:tcW w:w="0" w:type="auto"/>
            <w:hideMark/>
          </w:tcPr>
          <w:p w14:paraId="51C54CAB" w14:textId="77777777" w:rsidR="00704DDE" w:rsidRPr="00704DDE" w:rsidRDefault="00704DDE" w:rsidP="00704DDE">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704DDE">
              <w:rPr>
                <w:rFonts w:ascii="Times New Roman" w:hAnsi="Times New Roman" w:cs="Times New Roman"/>
                <w:lang w:val="es-AR"/>
              </w:rPr>
              <w:t>Profesional</w:t>
            </w:r>
          </w:p>
        </w:tc>
      </w:tr>
    </w:tbl>
    <w:p w14:paraId="42A727B1"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Fuente: elaboración propia a partir de entrevistas realizadas entre diciembre de 2023 y junio de 2024.</w:t>
      </w:r>
    </w:p>
    <w:p w14:paraId="21AA76E9"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lastRenderedPageBreak/>
        <w:t xml:space="preserve">Las entrevistas fueron realizadas entre diciembre de 2023 y junio de 2024 mediante plataformas virtuales, registradas con consentimiento de los participantes y posteriormente transcriptas para su análisis. Las preguntas abordaron tres dimensiones principales: las experiencias de formación y vinculación con China, el impacto de la pandemia sobre las trayectorias académicas y laborales, y las valoraciones sobre la movilidad internacional y las posibilidades de desarrollar experiencias internacionales sin desplazamiento físico. </w:t>
      </w:r>
    </w:p>
    <w:p w14:paraId="23A098AC"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El análisis se desarrolló mediante una estrategia de triangulación entre la evidencia cuantitativa y cualitativa. Mientras las bases de datos permitieron reconstruir las características generales de la movilidad argentina hacia China, las entrevistas posibilitaron comprender las motivaciones, expectativas y restricciones que configuran el acceso diferencial a las oportunidades internacionales. Esta combinación metodológica permitió responder no sólo a la pregunta acerca de quiénes acceden a la internacionalización, sino también incorporar una dimensión habitualmente invisibilizada en la literatura: las razones por las cuales una parte de quienes desean internacionalizarse permanece inmóvil.</w:t>
      </w:r>
    </w:p>
    <w:p w14:paraId="630DB1A9"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Finalmente, corresponde señalar algunas limitaciones del estudio. En primer lugar, la disponibilidad de información varía entre las distintas fuentes, ya que los programas de becas presentan diferentes niveles de sistematización y acceso público a los datos. En segundo lugar, la internacionalización a distancia constituye todavía una modalidad incipiente en Argentina, por lo que el artículo no evalúa una política ya </w:t>
      </w:r>
      <w:proofErr w:type="gramStart"/>
      <w:r w:rsidRPr="00704DDE">
        <w:rPr>
          <w:rFonts w:ascii="Times New Roman" w:hAnsi="Times New Roman" w:cs="Times New Roman"/>
          <w:lang w:val="es-AR"/>
        </w:rPr>
        <w:t>implementada</w:t>
      </w:r>
      <w:proofErr w:type="gramEnd"/>
      <w:r w:rsidRPr="00704DDE">
        <w:rPr>
          <w:rFonts w:ascii="Times New Roman" w:hAnsi="Times New Roman" w:cs="Times New Roman"/>
          <w:lang w:val="es-AR"/>
        </w:rPr>
        <w:t xml:space="preserve"> sino que analiza su potencial a partir de las características observadas en la movilidad hacia China. En este sentido, el propósito del trabajo no consiste en medir los resultados de la internacionalización a distancia, sino en discutir sus posibilidades como estrategia para ampliar el acceso a experiencias internacionales en contextos de desigualdad.</w:t>
      </w:r>
    </w:p>
    <w:p w14:paraId="1F657C8F" w14:textId="77777777" w:rsidR="00704DDE" w:rsidRPr="00704DDE" w:rsidRDefault="00704DDE" w:rsidP="00704DDE">
      <w:pPr>
        <w:spacing w:line="240" w:lineRule="auto"/>
        <w:jc w:val="both"/>
        <w:rPr>
          <w:rFonts w:ascii="Times New Roman" w:hAnsi="Times New Roman" w:cs="Times New Roman"/>
          <w:b/>
          <w:bCs/>
          <w:lang w:val="es-AR"/>
        </w:rPr>
      </w:pPr>
      <w:r w:rsidRPr="00704DDE">
        <w:rPr>
          <w:rFonts w:ascii="Times New Roman" w:hAnsi="Times New Roman" w:cs="Times New Roman"/>
          <w:b/>
          <w:bCs/>
          <w:lang w:val="es-AR"/>
        </w:rPr>
        <w:t>4. ¿Quién accede a la internacionalización? El caso de la movilidad argentina hacia China</w:t>
      </w:r>
    </w:p>
    <w:p w14:paraId="13683D76"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La movilidad estudiantil entre Argentina y China constituye un fenómeno relativamente reciente dentro de los procesos de internacionalización de la educación superior argentina. A diferencia de los destinos tradicionales —principalmente Europa y América del Norte—, China se ha consolidado durante las últimas dos décadas como un destino emergente, impulsado por una política activa de cooperación educativa que combina programas de becas, acuerdos bilaterales y estrategias de atracción de estudiantes internacionales. Sin embargo, el crecimiento de estas oportunidades no necesariamente implica una ampliación del acceso. Por el contrario, el análisis de las tres bases de datos utilizadas en este trabajo permite observar que la movilidad hacia China presenta patrones relativamente estables y altamente selectivos.</w:t>
      </w:r>
    </w:p>
    <w:p w14:paraId="210AA499"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En conjunto, las tres fuentes analizadas registran 442 becas otorgadas entre 2009 y 2023: 222 becas unilaterales promovidas por la Embajada de China en Argentina, 41 becas bilaterales administradas por el Ministerio de Educación argentino y el China </w:t>
      </w:r>
      <w:proofErr w:type="spellStart"/>
      <w:r w:rsidRPr="00704DDE">
        <w:rPr>
          <w:rFonts w:ascii="Times New Roman" w:hAnsi="Times New Roman" w:cs="Times New Roman"/>
          <w:lang w:val="es-AR"/>
        </w:rPr>
        <w:t>Scholarship</w:t>
      </w:r>
      <w:proofErr w:type="spellEnd"/>
      <w:r w:rsidRPr="00704DDE">
        <w:rPr>
          <w:rFonts w:ascii="Times New Roman" w:hAnsi="Times New Roman" w:cs="Times New Roman"/>
          <w:lang w:val="es-AR"/>
        </w:rPr>
        <w:t xml:space="preserve"> Council y 179 becas otorgadas por el Instituto Confucio de la Universidad de Buenos Aires. Si bien cada programa posee objetivos específicos y modalidades diferentes, su </w:t>
      </w:r>
      <w:r w:rsidRPr="00704DDE">
        <w:rPr>
          <w:rFonts w:ascii="Times New Roman" w:hAnsi="Times New Roman" w:cs="Times New Roman"/>
          <w:lang w:val="es-AR"/>
        </w:rPr>
        <w:lastRenderedPageBreak/>
        <w:t xml:space="preserve">análisis conjunto permite identificar regularidades respecto del perfil de los beneficiarios y de las características de la movilidad académica entre ambos países. </w:t>
      </w:r>
    </w:p>
    <w:p w14:paraId="3059350F"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Más que una movilidad masiva, los datos muestran la existencia de un circuito relativamente especializado de internacionalización. La mayoría de las experiencias se concentra en estancias de corta duración, vinculadas principalmente al aprendizaje del idioma chino y, en menor medida, a estudios de posgrado. De las 442 becas registradas, 348 corresponden a programas de formación lingüística, lo que representa aproximadamente cuatro de cada cinco movilidades analizadas. Los programas de maestría constituyen el segundo destino más frecuente, mientras que las becas para estudios doctorales o investigaciones de largo plazo representan una proporción considerablemente menor. </w:t>
      </w:r>
    </w:p>
    <w:p w14:paraId="6955521E"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Esta distribución sugiere que la principal puerta de entrada a la cooperación académica con China continúa siendo el aprendizaje del idioma y el acercamiento cultural, antes que la formación científica de largo plazo. En este sentido, la movilidad hacia China presenta una lógica distinta a la observada en otros destinos tradicionales, donde predominan los intercambios semestrales o los estudios de posgrado. El idioma chino constituye simultáneamente un objeto de estudio, una competencia profesional y un mecanismo de inserción laboral que explica buena parte de las trayectorias observadas entre los beneficiarios.</w:t>
      </w:r>
    </w:p>
    <w:p w14:paraId="093C48A8"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Otra característica relevante es la fuerte concentración territorial de la movilidad. Los datos de las becas bilaterales muestran que aproximadamente siete de cada diez beneficiarios provienen de la Ciudad Autónoma de Buenos Aires, la provincia de Buenos Aires y Córdoba, precisamente las jurisdicciones donde funcionan históricamente los Institutos Confucio con mayor trayectoria. Esta concentración evidencia que el acceso a oportunidades internacionales no depende únicamente de la existencia de programas de becas, sino también de la proximidad a instituciones que ofrecen formación previa en idioma chino, asesoramiento académico y redes de cooperación internacional. En consecuencia, las oportunidades de internacionalización aparecen estrechamente asociadas con desigualdades territoriales existentes dentro del propio sistema universitario argentino.</w:t>
      </w:r>
    </w:p>
    <w:p w14:paraId="68BBFCE4"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El análisis por áreas disciplinares muestra un patrón igualmente definido. Las ciencias sociales y los estudios sobre lengua y cultura china concentran la amplia mayoría de las movilidades registradas, mientras que las ingenierías, las ciencias exactas y naturales y otras disciplinas presentan una participación significativamente menor. Más del ochenta por ciento de las becas bilaterales corresponde a estudiantes de ciencias sociales y humanidades. Esta distribución refleja tanto las características de la oferta de becas como la consolidación de una comunidad académica argentina especializada en estudios sobre China, donde el dominio del idioma constituye un requisito fundamental para el desarrollo de trayectorias académicas y profesionales.</w:t>
      </w:r>
    </w:p>
    <w:p w14:paraId="0EE1A8F2"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La duración de las estancias constituye otro rasgo distintivo. La evidencia muestra una clara preferencia por experiencias breves. La mayor parte de las becas corresponde a programas de hasta un año de duración, mientras que las movilidades de largo plazo </w:t>
      </w:r>
      <w:r w:rsidRPr="00704DDE">
        <w:rPr>
          <w:rFonts w:ascii="Times New Roman" w:hAnsi="Times New Roman" w:cs="Times New Roman"/>
          <w:lang w:val="es-AR"/>
        </w:rPr>
        <w:lastRenderedPageBreak/>
        <w:t xml:space="preserve">representan una proporción muy reducida del total. Esta tendencia resulta consistente en los tres programas analizados y sugiere que, incluso cuando existen oportunidades de financiamiento para estudios de posgrado completos, los estudiantes argentinos privilegian experiencias que pueden compatibilizarse con sus trayectorias personales y laborales. </w:t>
      </w:r>
    </w:p>
    <w:p w14:paraId="021B17E5"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Finalmente, los datos muestran una ligera predominancia femenina entre las personas beneficiarias. Del total de becas unilaterales y bilaterales para las que fue posible reconstruir el género, alrededor del 60 % fueron otorgadas a mujeres y el 40 % a varones. Si bien esta diferencia no constituye por sí misma un hallazgo explicativo, resulta consistente con otros estudios que muestran una creciente participación femenina en los procesos de movilidad académica internacional.</w:t>
      </w:r>
    </w:p>
    <w:p w14:paraId="647066B5"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En conjunto, estos resultados permiten delinear un perfil relativamente claro de quienes acceden actualmente a la movilidad académica hacia China. Se trata, mayoritariamente, de estudiantes y jóvenes graduados provenientes de grandes centros urbanos, con experiencias previas de aprendizaje del idioma chino, vinculados principalmente a las ciencias sociales y las humanidades, y que realizan estancias de corta duración orientadas a la formación lingüística o a estudios de maestría. Más que un proceso masivo de internacionalización, la movilidad argentina hacia China configura un espacio especializado, con fuertes mecanismos de selección académica, territorial y biográfica.</w:t>
      </w:r>
    </w:p>
    <w:p w14:paraId="472128A3"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Sin embargo, estos datos también muestran los límites del análisis basado exclusivamente en la movilidad realizada. Las bases de datos permiten identificar quiénes accedieron a las oportunidades de internacionalización, pero no explican quiénes quedaron fuera ni cuáles fueron las razones que condicionaron esas trayectorias. Para responder a esa pregunta resulta necesario incorporar las voces de quienes, aun manifestando interés por internacionalizarse, no pudieron o decidieron no participar de experiencias de movilidad. Es precisamente esa dimensión, habitualmente ausente en los estudios sobre internacionalización, la que se analiza en la siguiente sección.</w:t>
      </w:r>
    </w:p>
    <w:p w14:paraId="5E20E1DC" w14:textId="77777777" w:rsidR="00704DDE" w:rsidRPr="00704DDE" w:rsidRDefault="00704DDE" w:rsidP="00704DDE">
      <w:pPr>
        <w:spacing w:line="240" w:lineRule="auto"/>
        <w:jc w:val="both"/>
        <w:rPr>
          <w:rFonts w:ascii="Times New Roman" w:hAnsi="Times New Roman" w:cs="Times New Roman"/>
          <w:b/>
          <w:bCs/>
          <w:lang w:val="es-AR"/>
        </w:rPr>
      </w:pPr>
      <w:r w:rsidRPr="00704DDE">
        <w:rPr>
          <w:rFonts w:ascii="Times New Roman" w:hAnsi="Times New Roman" w:cs="Times New Roman"/>
          <w:b/>
          <w:bCs/>
          <w:lang w:val="es-AR"/>
        </w:rPr>
        <w:t>5. ¿Quiénes quedan fuera? Las barreras estructurales del acceso a la internacionalización</w:t>
      </w:r>
    </w:p>
    <w:p w14:paraId="2E859D4C"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El análisis de las bases de datos permitió caracterizar el perfil de quienes acceden a las oportunidades de movilidad hacia China. Sin embargo, esos registros presentan una limitación inherente: sólo hacen visibles a quienes lograron internacionalizarse. Permanecen invisibles las trayectorias de quienes manifestaban interés por desarrollar una experiencia internacional pero no pudieron concretarla o decidieron no hacerlo. Esta ausencia no constituye un problema menor. Si el objetivo es comprender cómo se distribuyen las oportunidades de internacionalización, resulta tan relevante analizar quiénes participan como quiénes permanecen excluidos.</w:t>
      </w:r>
    </w:p>
    <w:p w14:paraId="56F0476C"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Las entrevistas realizadas permiten justamente recuperar esas trayectorias invisibilizadas. Más que decisiones individuales aisladas, los relatos muestran la existencia de un conjunto de restricciones que condicionan las posibilidades de acceder a experiencias internacionales. Estas restricciones no responden exclusivamente a limitaciones económicas, sino que articulan dimensiones biográficas, laborales, familiares, </w:t>
      </w:r>
      <w:r w:rsidRPr="00704DDE">
        <w:rPr>
          <w:rFonts w:ascii="Times New Roman" w:hAnsi="Times New Roman" w:cs="Times New Roman"/>
          <w:lang w:val="es-AR"/>
        </w:rPr>
        <w:lastRenderedPageBreak/>
        <w:t>territoriales e institucionales que rara vez son consideradas en los estudios sobre movilidad académica.</w:t>
      </w:r>
    </w:p>
    <w:p w14:paraId="5AF0D9C4"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En conjunto, las entrevistas muestran que la decisión de no movilizarse no debe interpretarse como ausencia de interés por la internacionalización. Por el contrario, prácticamente todas las personas entrevistadas manifestaron valorar positivamente las experiencias internacionales y reconocer sus beneficios académicos, profesionales y personales. Lo que diferencia sus trayectorias no es la motivación, sino las condiciones concretas para transformar ese interés en una movilidad efectiva.</w:t>
      </w:r>
    </w:p>
    <w:p w14:paraId="64DF24BE" w14:textId="77777777" w:rsidR="00704DDE" w:rsidRPr="00704DDE" w:rsidRDefault="00704DDE" w:rsidP="00704DDE">
      <w:pPr>
        <w:spacing w:line="240" w:lineRule="auto"/>
        <w:jc w:val="both"/>
        <w:rPr>
          <w:rFonts w:ascii="Times New Roman" w:hAnsi="Times New Roman" w:cs="Times New Roman"/>
          <w:b/>
          <w:bCs/>
          <w:lang w:val="es-AR"/>
        </w:rPr>
      </w:pPr>
      <w:r w:rsidRPr="00704DDE">
        <w:rPr>
          <w:rFonts w:ascii="Times New Roman" w:hAnsi="Times New Roman" w:cs="Times New Roman"/>
          <w:b/>
          <w:bCs/>
          <w:lang w:val="es-AR"/>
        </w:rPr>
        <w:t>5.1. La edad y los momentos de la trayectoria vital</w:t>
      </w:r>
    </w:p>
    <w:p w14:paraId="5F91867B"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Uno de los primeros factores que emerge de manera reiterada es la edad. Aunque formalmente muchas convocatorias no establecen límites estrictos, la movilidad internacional continúa pensándose para estudiantes jóvenes que pueden interrumpir temporalmente sus estudios o residir durante largos períodos en otro país.</w:t>
      </w:r>
    </w:p>
    <w:p w14:paraId="6CE10761"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Sin embargo, esta representación no refleja las trayectorias de una parte importante del estudiantado argentino. A diferencia de otros sistemas universitarios, donde la formación de posgrado suele desarrollarse inmediatamente después de la graduación, en Argentina es frecuente que las trayectorias académicas se articulen con inserciones laborales prolongadas, responsabilidades familiares o carreras profesionales ya consolidadas.</w:t>
      </w:r>
    </w:p>
    <w:p w14:paraId="0FE50742"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Las entrevistas muestran que varios participantes comenzaron a estudiar idioma chino o a especializarse en temas vinculados con China una vez iniciada su vida profesional. En estos casos, la posibilidad de abandonar durante uno o varios años el empleo o el lugar de residencia aparece como una alternativa poco viable, aun cuando existan becas disponibles.</w:t>
      </w:r>
    </w:p>
    <w:p w14:paraId="60541B8F"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Esta situación aparece con claridad en el relato de un docente universitario que, pese a mantener un fuerte interés por desarrollar una estancia académica en China, considera que las condiciones de su trayectoria actual dificultan esa posibilidad:</w:t>
      </w:r>
    </w:p>
    <w:p w14:paraId="15B219B7"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i/>
          <w:iCs/>
          <w:lang w:val="es-AR"/>
        </w:rPr>
        <w:t>"Estoy en la UBA hace veinte años, soy concursado. Tendría la posibilidad de pedir un año sabático para hacer algo allá, que me encantaría, pero con 42 años lo veo difícil en términos de las posibilidades de becas (...). También me da cierta cosa irme un año y dejar cosas acá"</w:t>
      </w:r>
      <w:r w:rsidRPr="00704DDE">
        <w:rPr>
          <w:rFonts w:ascii="Times New Roman" w:hAnsi="Times New Roman" w:cs="Times New Roman"/>
          <w:lang w:val="es-AR"/>
        </w:rPr>
        <w:t xml:space="preserve"> (E5, sin experiencia de movilidad).</w:t>
      </w:r>
    </w:p>
    <w:p w14:paraId="6C913002"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La disponibilidad de financiamiento aparece como una condición necesaria, pero insuficiente. La decisión de movilizarse supone reorganizar trayectorias laborales, afectivas e institucionales ya consolidadas.</w:t>
      </w:r>
    </w:p>
    <w:p w14:paraId="18EBB537"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Más que una restricción cronológica, la edad expresa distintos momentos del ciclo de vida que modifican profundamente las posibilidades de movilidad.</w:t>
      </w:r>
    </w:p>
    <w:p w14:paraId="2593B575"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Como expresa una de las personas entrevistadas, incluso antes de alcanzar los límites formales establecidos por algunas convocatorias, la movilidad comienza a percibirse como una oportunidad asociada a una etapa específica de la trayectoria académica:</w:t>
      </w:r>
    </w:p>
    <w:p w14:paraId="2EA4FF01"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i/>
          <w:iCs/>
          <w:lang w:val="es-AR"/>
        </w:rPr>
        <w:lastRenderedPageBreak/>
        <w:t>"Yo ya tenía 28, entonces sentía que tenía menos oportunidades para poder vivir esa experiencia"</w:t>
      </w:r>
      <w:r w:rsidRPr="00704DDE">
        <w:rPr>
          <w:rFonts w:ascii="Times New Roman" w:hAnsi="Times New Roman" w:cs="Times New Roman"/>
          <w:lang w:val="es-AR"/>
        </w:rPr>
        <w:t xml:space="preserve"> (E2, experiencia de movilidad)</w:t>
      </w:r>
    </w:p>
    <w:p w14:paraId="0AD7975E"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Este testimonio muestra que la edad no opera únicamente como un criterio administrativo de elegibilidad, sino como una construcción social que delimita quiénes son considerados los destinatarios "naturales" de la movilidad internacional.</w:t>
      </w:r>
    </w:p>
    <w:p w14:paraId="0BD6A800" w14:textId="77777777" w:rsidR="00704DDE" w:rsidRPr="00704DDE" w:rsidRDefault="00704DDE" w:rsidP="00704DDE">
      <w:pPr>
        <w:spacing w:line="240" w:lineRule="auto"/>
        <w:jc w:val="both"/>
        <w:rPr>
          <w:rFonts w:ascii="Times New Roman" w:hAnsi="Times New Roman" w:cs="Times New Roman"/>
          <w:b/>
          <w:bCs/>
          <w:lang w:val="es-AR"/>
        </w:rPr>
      </w:pPr>
      <w:r w:rsidRPr="00704DDE">
        <w:rPr>
          <w:rFonts w:ascii="Times New Roman" w:hAnsi="Times New Roman" w:cs="Times New Roman"/>
          <w:b/>
          <w:bCs/>
          <w:lang w:val="es-AR"/>
        </w:rPr>
        <w:t>5.2. El trabajo como condición y como restricción</w:t>
      </w:r>
    </w:p>
    <w:p w14:paraId="44F7B9FA"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Una segunda dimensión corresponde al empleo. A diferencia de buena parte de la literatura internacional, que suele asociar la movilidad con trayectorias estudiantiles relativamente lineales, los relatos muestran que una proporción importante de quienes desarrollan vínculos académicos con China mantienen simultáneamente inserciones laborales estables.</w:t>
      </w:r>
    </w:p>
    <w:p w14:paraId="6EA68B93"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En estos casos, la movilidad implica costos de oportunidad difíciles de asumir. Abandonar un empleo consolidado, interrumpir una carrera profesional o renunciar a un cargo permanente constituye una decisión mucho más compleja que la disponibilidad de una beca. Como recuerda una entrevistada:</w:t>
      </w:r>
    </w:p>
    <w:p w14:paraId="06458BDA"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i/>
          <w:iCs/>
          <w:lang w:val="es-AR"/>
        </w:rPr>
        <w:t>"Yo trabajaba en el Ministerio de Educación y había ganado una planta permanente que tuve que renunciar para aceptar la beca."</w:t>
      </w:r>
      <w:r w:rsidRPr="00704DDE">
        <w:rPr>
          <w:rFonts w:ascii="Times New Roman" w:hAnsi="Times New Roman" w:cs="Times New Roman"/>
          <w:lang w:val="es-AR"/>
        </w:rPr>
        <w:t xml:space="preserve"> (E1, doctorado)</w:t>
      </w:r>
    </w:p>
    <w:p w14:paraId="3512F101"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La beca resolvió el financiamiento de los estudios, pero no eliminó el costo de abandonar un empleo estable. El acceso a la movilidad implicó también asumir un riesgo profesional.</w:t>
      </w:r>
    </w:p>
    <w:p w14:paraId="32B47FCB"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Paradójicamente, el propio interés por China había permitido a varios entrevistados construir trayectorias laborales vinculadas con el idioma, el comercio exterior, la investigación o la cooperación internacional. Es precisamente esa inserción profesional la que posteriormente dificulta realizar una movilidad prolongada.</w:t>
      </w:r>
    </w:p>
    <w:p w14:paraId="51974CB6"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Esta tensión muestra que el acceso a la internacionalización no depende únicamente del financiamiento disponible. También está condicionado por la posibilidad de compatibilizar las oportunidades internacionales con trayectorias laborales ya consolidadas.</w:t>
      </w:r>
    </w:p>
    <w:p w14:paraId="3466C446" w14:textId="77777777" w:rsidR="00704DDE" w:rsidRPr="00704DDE" w:rsidRDefault="00704DDE" w:rsidP="00704DDE">
      <w:pPr>
        <w:spacing w:line="240" w:lineRule="auto"/>
        <w:jc w:val="both"/>
        <w:rPr>
          <w:rFonts w:ascii="Times New Roman" w:hAnsi="Times New Roman" w:cs="Times New Roman"/>
          <w:b/>
          <w:bCs/>
          <w:lang w:val="es-AR"/>
        </w:rPr>
      </w:pPr>
      <w:r w:rsidRPr="00704DDE">
        <w:rPr>
          <w:rFonts w:ascii="Times New Roman" w:hAnsi="Times New Roman" w:cs="Times New Roman"/>
          <w:b/>
          <w:bCs/>
          <w:lang w:val="es-AR"/>
        </w:rPr>
        <w:t>5.3. Las responsabilidades familiares y de cuidado</w:t>
      </w:r>
    </w:p>
    <w:p w14:paraId="65848952"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Las responsabilidades familiares constituyen otro de los factores que aparece de manera consistente en las entrevistas. El cuidado de hijos, de familiares mayores o de personas con problemas de salud configura una dimensión prácticamente ausente en la literatura sobre movilidad internacional, aunque resulta central para comprender las decisiones de quienes permanecen en sus países de origen.</w:t>
      </w:r>
    </w:p>
    <w:p w14:paraId="2894EB1A"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En varios relatos, la imposibilidad de ausentarse durante períodos prolongados no respondía a falta de interés académico sino a responsabilidades de cuidado que difícilmente pueden suspenderse. En estos casos, la movilidad deja de ser únicamente una decisión individual para convertirse en una negociación familiar que involucra proyectos de vida, vínculos afectivos y obligaciones cotidianas.</w:t>
      </w:r>
    </w:p>
    <w:p w14:paraId="740C15E4"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lastRenderedPageBreak/>
        <w:t>Una entrevistada sintetiza esta situación de manera particularmente clara:</w:t>
      </w:r>
    </w:p>
    <w:p w14:paraId="0EB0B6AE"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i/>
          <w:iCs/>
          <w:lang w:val="es-AR"/>
        </w:rPr>
        <w:t>"Tengo cuestiones de cuidado personal y situaciones de salud de algunos familiares. Hoy no podría tomar esa decisión."</w:t>
      </w:r>
      <w:r w:rsidRPr="00704DDE">
        <w:rPr>
          <w:rFonts w:ascii="Times New Roman" w:hAnsi="Times New Roman" w:cs="Times New Roman"/>
          <w:lang w:val="es-AR"/>
        </w:rPr>
        <w:t xml:space="preserve"> (E6, sin experiencia de movilidad).</w:t>
      </w:r>
    </w:p>
    <w:p w14:paraId="2C5CE596"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La movilidad aparece aquí limitada no por falta de motivación o de financiamiento, sino por responsabilidades de cuidado que las políticas internacionales raramente consideran en el diseño de sus programas.</w:t>
      </w:r>
    </w:p>
    <w:p w14:paraId="02E08410"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Este hallazgo invita a ampliar la mirada sobre las barreras de acceso a la internacionalización, incorporando dimensiones que habitualmente permanecen invisibilizadas bajo enfoques centrados exclusivamente en variables económicas o institucionales.</w:t>
      </w:r>
    </w:p>
    <w:p w14:paraId="7A3701BF" w14:textId="77777777" w:rsidR="00704DDE" w:rsidRPr="00704DDE" w:rsidRDefault="00704DDE" w:rsidP="00704DDE">
      <w:pPr>
        <w:spacing w:line="240" w:lineRule="auto"/>
        <w:jc w:val="both"/>
        <w:rPr>
          <w:rFonts w:ascii="Times New Roman" w:hAnsi="Times New Roman" w:cs="Times New Roman"/>
          <w:b/>
          <w:bCs/>
          <w:lang w:val="es-AR"/>
        </w:rPr>
      </w:pPr>
      <w:r w:rsidRPr="00704DDE">
        <w:rPr>
          <w:rFonts w:ascii="Times New Roman" w:hAnsi="Times New Roman" w:cs="Times New Roman"/>
          <w:b/>
          <w:bCs/>
          <w:lang w:val="es-AR"/>
        </w:rPr>
        <w:t>5.4. La desigualdad territorial</w:t>
      </w:r>
    </w:p>
    <w:p w14:paraId="2B4AF57A"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Las entrevistas también permiten comprender mejor una tendencia observada en las bases de datos: la fuerte concentración geográfica de la movilidad.</w:t>
      </w:r>
    </w:p>
    <w:p w14:paraId="75B801E3"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Las oportunidades de internacionalización hacia China aparecen estrechamente asociadas con la existencia de instituciones que ofrecen formación en idioma chino, redes académicas consolidadas y acceso a información sobre becas. En consecuencia, quienes residen fuera de los principales centros urbanos encuentran mayores dificultades para incorporarse a estos circuitos.</w:t>
      </w:r>
    </w:p>
    <w:p w14:paraId="2F2D66FD"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La concentración de los Institutos Confucio en determinadas ciudades genera efectos acumulativos. Allí no sólo se enseña el idioma, sino que también se construyen redes académicas, contactos institucionales y experiencias previas que facilitan posteriormente la postulación a programas de movilidad.</w:t>
      </w:r>
    </w:p>
    <w:p w14:paraId="7BD4C5C2"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La desigualdad territorial, por lo tanto, comienza mucho antes de la movilidad misma: condiciona las oportunidades de preparación necesarias para acceder a ella.</w:t>
      </w:r>
    </w:p>
    <w:p w14:paraId="2CB3991E" w14:textId="77777777" w:rsidR="00704DDE" w:rsidRPr="00704DDE" w:rsidRDefault="00704DDE" w:rsidP="00704DDE">
      <w:pPr>
        <w:spacing w:line="240" w:lineRule="auto"/>
        <w:jc w:val="both"/>
        <w:rPr>
          <w:rFonts w:ascii="Times New Roman" w:hAnsi="Times New Roman" w:cs="Times New Roman"/>
          <w:b/>
          <w:bCs/>
          <w:lang w:val="es-AR"/>
        </w:rPr>
      </w:pPr>
      <w:r w:rsidRPr="00704DDE">
        <w:rPr>
          <w:rFonts w:ascii="Times New Roman" w:hAnsi="Times New Roman" w:cs="Times New Roman"/>
          <w:b/>
          <w:bCs/>
          <w:lang w:val="es-AR"/>
        </w:rPr>
        <w:t>5.5. La movilidad como una opción entre múltiples proyectos de vida</w:t>
      </w:r>
    </w:p>
    <w:p w14:paraId="0105CE46"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Quizás uno de los resultados más interesantes de las entrevistas consiste en cuestionar un supuesto ampliamente instalado en la literatura sobre internacionalización: la idea de que toda persona que dispone de una beca necesariamente desea movilizarse.</w:t>
      </w:r>
    </w:p>
    <w:p w14:paraId="56C6F3A6"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Los relatos muestran una situación bastante más compleja. Algunas personas valoran enormemente las experiencias internacionales, pero prefieren mantener su vida profesional, sus vínculos familiares o su proyecto de vida en Argentina. Otras aspiran a realizar estancias breves, aunque no contemplan radicarse durante varios años en otro país. Incluso quienes realizaron experiencias exitosas de movilidad describen esas trayectorias como etapas específicas de su vida más que como proyectos permanentes de migración académica.</w:t>
      </w:r>
    </w:p>
    <w:p w14:paraId="297E0531"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Como señala una participante que ya realizó una experiencia internacional:</w:t>
      </w:r>
    </w:p>
    <w:p w14:paraId="6299FE98"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i/>
          <w:iCs/>
          <w:lang w:val="es-AR"/>
        </w:rPr>
        <w:t>"Hoy no volvería a China... no me voy a llevar a toda mi familia para allá."</w:t>
      </w:r>
      <w:r w:rsidRPr="00704DDE">
        <w:rPr>
          <w:rFonts w:ascii="Times New Roman" w:hAnsi="Times New Roman" w:cs="Times New Roman"/>
          <w:lang w:val="es-AR"/>
        </w:rPr>
        <w:t xml:space="preserve"> (E4, movilidad previa)</w:t>
      </w:r>
    </w:p>
    <w:p w14:paraId="48C8E63C"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lastRenderedPageBreak/>
        <w:t>Incluso entre quienes ya accedieron a experiencias internacionales, la movilidad deja de evaluarse exclusivamente en términos académicos y comienza a ponderarse en relación con proyectos familiares, estabilidad laboral y calidad de vida.</w:t>
      </w:r>
    </w:p>
    <w:p w14:paraId="5E355D8B"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En este sentido, la inmovilidad no siempre representa una imposibilidad. En muchos casos constituye una decisión racional basada en prioridades biográficas diferentes.</w:t>
      </w:r>
    </w:p>
    <w:p w14:paraId="40527DDB"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Esta observación resulta especialmente relevante porque desplaza la discusión desde la dicotomía movilidad/inmovilidad hacia un problema más amplio: cómo garantizar oportunidades de internacionalización para trayectorias estudiantiles diversas.</w:t>
      </w:r>
    </w:p>
    <w:p w14:paraId="37B304AA" w14:textId="77777777" w:rsidR="00704DDE" w:rsidRPr="00704DDE" w:rsidRDefault="00704DDE" w:rsidP="00704DDE">
      <w:pPr>
        <w:spacing w:line="240" w:lineRule="auto"/>
        <w:jc w:val="both"/>
        <w:rPr>
          <w:rFonts w:ascii="Times New Roman" w:hAnsi="Times New Roman" w:cs="Times New Roman"/>
          <w:b/>
          <w:bCs/>
          <w:lang w:val="es-AR"/>
        </w:rPr>
      </w:pPr>
      <w:r w:rsidRPr="00704DDE">
        <w:rPr>
          <w:rFonts w:ascii="Times New Roman" w:hAnsi="Times New Roman" w:cs="Times New Roman"/>
          <w:b/>
          <w:bCs/>
          <w:lang w:val="es-AR"/>
        </w:rPr>
        <w:t>5.6. Una exclusión que permanece invisible</w:t>
      </w:r>
    </w:p>
    <w:p w14:paraId="69C6B9E2"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Consideradas en conjunto, las entrevistas permiten identificar un aspecto que rara vez aparece en los estudios sobre internacionalización: existe un conjunto significativo de estudiantes y graduados que desean desarrollar experiencias </w:t>
      </w:r>
      <w:proofErr w:type="gramStart"/>
      <w:r w:rsidRPr="00704DDE">
        <w:rPr>
          <w:rFonts w:ascii="Times New Roman" w:hAnsi="Times New Roman" w:cs="Times New Roman"/>
          <w:lang w:val="es-AR"/>
        </w:rPr>
        <w:t>internacionales</w:t>
      </w:r>
      <w:proofErr w:type="gramEnd"/>
      <w:r w:rsidRPr="00704DDE">
        <w:rPr>
          <w:rFonts w:ascii="Times New Roman" w:hAnsi="Times New Roman" w:cs="Times New Roman"/>
          <w:lang w:val="es-AR"/>
        </w:rPr>
        <w:t xml:space="preserve"> pero encuentran barreras que exceden ampliamente la disponibilidad de becas. Edad, trabajo, responsabilidades familiares, lugar de residencia y proyectos de vida interactúan configurando desigualdades de acceso que permanecen invisibles cuando la internacionalización se mide exclusivamente a partir de la movilidad efectivamente realizada.</w:t>
      </w:r>
    </w:p>
    <w:p w14:paraId="07D601ED"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Desde esta perspectiva, la principal contribución de las entrevistas no consiste únicamente en explicar por qué algunas personas no viajan a China. Su aporte más relevante es mostrar que las oportunidades de internacionalización continúan organizándose alrededor de un modelo de estudiante altamente específico: joven, disponible para desplazarse, sin responsabilidades familiares significativas, con posibilidades de interrumpir temporalmente su trayectoria laboral y residente en grandes centros urbanos. Todo aquello que se aparta de ese perfil queda progresivamente excluido de las oportunidades de movilidad internacional.</w:t>
      </w:r>
    </w:p>
    <w:p w14:paraId="38148703"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Es precisamente frente a esta constatación donde la internacionalización a distancia adquiere relevancia analítica y política. Más que sustituir la experiencia presencial, abre la posibilidad de ampliar el acceso a experiencias internacionales para perfiles estudiantiles históricamente ausentes de las políticas tradicionales de movilidad.</w:t>
      </w:r>
    </w:p>
    <w:p w14:paraId="068C547C" w14:textId="77777777" w:rsidR="00704DDE" w:rsidRPr="00704DDE" w:rsidRDefault="00704DDE" w:rsidP="00704DDE">
      <w:pPr>
        <w:spacing w:line="240" w:lineRule="auto"/>
        <w:jc w:val="both"/>
        <w:rPr>
          <w:rFonts w:ascii="Times New Roman" w:hAnsi="Times New Roman" w:cs="Times New Roman"/>
          <w:b/>
          <w:bCs/>
          <w:lang w:val="es-AR"/>
        </w:rPr>
      </w:pPr>
      <w:r w:rsidRPr="00704DDE">
        <w:rPr>
          <w:rFonts w:ascii="Times New Roman" w:hAnsi="Times New Roman" w:cs="Times New Roman"/>
          <w:b/>
          <w:bCs/>
          <w:lang w:val="es-AR"/>
        </w:rPr>
        <w:t>6. Internacionalización a distancia y democratización del acceso a la internacionalización</w:t>
      </w:r>
    </w:p>
    <w:p w14:paraId="5091DD15"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Los resultados presentados permiten cuestionar uno de los supuestos más extendidos en las políticas contemporáneas de internacionalización: que ampliar la oferta de movilidad implica, automáticamente, ampliar el acceso a la internacionalización. El análisis del caso argentino hacia China muestra una realidad más compleja. Si bien durante las últimas dos décadas crecieron las oportunidades de financiamiento mediante programas de becas unilaterales y bilaterales, el acceso efectivo a esas oportunidades continúa concentrándose en perfiles estudiantiles relativamente específicos. La disponibilidad de recursos económicos constituye una condición necesaria, pero claramente insuficiente para garantizar una internacionalización más inclusiva.</w:t>
      </w:r>
    </w:p>
    <w:p w14:paraId="06DB45C6"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lastRenderedPageBreak/>
        <w:t>Las entrevistas muestran que las restricciones para acceder a experiencias internacionales exceden ampliamente las dimensiones habitualmente consideradas por las políticas de movilidad. Edad, inserción laboral, responsabilidades de cuidado, arraigo territorial y proyectos personales configuran un conjunto de condicionantes que limitan la posibilidad de realizar estancias prolongadas en el exterior aun cuando existan becas disponibles. En otras palabras, las desigualdades de acceso a la internacionalización no responden exclusivamente a problemas de financiamiento, sino también a las distintas condiciones desde las cuales las personas organizan sus trayectorias educativas, laborales y familiares.</w:t>
      </w:r>
    </w:p>
    <w:p w14:paraId="251079EC"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Este hallazgo invita a revisar críticamente el lugar que ocupa la movilidad física como principal indicador de internacionalización. Tradicionalmente, las políticas universitarias han asumido que la movilidad constituye la forma más acabada de experiencia internacional. Sin embargo, cuando la internacionalización se mide casi exclusivamente a partir del número de estudiantes que logran desplazarse hacia otro país, quedan invisibilizadas las trayectorias de quienes, por múltiples razones, no pueden participar de esas experiencias. La movilidad deja entonces de ser únicamente un instrumento de internacionalización para convertirse también en un mecanismo de selección que reproduce desigualdades sociales, territoriales y biográficas.</w:t>
      </w:r>
    </w:p>
    <w:p w14:paraId="04222708"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Desde esta perspectiva, los resultados del estudio dialogan con las críticas formuladas por distintos autores latinoamericanos respecto del carácter selectivo de las políticas tradicionales de internacionalización. Como sostienen </w:t>
      </w:r>
      <w:proofErr w:type="spellStart"/>
      <w:r w:rsidRPr="00704DDE">
        <w:rPr>
          <w:rFonts w:ascii="Times New Roman" w:hAnsi="Times New Roman" w:cs="Times New Roman"/>
          <w:lang w:val="es-AR"/>
        </w:rPr>
        <w:t>Beneitone</w:t>
      </w:r>
      <w:proofErr w:type="spellEnd"/>
      <w:r w:rsidRPr="00704DDE">
        <w:rPr>
          <w:rFonts w:ascii="Times New Roman" w:hAnsi="Times New Roman" w:cs="Times New Roman"/>
          <w:lang w:val="es-AR"/>
        </w:rPr>
        <w:t xml:space="preserve"> (2022) y Gacel-Ávila (2022), ampliar la internacionalización de las universidades latinoamericanas supone necesariamente ampliar quiénes pueden participar de ella. El problema ya no consiste solamente en incrementar el número de movilidades, sino en diversificar las modalidades mediante las cuales los estudiantes acceden a experiencias internacionales significativas.</w:t>
      </w:r>
    </w:p>
    <w:p w14:paraId="2D401EA5"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Es precisamente en este punto donde la propuesta de internacionalización a distancia (</w:t>
      </w:r>
      <w:proofErr w:type="spellStart"/>
      <w:r w:rsidRPr="00704DDE">
        <w:rPr>
          <w:rFonts w:ascii="Times New Roman" w:hAnsi="Times New Roman" w:cs="Times New Roman"/>
          <w:i/>
          <w:iCs/>
          <w:lang w:val="es-AR"/>
        </w:rPr>
        <w:t>Internationalization</w:t>
      </w:r>
      <w:proofErr w:type="spellEnd"/>
      <w:r w:rsidRPr="00704DDE">
        <w:rPr>
          <w:rFonts w:ascii="Times New Roman" w:hAnsi="Times New Roman" w:cs="Times New Roman"/>
          <w:i/>
          <w:iCs/>
          <w:lang w:val="es-AR"/>
        </w:rPr>
        <w:t xml:space="preserve"> at a Distance</w:t>
      </w:r>
      <w:r w:rsidRPr="00704DDE">
        <w:rPr>
          <w:rFonts w:ascii="Times New Roman" w:hAnsi="Times New Roman" w:cs="Times New Roman"/>
          <w:lang w:val="es-AR"/>
        </w:rPr>
        <w:t xml:space="preserve">) o </w:t>
      </w:r>
      <w:proofErr w:type="spellStart"/>
      <w:r w:rsidRPr="00704DDE">
        <w:rPr>
          <w:rFonts w:ascii="Times New Roman" w:hAnsi="Times New Roman" w:cs="Times New Roman"/>
          <w:lang w:val="es-AR"/>
        </w:rPr>
        <w:t>IaD</w:t>
      </w:r>
      <w:proofErr w:type="spellEnd"/>
      <w:r w:rsidRPr="00704DDE">
        <w:rPr>
          <w:rFonts w:ascii="Times New Roman" w:hAnsi="Times New Roman" w:cs="Times New Roman"/>
          <w:lang w:val="es-AR"/>
        </w:rPr>
        <w:t xml:space="preserve"> formulada por </w:t>
      </w:r>
      <w:proofErr w:type="spellStart"/>
      <w:r w:rsidRPr="00704DDE">
        <w:rPr>
          <w:rFonts w:ascii="Times New Roman" w:hAnsi="Times New Roman" w:cs="Times New Roman"/>
          <w:lang w:val="es-AR"/>
        </w:rPr>
        <w:t>Mittelmeier</w:t>
      </w:r>
      <w:proofErr w:type="spellEnd"/>
      <w:r w:rsidRPr="00704DDE">
        <w:rPr>
          <w:rFonts w:ascii="Times New Roman" w:hAnsi="Times New Roman" w:cs="Times New Roman"/>
          <w:lang w:val="es-AR"/>
        </w:rPr>
        <w:t xml:space="preserve"> y colaboradores adquiere especial relevancia. Más que plantear una alternativa tecnológica a la movilidad, la internacionalización a distancia permite repensar el propio concepto de acceso a la internacionalización. Su principal aporte no radica únicamente en el uso de plataformas digitales, sino en la posibilidad de incorporar a estudiantes cuyas trayectorias difícilmente podrían desarrollarse mediante esquemas tradicionales de movilidad presencial.</w:t>
      </w:r>
    </w:p>
    <w:p w14:paraId="0FE47763"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Los resultados de este trabajo sugieren, sin embargo, que el potencial democratizador de la internacionalización a distancia depende menos de la tecnología que de las decisiones institucionales que orientan su implementación. Una propuesta diseñada simplemente para reducir costos o reemplazar la movilidad presencial difícilmente contribuirá a disminuir las desigualdades observadas. Por el contrario, la internacionalización a distancia puede transformarse en una herramienta de inclusión cuando forma parte de una estrategia más amplia destinada a diversificar las oportunidades de internacionalización y reconocer la heterogeneidad de las trayectorias estudiantiles.</w:t>
      </w:r>
    </w:p>
    <w:p w14:paraId="4AC4C377"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En este sentido, la evidencia presentada permite sostener que la discusión ya no debería plantearse en términos de una oposición entre movilidad presencial e internacionalización a distancia. Ambas modalidades responden a necesidades, objetivos y perfiles diferentes. </w:t>
      </w:r>
      <w:r w:rsidRPr="00704DDE">
        <w:rPr>
          <w:rFonts w:ascii="Times New Roman" w:hAnsi="Times New Roman" w:cs="Times New Roman"/>
          <w:lang w:val="es-AR"/>
        </w:rPr>
        <w:lastRenderedPageBreak/>
        <w:t>La movilidad internacional continúa ofreciendo experiencias de inmersión cultural, lingüística y académica difícilmente sustituibles por entornos virtuales. Al mismo tiempo, la internacionalización a distancia posibilita ampliar la participación de estudiantes para quienes la movilidad física resulta inviable, generando nuevas formas de interacción internacional que complementan, antes que reemplazar, las experiencias presenciales. Una entrevistada sintetiza esta diferencia al recordar su experiencia en China:</w:t>
      </w:r>
    </w:p>
    <w:p w14:paraId="798B9667"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i/>
          <w:iCs/>
          <w:lang w:val="es-AR"/>
        </w:rPr>
        <w:t>"Lo que estudiabas a la mañana lo podías aplicar a la tarde... en cuatro meses aprendí mucho más que en los tres años anteriores."</w:t>
      </w:r>
      <w:r w:rsidRPr="00704DDE">
        <w:rPr>
          <w:rFonts w:ascii="Times New Roman" w:hAnsi="Times New Roman" w:cs="Times New Roman"/>
          <w:lang w:val="es-AR"/>
        </w:rPr>
        <w:t xml:space="preserve"> (E3, experiencia de movilidad)</w:t>
      </w:r>
    </w:p>
    <w:p w14:paraId="7B15D604"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Este tipo de experiencias confirma que el valor de la movilidad presencial excede la transmisión de contenidos e incluye procesos de inmersión cultural, lingüística y cotidiana difícilmente reproducibles mediante dispositivos virtuales. Precisamente por ello, el argumento de este trabajo no consiste en sustituir la movilidad, sino en ampliar el acceso a experiencias internacionales mediante modalidades complementarias.</w:t>
      </w:r>
    </w:p>
    <w:p w14:paraId="0FC0472D"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Este argumento resulta particularmente relevante para los sistemas de educación superior del Sur Global. En contextos caracterizados por restricciones presupuestarias persistentes, fuertes desigualdades territoriales y procesos de masificación universitaria, la expansión de la movilidad presencial difícilmente alcance por sí sola a una proporción significativa del estudiantado. Pensar la internacionalización desde estas realidades implica desplazar el foco desde la movilidad como indicador hacia el acceso como problema de política pública.</w:t>
      </w:r>
    </w:p>
    <w:p w14:paraId="5E77363A"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Desde esta perspectiva, la internacionalización puede ser entendida como una oportunidad formativa que las instituciones de educación superior deberían procurar distribuir de manera cada vez más amplia y equitativa. Esta concepción supone reconocer que el acceso a experiencias internacionales constituye un componente relevante de la formación universitaria contemporánea y que, en consecuencia, las políticas institucionales deben orientarse a diversificar las modalidades mediante las cuales esa experiencia puede desarrollarse.</w:t>
      </w:r>
    </w:p>
    <w:p w14:paraId="1E6847B5"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El caso analizado muestra que una parte importante de quienes estudian idioma chino, investigan sobre China o mantienen vínculos profesionales con ese país nunca accederá a una experiencia prolongada de movilidad internacional. Sin embargo, ello no implica ausencia de interés ni menor compromiso con los procesos de internacionalización. Por el contrario, las entrevistas muestran trayectorias altamente internacionalizadas desarrolladas desde Argentina mediante redes académicas, proyectos de investigación, aprendizaje de idiomas, actividades profesionales y cooperación científica. Estas experiencias invitan a ampliar la propia definición de internacionalización y a reconocer que la participación internacional no comienza ni termina con la movilidad física.</w:t>
      </w:r>
    </w:p>
    <w:p w14:paraId="2193AF2A"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En consecuencia, más que preguntarse si la internacionalización a distancia puede sustituir la movilidad, quizás la cuestión relevante sea otra: cómo construir políticas de internacionalización capaces de reconocer la diversidad de trayectorias estudiantiles y garantizar oportunidades internacionales para una población universitaria mucho más amplia que aquella que hoy logra movilizarse. El caso argentino hacia China muestra que </w:t>
      </w:r>
      <w:r w:rsidRPr="00704DDE">
        <w:rPr>
          <w:rFonts w:ascii="Times New Roman" w:hAnsi="Times New Roman" w:cs="Times New Roman"/>
          <w:lang w:val="es-AR"/>
        </w:rPr>
        <w:lastRenderedPageBreak/>
        <w:t>esta discusión ya no constituye únicamente un desafío tecnológico o pedagógico, sino fundamentalmente un problema de equidad en el acceso a la internacionalización.</w:t>
      </w:r>
    </w:p>
    <w:p w14:paraId="39B3B1E1" w14:textId="77777777" w:rsidR="00704DDE" w:rsidRPr="00704DDE" w:rsidRDefault="00704DDE" w:rsidP="00704DDE">
      <w:pPr>
        <w:spacing w:line="240" w:lineRule="auto"/>
        <w:jc w:val="both"/>
        <w:rPr>
          <w:rFonts w:ascii="Times New Roman" w:hAnsi="Times New Roman" w:cs="Times New Roman"/>
          <w:b/>
          <w:bCs/>
          <w:lang w:val="es-AR"/>
        </w:rPr>
      </w:pPr>
      <w:r w:rsidRPr="00704DDE">
        <w:rPr>
          <w:rFonts w:ascii="Times New Roman" w:hAnsi="Times New Roman" w:cs="Times New Roman"/>
          <w:b/>
          <w:bCs/>
          <w:lang w:val="es-AR"/>
        </w:rPr>
        <w:t>7. Reflexiones finales</w:t>
      </w:r>
    </w:p>
    <w:p w14:paraId="3DBBD37D"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La movilidad internacional continúa ocupando un lugar central en las políticas y estrategias de internacionalización de la educación superior. Sin embargo, el caso analizado muestra que utilizar la movilidad como principal indicador del grado de internacionalización de una institución o de un sistema universitario puede conducir a una comprensión parcial del fenómeno. Las oportunidades internacionales no se distribuyen de manera homogénea entre los estudiantes y, por lo tanto, la movilidad refleja </w:t>
      </w:r>
      <w:proofErr w:type="gramStart"/>
      <w:r w:rsidRPr="00704DDE">
        <w:rPr>
          <w:rFonts w:ascii="Times New Roman" w:hAnsi="Times New Roman" w:cs="Times New Roman"/>
          <w:lang w:val="es-AR"/>
        </w:rPr>
        <w:t>tanto procesos</w:t>
      </w:r>
      <w:proofErr w:type="gramEnd"/>
      <w:r w:rsidRPr="00704DDE">
        <w:rPr>
          <w:rFonts w:ascii="Times New Roman" w:hAnsi="Times New Roman" w:cs="Times New Roman"/>
          <w:lang w:val="es-AR"/>
        </w:rPr>
        <w:t xml:space="preserve"> de internacionalización como desigualdades persistentes en el acceso a ellos.</w:t>
      </w:r>
    </w:p>
    <w:p w14:paraId="69AD3893"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A partir del estudio de la movilidad académica entre Argentina y China, este trabajo mostró que el acceso a experiencias internacionales se concentra en perfiles relativamente específicos, caracterizados por trayectorias académicas vinculadas al aprendizaje del idioma chino, residencia en los principales centros urbanos y posibilidades de reorganizar temporalmente sus proyectos personales, laborales y familiares. Al mismo tiempo, las entrevistas permitieron recuperar una dimensión habitualmente ausente en los estudios sobre internacionalización: las experiencias de quienes desean </w:t>
      </w:r>
      <w:proofErr w:type="gramStart"/>
      <w:r w:rsidRPr="00704DDE">
        <w:rPr>
          <w:rFonts w:ascii="Times New Roman" w:hAnsi="Times New Roman" w:cs="Times New Roman"/>
          <w:lang w:val="es-AR"/>
        </w:rPr>
        <w:t>internacionalizarse</w:t>
      </w:r>
      <w:proofErr w:type="gramEnd"/>
      <w:r w:rsidRPr="00704DDE">
        <w:rPr>
          <w:rFonts w:ascii="Times New Roman" w:hAnsi="Times New Roman" w:cs="Times New Roman"/>
          <w:lang w:val="es-AR"/>
        </w:rPr>
        <w:t xml:space="preserve"> pero encuentran obstáculos que exceden ampliamente la disponibilidad de financiamiento. Edad, empleo, responsabilidades de cuidado, arraigo territorial y proyectos de vida aparecen como factores que condicionan de manera decisiva la posibilidad de realizar una movilidad internacional.</w:t>
      </w:r>
    </w:p>
    <w:p w14:paraId="35605B43"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Estos resultados permiten desplazar el eje del debate. Tradicionalmente, las discusiones sobre internacionalización se han concentrado en el diseño de programas, el incremento del número de movilidades o la expansión de convenios internacionales. Sin desconocer la importancia de estas políticas, la evidencia presentada sugiere que una pregunta previa resulta hoy indispensable: ¿quiénes acceden efectivamente a las oportunidades de internacionalización? Formular esta pregunta implica reconocer que la movilidad internacional no constituye únicamente un instrumento de cooperación académica, sino también un espacio donde se expresan desigualdades sociales, territoriales, económicas y biográficas que condicionan el acceso diferencial a experiencias internacionales.</w:t>
      </w:r>
    </w:p>
    <w:p w14:paraId="4C99D67B"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En este contexto, la internacionalización a distancia adquiere relevancia no por su capacidad para sustituir la movilidad presencial, sino porque permite ampliar el repertorio de estrategias mediante las cuales las universidades pueden promover experiencias internacionales. Los resultados del estudio indican que esta modalidad puede representar una alternativa especialmente valiosa para aquellos estudiantes cuyas trayectorias dificultan o imposibilitan una movilidad prolongada. Sin embargo, su potencial democratizador dependerá de las políticas institucionales que orienten su implementación, de la reducción de las brechas digitales y de la capacidad de las universidades para diseñar experiencias académicas internacionalizadas que mantengan estándares de calidad y promuevan interacciones significativas.</w:t>
      </w:r>
    </w:p>
    <w:p w14:paraId="44C60EEA"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 xml:space="preserve">Desde una perspectiva más amplia, el trabajo propone repensar la internacionalización desde las realidades del Sur Global. En contextos caracterizados por profundas </w:t>
      </w:r>
      <w:r w:rsidRPr="00704DDE">
        <w:rPr>
          <w:rFonts w:ascii="Times New Roman" w:hAnsi="Times New Roman" w:cs="Times New Roman"/>
          <w:lang w:val="es-AR"/>
        </w:rPr>
        <w:lastRenderedPageBreak/>
        <w:t>desigualdades sociales y por sistemas de educación superior altamente masificados, la expansión de la movilidad presencial difícilmente alcance por sí sola a una proporción significativa del estudiantado. Ello no implica relativizar el valor de la movilidad, sino reconocer que constituye una oportunidad necesariamente limitada. En consecuencia, las políticas de internacionalización requieren incorporar modalidades complementarias que permitan ampliar el acceso sin perder de vista la diversidad de trayectorias, necesidades y condiciones que caracterizan a las poblaciones universitarias contemporáneas.</w:t>
      </w:r>
    </w:p>
    <w:p w14:paraId="7D3705DD"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En este sentido, el principal aporte del artículo consiste en proponer un desplazamiento analítico. El desafío ya no consiste únicamente en internacionalizar las universidades, sino en democratizar el acceso a la internacionalización. Esto supone pasar de una mirada centrada en los instrumentos —movilidad, convenios o programas específicos— a una perspectiva orientada por las oportunidades efectivas de participación internacional de estudiantes y docentes. Desde esta óptica, la pregunta relevante deja de ser cuántas personas logran movilizarse para interrogarse acerca de quiénes participan, quiénes permanecen excluidos y qué políticas pueden contribuir a ampliar esas oportunidades.</w:t>
      </w:r>
    </w:p>
    <w:p w14:paraId="42E8EDD7"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El estudio se desarrolla a partir del caso de la movilidad académica entre Argentina y China, un vínculo que presenta características particulares derivadas de la expansión de la cooperación educativa entre ambos países y del papel que desempeñan las becas promovidas por el Estado chino. Sin embargo, el interés del caso trasciende esa especificidad. Más que explicar una singularidad de la relación con China, el análisis permite visibilizar mecanismos de exclusión que probablemente operen, con diferentes intensidades y configuraciones, en otros procesos de internacionalización de la educación superior. Las barreras identificadas —económicas, territoriales, laborales, familiares y biográficas— no son exclusivas de este destino de movilidad, sino que expresan condicionantes estructurales que atraviesan las posibilidades de acceso a experiencias internacionales en buena parte de los sistemas universitarios del Sur Global. En este sentido, el caso argentino hacia China funciona como un caso revelador que permite comprender cómo operan estas desigualdades y constituye un punto de partida para futuras investigaciones comparadas sobre los mecanismos de inclusión y exclusión que estructuran la internacionalización universitaria.</w:t>
      </w:r>
    </w:p>
    <w:p w14:paraId="7CF92300" w14:textId="77777777" w:rsidR="00704DDE" w:rsidRPr="00704DDE" w:rsidRDefault="00704DDE" w:rsidP="00704DDE">
      <w:pPr>
        <w:spacing w:line="240" w:lineRule="auto"/>
        <w:jc w:val="both"/>
        <w:rPr>
          <w:rFonts w:ascii="Times New Roman" w:hAnsi="Times New Roman" w:cs="Times New Roman"/>
          <w:lang w:val="es-AR"/>
        </w:rPr>
      </w:pPr>
      <w:r w:rsidRPr="00704DDE">
        <w:rPr>
          <w:rFonts w:ascii="Times New Roman" w:hAnsi="Times New Roman" w:cs="Times New Roman"/>
          <w:lang w:val="es-AR"/>
        </w:rPr>
        <w:t>Finalmente, este trabajo invita a reconsiderar el lugar que ocupa la internacionalización dentro de la misión de la universidad pública. Si la internacionalización constituye una dimensión relevante de la formación universitaria contemporánea, las instituciones no pueden limitarse a ofrecer oportunidades para quienes están en condiciones de viajar. Deben también generar dispositivos que permitan ampliar el acceso a experiencias internacionales para una población estudiantil crecientemente diversa. En esa tarea, la internacionalización a distancia no representa un reemplazo de la movilidad física, sino una oportunidad para construir formas más inclusivas, flexibles y socialmente pertinentes de internacionalización.</w:t>
      </w:r>
    </w:p>
    <w:p w14:paraId="0B01F84F" w14:textId="77777777" w:rsidR="00FE6AB8" w:rsidRPr="00FE6AB8" w:rsidRDefault="00FE6AB8" w:rsidP="00FE6AB8">
      <w:pPr>
        <w:spacing w:line="240" w:lineRule="auto"/>
        <w:jc w:val="both"/>
        <w:rPr>
          <w:rFonts w:ascii="Times New Roman" w:hAnsi="Times New Roman" w:cs="Times New Roman"/>
          <w:lang w:val="es-AR"/>
        </w:rPr>
      </w:pPr>
      <w:r w:rsidRPr="00FE6AB8">
        <w:rPr>
          <w:rFonts w:ascii="Times New Roman" w:hAnsi="Times New Roman" w:cs="Times New Roman"/>
          <w:lang w:val="es-AR"/>
        </w:rPr>
        <w:t xml:space="preserve">Desde esta perspectiva, el trabajo deja abierta una agenda conceptual que trasciende el caso aquí analizado. Un paso adicional consiste en profundizar el análisis de la relación entre internacionalización y función pública de la universidad. La tradición latinoamericana ha sostenido de manera consistente que la educación superior, la ciencia </w:t>
      </w:r>
      <w:r w:rsidRPr="00FE6AB8">
        <w:rPr>
          <w:rFonts w:ascii="Times New Roman" w:hAnsi="Times New Roman" w:cs="Times New Roman"/>
          <w:lang w:val="es-AR"/>
        </w:rPr>
        <w:lastRenderedPageBreak/>
        <w:t>y el conocimiento constituyen bienes públicos y derechos sociales. En ese marco, la internacionalización no debería concebirse como un fin en sí mismo ni como un atributo orientado exclusivamente al posicionamiento internacional de las instituciones, sino como una política universitaria al servicio del fortalecimiento de ese bien público que constituye la universidad.</w:t>
      </w:r>
    </w:p>
    <w:p w14:paraId="659FA88B" w14:textId="77777777" w:rsidR="00FE6AB8" w:rsidRPr="00FE6AB8" w:rsidRDefault="00FE6AB8" w:rsidP="00FE6AB8">
      <w:pPr>
        <w:spacing w:line="240" w:lineRule="auto"/>
        <w:jc w:val="both"/>
        <w:rPr>
          <w:rFonts w:ascii="Times New Roman" w:hAnsi="Times New Roman" w:cs="Times New Roman"/>
          <w:lang w:val="es-AR"/>
        </w:rPr>
      </w:pPr>
      <w:r w:rsidRPr="00FE6AB8">
        <w:rPr>
          <w:rFonts w:ascii="Times New Roman" w:hAnsi="Times New Roman" w:cs="Times New Roman"/>
          <w:lang w:val="es-AR"/>
        </w:rPr>
        <w:t>Si las experiencias internacionales contribuyen a la formación integral de estudiantes, fortalecen la producción y circulación del conocimiento, amplían las capacidades institucionales y favorecen la cooperación académica, entonces el desafío consiste en garantizar que esos beneficios puedan ser apropiados por una comunidad universitaria cada vez más amplia y diversa. Desde esta perspectiva, el acceso a oportunidades internacionales no debería quedar restringido a quienes pueden movilizarse, sino formar parte de las políticas mediante las cuales las universidades cumplen su función pública y amplían el ejercicio del derecho a una educación superior de calidad.</w:t>
      </w:r>
    </w:p>
    <w:p w14:paraId="7626E787" w14:textId="3911BF07" w:rsidR="00704DDE" w:rsidRDefault="00FE6AB8" w:rsidP="00FE6AB8">
      <w:pPr>
        <w:spacing w:line="240" w:lineRule="auto"/>
        <w:jc w:val="both"/>
        <w:rPr>
          <w:rFonts w:ascii="Times New Roman" w:hAnsi="Times New Roman" w:cs="Times New Roman"/>
        </w:rPr>
      </w:pPr>
      <w:r w:rsidRPr="00FE6AB8">
        <w:rPr>
          <w:rFonts w:ascii="Times New Roman" w:hAnsi="Times New Roman" w:cs="Times New Roman"/>
          <w:lang w:val="es-AR"/>
        </w:rPr>
        <w:t>Este desplazamiento permite articular la discusión sobre internacionalización con debates más amplios acerca de la equidad, la inclusión y la función social de las universidades. Más que una estrategia destinada exclusivamente a incrementar la visibilidad internacional o la competitividad institucional, la internacionalización puede entenderse como una herramienta para fortalecer la universidad pública, ampliar las oportunidades de formación y cooperación y contribuir a una producción de conocimiento socialmente relevante. En esa dirección, la internacionalización a distancia constituye una modalidad promisoria —aunque no suficiente por sí sola— para diversificar las formas de acceso a experiencias internacionales y avanzar hacia políticas de internacionalización más equitativas, inclusivas y coherentes con los principios que históricamente han orientado a la educación superior latinoamericana</w:t>
      </w:r>
      <w:r>
        <w:rPr>
          <w:rFonts w:ascii="Times New Roman" w:hAnsi="Times New Roman" w:cs="Times New Roman"/>
          <w:lang w:val="es-AR"/>
        </w:rPr>
        <w:t>.</w:t>
      </w:r>
    </w:p>
    <w:p w14:paraId="1501FFCB" w14:textId="77777777" w:rsidR="00DF4EE0" w:rsidRDefault="00DF4EE0" w:rsidP="00DF4EE0">
      <w:pPr>
        <w:spacing w:line="240" w:lineRule="auto"/>
        <w:jc w:val="both"/>
        <w:rPr>
          <w:rFonts w:ascii="Times New Roman" w:hAnsi="Times New Roman" w:cs="Times New Roman"/>
        </w:rPr>
      </w:pPr>
    </w:p>
    <w:p w14:paraId="39B57161" w14:textId="69DC08D7" w:rsidR="005F3B2E" w:rsidRPr="00E70B96" w:rsidRDefault="005F3B2E" w:rsidP="007B5B5F">
      <w:pPr>
        <w:spacing w:line="240" w:lineRule="auto"/>
        <w:rPr>
          <w:rFonts w:ascii="Times New Roman" w:hAnsi="Times New Roman" w:cs="Times New Roman"/>
          <w:b/>
          <w:bCs/>
          <w:lang w:val="pt-BR"/>
        </w:rPr>
      </w:pPr>
      <w:proofErr w:type="spellStart"/>
      <w:r w:rsidRPr="00E70B96">
        <w:rPr>
          <w:rFonts w:ascii="Times New Roman" w:hAnsi="Times New Roman" w:cs="Times New Roman"/>
          <w:b/>
          <w:bCs/>
          <w:lang w:val="pt-BR"/>
        </w:rPr>
        <w:t>Referencias</w:t>
      </w:r>
      <w:proofErr w:type="spellEnd"/>
      <w:r w:rsidRPr="00E70B96">
        <w:rPr>
          <w:rFonts w:ascii="Times New Roman" w:hAnsi="Times New Roman" w:cs="Times New Roman"/>
          <w:b/>
          <w:bCs/>
          <w:lang w:val="pt-BR"/>
        </w:rPr>
        <w:t xml:space="preserve"> Bibliográficas (APA 7)</w:t>
      </w:r>
    </w:p>
    <w:p w14:paraId="2BC5695D" w14:textId="77777777" w:rsidR="00974630" w:rsidRPr="00E70B96" w:rsidRDefault="00974630" w:rsidP="00E70B96">
      <w:pPr>
        <w:spacing w:line="240" w:lineRule="auto"/>
        <w:jc w:val="both"/>
        <w:rPr>
          <w:rFonts w:ascii="Times New Roman" w:hAnsi="Times New Roman" w:cs="Times New Roman"/>
          <w:lang w:val="es-AR"/>
        </w:rPr>
      </w:pPr>
      <w:proofErr w:type="spellStart"/>
      <w:r w:rsidRPr="00E70B96">
        <w:rPr>
          <w:rFonts w:ascii="Times New Roman" w:hAnsi="Times New Roman" w:cs="Times New Roman"/>
          <w:lang w:val="en-US"/>
        </w:rPr>
        <w:t>Altbach</w:t>
      </w:r>
      <w:proofErr w:type="spellEnd"/>
      <w:r w:rsidRPr="00E70B96">
        <w:rPr>
          <w:rFonts w:ascii="Times New Roman" w:hAnsi="Times New Roman" w:cs="Times New Roman"/>
          <w:lang w:val="en-US"/>
        </w:rPr>
        <w:t xml:space="preserve">, P., Reisberg, L., &amp; Rumbley, L. (2009). </w:t>
      </w:r>
      <w:r w:rsidRPr="00E70B96">
        <w:rPr>
          <w:rFonts w:ascii="Times New Roman" w:hAnsi="Times New Roman" w:cs="Times New Roman"/>
          <w:i/>
          <w:iCs/>
          <w:lang w:val="en-US"/>
        </w:rPr>
        <w:t xml:space="preserve">Trends in Global Higher Education: Tracking an Academic Revolution. A Report Prepared for the UNESCO 2009 World Conference on Higher Education. </w:t>
      </w:r>
      <w:r w:rsidRPr="00E70B96">
        <w:rPr>
          <w:rFonts w:ascii="Times New Roman" w:hAnsi="Times New Roman" w:cs="Times New Roman"/>
          <w:i/>
          <w:iCs/>
          <w:lang w:val="es-AR"/>
        </w:rPr>
        <w:t xml:space="preserve">Executive </w:t>
      </w:r>
      <w:proofErr w:type="spellStart"/>
      <w:r w:rsidRPr="00E70B96">
        <w:rPr>
          <w:rFonts w:ascii="Times New Roman" w:hAnsi="Times New Roman" w:cs="Times New Roman"/>
          <w:i/>
          <w:iCs/>
          <w:lang w:val="es-AR"/>
        </w:rPr>
        <w:t>Summary</w:t>
      </w:r>
      <w:proofErr w:type="spellEnd"/>
      <w:r w:rsidRPr="00E70B96">
        <w:rPr>
          <w:rFonts w:ascii="Times New Roman" w:hAnsi="Times New Roman" w:cs="Times New Roman"/>
          <w:lang w:val="es-AR"/>
        </w:rPr>
        <w:t xml:space="preserve">. </w:t>
      </w:r>
    </w:p>
    <w:p w14:paraId="4F67DB84" w14:textId="77777777" w:rsidR="00974630" w:rsidRPr="00974630" w:rsidRDefault="00974630" w:rsidP="00974630">
      <w:pPr>
        <w:spacing w:line="240" w:lineRule="auto"/>
        <w:jc w:val="both"/>
        <w:rPr>
          <w:rFonts w:ascii="Times New Roman" w:hAnsi="Times New Roman" w:cs="Times New Roman"/>
          <w:lang w:val="en-US"/>
        </w:rPr>
      </w:pPr>
      <w:r w:rsidRPr="00974630">
        <w:rPr>
          <w:rFonts w:ascii="Times New Roman" w:hAnsi="Times New Roman" w:cs="Times New Roman"/>
          <w:lang w:val="pt-BR"/>
        </w:rPr>
        <w:t xml:space="preserve">Andres, M. V., &amp; Perrotta, D. (2024). </w:t>
      </w:r>
      <w:r w:rsidRPr="00974630">
        <w:rPr>
          <w:rFonts w:ascii="Times New Roman" w:hAnsi="Times New Roman" w:cs="Times New Roman"/>
          <w:lang w:val="en-US"/>
        </w:rPr>
        <w:t xml:space="preserve">What development lessons can be learned from Chinese mobilities? Trends in Argentinean students’ mobility to China. </w:t>
      </w:r>
      <w:r w:rsidRPr="00974630">
        <w:rPr>
          <w:rFonts w:ascii="Times New Roman" w:hAnsi="Times New Roman" w:cs="Times New Roman"/>
          <w:i/>
          <w:iCs/>
          <w:lang w:val="en-US"/>
        </w:rPr>
        <w:t>International Journal of Chinese Education</w:t>
      </w:r>
      <w:r w:rsidRPr="00974630">
        <w:rPr>
          <w:rFonts w:ascii="Times New Roman" w:hAnsi="Times New Roman" w:cs="Times New Roman"/>
          <w:lang w:val="en-US"/>
        </w:rPr>
        <w:t>,</w:t>
      </w:r>
      <w:r w:rsidRPr="00974630">
        <w:rPr>
          <w:rFonts w:ascii="Times New Roman" w:hAnsi="Times New Roman" w:cs="Times New Roman"/>
          <w:i/>
          <w:iCs/>
          <w:lang w:val="en-US"/>
        </w:rPr>
        <w:t xml:space="preserve"> 13</w:t>
      </w:r>
      <w:r w:rsidRPr="00974630">
        <w:rPr>
          <w:rFonts w:ascii="Times New Roman" w:hAnsi="Times New Roman" w:cs="Times New Roman"/>
          <w:lang w:val="en-US"/>
        </w:rPr>
        <w:t xml:space="preserve">(3), 2212585X241306776. </w:t>
      </w:r>
    </w:p>
    <w:p w14:paraId="5E5D42C6" w14:textId="77777777" w:rsidR="00974630" w:rsidRDefault="00974630" w:rsidP="007B5B5F">
      <w:pPr>
        <w:spacing w:line="240" w:lineRule="auto"/>
        <w:jc w:val="both"/>
        <w:rPr>
          <w:rFonts w:ascii="Times New Roman" w:hAnsi="Times New Roman" w:cs="Times New Roman"/>
          <w:lang w:val="es-AR"/>
        </w:rPr>
      </w:pPr>
      <w:proofErr w:type="spellStart"/>
      <w:r w:rsidRPr="00E70B96">
        <w:rPr>
          <w:rFonts w:ascii="Times New Roman" w:hAnsi="Times New Roman" w:cs="Times New Roman"/>
          <w:lang w:val="es-AR"/>
        </w:rPr>
        <w:t>Beneitone</w:t>
      </w:r>
      <w:proofErr w:type="spellEnd"/>
      <w:r w:rsidRPr="00E70B96">
        <w:rPr>
          <w:rFonts w:ascii="Times New Roman" w:hAnsi="Times New Roman" w:cs="Times New Roman"/>
          <w:lang w:val="es-AR"/>
        </w:rPr>
        <w:t xml:space="preserve">, P. (2022). Internacionalización del currículo en las universidades argentinas. </w:t>
      </w:r>
      <w:r w:rsidRPr="00974630">
        <w:rPr>
          <w:rFonts w:ascii="Times New Roman" w:hAnsi="Times New Roman" w:cs="Times New Roman"/>
          <w:i/>
          <w:iCs/>
          <w:lang w:val="es-AR"/>
        </w:rPr>
        <w:t>Integración y Conocimiento</w:t>
      </w:r>
      <w:r w:rsidRPr="00E70B96">
        <w:rPr>
          <w:rFonts w:ascii="Times New Roman" w:hAnsi="Times New Roman" w:cs="Times New Roman"/>
          <w:lang w:val="es-AR"/>
        </w:rPr>
        <w:t>, 11(1), 163–181</w:t>
      </w:r>
      <w:r>
        <w:rPr>
          <w:rFonts w:ascii="Times New Roman" w:hAnsi="Times New Roman" w:cs="Times New Roman"/>
          <w:lang w:val="es-AR"/>
        </w:rPr>
        <w:t>.</w:t>
      </w:r>
    </w:p>
    <w:p w14:paraId="3AD78E61" w14:textId="77777777" w:rsidR="00974630" w:rsidRDefault="00974630" w:rsidP="007B5B5F">
      <w:pPr>
        <w:spacing w:line="240" w:lineRule="auto"/>
        <w:jc w:val="both"/>
        <w:rPr>
          <w:rFonts w:ascii="Times New Roman" w:hAnsi="Times New Roman" w:cs="Times New Roman"/>
          <w:lang w:val="es-AR"/>
        </w:rPr>
      </w:pPr>
      <w:proofErr w:type="spellStart"/>
      <w:r w:rsidRPr="00E70B96">
        <w:rPr>
          <w:rFonts w:ascii="Times New Roman" w:hAnsi="Times New Roman" w:cs="Times New Roman"/>
          <w:lang w:val="es-AR"/>
        </w:rPr>
        <w:t>Beneitone</w:t>
      </w:r>
      <w:proofErr w:type="spellEnd"/>
      <w:r w:rsidRPr="00E70B96">
        <w:rPr>
          <w:rFonts w:ascii="Times New Roman" w:hAnsi="Times New Roman" w:cs="Times New Roman"/>
          <w:lang w:val="es-AR"/>
        </w:rPr>
        <w:t xml:space="preserve">, P. (2022). Internacionalización del currículo: una respuesta democratizadora a las desigualdades resultantes de la movilidad académica elitista. </w:t>
      </w:r>
      <w:r w:rsidRPr="00974630">
        <w:rPr>
          <w:rFonts w:ascii="Times New Roman" w:hAnsi="Times New Roman" w:cs="Times New Roman"/>
          <w:i/>
          <w:iCs/>
          <w:lang w:val="es-AR"/>
        </w:rPr>
        <w:t>Revista Educación Superior y Sociedad (ESS)</w:t>
      </w:r>
      <w:r w:rsidRPr="00E70B96">
        <w:rPr>
          <w:rFonts w:ascii="Times New Roman" w:hAnsi="Times New Roman" w:cs="Times New Roman"/>
          <w:lang w:val="es-AR"/>
        </w:rPr>
        <w:t xml:space="preserve">, 34(1), 422–444. </w:t>
      </w:r>
      <w:hyperlink r:id="rId6" w:history="1">
        <w:r w:rsidRPr="002B1CC5">
          <w:rPr>
            <w:rStyle w:val="Hipervnculo"/>
            <w:rFonts w:ascii="Times New Roman" w:hAnsi="Times New Roman" w:cs="Times New Roman"/>
            <w:lang w:val="es-AR"/>
          </w:rPr>
          <w:t>https://doi.org/10.54674/ess.v34i1.526</w:t>
        </w:r>
      </w:hyperlink>
    </w:p>
    <w:p w14:paraId="7A7E0104" w14:textId="77777777" w:rsidR="00974630" w:rsidRDefault="00974630" w:rsidP="007B5B5F">
      <w:pPr>
        <w:spacing w:line="240" w:lineRule="auto"/>
        <w:jc w:val="both"/>
        <w:rPr>
          <w:rFonts w:ascii="Times New Roman" w:hAnsi="Times New Roman" w:cs="Times New Roman"/>
          <w:lang w:val="en-US"/>
        </w:rPr>
      </w:pPr>
      <w:proofErr w:type="spellStart"/>
      <w:r w:rsidRPr="00974630">
        <w:rPr>
          <w:rFonts w:ascii="Times New Roman" w:hAnsi="Times New Roman" w:cs="Times New Roman"/>
          <w:lang w:val="pt-BR"/>
        </w:rPr>
        <w:t>Breaden</w:t>
      </w:r>
      <w:proofErr w:type="spellEnd"/>
      <w:r w:rsidRPr="00974630">
        <w:rPr>
          <w:rFonts w:ascii="Times New Roman" w:hAnsi="Times New Roman" w:cs="Times New Roman"/>
          <w:lang w:val="pt-BR"/>
        </w:rPr>
        <w:t>, J., Do, T., Moreira dos Anjos-Santos, L., &amp; Normand-</w:t>
      </w:r>
      <w:proofErr w:type="spellStart"/>
      <w:r w:rsidRPr="00974630">
        <w:rPr>
          <w:rFonts w:ascii="Times New Roman" w:hAnsi="Times New Roman" w:cs="Times New Roman"/>
          <w:lang w:val="pt-BR"/>
        </w:rPr>
        <w:t>Marconnet</w:t>
      </w:r>
      <w:proofErr w:type="spellEnd"/>
      <w:r w:rsidRPr="00974630">
        <w:rPr>
          <w:rFonts w:ascii="Times New Roman" w:hAnsi="Times New Roman" w:cs="Times New Roman"/>
          <w:lang w:val="pt-BR"/>
        </w:rPr>
        <w:t xml:space="preserve">, N. (2023). </w:t>
      </w:r>
      <w:r w:rsidRPr="00974630">
        <w:rPr>
          <w:rFonts w:ascii="Times New Roman" w:hAnsi="Times New Roman" w:cs="Times New Roman"/>
          <w:lang w:val="en-US"/>
        </w:rPr>
        <w:t xml:space="preserve">Student empowerment for </w:t>
      </w:r>
      <w:proofErr w:type="spellStart"/>
      <w:r w:rsidRPr="00974630">
        <w:rPr>
          <w:rFonts w:ascii="Times New Roman" w:hAnsi="Times New Roman" w:cs="Times New Roman"/>
          <w:lang w:val="en-US"/>
        </w:rPr>
        <w:t>internationalisation</w:t>
      </w:r>
      <w:proofErr w:type="spellEnd"/>
      <w:r w:rsidRPr="00974630">
        <w:rPr>
          <w:rFonts w:ascii="Times New Roman" w:hAnsi="Times New Roman" w:cs="Times New Roman"/>
          <w:lang w:val="en-US"/>
        </w:rPr>
        <w:t xml:space="preserve"> at a distance: Enacting the students as </w:t>
      </w:r>
      <w:r w:rsidRPr="00974630">
        <w:rPr>
          <w:rFonts w:ascii="Times New Roman" w:hAnsi="Times New Roman" w:cs="Times New Roman"/>
          <w:lang w:val="en-US"/>
        </w:rPr>
        <w:lastRenderedPageBreak/>
        <w:t xml:space="preserve">partners approach in virtual mobility. </w:t>
      </w:r>
      <w:r w:rsidRPr="00974630">
        <w:rPr>
          <w:rFonts w:ascii="Times New Roman" w:hAnsi="Times New Roman" w:cs="Times New Roman"/>
          <w:i/>
          <w:iCs/>
          <w:lang w:val="en-US"/>
        </w:rPr>
        <w:t>Higher Education Research &amp; Development</w:t>
      </w:r>
      <w:r w:rsidRPr="00974630">
        <w:rPr>
          <w:rFonts w:ascii="Times New Roman" w:hAnsi="Times New Roman" w:cs="Times New Roman"/>
          <w:lang w:val="en-US"/>
        </w:rPr>
        <w:t xml:space="preserve">, 42(5), 1182–1196. </w:t>
      </w:r>
      <w:hyperlink r:id="rId7" w:history="1">
        <w:r w:rsidRPr="002B1CC5">
          <w:rPr>
            <w:rStyle w:val="Hipervnculo"/>
            <w:rFonts w:ascii="Times New Roman" w:hAnsi="Times New Roman" w:cs="Times New Roman"/>
            <w:lang w:val="en-US"/>
          </w:rPr>
          <w:t>https://doi.org/10.1080/07294360.2023.2193728</w:t>
        </w:r>
      </w:hyperlink>
      <w:r>
        <w:rPr>
          <w:rFonts w:ascii="Times New Roman" w:hAnsi="Times New Roman" w:cs="Times New Roman"/>
          <w:lang w:val="en-US"/>
        </w:rPr>
        <w:t xml:space="preserve"> </w:t>
      </w:r>
    </w:p>
    <w:p w14:paraId="4EF9F83A" w14:textId="47E0AA0B" w:rsidR="00974630" w:rsidRDefault="00974630" w:rsidP="00E70B96">
      <w:pPr>
        <w:spacing w:line="240" w:lineRule="auto"/>
        <w:jc w:val="both"/>
        <w:rPr>
          <w:rFonts w:ascii="Times New Roman" w:hAnsi="Times New Roman" w:cs="Times New Roman"/>
          <w:lang w:val="es-AR"/>
        </w:rPr>
      </w:pPr>
      <w:r w:rsidRPr="00E70B96">
        <w:rPr>
          <w:rFonts w:ascii="Times New Roman" w:hAnsi="Times New Roman" w:cs="Times New Roman"/>
          <w:lang w:val="es-AR"/>
        </w:rPr>
        <w:t xml:space="preserve">Del Valle, D., &amp; Perrotta, D. (2023). </w:t>
      </w:r>
      <w:r w:rsidRPr="00E70B96">
        <w:rPr>
          <w:rFonts w:ascii="Times New Roman" w:hAnsi="Times New Roman" w:cs="Times New Roman"/>
          <w:i/>
          <w:iCs/>
          <w:lang w:val="es-AR"/>
        </w:rPr>
        <w:t>Internacionalización universitaria y movilización política</w:t>
      </w:r>
      <w:r w:rsidRPr="00E70B96">
        <w:rPr>
          <w:rFonts w:ascii="Times New Roman" w:hAnsi="Times New Roman" w:cs="Times New Roman"/>
          <w:lang w:val="es-AR"/>
        </w:rPr>
        <w:t xml:space="preserve">. </w:t>
      </w:r>
      <w:r>
        <w:rPr>
          <w:rFonts w:ascii="Times New Roman" w:hAnsi="Times New Roman" w:cs="Times New Roman"/>
          <w:lang w:val="es-AR"/>
        </w:rPr>
        <w:t xml:space="preserve">Buenos Aires: </w:t>
      </w:r>
      <w:r w:rsidRPr="00E70B96">
        <w:rPr>
          <w:rFonts w:ascii="Times New Roman" w:hAnsi="Times New Roman" w:cs="Times New Roman"/>
          <w:lang w:val="es-AR"/>
        </w:rPr>
        <w:t>IEC-CLACSO.</w:t>
      </w:r>
    </w:p>
    <w:p w14:paraId="66B4B9FC" w14:textId="77777777" w:rsidR="00974630" w:rsidRDefault="00974630" w:rsidP="007B5B5F">
      <w:pPr>
        <w:spacing w:line="240" w:lineRule="auto"/>
        <w:jc w:val="both"/>
        <w:rPr>
          <w:rFonts w:ascii="Times New Roman" w:hAnsi="Times New Roman" w:cs="Times New Roman"/>
          <w:lang w:val="es-AR"/>
        </w:rPr>
      </w:pPr>
      <w:r w:rsidRPr="002061AE">
        <w:rPr>
          <w:rFonts w:ascii="Times New Roman" w:hAnsi="Times New Roman" w:cs="Times New Roman"/>
          <w:lang w:val="es-AR"/>
        </w:rPr>
        <w:t xml:space="preserve">Finardi, K. R. (2022). Internacionalización desde una perspectiva del sur, crítica y emancipadora. </w:t>
      </w:r>
      <w:r w:rsidRPr="00974630">
        <w:rPr>
          <w:rFonts w:ascii="Times New Roman" w:hAnsi="Times New Roman" w:cs="Times New Roman"/>
          <w:i/>
          <w:iCs/>
          <w:lang w:val="es-AR"/>
        </w:rPr>
        <w:t>Revista REDALINT. Universidad, Internacionalización e Integración Regio</w:t>
      </w:r>
      <w:r w:rsidRPr="002061AE">
        <w:rPr>
          <w:rFonts w:ascii="Times New Roman" w:hAnsi="Times New Roman" w:cs="Times New Roman"/>
          <w:lang w:val="es-AR"/>
        </w:rPr>
        <w:t xml:space="preserve">nal, 1(2), 95–117. </w:t>
      </w:r>
      <w:hyperlink r:id="rId8" w:history="1">
        <w:r w:rsidRPr="002B1CC5">
          <w:rPr>
            <w:rStyle w:val="Hipervnculo"/>
            <w:rFonts w:ascii="Times New Roman" w:hAnsi="Times New Roman" w:cs="Times New Roman"/>
            <w:lang w:val="es-AR"/>
          </w:rPr>
          <w:t>https://revele.uncoma.edu.ar/index.php/redalint/article/view/3667</w:t>
        </w:r>
      </w:hyperlink>
    </w:p>
    <w:p w14:paraId="3E4FEE7C" w14:textId="77777777" w:rsidR="00974630" w:rsidRDefault="00974630" w:rsidP="007B5B5F">
      <w:pPr>
        <w:spacing w:line="240" w:lineRule="auto"/>
        <w:jc w:val="both"/>
        <w:rPr>
          <w:rFonts w:ascii="Times New Roman" w:hAnsi="Times New Roman" w:cs="Times New Roman"/>
          <w:lang w:val="es-AR"/>
        </w:rPr>
      </w:pPr>
      <w:r w:rsidRPr="00E70B96">
        <w:rPr>
          <w:rFonts w:ascii="Times New Roman" w:hAnsi="Times New Roman" w:cs="Times New Roman"/>
          <w:lang w:val="es-AR"/>
        </w:rPr>
        <w:t xml:space="preserve">Gacel-Ávila, J. (2022). Internacionalización inclusiva en América Latina y el Caribe: desafíos y factibilidad. </w:t>
      </w:r>
      <w:r w:rsidRPr="00974630">
        <w:rPr>
          <w:rFonts w:ascii="Times New Roman" w:hAnsi="Times New Roman" w:cs="Times New Roman"/>
          <w:i/>
          <w:iCs/>
          <w:lang w:val="es-AR"/>
        </w:rPr>
        <w:t>Educación Superior y Sociedad (ESS)</w:t>
      </w:r>
      <w:r w:rsidRPr="00E70B96">
        <w:rPr>
          <w:rFonts w:ascii="Times New Roman" w:hAnsi="Times New Roman" w:cs="Times New Roman"/>
          <w:lang w:val="es-AR"/>
        </w:rPr>
        <w:t xml:space="preserve">, 34(1), 401–421. </w:t>
      </w:r>
      <w:hyperlink r:id="rId9" w:history="1">
        <w:r w:rsidRPr="002B1CC5">
          <w:rPr>
            <w:rStyle w:val="Hipervnculo"/>
            <w:rFonts w:ascii="Times New Roman" w:hAnsi="Times New Roman" w:cs="Times New Roman"/>
            <w:lang w:val="es-AR"/>
          </w:rPr>
          <w:t>https://doi.org/10.54674/ess.v34i1.570</w:t>
        </w:r>
      </w:hyperlink>
      <w:r>
        <w:rPr>
          <w:rFonts w:ascii="Times New Roman" w:hAnsi="Times New Roman" w:cs="Times New Roman"/>
          <w:lang w:val="es-AR"/>
        </w:rPr>
        <w:t xml:space="preserve"> </w:t>
      </w:r>
    </w:p>
    <w:p w14:paraId="1B7CE124" w14:textId="77777777" w:rsidR="00974630" w:rsidRPr="002061AE" w:rsidRDefault="00974630" w:rsidP="007B5B5F">
      <w:pPr>
        <w:spacing w:line="240" w:lineRule="auto"/>
        <w:jc w:val="both"/>
        <w:rPr>
          <w:rFonts w:ascii="Times New Roman" w:hAnsi="Times New Roman" w:cs="Times New Roman"/>
          <w:lang w:val="pt-BR"/>
        </w:rPr>
      </w:pPr>
      <w:r w:rsidRPr="002061AE">
        <w:rPr>
          <w:rFonts w:ascii="Times New Roman" w:hAnsi="Times New Roman" w:cs="Times New Roman"/>
          <w:lang w:val="es-AR"/>
        </w:rPr>
        <w:t xml:space="preserve">Gacel-Ávila, J. (2022). Internacionalización inclusiva en América Latina y el Caribe: desafíos y factibilidad. </w:t>
      </w:r>
      <w:r w:rsidRPr="00974630">
        <w:rPr>
          <w:rFonts w:ascii="Times New Roman" w:hAnsi="Times New Roman" w:cs="Times New Roman"/>
          <w:i/>
          <w:iCs/>
          <w:lang w:val="es-AR"/>
        </w:rPr>
        <w:t>Revista Educación Superior y Sociedad (ESS)</w:t>
      </w:r>
      <w:r w:rsidRPr="002061AE">
        <w:rPr>
          <w:rFonts w:ascii="Times New Roman" w:hAnsi="Times New Roman" w:cs="Times New Roman"/>
          <w:lang w:val="es-AR"/>
        </w:rPr>
        <w:t xml:space="preserve">, 34(1), 401–421. </w:t>
      </w:r>
      <w:hyperlink r:id="rId10" w:history="1">
        <w:r w:rsidRPr="002061AE">
          <w:rPr>
            <w:rStyle w:val="Hipervnculo"/>
            <w:rFonts w:ascii="Times New Roman" w:hAnsi="Times New Roman" w:cs="Times New Roman"/>
            <w:lang w:val="pt-BR"/>
          </w:rPr>
          <w:t>https://doi.org/10.54674/ess.v34i1.570</w:t>
        </w:r>
      </w:hyperlink>
    </w:p>
    <w:p w14:paraId="20D5F09B" w14:textId="77777777" w:rsidR="00974630" w:rsidRPr="00E70B96" w:rsidRDefault="00974630" w:rsidP="00E70B96">
      <w:pPr>
        <w:spacing w:line="240" w:lineRule="auto"/>
        <w:jc w:val="both"/>
        <w:rPr>
          <w:rFonts w:ascii="Times New Roman" w:hAnsi="Times New Roman" w:cs="Times New Roman"/>
          <w:lang w:val="en-US"/>
        </w:rPr>
      </w:pPr>
      <w:r w:rsidRPr="00E70B96">
        <w:rPr>
          <w:rFonts w:ascii="Times New Roman" w:hAnsi="Times New Roman" w:cs="Times New Roman"/>
          <w:lang w:val="pt-BR"/>
        </w:rPr>
        <w:t xml:space="preserve">Knight, J. (2004). </w:t>
      </w:r>
      <w:r w:rsidRPr="00E70B96">
        <w:rPr>
          <w:rFonts w:ascii="Times New Roman" w:hAnsi="Times New Roman" w:cs="Times New Roman"/>
          <w:lang w:val="en-US"/>
        </w:rPr>
        <w:t xml:space="preserve">Internationalization Remodeled: Definition, Approaches, and Rationales. </w:t>
      </w:r>
      <w:r w:rsidRPr="00E70B96">
        <w:rPr>
          <w:rFonts w:ascii="Times New Roman" w:hAnsi="Times New Roman" w:cs="Times New Roman"/>
          <w:i/>
          <w:iCs/>
          <w:lang w:val="en-US"/>
        </w:rPr>
        <w:t>Journal of Studies in International Education</w:t>
      </w:r>
      <w:r w:rsidRPr="00E70B96">
        <w:rPr>
          <w:rFonts w:ascii="Times New Roman" w:hAnsi="Times New Roman" w:cs="Times New Roman"/>
          <w:lang w:val="en-US"/>
        </w:rPr>
        <w:t>,</w:t>
      </w:r>
      <w:r w:rsidRPr="00E70B96">
        <w:rPr>
          <w:rFonts w:ascii="Times New Roman" w:hAnsi="Times New Roman" w:cs="Times New Roman"/>
          <w:i/>
          <w:iCs/>
          <w:lang w:val="en-US"/>
        </w:rPr>
        <w:t xml:space="preserve"> 8</w:t>
      </w:r>
      <w:r w:rsidRPr="00E70B96">
        <w:rPr>
          <w:rFonts w:ascii="Times New Roman" w:hAnsi="Times New Roman" w:cs="Times New Roman"/>
          <w:lang w:val="en-US"/>
        </w:rPr>
        <w:t xml:space="preserve">(1). </w:t>
      </w:r>
    </w:p>
    <w:p w14:paraId="4A7C2B92" w14:textId="77777777" w:rsidR="00974630" w:rsidRPr="00E70B96" w:rsidRDefault="00974630" w:rsidP="007B5B5F">
      <w:pPr>
        <w:spacing w:line="240" w:lineRule="auto"/>
        <w:jc w:val="both"/>
        <w:rPr>
          <w:rFonts w:ascii="Times New Roman" w:hAnsi="Times New Roman" w:cs="Times New Roman"/>
          <w:lang w:val="en-US"/>
        </w:rPr>
      </w:pPr>
      <w:r w:rsidRPr="002061AE">
        <w:rPr>
          <w:rFonts w:ascii="Times New Roman" w:hAnsi="Times New Roman" w:cs="Times New Roman"/>
          <w:lang w:val="en-US"/>
        </w:rPr>
        <w:t xml:space="preserve">Leal, F., Finardi, K., &amp; Abba, J. (2022). Challenges for an internationalization of higher education from and for the Global South. </w:t>
      </w:r>
      <w:r w:rsidRPr="00974630">
        <w:rPr>
          <w:rFonts w:ascii="Times New Roman" w:hAnsi="Times New Roman" w:cs="Times New Roman"/>
          <w:i/>
          <w:iCs/>
          <w:lang w:val="en-US"/>
        </w:rPr>
        <w:t>Perspectives in Education</w:t>
      </w:r>
      <w:r w:rsidRPr="00E70B96">
        <w:rPr>
          <w:rFonts w:ascii="Times New Roman" w:hAnsi="Times New Roman" w:cs="Times New Roman"/>
          <w:lang w:val="en-US"/>
        </w:rPr>
        <w:t>, 40(3), 241–250. https://doi.org/10.38140/pie.v40i3.6776</w:t>
      </w:r>
    </w:p>
    <w:p w14:paraId="18A061E6" w14:textId="77777777" w:rsidR="00974630" w:rsidRPr="00974630" w:rsidRDefault="00974630" w:rsidP="007B5B5F">
      <w:pPr>
        <w:spacing w:line="240" w:lineRule="auto"/>
        <w:jc w:val="both"/>
        <w:rPr>
          <w:rFonts w:ascii="Times New Roman" w:hAnsi="Times New Roman" w:cs="Times New Roman"/>
          <w:lang w:val="en-US"/>
        </w:rPr>
      </w:pPr>
      <w:proofErr w:type="spellStart"/>
      <w:r w:rsidRPr="00E70B96">
        <w:rPr>
          <w:rFonts w:ascii="Times New Roman" w:hAnsi="Times New Roman" w:cs="Times New Roman"/>
          <w:lang w:val="en-US"/>
        </w:rPr>
        <w:t>Mittelmeier</w:t>
      </w:r>
      <w:proofErr w:type="spellEnd"/>
      <w:r w:rsidRPr="00E70B96">
        <w:rPr>
          <w:rFonts w:ascii="Times New Roman" w:hAnsi="Times New Roman" w:cs="Times New Roman"/>
          <w:lang w:val="en-US"/>
        </w:rPr>
        <w:t xml:space="preserve">, J., </w:t>
      </w:r>
      <w:proofErr w:type="spellStart"/>
      <w:r w:rsidRPr="00E70B96">
        <w:rPr>
          <w:rFonts w:ascii="Times New Roman" w:hAnsi="Times New Roman" w:cs="Times New Roman"/>
          <w:lang w:val="en-US"/>
        </w:rPr>
        <w:t>Rienties</w:t>
      </w:r>
      <w:proofErr w:type="spellEnd"/>
      <w:r w:rsidRPr="00E70B96">
        <w:rPr>
          <w:rFonts w:ascii="Times New Roman" w:hAnsi="Times New Roman" w:cs="Times New Roman"/>
          <w:lang w:val="en-US"/>
        </w:rPr>
        <w:t xml:space="preserve">, B., Gunter, A., &amp; Raghuram, P. (2021). Conceptualizing Internationalization at a Distance: A "Third Category" of University Internationalization. </w:t>
      </w:r>
      <w:proofErr w:type="spellStart"/>
      <w:r w:rsidRPr="00974630">
        <w:rPr>
          <w:rFonts w:ascii="Times New Roman" w:hAnsi="Times New Roman" w:cs="Times New Roman"/>
          <w:i/>
          <w:iCs/>
          <w:lang w:val="es-AR"/>
        </w:rPr>
        <w:t>Journal</w:t>
      </w:r>
      <w:proofErr w:type="spellEnd"/>
      <w:r w:rsidRPr="00974630">
        <w:rPr>
          <w:rFonts w:ascii="Times New Roman" w:hAnsi="Times New Roman" w:cs="Times New Roman"/>
          <w:i/>
          <w:iCs/>
          <w:lang w:val="es-AR"/>
        </w:rPr>
        <w:t xml:space="preserve"> </w:t>
      </w:r>
      <w:proofErr w:type="spellStart"/>
      <w:r w:rsidRPr="00974630">
        <w:rPr>
          <w:rFonts w:ascii="Times New Roman" w:hAnsi="Times New Roman" w:cs="Times New Roman"/>
          <w:i/>
          <w:iCs/>
          <w:lang w:val="es-AR"/>
        </w:rPr>
        <w:t>of</w:t>
      </w:r>
      <w:proofErr w:type="spellEnd"/>
      <w:r w:rsidRPr="00974630">
        <w:rPr>
          <w:rFonts w:ascii="Times New Roman" w:hAnsi="Times New Roman" w:cs="Times New Roman"/>
          <w:i/>
          <w:iCs/>
          <w:lang w:val="es-AR"/>
        </w:rPr>
        <w:t xml:space="preserve"> </w:t>
      </w:r>
      <w:proofErr w:type="spellStart"/>
      <w:r w:rsidRPr="00974630">
        <w:rPr>
          <w:rFonts w:ascii="Times New Roman" w:hAnsi="Times New Roman" w:cs="Times New Roman"/>
          <w:i/>
          <w:iCs/>
          <w:lang w:val="es-AR"/>
        </w:rPr>
        <w:t>Studies</w:t>
      </w:r>
      <w:proofErr w:type="spellEnd"/>
      <w:r w:rsidRPr="00974630">
        <w:rPr>
          <w:rFonts w:ascii="Times New Roman" w:hAnsi="Times New Roman" w:cs="Times New Roman"/>
          <w:i/>
          <w:iCs/>
          <w:lang w:val="es-AR"/>
        </w:rPr>
        <w:t xml:space="preserve"> in International </w:t>
      </w:r>
      <w:proofErr w:type="spellStart"/>
      <w:r w:rsidRPr="00974630">
        <w:rPr>
          <w:rFonts w:ascii="Times New Roman" w:hAnsi="Times New Roman" w:cs="Times New Roman"/>
          <w:i/>
          <w:iCs/>
          <w:lang w:val="es-AR"/>
        </w:rPr>
        <w:t>Education</w:t>
      </w:r>
      <w:proofErr w:type="spellEnd"/>
      <w:r w:rsidRPr="00E70B96">
        <w:rPr>
          <w:rFonts w:ascii="Times New Roman" w:hAnsi="Times New Roman" w:cs="Times New Roman"/>
          <w:lang w:val="es-AR"/>
        </w:rPr>
        <w:t xml:space="preserve">, 25(3), 266–282. </w:t>
      </w:r>
      <w:hyperlink r:id="rId11" w:history="1">
        <w:r w:rsidRPr="00974630">
          <w:rPr>
            <w:rStyle w:val="Hipervnculo"/>
            <w:rFonts w:ascii="Times New Roman" w:hAnsi="Times New Roman" w:cs="Times New Roman"/>
            <w:lang w:val="en-US"/>
          </w:rPr>
          <w:t>https://doi.org/10.1177/1028315320906176</w:t>
        </w:r>
      </w:hyperlink>
    </w:p>
    <w:p w14:paraId="5BD87092" w14:textId="77777777" w:rsidR="00974630" w:rsidRPr="00974630" w:rsidRDefault="00974630" w:rsidP="00974630">
      <w:pPr>
        <w:spacing w:line="240" w:lineRule="auto"/>
        <w:jc w:val="both"/>
        <w:rPr>
          <w:rFonts w:ascii="Times New Roman" w:hAnsi="Times New Roman" w:cs="Times New Roman"/>
          <w:lang w:val="es-AR"/>
        </w:rPr>
      </w:pPr>
      <w:r w:rsidRPr="00974630">
        <w:rPr>
          <w:rFonts w:ascii="Times New Roman" w:hAnsi="Times New Roman" w:cs="Times New Roman"/>
          <w:lang w:val="es-AR"/>
        </w:rPr>
        <w:t xml:space="preserve">Perrotta, D. (2008). La cooperación en MERCOSUR: el caso de las universidades. </w:t>
      </w:r>
      <w:r w:rsidRPr="00974630">
        <w:rPr>
          <w:rFonts w:ascii="Times New Roman" w:hAnsi="Times New Roman" w:cs="Times New Roman"/>
          <w:i/>
          <w:iCs/>
          <w:lang w:val="es-AR"/>
        </w:rPr>
        <w:t>Temas</w:t>
      </w:r>
      <w:r w:rsidRPr="00974630">
        <w:rPr>
          <w:rFonts w:ascii="Times New Roman" w:hAnsi="Times New Roman" w:cs="Times New Roman"/>
          <w:lang w:val="es-AR"/>
        </w:rPr>
        <w:t>,</w:t>
      </w:r>
      <w:r w:rsidRPr="00974630">
        <w:rPr>
          <w:rFonts w:ascii="Times New Roman" w:hAnsi="Times New Roman" w:cs="Times New Roman"/>
          <w:i/>
          <w:iCs/>
          <w:lang w:val="es-AR"/>
        </w:rPr>
        <w:t xml:space="preserve"> 54</w:t>
      </w:r>
      <w:r w:rsidRPr="00974630">
        <w:rPr>
          <w:rFonts w:ascii="Times New Roman" w:hAnsi="Times New Roman" w:cs="Times New Roman"/>
          <w:lang w:val="es-AR"/>
        </w:rPr>
        <w:t xml:space="preserve">, 67-76. </w:t>
      </w:r>
    </w:p>
    <w:p w14:paraId="19637DD6" w14:textId="77777777" w:rsidR="00974630" w:rsidRDefault="00974630" w:rsidP="00974630">
      <w:pPr>
        <w:spacing w:line="240" w:lineRule="auto"/>
        <w:jc w:val="both"/>
        <w:rPr>
          <w:rFonts w:ascii="Times New Roman" w:hAnsi="Times New Roman" w:cs="Times New Roman"/>
          <w:lang w:val="es-AR"/>
        </w:rPr>
      </w:pPr>
      <w:r w:rsidRPr="00974630">
        <w:rPr>
          <w:rFonts w:ascii="Times New Roman" w:hAnsi="Times New Roman" w:cs="Times New Roman"/>
          <w:lang w:val="es-AR"/>
        </w:rPr>
        <w:t xml:space="preserve">Perrotta, D. (2008, 10, 11 y 12 de diciembre de 2008). </w:t>
      </w:r>
      <w:r w:rsidRPr="00974630">
        <w:rPr>
          <w:rFonts w:ascii="Times New Roman" w:hAnsi="Times New Roman" w:cs="Times New Roman"/>
          <w:i/>
          <w:iCs/>
          <w:lang w:val="es-AR"/>
        </w:rPr>
        <w:t>Reflexiones sobre la universidad internacionalizada</w:t>
      </w:r>
      <w:r w:rsidRPr="00974630">
        <w:rPr>
          <w:rFonts w:ascii="Times New Roman" w:hAnsi="Times New Roman" w:cs="Times New Roman"/>
          <w:lang w:val="es-AR"/>
        </w:rPr>
        <w:t xml:space="preserve"> V Jornadas de Sociología de la UNLP “Cambios y continuidades sociales y políticas en Argentina y la región en las últimas décadas. Desafíos para el conocimiento social”, La Plata. </w:t>
      </w:r>
    </w:p>
    <w:p w14:paraId="18DF4AB2" w14:textId="77777777" w:rsidR="00974630" w:rsidRPr="00974630" w:rsidRDefault="00974630" w:rsidP="00974630">
      <w:pPr>
        <w:spacing w:line="240" w:lineRule="auto"/>
        <w:jc w:val="both"/>
        <w:rPr>
          <w:rFonts w:ascii="Times New Roman" w:hAnsi="Times New Roman" w:cs="Times New Roman"/>
          <w:lang w:val="es-AR"/>
        </w:rPr>
      </w:pPr>
      <w:r w:rsidRPr="00974630">
        <w:rPr>
          <w:rFonts w:ascii="Times New Roman" w:hAnsi="Times New Roman" w:cs="Times New Roman"/>
          <w:lang w:val="es-AR"/>
        </w:rPr>
        <w:t xml:space="preserve">Perrotta, D. (2012). La dimensión internacional en las actuales condiciones de producción intelectual: entre la potencia creativa y la jaula de hierro. In J. </w:t>
      </w:r>
      <w:proofErr w:type="spellStart"/>
      <w:r w:rsidRPr="00974630">
        <w:rPr>
          <w:rFonts w:ascii="Times New Roman" w:hAnsi="Times New Roman" w:cs="Times New Roman"/>
          <w:lang w:val="es-AR"/>
        </w:rPr>
        <w:t>Naidorf</w:t>
      </w:r>
      <w:proofErr w:type="spellEnd"/>
      <w:r w:rsidRPr="00974630">
        <w:rPr>
          <w:rFonts w:ascii="Times New Roman" w:hAnsi="Times New Roman" w:cs="Times New Roman"/>
          <w:lang w:val="es-AR"/>
        </w:rPr>
        <w:t xml:space="preserve"> &amp; R. Pérez Mora (Eds.), </w:t>
      </w:r>
      <w:r w:rsidRPr="00974630">
        <w:rPr>
          <w:rFonts w:ascii="Times New Roman" w:hAnsi="Times New Roman" w:cs="Times New Roman"/>
          <w:i/>
          <w:iCs/>
          <w:lang w:val="es-AR"/>
        </w:rPr>
        <w:t>Las actuales condiciones de producción intelectual en Argentina, Brasil y México</w:t>
      </w:r>
      <w:r w:rsidRPr="00974630">
        <w:rPr>
          <w:rFonts w:ascii="Times New Roman" w:hAnsi="Times New Roman" w:cs="Times New Roman"/>
          <w:lang w:val="es-AR"/>
        </w:rPr>
        <w:t xml:space="preserve"> (pp. 151-171). Miño y Dávila. </w:t>
      </w:r>
    </w:p>
    <w:p w14:paraId="49413ADF" w14:textId="77777777" w:rsidR="00974630" w:rsidRPr="00974630" w:rsidRDefault="00974630" w:rsidP="00974630">
      <w:pPr>
        <w:spacing w:line="240" w:lineRule="auto"/>
        <w:jc w:val="both"/>
        <w:rPr>
          <w:rFonts w:ascii="Times New Roman" w:hAnsi="Times New Roman" w:cs="Times New Roman"/>
          <w:lang w:val="es-AR"/>
        </w:rPr>
      </w:pPr>
      <w:r w:rsidRPr="00974630">
        <w:rPr>
          <w:rFonts w:ascii="Times New Roman" w:hAnsi="Times New Roman" w:cs="Times New Roman"/>
          <w:lang w:val="es-AR"/>
        </w:rPr>
        <w:t xml:space="preserve">Perrotta, D. (2013). </w:t>
      </w:r>
      <w:r w:rsidRPr="00974630">
        <w:rPr>
          <w:rFonts w:ascii="Times New Roman" w:hAnsi="Times New Roman" w:cs="Times New Roman"/>
          <w:i/>
          <w:iCs/>
          <w:lang w:val="es-AR"/>
        </w:rPr>
        <w:t>El regionalismo de la educación superior en el proceso de integración regional del MERCOSUR: políticas de coordinación, complementación, convergencia y armonización en las iniciativas de acreditación de la calidad de carreras de grado (1998-2012)</w:t>
      </w:r>
      <w:r w:rsidRPr="00974630">
        <w:rPr>
          <w:rFonts w:ascii="Times New Roman" w:hAnsi="Times New Roman" w:cs="Times New Roman"/>
          <w:lang w:val="es-AR"/>
        </w:rPr>
        <w:t xml:space="preserve"> Facultad Latinoamericana de Ciencias Sociales, sede académica Argentina]. Buenos Aires. </w:t>
      </w:r>
    </w:p>
    <w:p w14:paraId="667C5D4B" w14:textId="68C46499" w:rsidR="00974630" w:rsidRPr="00974630" w:rsidRDefault="00974630" w:rsidP="00974630">
      <w:pPr>
        <w:spacing w:line="240" w:lineRule="auto"/>
        <w:jc w:val="both"/>
        <w:rPr>
          <w:rFonts w:ascii="Times New Roman" w:hAnsi="Times New Roman" w:cs="Times New Roman"/>
          <w:lang w:val="es-AR"/>
        </w:rPr>
      </w:pPr>
      <w:r w:rsidRPr="00974630">
        <w:rPr>
          <w:rFonts w:ascii="Times New Roman" w:hAnsi="Times New Roman" w:cs="Times New Roman"/>
          <w:lang w:val="es-AR"/>
        </w:rPr>
        <w:lastRenderedPageBreak/>
        <w:t xml:space="preserve">Perrotta, D. (2016). </w:t>
      </w:r>
      <w:r w:rsidRPr="00974630">
        <w:rPr>
          <w:rFonts w:ascii="Times New Roman" w:hAnsi="Times New Roman" w:cs="Times New Roman"/>
          <w:i/>
          <w:iCs/>
          <w:lang w:val="es-AR"/>
        </w:rPr>
        <w:t>La internacionalización de la universidad: debates globales, acciones regionales</w:t>
      </w:r>
      <w:r w:rsidRPr="00974630">
        <w:rPr>
          <w:rFonts w:ascii="Times New Roman" w:hAnsi="Times New Roman" w:cs="Times New Roman"/>
          <w:lang w:val="es-AR"/>
        </w:rPr>
        <w:t xml:space="preserve">. </w:t>
      </w:r>
      <w:r>
        <w:rPr>
          <w:rFonts w:ascii="Times New Roman" w:hAnsi="Times New Roman" w:cs="Times New Roman"/>
          <w:lang w:val="es-AR"/>
        </w:rPr>
        <w:t xml:space="preserve">Los Polvorines: </w:t>
      </w:r>
      <w:r w:rsidRPr="00974630">
        <w:rPr>
          <w:rFonts w:ascii="Times New Roman" w:hAnsi="Times New Roman" w:cs="Times New Roman"/>
          <w:lang w:val="es-AR"/>
        </w:rPr>
        <w:t xml:space="preserve">IEC-UNGS. </w:t>
      </w:r>
    </w:p>
    <w:p w14:paraId="4C13EFBF" w14:textId="77777777" w:rsidR="00974630" w:rsidRPr="00E70B96" w:rsidRDefault="00974630" w:rsidP="00E70B96">
      <w:pPr>
        <w:spacing w:line="240" w:lineRule="auto"/>
        <w:jc w:val="both"/>
        <w:rPr>
          <w:rFonts w:ascii="Times New Roman" w:hAnsi="Times New Roman" w:cs="Times New Roman"/>
          <w:lang w:val="es-AR"/>
        </w:rPr>
      </w:pPr>
      <w:r w:rsidRPr="00E70B96">
        <w:rPr>
          <w:rFonts w:ascii="Times New Roman" w:hAnsi="Times New Roman" w:cs="Times New Roman"/>
          <w:lang w:val="es-AR"/>
        </w:rPr>
        <w:t xml:space="preserve">Perrotta, D. (2018). Universidad, Internacionalización e Integración Regional: la lucha por un proyecto latinoamericanista de universidad hacia la CRES 2018. In C. Suasnabar, D. Del Valle, A. Didriksson, &amp; L. Korsunsky (Eds.), </w:t>
      </w:r>
      <w:r w:rsidRPr="00E70B96">
        <w:rPr>
          <w:rFonts w:ascii="Times New Roman" w:hAnsi="Times New Roman" w:cs="Times New Roman"/>
          <w:i/>
          <w:iCs/>
          <w:lang w:val="es-AR"/>
        </w:rPr>
        <w:t>Balance y Desafíos hacia la CRES 2018. Cuaderno 1. Aportes para pensar la universidad latinoamericana</w:t>
      </w:r>
      <w:r w:rsidRPr="00E70B96">
        <w:rPr>
          <w:rFonts w:ascii="Times New Roman" w:hAnsi="Times New Roman" w:cs="Times New Roman"/>
          <w:lang w:val="es-AR"/>
        </w:rPr>
        <w:t xml:space="preserve"> (pp. 163-178). IEC-CONADU, CLACSO, UNA. </w:t>
      </w:r>
    </w:p>
    <w:p w14:paraId="33E142A3" w14:textId="77777777" w:rsidR="00974630" w:rsidRPr="00E70B96" w:rsidRDefault="00974630" w:rsidP="00E70B96">
      <w:pPr>
        <w:spacing w:line="240" w:lineRule="auto"/>
        <w:jc w:val="both"/>
        <w:rPr>
          <w:rFonts w:ascii="Times New Roman" w:hAnsi="Times New Roman" w:cs="Times New Roman"/>
          <w:lang w:val="es-AR"/>
        </w:rPr>
      </w:pPr>
      <w:r w:rsidRPr="00E70B96">
        <w:rPr>
          <w:rFonts w:ascii="Times New Roman" w:hAnsi="Times New Roman" w:cs="Times New Roman"/>
          <w:lang w:val="es-AR"/>
        </w:rPr>
        <w:t xml:space="preserve">Perrotta, D., &amp; del Valle, D. (2018). Las redes académicas: entre los discursos y las políticas para la internacionalización con integración regional. In L. Korsunsky, D. del Valle, E. Miranda, &amp; C. Suasnabar (Eds.), </w:t>
      </w:r>
      <w:r w:rsidRPr="00E70B96">
        <w:rPr>
          <w:rFonts w:ascii="Times New Roman" w:hAnsi="Times New Roman" w:cs="Times New Roman"/>
          <w:i/>
          <w:iCs/>
          <w:lang w:val="es-AR"/>
        </w:rPr>
        <w:t>Internacionalización y producción de conocimiento. El aporte de las redes académicas. Cuaderno 3. Aportes para pensar la universidad latinoamericana</w:t>
      </w:r>
      <w:r w:rsidRPr="00E70B96">
        <w:rPr>
          <w:rFonts w:ascii="Times New Roman" w:hAnsi="Times New Roman" w:cs="Times New Roman"/>
          <w:lang w:val="es-AR"/>
        </w:rPr>
        <w:t xml:space="preserve"> (pp. 33-60). IEC-CONADU, CLACSO, UNA. </w:t>
      </w:r>
    </w:p>
    <w:p w14:paraId="63C62F4B" w14:textId="77777777" w:rsidR="00974630" w:rsidRPr="00974630" w:rsidRDefault="00974630" w:rsidP="007B5B5F">
      <w:pPr>
        <w:spacing w:line="240" w:lineRule="auto"/>
        <w:jc w:val="both"/>
        <w:rPr>
          <w:rFonts w:ascii="Times New Roman" w:hAnsi="Times New Roman" w:cs="Times New Roman"/>
          <w:lang w:val="pt-BR"/>
        </w:rPr>
      </w:pPr>
      <w:r w:rsidRPr="00974630">
        <w:rPr>
          <w:rFonts w:ascii="Times New Roman" w:hAnsi="Times New Roman" w:cs="Times New Roman"/>
          <w:lang w:val="es-AR"/>
        </w:rPr>
        <w:t xml:space="preserve">Yue, Y., De Souza, D., &amp; </w:t>
      </w:r>
      <w:proofErr w:type="spellStart"/>
      <w:r w:rsidRPr="00974630">
        <w:rPr>
          <w:rFonts w:ascii="Times New Roman" w:hAnsi="Times New Roman" w:cs="Times New Roman"/>
          <w:lang w:val="es-AR"/>
        </w:rPr>
        <w:t>Townsin</w:t>
      </w:r>
      <w:proofErr w:type="spellEnd"/>
      <w:r w:rsidRPr="00974630">
        <w:rPr>
          <w:rFonts w:ascii="Times New Roman" w:hAnsi="Times New Roman" w:cs="Times New Roman"/>
          <w:lang w:val="es-AR"/>
        </w:rPr>
        <w:t xml:space="preserve">, L. (2023). </w:t>
      </w:r>
      <w:r w:rsidRPr="00974630">
        <w:rPr>
          <w:rFonts w:ascii="Times New Roman" w:hAnsi="Times New Roman" w:cs="Times New Roman"/>
          <w:lang w:val="en-US"/>
        </w:rPr>
        <w:t xml:space="preserve">No human mobility: How is knowledge mobile in a context of </w:t>
      </w:r>
      <w:proofErr w:type="spellStart"/>
      <w:r w:rsidRPr="00974630">
        <w:rPr>
          <w:rFonts w:ascii="Times New Roman" w:hAnsi="Times New Roman" w:cs="Times New Roman"/>
          <w:lang w:val="en-US"/>
        </w:rPr>
        <w:t>internationalisation</w:t>
      </w:r>
      <w:proofErr w:type="spellEnd"/>
      <w:r w:rsidRPr="00974630">
        <w:rPr>
          <w:rFonts w:ascii="Times New Roman" w:hAnsi="Times New Roman" w:cs="Times New Roman"/>
          <w:lang w:val="en-US"/>
        </w:rPr>
        <w:t xml:space="preserve"> at a distance? A case study. Higher Education </w:t>
      </w:r>
      <w:r w:rsidRPr="00974630">
        <w:rPr>
          <w:rFonts w:ascii="Times New Roman" w:hAnsi="Times New Roman" w:cs="Times New Roman"/>
          <w:i/>
          <w:iCs/>
          <w:lang w:val="en-US"/>
        </w:rPr>
        <w:t>Research &amp; Development</w:t>
      </w:r>
      <w:r w:rsidRPr="00974630">
        <w:rPr>
          <w:rFonts w:ascii="Times New Roman" w:hAnsi="Times New Roman" w:cs="Times New Roman"/>
          <w:lang w:val="en-US"/>
        </w:rPr>
        <w:t xml:space="preserve">, 42(5), 1165–1181. </w:t>
      </w:r>
      <w:hyperlink r:id="rId12" w:history="1">
        <w:r w:rsidRPr="00974630">
          <w:rPr>
            <w:rStyle w:val="Hipervnculo"/>
            <w:rFonts w:ascii="Times New Roman" w:hAnsi="Times New Roman" w:cs="Times New Roman"/>
            <w:lang w:val="pt-BR"/>
          </w:rPr>
          <w:t>https://doi.org/10.1080/07294360.2023.2216643</w:t>
        </w:r>
      </w:hyperlink>
      <w:r w:rsidRPr="00974630">
        <w:rPr>
          <w:rFonts w:ascii="Times New Roman" w:hAnsi="Times New Roman" w:cs="Times New Roman"/>
          <w:lang w:val="pt-BR"/>
        </w:rPr>
        <w:t xml:space="preserve"> </w:t>
      </w:r>
    </w:p>
    <w:sectPr w:rsidR="00974630" w:rsidRPr="00974630" w:rsidSect="00701F64">
      <w:headerReference w:type="default" r:id="rId13"/>
      <w:footerReference w:type="default" r:id="rId14"/>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D2B8E" w14:textId="77777777" w:rsidR="00611DE6" w:rsidRPr="00BA642E" w:rsidRDefault="00611DE6" w:rsidP="00C802F5">
      <w:pPr>
        <w:spacing w:after="0" w:line="240" w:lineRule="auto"/>
      </w:pPr>
      <w:r w:rsidRPr="00BA642E">
        <w:separator/>
      </w:r>
    </w:p>
  </w:endnote>
  <w:endnote w:type="continuationSeparator" w:id="0">
    <w:p w14:paraId="5A81D18B" w14:textId="77777777" w:rsidR="00611DE6" w:rsidRPr="00BA642E" w:rsidRDefault="00611DE6"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75A65" w14:textId="77777777" w:rsidR="00611DE6" w:rsidRPr="00BA642E" w:rsidRDefault="00611DE6" w:rsidP="00C802F5">
      <w:pPr>
        <w:spacing w:after="0" w:line="240" w:lineRule="auto"/>
      </w:pPr>
      <w:r w:rsidRPr="00BA642E">
        <w:separator/>
      </w:r>
    </w:p>
  </w:footnote>
  <w:footnote w:type="continuationSeparator" w:id="0">
    <w:p w14:paraId="1B72E46D" w14:textId="77777777" w:rsidR="00611DE6" w:rsidRPr="00BA642E" w:rsidRDefault="00611DE6"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2061AE"/>
    <w:rsid w:val="002327C3"/>
    <w:rsid w:val="002A72E4"/>
    <w:rsid w:val="00312392"/>
    <w:rsid w:val="004040C0"/>
    <w:rsid w:val="00437E9C"/>
    <w:rsid w:val="00550766"/>
    <w:rsid w:val="005F3B2E"/>
    <w:rsid w:val="00611DE6"/>
    <w:rsid w:val="00701F64"/>
    <w:rsid w:val="00704DDE"/>
    <w:rsid w:val="007B5B5F"/>
    <w:rsid w:val="007D233B"/>
    <w:rsid w:val="0085070B"/>
    <w:rsid w:val="00974630"/>
    <w:rsid w:val="00A17247"/>
    <w:rsid w:val="00B1474D"/>
    <w:rsid w:val="00B955A7"/>
    <w:rsid w:val="00BA642E"/>
    <w:rsid w:val="00BC236F"/>
    <w:rsid w:val="00C66ADB"/>
    <w:rsid w:val="00C802F5"/>
    <w:rsid w:val="00C96B2C"/>
    <w:rsid w:val="00CC04C1"/>
    <w:rsid w:val="00D843EC"/>
    <w:rsid w:val="00DF4EE0"/>
    <w:rsid w:val="00E70B96"/>
    <w:rsid w:val="00FE6AB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table" w:styleId="Tablaconcuadrcula1clara-nfasis1">
    <w:name w:val="Grid Table 1 Light Accent 1"/>
    <w:basedOn w:val="Tablanormal"/>
    <w:uiPriority w:val="46"/>
    <w:rsid w:val="00704DDE"/>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ele.uncoma.edu.ar/index.php/redalint/article/view/3667"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doi.org/10.1080/07294360.2023.2193728" TargetMode="External"/><Relationship Id="rId12" Type="http://schemas.openxmlformats.org/officeDocument/2006/relationships/hyperlink" Target="https://doi.org/10.1080/07294360.2023.2216643"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i.org/10.54674/ess.v34i1.526" TargetMode="External"/><Relationship Id="rId11" Type="http://schemas.openxmlformats.org/officeDocument/2006/relationships/hyperlink" Target="https://doi.org/10.1177/1028315320906176"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doi.org/10.54674/ess.v34i1.570" TargetMode="External"/><Relationship Id="rId4" Type="http://schemas.openxmlformats.org/officeDocument/2006/relationships/footnotes" Target="footnotes.xml"/><Relationship Id="rId9" Type="http://schemas.openxmlformats.org/officeDocument/2006/relationships/hyperlink" Target="https://doi.org/10.54674/ess.v34i1.570"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27</Pages>
  <Words>13069</Words>
  <Characters>71884</Characters>
  <Application>Microsoft Office Word</Application>
  <DocSecurity>0</DocSecurity>
  <Lines>599</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Daniela Perrotta</cp:lastModifiedBy>
  <cp:revision>7</cp:revision>
  <dcterms:created xsi:type="dcterms:W3CDTF">2026-07-12T11:57:00Z</dcterms:created>
  <dcterms:modified xsi:type="dcterms:W3CDTF">2026-07-12T12:29:00Z</dcterms:modified>
</cp:coreProperties>
</file>