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Integración de las tecnologías digitales en la Universidad Nacional del Litoral: una mirada desde la gestión académica</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Trombert, Alejandro Raúl</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Bioquímica y Ciencias Biológicas, Universidad Nacional del Litoral</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atrombert@fbcb.unl.edu.ar</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Gramaglia, Carina Verónica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Ciencias Veterinarias, Universidad Nacional del Litoral</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cgramaglia@fcv.unl.edu.ar</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Rudi, Juan Manuel</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Bioquímica y Ciencias Biológicas, Universidad Nacional del Litoral</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jmrudi@fbcb.unl.edu.ar</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Una de las características más relevantes de la sociedad contemporánea es el empleo de nuevas estrategias y recursos para generar e intercambiar información y producir conocimiento, lo que ha transformado radicalmente los modos de interactuar y comunicarse. Esta situación exige a los sistemas educativos que pongan en marcha políticas que faciliten la educación de personas con conocimientos más sofisticados, variados y creativos, y el ámbito universitario no se encuentra libre de estas exigencias. En este contexto, las tecnologías digitales pueden ser herramientas valiosas que permitan desarrollar nuevas metodologías de enseñanza por parte del profesorado con la finalidad de fortalecer el aprendizaje en el alumnado actual. No obstante, su incorporación al sistema educativo no se restringe a la posibilidad de acceder al equipamiento, a los dispositivos, sino que requiere un análisis exhaustivo sobre la relevancia y la calidad de los materiales y las estrategias pedagógicas que pueden implementarse mediante la incorporación de las tecnologías. El presente trabajo, de alcance descriptivo y enfoque cualitativo, pretende analizar las políticas educativas y acciones implementadas en diferentes unidades académicas de la Universidad Nacional del Litoral (UNL) con relación al uso de las tecnologías digitales en la enseñanza de grado. Para ello, y mediante la realización de entrevistas semiestructuradas con preguntas abiertas a responsables de las diferentes secretarías académicas de la institución, se recopiló información relacionada con diversas dimensiones que se pretendían abordar en este estudio, como por ejemplo la gestión y planificación del uso de tecnologías digitales, su inclusión en el curriculum, el desarrollo profesional docente, la cultura digital institucional y los recursos e infraestructura disponibles, entre otros. El estudio preliminar de algunas categorías de análisis permitió conocer que la totalidad de las unidades académicas cuentan con políticas de inclusión de tecnologías digitales para el desarrollo de los espacios curriculares en las carreras de grado, mediante la implementación de programas de capacitación en el manejo de recursos digitales y el desarrollo de ambientes de enseñanza virtuales. Las personas entrevistadas destacan que, si bien no conocen de manera pormenorizada las estrategias de enseñanza utilizadas de las diferentes cátedras, existe una multiplicidad de materiales educativos digitales e intervenciones educativas en línea que acompañan a la enseñanza presencial. Si bien desde la UNL se propician instancias voluntarias y gratuitas de formación en tecnologías digitales para el personal docente, se reconoce que aun hoy persiste cierta resistencia a este tipo de formación, aunque afortunadamente la predisposición es muy buena en la mayoría de los casos. Si bien en los últimos años se han logrado incorporar numerosos recursos tecnológicos, una de las cuestiones remarcadas en muchas entrevistas fue el serio problema de conectividad que dificulta la realización de ciertas actividades, mencionando la necesidad de fortalecer este aspecto.</w:t>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Tecnologías digitales, Gestión académica, Educación mediada por tecnologías, Tecnología educativa. </w:t>
      </w: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término </w:t>
      </w:r>
      <w:r w:rsidDel="00000000" w:rsidR="00000000" w:rsidRPr="00000000">
        <w:rPr>
          <w:rFonts w:ascii="Times New Roman" w:cs="Times New Roman" w:eastAsia="Times New Roman" w:hAnsi="Times New Roman"/>
          <w:i w:val="1"/>
          <w:iCs w:val="1"/>
          <w:rtl w:val="0"/>
        </w:rPr>
        <w:t xml:space="preserve">Millenials</w:t>
      </w:r>
      <w:r w:rsidDel="00000000" w:rsidR="00000000" w:rsidRPr="00000000">
        <w:rPr>
          <w:rFonts w:ascii="Times New Roman" w:cs="Times New Roman" w:eastAsia="Times New Roman" w:hAnsi="Times New Roman"/>
          <w:rtl w:val="0"/>
        </w:rPr>
        <w:t xml:space="preserve"> hace referencia a aquellos individuos nacidos durante la década de 1980 y principios de los 90, quienes han sido testigos del surgimiento de Internet y experimentado la transición entre la vida analógica y la vida digital. A diferencia de éstos, quienes han nacido en los años posteriores, conocidos comúnmente como miembros de la </w:t>
      </w:r>
      <w:r w:rsidDel="00000000" w:rsidR="00000000" w:rsidRPr="00000000">
        <w:rPr>
          <w:rFonts w:ascii="Times New Roman" w:cs="Times New Roman" w:eastAsia="Times New Roman" w:hAnsi="Times New Roman"/>
          <w:i w:val="1"/>
          <w:iCs w:val="1"/>
          <w:rtl w:val="0"/>
        </w:rPr>
        <w:t xml:space="preserve">Generación Z</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han nacido en la era digital y tienen a su alcance, desde temprana edad, una variedad importante de dispositivos digitales que utilizan para actividades de entretenimiento, de comunicación y de información, y para entablar relaciones, muchas de ellas virtuales, con el resto de la sociedad (Granado Palma, 2019).</w:t>
      </w: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se puede negar la apropiación que un alto porcentaje de la población ha hecho de las herramientas tecnológicas, como es el uso de computadoras personales, teléfonos inteligentes o plataformas para el trabajo en línea, y que permiten compilar un caudal de información mucho mayor del que seríamos capaces de almacenar de no existir las mismas. La realidad actual deja en evidencia que las tecnologías están impactando de manera avasallante en la población, sin importar el género, la edad o la condición social de los individuos. Cada vez más tiempo pasamos conectados a nuestros dispositivos tecnológicos, </w:t>
      </w:r>
      <w:r w:rsidDel="00000000" w:rsidR="00000000" w:rsidRPr="00000000">
        <w:rPr>
          <w:rFonts w:ascii="Times New Roman" w:cs="Times New Roman" w:eastAsia="Times New Roman" w:hAnsi="Times New Roman"/>
          <w:rtl w:val="0"/>
        </w:rPr>
        <w:t xml:space="preserve">resignando tiempo con nuestras familias o momentos recreativos y de esparcimiento</w:t>
      </w:r>
      <w:r w:rsidDel="00000000" w:rsidR="00000000" w:rsidRPr="00000000">
        <w:rPr>
          <w:rFonts w:ascii="Times New Roman" w:cs="Times New Roman" w:eastAsia="Times New Roman" w:hAnsi="Times New Roman"/>
          <w:rtl w:val="0"/>
        </w:rPr>
        <w:t xml:space="preserve">, para permanecer sumergidos en el mundo digital (Quesada Vania y Trujano Ruíz, 2015).</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ya que la tecnología por sí sola no puede sustituir la capacidad de razonar y de tomar decisiones que posee un individuo, pero constituye una gran ayuda, dependiendo de cómo se utilice y de la capacidad que se tenga para filtrar la variedad de información que ésta provee. En función de esto, resulta válida la discusión de su inclusión en los diferentes niveles educativos. Enfocándonos específicamente en la enseñanza universitaria, existen preocupaciones comunes y posicionamientos compartidos sobre la enseñanza en este nivel y la compleja trama que se establece entre las prácticas académicas, la cultura digital y los vínculos pedagógicos.</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docencia tradicional del nivel universitario se ha caracterizado por el desarrollo de clases magistrales en donde el profesorado, valiéndose de la bibliografía básica de la asignatura, expone sus conocimientos y el alumnado incorpora los conceptos, para finalmente ser examinados en una instancia de evaluación (Ausín et al., 2016). La enseñanza impartida en este tipo de formato educativo suele ser netamente de tipo transmisivo. En algunos casos </w:t>
      </w:r>
      <w:r w:rsidDel="00000000" w:rsidR="00000000" w:rsidRPr="00000000">
        <w:rPr>
          <w:rFonts w:ascii="Times New Roman" w:cs="Times New Roman" w:eastAsia="Times New Roman" w:hAnsi="Times New Roman"/>
          <w:rtl w:val="0"/>
        </w:rPr>
        <w:t xml:space="preserve">sin detenerse a analizar exhaustivamente si los contenidos disciplinares fueron comprendidos e incorporados por el estudiantado, si dichos contenidos resultan ser relevantes para los intereses y necesidades actuales o si el alumnado es capaz de poder reproducir y resignificar, ya sea de manera escrita u oral, lo aprendido.</w:t>
      </w:r>
      <w:r w:rsidDel="00000000" w:rsidR="00000000" w:rsidRPr="00000000">
        <w:rPr>
          <w:rFonts w:ascii="Times New Roman" w:cs="Times New Roman" w:eastAsia="Times New Roman" w:hAnsi="Times New Roman"/>
          <w:rtl w:val="0"/>
        </w:rPr>
        <w:t xml:space="preserve"> Es sabido que un estudiante que no logra conectar con un determinado conocimiento, probablemente recepcione pasivamente la información y finja estar prestando atención en clase, olvidando fácilmente ese concepto al no encontrar conexión con la realidad o con algún tema que sea de su interés (Ramos Mejía, 2020).</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alumnado universitario permanentemente recurre a estrategias de estudio innovadoras y utiliza diferentes recursos para superar con éxito las etapas del aprendizaje. La utilización de nuevas herramientas tecnológicas es un ejemplo claro de lo mencionado anteriormente. La educación no es ajena a esta realidad y este nuevo contexto ha obligado al profesorado a generar nuevas estrategias de abordaje de los contenidos y ha fomentado la necesidad de revisar las planificaciones y las prácticas educativas vigentes.</w:t>
      </w: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Sólo un par de años después de la aparición formal del proyecto </w:t>
      </w:r>
      <w:r w:rsidDel="00000000" w:rsidR="00000000" w:rsidRPr="00000000">
        <w:rPr>
          <w:rFonts w:ascii="Times New Roman" w:cs="Times New Roman" w:eastAsia="Times New Roman" w:hAnsi="Times New Roman"/>
          <w:i w:val="1"/>
          <w:iCs w:val="1"/>
          <w:rtl w:val="0"/>
        </w:rPr>
        <w:t xml:space="preserve">Sociedad de la Información</w:t>
      </w:r>
      <w:r w:rsidDel="00000000" w:rsidR="00000000" w:rsidRPr="00000000">
        <w:rPr>
          <w:rFonts w:ascii="Times New Roman" w:cs="Times New Roman" w:eastAsia="Times New Roman" w:hAnsi="Times New Roman"/>
          <w:rtl w:val="0"/>
        </w:rPr>
        <w:t xml:space="preserve">, concebido entre 1991 y 1994, la UNESCO propuso la inclusión de las nuevas tecnologías en la educación superior, definiendo líneas de acción a corto, mediano y largo plazo para pensar en una mejora y transformación de la educación superior (Becerra, 2010). En este sentido, y ya sobre principios de este nuevo siglo, Alicia de Alba (2002) interpelaba a los actores universitarios a analizar las prácticas docentes e incitaba a transformarlas. Como respuesta a este nuevo panorama, han surgido nuevas metodologías de enseñanza, que tienen por objetivo, a través de la implementación de diseños curriculares dinámicos y flexibles, promulgar una innovación a nivel educativo y que implica el desarrollo de alternativas de enseñanza superadoras a las tradicionales, que estimulen la curiosidad, la motivación y la capacidad creativa del estudiantado, facilitando así los procesos de enseñanza y de aprendizaje (de Longhi, 2005). La enseñanza mediada por recursos multimedia (López et al., 2019; Orrego Riofrío y Aimacaña Pinduisaca, 2018; Raviolo, 2019), la gamificación (Corchuelo Rodríguez, 2018; Rodríguez Jiménez et al., 2019), o propuestas basadas en el aprendizaje colaborativo (Dejo Oricain, 2015; Roselli, 2016) son algunos ejemplos adecuados de estas nuevas metodologías desarrolladas.</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últimas décadas, se ha observado cómo la tecnología digital ha modificado la concepción tradicional de docencia y de enseñanza (Marcelo y Rijo, 2019), estimulando una </w:t>
      </w:r>
      <w:r w:rsidDel="00000000" w:rsidR="00000000" w:rsidRPr="00000000">
        <w:rPr>
          <w:rFonts w:ascii="Times New Roman" w:cs="Times New Roman" w:eastAsia="Times New Roman" w:hAnsi="Times New Roman"/>
          <w:i w:val="1"/>
          <w:iCs w:val="1"/>
          <w:rtl w:val="0"/>
        </w:rPr>
        <w:t xml:space="preserve">migración mental</w:t>
      </w:r>
      <w:r w:rsidDel="00000000" w:rsidR="00000000" w:rsidRPr="00000000">
        <w:rPr>
          <w:rFonts w:ascii="Times New Roman" w:cs="Times New Roman" w:eastAsia="Times New Roman" w:hAnsi="Times New Roman"/>
          <w:rtl w:val="0"/>
        </w:rPr>
        <w:t xml:space="preserve">, que implica operar sobre uno mismo, haciendo uso de estas nuevas tecnologías para poder desarrollar nuevas estrategias de enseñanza de manera creativa (Pinto, 2019). En el contexto actual, ese lugar del hacer docente y de las relaciones académico-pedagógicas, también se encuentra interpelado y atravesado por las mediatizaciones tecno-comunicacionales digitales y por la conectividad (Ambrosino y Bernik, 2022). Según estas autoras, la educación superior en sus modalidades pedagógicas tradicionales (presencial y a distancia) empiezan a encontrar puntos en común. Transitan un proceso dialéctico de estabilización y desestabilización que da cuenta de prácticas que convergen en una materialidad transmedial. </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modo de ejemplo y con relación a lo mencionado en el párrafo anterior, Mishra y Koehler (2006), apoyados en las ideas del Conocimiento Didáctico del Contenido planteadas por Shulman (1986), formularon el </w:t>
      </w:r>
      <w:r w:rsidDel="00000000" w:rsidR="00000000" w:rsidRPr="00000000">
        <w:rPr>
          <w:rFonts w:ascii="Times New Roman" w:cs="Times New Roman" w:eastAsia="Times New Roman" w:hAnsi="Times New Roman"/>
          <w:i w:val="1"/>
          <w:iCs w:val="1"/>
          <w:rtl w:val="0"/>
        </w:rPr>
        <w:t xml:space="preserve">modelo TPACK</w:t>
      </w:r>
      <w:r w:rsidDel="00000000" w:rsidR="00000000" w:rsidRPr="00000000">
        <w:rPr>
          <w:rFonts w:ascii="Times New Roman" w:cs="Times New Roman" w:eastAsia="Times New Roman" w:hAnsi="Times New Roman"/>
          <w:rtl w:val="0"/>
        </w:rPr>
        <w:t xml:space="preserve"> (acrónimo del inglés Technological Pedagogical Content Knowledge, Figura 1), que se refiere a los conocimientos que todo docente debe dominar para poder incorporar la tecnología de manera efectiva en un aula, y promover así un aprendizaje significativo en los estudiantes. Según estos autores, el profesorado necesita desarrollar </w:t>
      </w:r>
      <w:r w:rsidDel="00000000" w:rsidR="00000000" w:rsidRPr="00000000">
        <w:rPr>
          <w:rFonts w:ascii="Times New Roman" w:cs="Times New Roman" w:eastAsia="Times New Roman" w:hAnsi="Times New Roman"/>
          <w:i w:val="1"/>
          <w:iCs w:val="1"/>
          <w:rtl w:val="0"/>
        </w:rPr>
        <w:t xml:space="preserve">contenidos pedagógicos</w:t>
      </w:r>
      <w:r w:rsidDel="00000000" w:rsidR="00000000" w:rsidRPr="00000000">
        <w:rPr>
          <w:rFonts w:ascii="Times New Roman" w:cs="Times New Roman" w:eastAsia="Times New Roman" w:hAnsi="Times New Roman"/>
          <w:rtl w:val="0"/>
        </w:rPr>
        <w:t xml:space="preserve">, que son aquellos relacionados a los procesos y prácticas que podrían aplicarse en un aula como parte del proceso de enseñanza; </w:t>
      </w:r>
      <w:r w:rsidDel="00000000" w:rsidR="00000000" w:rsidRPr="00000000">
        <w:rPr>
          <w:rFonts w:ascii="Times New Roman" w:cs="Times New Roman" w:eastAsia="Times New Roman" w:hAnsi="Times New Roman"/>
          <w:i w:val="1"/>
          <w:iCs w:val="1"/>
          <w:rtl w:val="0"/>
        </w:rPr>
        <w:t xml:space="preserve">contenidos disciplinares</w:t>
      </w:r>
      <w:r w:rsidDel="00000000" w:rsidR="00000000" w:rsidRPr="00000000">
        <w:rPr>
          <w:rFonts w:ascii="Times New Roman" w:cs="Times New Roman" w:eastAsia="Times New Roman" w:hAnsi="Times New Roman"/>
          <w:rtl w:val="0"/>
        </w:rPr>
        <w:t xml:space="preserve">, es decir, los contenidos reales que se tienen que conocer sobre el tema que se está enseñando, y </w:t>
      </w:r>
      <w:r w:rsidDel="00000000" w:rsidR="00000000" w:rsidRPr="00000000">
        <w:rPr>
          <w:rFonts w:ascii="Times New Roman" w:cs="Times New Roman" w:eastAsia="Times New Roman" w:hAnsi="Times New Roman"/>
          <w:i w:val="1"/>
          <w:iCs w:val="1"/>
          <w:rtl w:val="0"/>
        </w:rPr>
        <w:t xml:space="preserve">contenidos tecnológicos</w:t>
      </w:r>
      <w:r w:rsidDel="00000000" w:rsidR="00000000" w:rsidRPr="00000000">
        <w:rPr>
          <w:rFonts w:ascii="Times New Roman" w:cs="Times New Roman" w:eastAsia="Times New Roman" w:hAnsi="Times New Roman"/>
          <w:rtl w:val="0"/>
        </w:rPr>
        <w:t xml:space="preserve">, que implican saber manejar adecuadamente las diferentes tecnologías que pueden utilizarse en una clase. Ahora bien, no basta con comprender cada uno de estos conocimientos de manera aislada, sino que además se requiere entender cómo articulan cuando interactúan entre sí, teniendo en cuenta además en contexto de trabajo (Cabero Almenara et al., 2015).  </w:t>
      </w:r>
    </w:p>
    <w:p w:rsidR="00000000" w:rsidDel="00000000" w:rsidP="00000000" w:rsidRDefault="00000000" w:rsidRPr="00000000" w14:paraId="0000001C">
      <w:pPr>
        <w:spacing w:line="240" w:lineRule="auto"/>
        <w:jc w:val="center"/>
        <w:rPr>
          <w:rFonts w:ascii="Times New Roman" w:cs="Times New Roman" w:eastAsia="Times New Roman" w:hAnsi="Times New Roman"/>
        </w:rPr>
      </w:pPr>
      <w:r w:rsidDel="00000000" w:rsidR="00000000" w:rsidRPr="00000000">
        <w:rPr/>
        <w:drawing>
          <wp:inline distB="0" distT="0" distL="0" distR="0">
            <wp:extent cx="2492312" cy="2322863"/>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492312" cy="2322863"/>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1: Modelo TPACK (Technological Pedagogical Content Knowledge), propuesto por Mishra y Koehler (2006). Fuente: </w:t>
      </w:r>
      <w:hyperlink r:id="rId8">
        <w:r w:rsidDel="00000000" w:rsidR="00000000" w:rsidRPr="00000000">
          <w:rPr>
            <w:rFonts w:ascii="Times New Roman" w:cs="Times New Roman" w:eastAsia="Times New Roman" w:hAnsi="Times New Roman"/>
            <w:color w:val="0563c1"/>
            <w:u w:val="single"/>
            <w:rtl w:val="0"/>
          </w:rPr>
          <w:t xml:space="preserve">http://www.tpack.org</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pandemia nos obligó a darnos cuenta de la necesidad de implementar modelos de enseñanza híbrida, y si bien durante este período, en palabras de Maggio (2022), “se hizo lo que se pudo”, los y las docentes tuvieron que aprender a navegar las aguas de la virtualidad, generando instancias de enseñanza y de aprendizaje presenciales y remotas, y que se han constituido en una alternativa necesaria y valiosa para dar respuesta a los principales desafíos actuales de la educación. La coyuntura vivida permitió avanzar hacia la construcción de sistemas educativos inclusivos, basados en una mejor y más potente presencialidad mediada por tecnologías digitales y enriquecida por el trabajo a distancia que siente las bases para una educación de calidad en el mediano y largo plazo (Soletic, 2021).</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idea de hibridación no se limita, por lo tanto, a la distribución de la enseñanza en instancias presenciales y virtuales, o a la asignación de tareas o actividades que tanto docentes como estudiantes deben realizar en el aula o fuera de ella. Partiendo de un enfoque que busca superar los usos instrumentales de las tecnologías, las experiencias educativas híbridas proponen articular y ensamblar en una experiencia unificada lo que sucede tanto en la virtualidad con lo que ocurre en la presencialidad, apartándose de una lógica binaria (Maggio, 2021). En este sentido, pensar la hibridación presencial/virtual de la enseñanza implica construir un marco para proyectar hacia el futuro un sistema educativo que pueda dialogar con la cultura digital, que reconozca y asuma la alteración del espacio y del tiempo que caracteriza el escenario contemporáneo (Baricco, 2019) y ofrezca experiencias relevantes centradas en el alumnado, atentas a la diversidad de situaciones y contextos, y con foco en el desarrollo de capacidades para pensar de manera crítica, interactuar con otros, resolver problemas y fortalecer su autonomía (Arias Ortíz et al., 2020).</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instituciones académicas deben motivar el uso de las tecnologías digitales para el desarrollo de actividades relacionadas con el aprendizaje, aunque esto implique una minuciosa planificación de las prácticas educativas y propiciar una capacitación docente adecuada en el manejo de estas herramientas, que debiera estar contemplada en los currículos de formación del profesorado para permitir la transferencia de estos conocimientos a sus alumnos y alumnas (Urzúa et al., 2020). Solo cuando el profesorado percibe que la tecnología es útil y fácil de usar, se incrementa significativamente su intención de uso, aun cuando no se tenga una actitud positiva frente a las mismas (Assinnato et al., 2018). </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escenario actual exige la implementación de prácticas educativas creativas y originales destinadas a estudiantes que difieren notablemente de aquellos que acompañaron los inicios de la enseñanza superior (Lion y Maggio, 2019). Por otra parte, la UNESCO recientemente ha establecido al aprendizaje digital como una de sus prioridades en su agenda política mundial (Chinguel Fuentes y Heredia Llatas, 2026). Y en este nuevo contexto, las universidades reconocen el impacto de las transformaciones digitales y avanzan, desde el ámbito de la gestión institucional, en la ampliación del acceso a las tecnologías digitales y en la transformación de los currículos, pretendiendo que sean abordados desde perspectivas críticas y reflexivas, apoyando el desarrollo de proyectos pedagógicos a mediano y largo plazo, y estimulando la realización de actividades que no limiten al interior de las aulas (Maggio, 2020). Por esta razón es que la incorporación de las tecnologías digitales no debe pensarse solamente como la adquisición de infraestructura tecnológica o la digitalización de los materiales didácticos, sino que implica implementar estrategias de enseñanza mediadas por tecnologías y que impliquen un trabajo coordinado entre distintos ámbitos de la institución (equipo de gestión, cuerpo docente, especialistas en sistemas de la información, gabinete pedagógico), teniendo en cuenta las particularidades y contexto de las mismas (Ramos-Zaga, 2024; Romero Carbonell et al., 2023). Sin embargo, es sabido que en las universidades latinoamericanas esto puede resultar un poco complejo, dado que existen dificultades operativas y una brecha digital indiscutible que pueden limitar la capacidad para materializar estas intenciones (Luna Velázquez, 2024). </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lo expresado en el párrafo anterior, la Universidad Nacional del Litoral (UNL), mediante el Centro de Educación y Tecnologías (CEDyT), promueve espacios y propuestas formativas orientadas a sus docentes en temáticas referidas a la educación superior y mediación tecnológica. En este sentido, propone una serie de acciones que atienden a las prácticas pedagógicas mediadas en diferentes escenarios, campos disciplinares y modalidades curriculares (presencial y a distancia), propiciando la formación de comunidades de práctica que utilizan tecnologías educativas apropiadas.</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Comisión Nacional de Evaluación y Acreditación Universitaria evaluó el Sistema Institucional de Educación a Distancia de la UNL (SIED UNL), sugiriendo su validación ante la SPU, por Resolución CONEAU Nro. 41/19. Por su parte, en el año 2019 la UNL obtiene la validación de la Secretaría de Políticas Universitarias, del Ministerio de Educación de la Nación, por Resolución Nro. 165/19 de la Opción Pedagógica y Didáctica de Educación a Distancia, de acuerdo a la Resolución del Ministerio de Educación de la Nación Nº2641/17; con alcance a todas las categorías de carreras que titulan en pre-grado, grado y posgrados universitarios.</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universidad desarrolla las acciones de política académica en la temática con visión de sistema desde sus inicios creación del Sistema de Educación a Distancia (EaD) y las diversas acciones establecidas en los planes de desarrollo institucional (PDI). UNLVirtual da cuenta de las características y condiciones propias de la opción pedagógica a distancia de la UNL. En esta línea se enmarca el desarrollo de propuestas formativas de pregrado, grado y posgrado, de capacitación y de formación continua que realiza la UNL. La gestión del SIED se realiza de forma transversal entre la unidad central y las unidades académicas que constituyen esta Universidad. El cuerpo normativo del SIED y sus acciones derivadas se encuadran en las validaciones de los órganos de gobierno de la UNL (unidades ejecutivas y consejos, según corresponda).  </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período post-pandemia se observa un fenómeno de mayor participación del CEDyT y los referentes tecnopedagógicos de las unidades académicas no solo en lo que refiere a las propuestas a distancia sino que también en la mediación tecnológica en el marco del desarrollo de aquellas titulaciones de pregrado, grado y posgrado que han sido validadas en la modalidad presencial.</w:t>
      </w:r>
    </w:p>
    <w:p w:rsidR="00000000" w:rsidDel="00000000" w:rsidP="00000000" w:rsidRDefault="00000000" w:rsidRPr="00000000" w14:paraId="0000002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se realizó en el marco del Proyecto de Investigación CAI+D 2024 “Inteligencia artificial y otras mediaciones tecnológicas en la enseñanza universitaria: innovaciones didácticas, percepciones de los actores, políticas institucionales y aspectos éticos”, financiado por la UNL, con el propósito de relevar las políticas de implementación de tecnologías digitales en la enseñanza de grado de diferentes unidades académicas de la institución mencionada. Para ello, se propuso una investigación de alcance descriptivo y enfoque cualitativo, cuya principal actividad fue la realización de entrevistas semiestructuradas a </w:t>
      </w:r>
      <w:r w:rsidDel="00000000" w:rsidR="00000000" w:rsidRPr="00000000">
        <w:rPr>
          <w:rFonts w:ascii="Times New Roman" w:cs="Times New Roman" w:eastAsia="Times New Roman" w:hAnsi="Times New Roman"/>
          <w:rtl w:val="0"/>
        </w:rPr>
        <w:t xml:space="preserve">responsables de la Secretaría Académica de siete facultades de la UNL</w:t>
      </w:r>
      <w:r w:rsidDel="00000000" w:rsidR="00000000" w:rsidRPr="00000000">
        <w:rPr>
          <w:rFonts w:ascii="Times New Roman" w:cs="Times New Roman" w:eastAsia="Times New Roman" w:hAnsi="Times New Roman"/>
          <w:rtl w:val="0"/>
        </w:rPr>
        <w:t xml:space="preserve">. Es deseable aclarar que, por cuestiones de agenda durante el período en que se realizó esta investigación, los responsables académicos de las tres facultades restantes no pudieron participar de la propuesta. Las entrevistas, que se constituyen como una técnica de recolección de datos muy utilizada en la investigación cualitativa y cuyo objetivo es obtener información sobre aspectos subjetivos y acontecimientos vividos por una persona con relación a una situación que se esté investigando (Ruiz Olabuénaga, 2012), se realizaron de manera presencial y fueron registradas utilizando dispositivos digitales, luego de solicitar autorización expresa de las personas participantes. Las preguntas realizadas versaron en torno a cinco cuestiones que resultaron interesantes de relevar: </w:t>
      </w:r>
      <w:r w:rsidDel="00000000" w:rsidR="00000000" w:rsidRPr="00000000">
        <w:rPr>
          <w:rFonts w:ascii="Times New Roman" w:cs="Times New Roman" w:eastAsia="Times New Roman" w:hAnsi="Times New Roman"/>
          <w:i w:val="1"/>
          <w:iCs w:val="1"/>
          <w:rtl w:val="0"/>
        </w:rPr>
        <w:t xml:space="preserve">visión institucional sobre las tecnologías digitales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gestión y planificación de la incorporación de tecnologías digitales en la enseñanza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utilización efectiva de dichas tecnologías en el desarrollo curricular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desarrollo profesional docente y cultura digital</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i w:val="1"/>
          <w:iCs w:val="1"/>
          <w:rtl w:val="0"/>
        </w:rPr>
        <w:t xml:space="preserve">recursos digitales e infraestructura tecnológica disponibles</w:t>
      </w:r>
      <w:r w:rsidDel="00000000" w:rsidR="00000000" w:rsidRPr="00000000">
        <w:rPr>
          <w:rFonts w:ascii="Times New Roman" w:cs="Times New Roman" w:eastAsia="Times New Roman" w:hAnsi="Times New Roman"/>
          <w:rtl w:val="0"/>
        </w:rPr>
        <w:t xml:space="preserve">. Para el procesamiento de las entrevistas, se utilizaron herramientas de Inteligencia Artificial (IA) como Google NotebookLM y otras incorporadas en Microsoft 365.</w:t>
      </w:r>
    </w:p>
    <w:p w:rsidR="00000000" w:rsidDel="00000000" w:rsidP="00000000" w:rsidRDefault="00000000" w:rsidRPr="00000000" w14:paraId="00000028">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Visiones institucionales sobre las tecnologías digitales</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integración de las tecnologías digitales en las diferentes unidades académicas de la UNL ha dejado de ser una estrategia necesaria para dar respuesta a una situación de emergencia en particular, como, por ejemplo, la vivida durante la pandemia del COVID-19, sino que se ha transformado en un pilar fundamental de la política institucional. Desde la perspectiva de la gestión académica, todas las personas entrevistadas coinciden en afirmar que la universidad se encuentra en un período de transición crítica: actualmente se está transitando el paso de la alfabetización digital instrumental hacia una verdadera incorporación de las tecnologías digitales en el ámbito educativo. Este proceso no implica simplemente dotar de equipamiento a las aulas, sino que también necesita obligadamente reconfigurar los procesos de enseñanza y de aprendizaje, con la intención de fomentar el desarrollo de nuevas competencias en los y las profesionales que egresan del nivel universitario. Desde la gestión universitaria se ha comprendido que las competencias tecnológicas son necesarias para una adecuada inserción en el mercado laboral y ya no se constituyen como una excepción, sino como parte de una norma.</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riqueza de este proceso de transformación radica en que las diferentes unidades académicas utilizan enfoques diversos en función de sus contextos, por lo que no podemos concluir que existe una receta única, sino una adaptación de los procedimientos en función de cada realidad. En este sentido, la visión de la Facultad de Ciencias Agrarias (FCA) se articula bajo el paradigma de la </w:t>
      </w:r>
      <w:r w:rsidDel="00000000" w:rsidR="00000000" w:rsidRPr="00000000">
        <w:rPr>
          <w:rFonts w:ascii="Times New Roman" w:cs="Times New Roman" w:eastAsia="Times New Roman" w:hAnsi="Times New Roman"/>
          <w:i w:val="1"/>
          <w:iCs w:val="1"/>
          <w:rtl w:val="0"/>
        </w:rPr>
        <w:t xml:space="preserve">Inteligencia Humana Aumentada</w:t>
      </w:r>
      <w:r w:rsidDel="00000000" w:rsidR="00000000" w:rsidRPr="00000000">
        <w:rPr>
          <w:rFonts w:ascii="Times New Roman" w:cs="Times New Roman" w:eastAsia="Times New Roman" w:hAnsi="Times New Roman"/>
          <w:rtl w:val="0"/>
        </w:rPr>
        <w:t xml:space="preserve">, donde la tecnología no se visualiza como un agregado externo, sino como una evolución de las técnicas de trabajo originales inherentes a la agronomía. La propuesta estratégica de esta unidad académica es ver a la tecnología, y en especial a la IA, como una herramienta adicional que potencia la capacidad humana de análisis en los diferentes procedimientos. En palabras de su gestión, se busca evitar que la máquina reemplace al profesional, por lo que el proceso se enfoca en demostrar cómo un ingeniero agrónomo puede arribar a mejores soluciones utilizando datos masivos (Big Data) e Internet de las Cosas.</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visión de la Facultad de Ciencias Económicas (FCE) es más pragmática: el profesional de las áreas económicas interactuará en su vida laboral con sistemas contables y operativos digitales, no con formularios de papel. Por ello, la integración tecnológica es vista como una competencia profesional crítica para la inserción laboral inmediata y se ha establecido como una filosofía de formación, más allá de un objetivo administrativo de sustentabilidad.</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Otras unidades académicas implementan programas específicos mediados por tecnologías. Tal es el caso de la Facultad de Bioquímica y Ciencias Biológicas (FBCB) que, a través del </w:t>
      </w:r>
      <w:r w:rsidDel="00000000" w:rsidR="00000000" w:rsidRPr="00000000">
        <w:rPr>
          <w:rFonts w:ascii="Times New Roman" w:cs="Times New Roman" w:eastAsia="Times New Roman" w:hAnsi="Times New Roman"/>
          <w:i w:val="1"/>
          <w:iCs w:val="1"/>
          <w:rtl w:val="0"/>
        </w:rPr>
        <w:t xml:space="preserve">Programa VEST (Virtualización de la Enseñanza Superior)</w:t>
      </w:r>
      <w:r w:rsidDel="00000000" w:rsidR="00000000" w:rsidRPr="00000000">
        <w:rPr>
          <w:rFonts w:ascii="Times New Roman" w:cs="Times New Roman" w:eastAsia="Times New Roman" w:hAnsi="Times New Roman"/>
          <w:rtl w:val="0"/>
        </w:rPr>
        <w:t xml:space="preserve">, busca romper con la dicotomía presencial/remoto. Su enfoque se centra en crear entornos donde la teoría y la experimentación en laboratorio se fundan mediante la utilización de herramientas (aulas híbridas y simuladores) que permitan una bimodalidad real y efectiva.</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Facultad de Ciencias Jurídicas y Sociales (FCJS), la tecnología no se percibe como una asignatura aislada, sino como un elemento que atraviesa todo el ordenamiento jurídico. En palabras de su secretaria académica, el foco estratégico está en el uso de la IA para la búsqueda de jurisprudencia y la redacción de escritos, pero con un fuerte énfasis en la responsabilidad legal, con la finalidad de evitar las alucinaciones de los algoritmos, que ya han derivado en sanciones a profesionales. Por otra parte, la integración de la tecnología con la finalidad de mejorar la observación de procedimientos y la gestión clínica es uno de los pilares de la Facultad de Ciencias Veterinarias (FCV), buscando que la digitalización sea un soporte que potencie la presencialidad en el campo y en el hospital. En otras palabras, las tecnologías digitales se emplean con la finalidad de “fortalecer las prácticas reales”.</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Facultad de Humanidades y Ciencias (FHUC) se observa un importante interés por la formación docente. Su secretaria académica destaca que durante la pandemia se implementaron numerosos talleres de formación docente con relación a los recursos digitales que podían utilizarse en la enseñanza remota de emergencia. Sin embargo, esta capacitación continúa vigente a pesar del regreso a la presencialidad plena. Actualmente se intenta que los y las docentes participen activamente de los talleres de capacitación impartidos desde el CEDyT y se ha desarrollado un micrositio dentro de la página web institucional con diferentes recursos de elaboración propia, aunque también se incorporan materiales de la RUEDA (Red Universitaria de Educación a Distancia de Argentina) y del CIN (Consejo Interuniversitario Nacional). En sintonía con lo anterior, la Facultad de Ingeniería y Ciencias Hídricas (FICH) ha desarrollado la </w:t>
      </w:r>
      <w:r w:rsidDel="00000000" w:rsidR="00000000" w:rsidRPr="00000000">
        <w:rPr>
          <w:rFonts w:ascii="Times New Roman" w:cs="Times New Roman" w:eastAsia="Times New Roman" w:hAnsi="Times New Roman"/>
          <w:i w:val="1"/>
          <w:iCs w:val="1"/>
          <w:rtl w:val="0"/>
        </w:rPr>
        <w:t xml:space="preserve">Plataforma e-FICH</w:t>
      </w:r>
      <w:r w:rsidDel="00000000" w:rsidR="00000000" w:rsidRPr="00000000">
        <w:rPr>
          <w:rFonts w:ascii="Times New Roman" w:cs="Times New Roman" w:eastAsia="Times New Roman" w:hAnsi="Times New Roman"/>
          <w:rtl w:val="0"/>
        </w:rPr>
        <w:t xml:space="preserve">, un espacio que utiliza Moodle como software de soporte y que es empleado como complemento de la enseñanza presencial y como medio de comunicación con el alumnado. Esta Facultad también ha tenido a lo largo del tiempo una fuerte impronta de capacitación docente, ofreciendo talleres de formación optativos relacionados con el manejo de esta plataforma y de recursos digitales disponibles para la enseñanza.</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es importante destacar que en todas las facultades, a medida que avance la implementación del </w:t>
      </w:r>
      <w:r w:rsidDel="00000000" w:rsidR="00000000" w:rsidRPr="00000000">
        <w:rPr>
          <w:rFonts w:ascii="Times New Roman" w:cs="Times New Roman" w:eastAsia="Times New Roman" w:hAnsi="Times New Roman"/>
          <w:i w:val="1"/>
          <w:iCs w:val="1"/>
          <w:rtl w:val="0"/>
        </w:rPr>
        <w:t xml:space="preserve">Sistema SACAU (Sistema Argentino de Créditos Académicos Universitarios</w:t>
      </w:r>
      <w:r w:rsidDel="00000000" w:rsidR="00000000" w:rsidRPr="00000000">
        <w:rPr>
          <w:rFonts w:ascii="Times New Roman" w:cs="Times New Roman" w:eastAsia="Times New Roman" w:hAnsi="Times New Roman"/>
          <w:rtl w:val="0"/>
        </w:rPr>
        <w:t xml:space="preserve">) como eje vertebral, se posibilitará normatizar los porcentajes de virtualidad y bimodalidad y el reconocimiento del trabajo autónomo del estudiante mediado por tecnologías digitales. Esta estructura común actúa como marco de referencia sobre el cual cada unidad académica despliega su estrategia particular de transformación digital.</w:t>
      </w:r>
    </w:p>
    <w:p w:rsidR="00000000" w:rsidDel="00000000" w:rsidP="00000000" w:rsidRDefault="00000000" w:rsidRPr="00000000" w14:paraId="00000030">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¿Cómo se gestionan y planifican las tecnologías digitales en las unidades académicas?</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y las referentes académicos entrevistados coinciden en afirmar que, en contextos de alta incertidumbre y restricción presupuestaria como los que se viven en la actualidad, la planificación formal y la gestión estratégica de las tecnologías digitales permite una implementación sostenible de las mismas, optimizando los recursos escasos existentes. Sin embargo, a pesar de los contextos similares y de que la visión institucional es generalmente favorable, los enfoques de planificación varían significativamente entre facultades.</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FBCB canaliza esta gestión mediante la </w:t>
      </w:r>
      <w:r w:rsidDel="00000000" w:rsidR="00000000" w:rsidRPr="00000000">
        <w:rPr>
          <w:rFonts w:ascii="Times New Roman" w:cs="Times New Roman" w:eastAsia="Times New Roman" w:hAnsi="Times New Roman"/>
          <w:i w:val="1"/>
          <w:iCs w:val="1"/>
          <w:rtl w:val="0"/>
        </w:rPr>
        <w:t xml:space="preserve">Unidad de Virtualización de la Enseñanza (UVE)</w:t>
      </w:r>
      <w:r w:rsidDel="00000000" w:rsidR="00000000" w:rsidRPr="00000000">
        <w:rPr>
          <w:rFonts w:ascii="Times New Roman" w:cs="Times New Roman" w:eastAsia="Times New Roman" w:hAnsi="Times New Roman"/>
          <w:rtl w:val="0"/>
        </w:rPr>
        <w:t xml:space="preserve">, conformada por referentes expertos que trabajan en red con la Dirección General de Tecnología (DIGETIC) de la UNL. Este enfoque de trabajo permitió ejecutar el Programa VEST antes mencionado, que cuenta con financiamiento nacional y gracias al que se han realizado intervenciones físicas de alta precisión, como por ejemplo el equipamiento completo y la optimización de la acústica de dos Aulas Híbridas de Alta Interacción. En la FHUC, la pandemia fue el punto de quiebre que obligó a generar equipos de virtualización de contingencia y a centralizar políticas de tecnologías digitales, que antes dependían exclusivamente de inquietudes individuales.</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 FCE, existe una </w:t>
      </w:r>
      <w:r w:rsidDel="00000000" w:rsidR="00000000" w:rsidRPr="00000000">
        <w:rPr>
          <w:rFonts w:ascii="Times New Roman" w:cs="Times New Roman" w:eastAsia="Times New Roman" w:hAnsi="Times New Roman"/>
          <w:i w:val="1"/>
          <w:iCs w:val="1"/>
          <w:rtl w:val="0"/>
        </w:rPr>
        <w:t xml:space="preserve">Comisión de Seguimiento de Planes de Estudio</w:t>
      </w:r>
      <w:r w:rsidDel="00000000" w:rsidR="00000000" w:rsidRPr="00000000">
        <w:rPr>
          <w:rFonts w:ascii="Times New Roman" w:cs="Times New Roman" w:eastAsia="Times New Roman" w:hAnsi="Times New Roman"/>
          <w:rtl w:val="0"/>
        </w:rPr>
        <w:t xml:space="preserve">, integrada por directores de carrera y jefes de departamentos. Este grupo de trabajo es el encargado de liderar la transición hacia propuestas educativas mediadas por tecnologías y organiza jornadas de sensibilización con el plantel docente. Su planificación es iterativa, basada en el análisis de datos del rendimiento estudiantil recopilados mediante los sistemas institucionales. En la FCJS, la transformación digital ha alcanzado el máximo rango político con la creación de la </w:t>
      </w:r>
      <w:r w:rsidDel="00000000" w:rsidR="00000000" w:rsidRPr="00000000">
        <w:rPr>
          <w:rFonts w:ascii="Times New Roman" w:cs="Times New Roman" w:eastAsia="Times New Roman" w:hAnsi="Times New Roman"/>
          <w:i w:val="1"/>
          <w:iCs w:val="1"/>
          <w:rtl w:val="0"/>
        </w:rPr>
        <w:t xml:space="preserve">Secretaría de Tecnologías y Transferencia</w:t>
      </w:r>
      <w:r w:rsidDel="00000000" w:rsidR="00000000" w:rsidRPr="00000000">
        <w:rPr>
          <w:rFonts w:ascii="Times New Roman" w:cs="Times New Roman" w:eastAsia="Times New Roman" w:hAnsi="Times New Roman"/>
          <w:rtl w:val="0"/>
        </w:rPr>
        <w:t xml:space="preserve">, que posee el mismo nivel jerárquico que la Secretaría Académica. Esto garantiza que las decisiones tecnológicas tengan peso presupuestario y estratégico. Por otra parte, en función de lo comentados por los referentes entrevistados, la solidez de este tipo de estructuras es un determinante crítico, ya que en facultades que tienen un soporte institucionalizado (FCE, FCJS), el docente experimenta una menor resistencia al cambio, al no sentirse "tan solo" frente a las herramientas digitales.</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Otras unidades académicas, como es el caso de la FICH, han optado desde hace más de una década por una planificación autónoma y que se caracteriza por no imponer las tecnologías digitales a su plantel docente, sino acompañar a los mismos en función de sus requerimientos. Una situación similar se vive en la FCV, donde se admite que no existe una planificación sistemática y ordenada como tal, sino que la misma se encuentra muy ligada a la demanda por parte de los y las docentes, apoyándose en la voluntad de los equipos de cátedra y en la coordinación con el </w:t>
      </w:r>
      <w:r w:rsidDel="00000000" w:rsidR="00000000" w:rsidRPr="00000000">
        <w:rPr>
          <w:rFonts w:ascii="Times New Roman" w:cs="Times New Roman" w:eastAsia="Times New Roman" w:hAnsi="Times New Roman"/>
          <w:i w:val="1"/>
          <w:iCs w:val="1"/>
          <w:rtl w:val="0"/>
        </w:rPr>
        <w:t xml:space="preserve">Centro de Innovación Tecnológica (CITec)</w:t>
      </w:r>
      <w:r w:rsidDel="00000000" w:rsidR="00000000" w:rsidRPr="00000000">
        <w:rPr>
          <w:rFonts w:ascii="Times New Roman" w:cs="Times New Roman" w:eastAsia="Times New Roman" w:hAnsi="Times New Roman"/>
          <w:rtl w:val="0"/>
        </w:rPr>
        <w:t xml:space="preserve"> para resolver necesidades puntuales de infraestructura.</w:t>
      </w:r>
    </w:p>
    <w:p w:rsidR="00000000" w:rsidDel="00000000" w:rsidP="00000000" w:rsidRDefault="00000000" w:rsidRPr="00000000" w14:paraId="00000035">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Incorporación de las tecnologías digitales en las prácticas docentes: un ecosistema en crecimiento</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no podemos negar que aún persisten prácticas universitarias muy relacionadas al desarrollo de clases magistrales y que gran porcentaje de las cátedras solo han trabajado en la mera digitalización de la presencialidad más tradicional, las mediaciones tecnológicas han posibilitado la migración hacia entornos de aprendizaje más activos que comienzan a tomar fuerza en el quehacer docente.</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herramienta predominante en todas las facultades es la plataforma </w:t>
      </w:r>
      <w:r w:rsidDel="00000000" w:rsidR="00000000" w:rsidRPr="00000000">
        <w:rPr>
          <w:rFonts w:ascii="Times New Roman" w:cs="Times New Roman" w:eastAsia="Times New Roman" w:hAnsi="Times New Roman"/>
          <w:i w:val="1"/>
          <w:iCs w:val="1"/>
          <w:rtl w:val="0"/>
        </w:rPr>
        <w:t xml:space="preserve">Moodle</w:t>
      </w:r>
      <w:r w:rsidDel="00000000" w:rsidR="00000000" w:rsidRPr="00000000">
        <w:rPr>
          <w:rFonts w:ascii="Times New Roman" w:cs="Times New Roman" w:eastAsia="Times New Roman" w:hAnsi="Times New Roman"/>
          <w:rtl w:val="0"/>
        </w:rPr>
        <w:t xml:space="preserve">, que se utiliza para el diseño de las aulas virtuales de las diferentes asignaturas y la comunicación con el estudiantado. Sin embargo, se observan otras innovaciones específicas de acuerdo a las disciplinas.</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FCE se destaca la utilización en simultáneo de más de 300 notebooks equipadas con softwares especializados para que los y las estudiantes rindan sus exámenes de manera digital. Según las palabras de la secretaría académica, el impacto de esta actividad es multidimensional, ya que mejora la legibilidad de las respuestas y evita el "problema de la letra", facilita la corrección y permite obtener un registro exacto del tiempo y proceso de escritura del alumnado. Por su parte, la FBCB implementa trabajos prácticos virtuales en el área de la química, con la finalidad de que el alumnado interactúe previamente con los materiales y equipos y pueda observar el procedimiento de trabajo antes de ir a trabajar al laboratorio de manera física. A su vez, esta unidad académica cuenta con el </w:t>
      </w:r>
      <w:r w:rsidDel="00000000" w:rsidR="00000000" w:rsidRPr="00000000">
        <w:rPr>
          <w:rFonts w:ascii="Times New Roman" w:cs="Times New Roman" w:eastAsia="Times New Roman" w:hAnsi="Times New Roman"/>
          <w:i w:val="1"/>
          <w:iCs w:val="1"/>
          <w:rtl w:val="0"/>
        </w:rPr>
        <w:t xml:space="preserve">Espacio ACCE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Aprendizaje Cooperativo Centrado en el Estudiante</w:t>
      </w:r>
      <w:r w:rsidDel="00000000" w:rsidR="00000000" w:rsidRPr="00000000">
        <w:rPr>
          <w:rFonts w:ascii="Times New Roman" w:cs="Times New Roman" w:eastAsia="Times New Roman" w:hAnsi="Times New Roman"/>
          <w:rtl w:val="0"/>
        </w:rPr>
        <w:t xml:space="preserve">), donde se implementan metodologías de resolución de problemas complejos recurriendo a técnicas de </w:t>
      </w:r>
      <w:r w:rsidDel="00000000" w:rsidR="00000000" w:rsidRPr="00000000">
        <w:rPr>
          <w:rFonts w:ascii="Times New Roman" w:cs="Times New Roman" w:eastAsia="Times New Roman" w:hAnsi="Times New Roman"/>
          <w:i w:val="1"/>
          <w:iCs w:val="1"/>
          <w:rtl w:val="0"/>
        </w:rPr>
        <w:t xml:space="preserve">brainstorming</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i w:val="1"/>
          <w:iCs w:val="1"/>
          <w:rtl w:val="0"/>
        </w:rPr>
        <w:t xml:space="preserve">diagramas de Ishikawa</w:t>
      </w:r>
      <w:r w:rsidDel="00000000" w:rsidR="00000000" w:rsidRPr="00000000">
        <w:rPr>
          <w:rFonts w:ascii="Times New Roman" w:cs="Times New Roman" w:eastAsia="Times New Roman" w:hAnsi="Times New Roman"/>
          <w:rtl w:val="0"/>
        </w:rPr>
        <w:t xml:space="preserve"> (espina de pescado). En la FCV, el uso de cámaras en quirófanos permite que grupos masivos observen cirugías en tiempo real sin comprometer la asepsia, proyectando la imagen en ámbitos externos del hospital situado en la facultad. Por otra parte, la FCJS emplea la tecnología para la realización de clases espejo con universidades extranjeras. Se trata de clases conjuntas donde estudiantes locales y extranjeros colaboran en la resolución de casos jurídicos sin necesidad de traslados físicos, utilizando sistemas de sonido ambiente y cámaras de seguimiento. Finalmente, algunas instituciones recurren al uso de drones (FCA) y o de simuladores (FICH) para el desarrollo de ciertas prácticas.</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Varios referentes académicos han mencionado a la utilización de la IA como un desafío inminente, donde se busca que el profesorado actúe como tutor ante su uso masivo por parte de los y las estudiantes. En estas facultades, la IA está siendo integrada bajo diferentes lógicas: en la FCA se utilizan simulaciones de conversación en el aula para evacuar consultas frecuentes de los y las estudiantes, por lo que la IA está siendo utilizada como un “compañero de estudio” en palabras de su referente académico; en la FCJS y en la FCE se está haciendo uso del ChatGPT para redacción de informes y búsqueda de jurisprudencia, haciendo énfasis en la redacción de prompts efectivos para la obtención de respuestas adecuadas; finalmente, la IA se utiliza en la FCV para monitoreo biológico, dado que se realizan proyecciones para el uso de collares inteligentes en bovinos y sistemas de consumo residual que envían datos a la nube para análisis estadístico.</w:t>
      </w:r>
    </w:p>
    <w:p w:rsidR="00000000" w:rsidDel="00000000" w:rsidP="00000000" w:rsidRDefault="00000000" w:rsidRPr="00000000" w14:paraId="0000003A">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La formación docente en tecnologías digitales</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las conversaciones con los y las referentes académicos, se deduce que existen realidades diferentes respecto a la formación docente en tecnologías.</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Basado en la premisa de que un docente aprende mejor ante una necesidad puntual, en FICH, FBCB y FCV se prioriza una capacitación a demanda, dado que las obligaciones de los y las docentes que trabajan en estas unidades académicas impiden la realización de formaciones de posgrado específicas en el área de la Tecnología Educativa (como es el caso de especializaciones, maestrías o doctorados). En estos casos, el plantel docente prefiere realizar talleres ad hoc o trayectos de formación no estructurados cuando surge una necesidad puntual de capacitación.</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existen otras propuestas alternativas de capacitación. Un ejemplo de esto es la propuesta “Café y cátedra”, impulsada desde la FCE, donde el equipo de la secretaría académica se reúne informalmente con las cátedras para trabajar sobre el proceso de transición digital. También se han desarrollado talleres en la FCA sobre neurociencia aplicada a la educación para entender cómo aprende el cerebro mediado por pantallas. Por su parte, la FCJS ofrece el curso "IA para Abogados", de un cuatrimestre de duración y en donde se abordan desde la técnica del prompteo hasta la responsabilidad civil por errores algorítmicos.</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ciertas facultades, como por ejemplo FHUC y FCJS, las secretarias académicas comentan que se percibe cierta resistencia o prejuicio con relación al uso de tecnologías digitales, especialmente en docentes de mayor edad, aunque la incorporación de auxiliares jóvenes está ayudando a "oxigenar" las prácticas con formatos alternativos de abordaje de la información disciplinar.</w:t>
      </w:r>
    </w:p>
    <w:p w:rsidR="00000000" w:rsidDel="00000000" w:rsidP="00000000" w:rsidRDefault="00000000" w:rsidRPr="00000000" w14:paraId="0000003F">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Recursos e infraestructura disponibles: el mayor problema observado</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infraestructura y la disponibilidad de recursos en las unidades académicas es un punto de contraste notable y el análisis de situación revela una brecha significativa entre las necesidades actuales y la capacidad instalada.</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FBCB y FCJS cuentan con Aulas Híbridas de Alta Interacción que disponen de equipamiento de vanguardia: cámaras con seguimiento automático, pizarras inteligentes y sistemas de sonido que permiten que un estudiante remoto escuche sin dificultades los comentarios que ocurren dentro del aula presencial. FHUC es otra de las facultades que cuenta con este tipo de aulas, pero se señala que su uso es más frecuente para la realización de cursos de posgrado.</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FCV dispone de un sistema híbrido, con más de 20 gabinetes que cuentan con equipos informáticos que trabajan con sistemas Linux y Windows. Sin embargo, se reconoce que la antigüedad del hardware es una limitante crítica frente al aumento de la matrícula observada en los últimos años. En el caso de la FCE, se destaca por tener 300 notebooks disponibles para la realización de exámenes simultáneos.</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pesar de la disponibilidad de ciertos recursos, la conectividad es una queja recurrente en las ciudades universitarias que la UNL tiene en las ciudades de Santa Fe (donde funcionan la FHUC, la FBCB y la FICH) y Esperanza (donde se encuentran radicadas la FCA, y la FCV). En FBCB, el principal problema es el espacio físico del edificio, ya que no se dispone de una cantidad suficiente de aulas que permita la intervención de varias de ellas para convertirlas en espacios tecnológicos. La FCA califica su infraestructura actual como limitada, remarcando la necesidad de disponer de mobiliario adecuado que permita el trabajo colaborativo con notebooks.</w:t>
      </w:r>
    </w:p>
    <w:p w:rsidR="00000000" w:rsidDel="00000000" w:rsidP="00000000" w:rsidRDefault="00000000" w:rsidRPr="00000000" w14:paraId="0000004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gestión académica y la visión institucional sobre la integración de tecnologías digitales en la UNL presenta un panorama de convergencia hacia la digitalización, aunque con matices significativos en los enfoques y niveles de planificación de cada facultad.</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manera unánime, las autoridades académicas coinciden en una visión institucional favorable hacia el empleo de las tecnologías digitales en el ámbito educativo universitario, considerándola no solo como una herramienta de apoyo, sino como un componente inherente a la formación moderna del estudiantado. Sin embargo, la justificación de esta visión varía según la disciplina. En ciertas unidades académicas, la tecnología se ve como una competencia profesional básica de los futuros y futuras profesionales, que ya no trabajarán en formato papel, sino con sistemas operativos y contables digitales. Por otra parte, en otras facultades la visión trasciende al uso de herramientas y se propone el concepto de que la tecnología y la IA se integran al hombre para potenciar su capacidad de producción y creación. </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organización de la tecnología dentro de las facultades muestra estructuras administrativas variadas. En algunos casos existen secretarías específicas que se encargan de las tecnologías digitales, lo que le otorga un peso institucional único a la gestión tecnológica. Otras facultades optan por la creación de comisiones de seguimiento o unidades de virtualización de la enseñanza para centralizar los aspectos funcionales y formativos. Con relación a esto último, la mayoría de las instituciones optan por una visión que se centra en no imponer las tecnologías digitales, sino en mostrar sus virtudes para facilitar el trabajo docente y ofrecer capacitaciones en función de las necesidades del personal.</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aspecto observado es que existe cierta tensión constructiva entre la autonomía de las facultades y los lineamientos del Rectorado. Antes de la pandemia, el uso de tecnologías quedaba a criterio de cada unidad académica, pero a partir de esta situación se centralizaron las políticas de uso mediante resoluciones del Consejo Superior de la UNL, que normatizaron porcentajes de presencialidad e hibridación, en consonancia con los marcos normativos ministeriales nacionales. A pesar de estos lineamientos centrales, algunas facultades mantienen una planificación bastante autónoma, basada en el convencimiento docente más que en la imposición normativa.</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todas las unidades académicas han logrado una planificación ordenada y sistemática. Es más, en varios casos se admite que se trata de un proceso de “prueba y error”, especialmente frente a la irrupción de la IA, donde se busca aprender de las experiencias de otras universidades líderes. Sin embargo, en todos los casos se menciona que hay voluntad institucional y esfuerzos que tratan de abordar las demandas a medida que éstas van surgiendo.</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conclusión, la gestión y visión institucional en la UNL ha pasado de ser una respuesta de emergencia durante la pandemia a convertirse en una línea estratégica consolidada, donde el principal reto actual es la reconfiguración de la enseñanza bajo el sistema de créditos y la autonomía del estudiante.</w:t>
      </w:r>
    </w:p>
    <w:p w:rsidR="00000000" w:rsidDel="00000000" w:rsidP="00000000" w:rsidRDefault="00000000" w:rsidRPr="00000000" w14:paraId="0000004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Schmid, H.-J. (Ed.). (2017). </w:t>
      </w:r>
      <w:r w:rsidDel="00000000" w:rsidR="00000000" w:rsidRPr="00000000">
        <w:rPr>
          <w:rFonts w:ascii="Times New Roman" w:cs="Times New Roman" w:eastAsia="Times New Roman" w:hAnsi="Times New Roman"/>
          <w:i w:val="1"/>
          <w:iCs w:val="1"/>
          <w:rtl w:val="0"/>
        </w:rPr>
        <w:t xml:space="preserve">Entrenchment and the psychology of language learning: How we reorganize and adapt linguistic knowledge. </w:t>
      </w:r>
      <w:r w:rsidDel="00000000" w:rsidR="00000000" w:rsidRPr="00000000">
        <w:rPr>
          <w:rFonts w:ascii="Times New Roman" w:cs="Times New Roman" w:eastAsia="Times New Roman" w:hAnsi="Times New Roman"/>
          <w:rtl w:val="0"/>
        </w:rPr>
        <w:t xml:space="preserve">American Psychological Association; De Gruyter Mouton. </w:t>
      </w:r>
      <w:hyperlink r:id="rId9">
        <w:r w:rsidDel="00000000" w:rsidR="00000000" w:rsidRPr="00000000">
          <w:rPr>
            <w:rFonts w:ascii="Times New Roman" w:cs="Times New Roman" w:eastAsia="Times New Roman" w:hAnsi="Times New Roman"/>
            <w:color w:val="0563c1"/>
            <w:u w:val="single"/>
            <w:rtl w:val="0"/>
          </w:rPr>
          <w:t xml:space="preserve">https://doi.org/10.1037/15969-000</w:t>
        </w:r>
      </w:hyperlink>
      <w:r w:rsidDel="00000000" w:rsidR="00000000" w:rsidRPr="00000000">
        <w:rPr>
          <w:rtl w:val="0"/>
        </w:rPr>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Stapley, A. (2018). Liofilización. En J. A. Evans (Ed.), </w:t>
      </w:r>
      <w:r w:rsidDel="00000000" w:rsidR="00000000" w:rsidRPr="00000000">
        <w:rPr>
          <w:rFonts w:ascii="Times New Roman" w:cs="Times New Roman" w:eastAsia="Times New Roman" w:hAnsi="Times New Roman"/>
          <w:i w:val="1"/>
          <w:iCs w:val="1"/>
          <w:rtl w:val="0"/>
        </w:rPr>
        <w:t xml:space="preserve">Ciencia y tecnología de los alimentos congelados </w:t>
      </w:r>
      <w:r w:rsidDel="00000000" w:rsidR="00000000" w:rsidRPr="00000000">
        <w:rPr>
          <w:rFonts w:ascii="Times New Roman" w:cs="Times New Roman" w:eastAsia="Times New Roman" w:hAnsi="Times New Roman"/>
          <w:rtl w:val="0"/>
        </w:rPr>
        <w:t xml:space="preserve">(pp. 305-336). Acribia.</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Light, M. A., &amp; Light, I. H. (2008). The geographic expansion of Mexican immigration in the United States and its impications for local law enforcement. </w:t>
      </w:r>
      <w:r w:rsidDel="00000000" w:rsidR="00000000" w:rsidRPr="00000000">
        <w:rPr>
          <w:rFonts w:ascii="Times New Roman" w:cs="Times New Roman" w:eastAsia="Times New Roman" w:hAnsi="Times New Roman"/>
          <w:i w:val="1"/>
          <w:iCs w:val="1"/>
          <w:rtl w:val="0"/>
        </w:rPr>
        <w:t xml:space="preserve">Law Enforcement Executive Forum Journal, 8</w:t>
      </w:r>
      <w:r w:rsidDel="00000000" w:rsidR="00000000" w:rsidRPr="00000000">
        <w:rPr>
          <w:rFonts w:ascii="Times New Roman" w:cs="Times New Roman" w:eastAsia="Times New Roman" w:hAnsi="Times New Roman"/>
          <w:rtl w:val="0"/>
        </w:rPr>
        <w:t xml:space="preserve">(1), 73-82.</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Alba, A. (2002). </w:t>
      </w:r>
      <w:r w:rsidDel="00000000" w:rsidR="00000000" w:rsidRPr="00000000">
        <w:rPr>
          <w:rFonts w:ascii="Times New Roman" w:cs="Times New Roman" w:eastAsia="Times New Roman" w:hAnsi="Times New Roman"/>
          <w:i w:val="1"/>
          <w:iCs w:val="1"/>
          <w:rtl w:val="0"/>
        </w:rPr>
        <w:t xml:space="preserve">Currículum universitario. Académicos y futuro</w:t>
      </w:r>
      <w:r w:rsidDel="00000000" w:rsidR="00000000" w:rsidRPr="00000000">
        <w:rPr>
          <w:rFonts w:ascii="Times New Roman" w:cs="Times New Roman" w:eastAsia="Times New Roman" w:hAnsi="Times New Roman"/>
          <w:rtl w:val="0"/>
        </w:rPr>
        <w:t xml:space="preserve">. Plaza y Valdéz Editores.</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Ambrosino, M. A. y Bernik, J. (3-5 de agosto de 2022). </w:t>
      </w:r>
      <w:r w:rsidDel="00000000" w:rsidR="00000000" w:rsidRPr="00000000">
        <w:rPr>
          <w:rFonts w:ascii="Times New Roman" w:cs="Times New Roman" w:eastAsia="Times New Roman" w:hAnsi="Times New Roman"/>
          <w:i w:val="1"/>
          <w:iCs w:val="1"/>
          <w:rtl w:val="0"/>
        </w:rPr>
        <w:t xml:space="preserve">El territorio de la enseñanza en la cultura digital: diálogos entre regulaciones, experiencias y saberes</w:t>
      </w:r>
      <w:r w:rsidDel="00000000" w:rsidR="00000000" w:rsidRPr="00000000">
        <w:rPr>
          <w:rFonts w:ascii="Times New Roman" w:cs="Times New Roman" w:eastAsia="Times New Roman" w:hAnsi="Times New Roman"/>
          <w:rtl w:val="0"/>
        </w:rPr>
        <w:t xml:space="preserve"> [Trabajo presentado]. V Jornadas Internacionales Problemáticas en torno a la Enseñanza en la Educación Superior. Diálogo abierto entre la Didáctica General y las Didácticas Específicas, Mendoza, Argentina.</w:t>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Arias Ortiz, E., Brechner, M., Pérez Alfaro, M. y Vásquez, M. (2020). </w:t>
      </w:r>
      <w:r w:rsidDel="00000000" w:rsidR="00000000" w:rsidRPr="00000000">
        <w:rPr>
          <w:rFonts w:ascii="Times New Roman" w:cs="Times New Roman" w:eastAsia="Times New Roman" w:hAnsi="Times New Roman"/>
          <w:i w:val="1"/>
          <w:iCs w:val="1"/>
          <w:rtl w:val="0"/>
        </w:rPr>
        <w:t xml:space="preserve">De la educación a distancia a la híbrida: cuatro elementos clave para hacerla realidad</w:t>
      </w:r>
      <w:r w:rsidDel="00000000" w:rsidR="00000000" w:rsidRPr="00000000">
        <w:rPr>
          <w:rFonts w:ascii="Times New Roman" w:cs="Times New Roman" w:eastAsia="Times New Roman" w:hAnsi="Times New Roman"/>
          <w:rtl w:val="0"/>
        </w:rPr>
        <w:t xml:space="preserve">. Banco Interamericano de Desarrollo.</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Assinnato, G., Sanz, C., Gorga, G. y Martin, M. V. (2018). Actitudes y percepciones de docentes y estudiantes en relación a las TIC. Revisión de la literatura. </w:t>
      </w:r>
      <w:r w:rsidDel="00000000" w:rsidR="00000000" w:rsidRPr="00000000">
        <w:rPr>
          <w:rFonts w:ascii="Times New Roman" w:cs="Times New Roman" w:eastAsia="Times New Roman" w:hAnsi="Times New Roman"/>
          <w:i w:val="1"/>
          <w:iCs w:val="1"/>
          <w:rtl w:val="0"/>
        </w:rPr>
        <w:t xml:space="preserve">Revista iberoamericana de Tecnología en Educación y Educación en Tecnología</w:t>
      </w:r>
      <w:r w:rsidDel="00000000" w:rsidR="00000000" w:rsidRPr="00000000">
        <w:rPr>
          <w:rFonts w:ascii="Times New Roman" w:cs="Times New Roman" w:eastAsia="Times New Roman" w:hAnsi="Times New Roman"/>
          <w:rtl w:val="0"/>
        </w:rPr>
        <w:t xml:space="preserve">, (22), 7-17. </w:t>
      </w:r>
      <w:hyperlink r:id="rId10">
        <w:r w:rsidDel="00000000" w:rsidR="00000000" w:rsidRPr="00000000">
          <w:rPr>
            <w:rFonts w:ascii="Times New Roman" w:cs="Times New Roman" w:eastAsia="Times New Roman" w:hAnsi="Times New Roman"/>
            <w:color w:val="0563c1"/>
            <w:u w:val="single"/>
            <w:rtl w:val="0"/>
          </w:rPr>
          <w:t xml:space="preserve">https://doi.org/10.24215/18509959.22.e01</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Ausín, V., Abella, V., Delgado, V. y Hortigüela, D. (2016). Aprendizaje Basado en Proyectos a través de las TIC: una experiencia de innovación docente desde las aulas universitarias. </w:t>
      </w:r>
      <w:r w:rsidDel="00000000" w:rsidR="00000000" w:rsidRPr="00000000">
        <w:rPr>
          <w:rFonts w:ascii="Times New Roman" w:cs="Times New Roman" w:eastAsia="Times New Roman" w:hAnsi="Times New Roman"/>
          <w:i w:val="1"/>
          <w:iCs w:val="1"/>
          <w:rtl w:val="0"/>
        </w:rPr>
        <w:t xml:space="preserve">Formación universitaria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9</w:t>
      </w:r>
      <w:r w:rsidDel="00000000" w:rsidR="00000000" w:rsidRPr="00000000">
        <w:rPr>
          <w:rFonts w:ascii="Times New Roman" w:cs="Times New Roman" w:eastAsia="Times New Roman" w:hAnsi="Times New Roman"/>
          <w:rtl w:val="0"/>
        </w:rPr>
        <w:t xml:space="preserve">(3), 31-38. </w:t>
      </w:r>
      <w:hyperlink r:id="rId11">
        <w:r w:rsidDel="00000000" w:rsidR="00000000" w:rsidRPr="00000000">
          <w:rPr>
            <w:rFonts w:ascii="Times New Roman" w:cs="Times New Roman" w:eastAsia="Times New Roman" w:hAnsi="Times New Roman"/>
            <w:color w:val="0563c1"/>
            <w:u w:val="single"/>
            <w:rtl w:val="0"/>
          </w:rPr>
          <w:t xml:space="preserve">https://doi.org/10.4067/S0718-50062016000300005</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Baricco, A. (2019). </w:t>
      </w:r>
      <w:r w:rsidDel="00000000" w:rsidR="00000000" w:rsidRPr="00000000">
        <w:rPr>
          <w:rFonts w:ascii="Times New Roman" w:cs="Times New Roman" w:eastAsia="Times New Roman" w:hAnsi="Times New Roman"/>
          <w:i w:val="1"/>
          <w:iCs w:val="1"/>
          <w:rtl w:val="0"/>
        </w:rPr>
        <w:t xml:space="preserve">The game</w:t>
      </w:r>
      <w:r w:rsidDel="00000000" w:rsidR="00000000" w:rsidRPr="00000000">
        <w:rPr>
          <w:rFonts w:ascii="Times New Roman" w:cs="Times New Roman" w:eastAsia="Times New Roman" w:hAnsi="Times New Roman"/>
          <w:rtl w:val="0"/>
        </w:rPr>
        <w:t xml:space="preserve">. Anagrama.</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Becerra, M. (2010). Mutaciones en la superficie y cambios estructurales. América Latina en el Parnaso informacional. En de Moraes, D. (Ed.), </w:t>
      </w:r>
      <w:r w:rsidDel="00000000" w:rsidR="00000000" w:rsidRPr="00000000">
        <w:rPr>
          <w:rFonts w:ascii="Times New Roman" w:cs="Times New Roman" w:eastAsia="Times New Roman" w:hAnsi="Times New Roman"/>
          <w:i w:val="1"/>
          <w:iCs w:val="1"/>
          <w:rtl w:val="0"/>
        </w:rPr>
        <w:t xml:space="preserve">Mutaciones de lo invisible. Comunicación y procesos culturales en la era digital</w:t>
      </w:r>
      <w:r w:rsidDel="00000000" w:rsidR="00000000" w:rsidRPr="00000000">
        <w:rPr>
          <w:rFonts w:ascii="Times New Roman" w:cs="Times New Roman" w:eastAsia="Times New Roman" w:hAnsi="Times New Roman"/>
          <w:rtl w:val="0"/>
        </w:rPr>
        <w:t xml:space="preserve"> (p. 81-113). Paidós.</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Cabero Almenara, J., Marín Díaz, V. y Castaño Garrido, C. (2015). Validación de la aplicación del modelo TPACK para la formación del profesorado en TIC. </w:t>
      </w:r>
      <w:r w:rsidDel="00000000" w:rsidR="00000000" w:rsidRPr="00000000">
        <w:rPr>
          <w:rFonts w:ascii="Times New Roman" w:cs="Times New Roman" w:eastAsia="Times New Roman" w:hAnsi="Times New Roman"/>
          <w:i w:val="1"/>
          <w:iCs w:val="1"/>
          <w:rtl w:val="0"/>
        </w:rPr>
        <w:t xml:space="preserve">@tic, Revista de innovación educativa</w:t>
      </w:r>
      <w:r w:rsidDel="00000000" w:rsidR="00000000" w:rsidRPr="00000000">
        <w:rPr>
          <w:rFonts w:ascii="Times New Roman" w:cs="Times New Roman" w:eastAsia="Times New Roman" w:hAnsi="Times New Roman"/>
          <w:rtl w:val="0"/>
        </w:rPr>
        <w:t xml:space="preserve">, (14), 13-22.</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Chinguel Fuentes, N. R. y Heredia Llatas, F. D. (2026). Gestión educativa y transformación digital en la educación superior iberoamericana: una Revisión Sistemática. </w:t>
      </w:r>
      <w:r w:rsidDel="00000000" w:rsidR="00000000" w:rsidRPr="00000000">
        <w:rPr>
          <w:rFonts w:ascii="Times New Roman" w:cs="Times New Roman" w:eastAsia="Times New Roman" w:hAnsi="Times New Roman"/>
          <w:i w:val="1"/>
          <w:iCs w:val="1"/>
          <w:rtl w:val="0"/>
        </w:rPr>
        <w:t xml:space="preserve">Revista de Educación Simón Rodríguez</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6</w:t>
      </w:r>
      <w:r w:rsidDel="00000000" w:rsidR="00000000" w:rsidRPr="00000000">
        <w:rPr>
          <w:rFonts w:ascii="Times New Roman" w:cs="Times New Roman" w:eastAsia="Times New Roman" w:hAnsi="Times New Roman"/>
          <w:rtl w:val="0"/>
        </w:rPr>
        <w:t xml:space="preserve">(11), 836-857. </w:t>
      </w:r>
      <w:hyperlink r:id="rId12">
        <w:r w:rsidDel="00000000" w:rsidR="00000000" w:rsidRPr="00000000">
          <w:rPr>
            <w:rFonts w:ascii="Times New Roman" w:cs="Times New Roman" w:eastAsia="Times New Roman" w:hAnsi="Times New Roman"/>
            <w:color w:val="0563c1"/>
            <w:u w:val="single"/>
            <w:rtl w:val="0"/>
          </w:rPr>
          <w:t xml:space="preserve">https://doi.org/10.62319/simonrodriguez.v.6i11.170</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Corchuelo Rodríguez, C. A. (2018). Gamificación en educación superior: experiencia innovadora para motivar estudiantes y dinamizar contenidos en el aula. </w:t>
      </w:r>
      <w:r w:rsidDel="00000000" w:rsidR="00000000" w:rsidRPr="00000000">
        <w:rPr>
          <w:rFonts w:ascii="Times New Roman" w:cs="Times New Roman" w:eastAsia="Times New Roman" w:hAnsi="Times New Roman"/>
          <w:i w:val="1"/>
          <w:iCs w:val="1"/>
          <w:rtl w:val="0"/>
        </w:rPr>
        <w:t xml:space="preserve">Edutec, Revista electrónica de Tecnología Educativa</w:t>
      </w:r>
      <w:r w:rsidDel="00000000" w:rsidR="00000000" w:rsidRPr="00000000">
        <w:rPr>
          <w:rFonts w:ascii="Times New Roman" w:cs="Times New Roman" w:eastAsia="Times New Roman" w:hAnsi="Times New Roman"/>
          <w:rtl w:val="0"/>
        </w:rPr>
        <w:t xml:space="preserve">, (63), 29-41.  </w:t>
      </w:r>
      <w:hyperlink r:id="rId13">
        <w:r w:rsidDel="00000000" w:rsidR="00000000" w:rsidRPr="00000000">
          <w:rPr>
            <w:rFonts w:ascii="Times New Roman" w:cs="Times New Roman" w:eastAsia="Times New Roman" w:hAnsi="Times New Roman"/>
            <w:color w:val="0563c1"/>
            <w:u w:val="single"/>
            <w:rtl w:val="0"/>
          </w:rPr>
          <w:t xml:space="preserve">https://doi.org/10.21556/edutec.2018.63.927</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Dejo Oricain, N. (2015). Adquisición de competencias en el marco del Aprendizaje Cooperativo: valoración de los estudiantes. </w:t>
      </w:r>
      <w:r w:rsidDel="00000000" w:rsidR="00000000" w:rsidRPr="00000000">
        <w:rPr>
          <w:rFonts w:ascii="Times New Roman" w:cs="Times New Roman" w:eastAsia="Times New Roman" w:hAnsi="Times New Roman"/>
          <w:i w:val="1"/>
          <w:iCs w:val="1"/>
          <w:rtl w:val="0"/>
        </w:rPr>
        <w:t xml:space="preserve">Revista de docencia universitaria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13</w:t>
      </w:r>
      <w:r w:rsidDel="00000000" w:rsidR="00000000" w:rsidRPr="00000000">
        <w:rPr>
          <w:rFonts w:ascii="Times New Roman" w:cs="Times New Roman" w:eastAsia="Times New Roman" w:hAnsi="Times New Roman"/>
          <w:rtl w:val="0"/>
        </w:rPr>
        <w:t xml:space="preserve">(1), 339-359.</w:t>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Granado Palma, M. (2019). Educación y exclusión digital: los falsos nativos digitales. </w:t>
      </w:r>
      <w:r w:rsidDel="00000000" w:rsidR="00000000" w:rsidRPr="00000000">
        <w:rPr>
          <w:rFonts w:ascii="Times New Roman" w:cs="Times New Roman" w:eastAsia="Times New Roman" w:hAnsi="Times New Roman"/>
          <w:i w:val="1"/>
          <w:iCs w:val="1"/>
          <w:rtl w:val="0"/>
        </w:rPr>
        <w:t xml:space="preserve">Revista de estudios socioeducativos</w:t>
      </w:r>
      <w:r w:rsidDel="00000000" w:rsidR="00000000" w:rsidRPr="00000000">
        <w:rPr>
          <w:rFonts w:ascii="Times New Roman" w:cs="Times New Roman" w:eastAsia="Times New Roman" w:hAnsi="Times New Roman"/>
          <w:rtl w:val="0"/>
        </w:rPr>
        <w:t xml:space="preserve">, (7), 27-41. </w:t>
      </w:r>
      <w:hyperlink r:id="rId14">
        <w:r w:rsidDel="00000000" w:rsidR="00000000" w:rsidRPr="00000000">
          <w:rPr>
            <w:rFonts w:ascii="Times New Roman" w:cs="Times New Roman" w:eastAsia="Times New Roman" w:hAnsi="Times New Roman"/>
            <w:color w:val="0563c1"/>
            <w:u w:val="single"/>
            <w:rtl w:val="0"/>
          </w:rPr>
          <w:t xml:space="preserve">https://doi.org/10.25267/Rev_estud_socioeducativos.2019.i7.02</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Lion, C. y Maggio, M. (2019). Desafíos para la enseñanza universitaria en los escenarios digitales contemporáneos. Aportes desde la investigación. </w:t>
      </w:r>
      <w:r w:rsidDel="00000000" w:rsidR="00000000" w:rsidRPr="00000000">
        <w:rPr>
          <w:rFonts w:ascii="Times New Roman" w:cs="Times New Roman" w:eastAsia="Times New Roman" w:hAnsi="Times New Roman"/>
          <w:i w:val="1"/>
          <w:iCs w:val="1"/>
          <w:rtl w:val="0"/>
        </w:rPr>
        <w:t xml:space="preserve">Cuadernos de Investigación Educativa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10</w:t>
      </w:r>
      <w:r w:rsidDel="00000000" w:rsidR="00000000" w:rsidRPr="00000000">
        <w:rPr>
          <w:rFonts w:ascii="Times New Roman" w:cs="Times New Roman" w:eastAsia="Times New Roman" w:hAnsi="Times New Roman"/>
          <w:rtl w:val="0"/>
        </w:rPr>
        <w:t xml:space="preserve">(1), 13-25. </w:t>
      </w:r>
      <w:hyperlink r:id="rId15">
        <w:r w:rsidDel="00000000" w:rsidR="00000000" w:rsidRPr="00000000">
          <w:rPr>
            <w:rFonts w:ascii="Times New Roman" w:cs="Times New Roman" w:eastAsia="Times New Roman" w:hAnsi="Times New Roman"/>
            <w:color w:val="0563c1"/>
            <w:u w:val="single"/>
            <w:rtl w:val="0"/>
          </w:rPr>
          <w:t xml:space="preserve">https://doi.org/10.18861/cied.2019.10.1.2878</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Longhi, A. L. (2005). Propuestas para un proceso de formación continua de docentes innovadores en educación en ciencias. En de Longhi, A. L. (Ed.), </w:t>
      </w:r>
      <w:r w:rsidDel="00000000" w:rsidR="00000000" w:rsidRPr="00000000">
        <w:rPr>
          <w:rFonts w:ascii="Times New Roman" w:cs="Times New Roman" w:eastAsia="Times New Roman" w:hAnsi="Times New Roman"/>
          <w:i w:val="1"/>
          <w:iCs w:val="1"/>
          <w:rtl w:val="0"/>
        </w:rPr>
        <w:t xml:space="preserve">Estrategias didácticas innovadoras para la enseñanza de las Ciencias Naturales en la escuela</w:t>
      </w:r>
      <w:r w:rsidDel="00000000" w:rsidR="00000000" w:rsidRPr="00000000">
        <w:rPr>
          <w:rFonts w:ascii="Times New Roman" w:cs="Times New Roman" w:eastAsia="Times New Roman" w:hAnsi="Times New Roman"/>
          <w:rtl w:val="0"/>
        </w:rPr>
        <w:t xml:space="preserve"> (p. 8-19). Universitas.</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López, E., Camacho, P. G. y Romero, P. (2019). Estrategia didáctica de incorporación de recursos multimedia para el aprendizaje de enlaces químicos en el bachillerato del sistema de Universidad Virtual/Universidad de Guadalajara. </w:t>
      </w:r>
      <w:r w:rsidDel="00000000" w:rsidR="00000000" w:rsidRPr="00000000">
        <w:rPr>
          <w:rFonts w:ascii="Times New Roman" w:cs="Times New Roman" w:eastAsia="Times New Roman" w:hAnsi="Times New Roman"/>
          <w:i w:val="1"/>
          <w:iCs w:val="1"/>
          <w:rtl w:val="0"/>
        </w:rPr>
        <w:t xml:space="preserve">Revista mexicana de bachillerato a distancia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11</w:t>
      </w:r>
      <w:r w:rsidDel="00000000" w:rsidR="00000000" w:rsidRPr="00000000">
        <w:rPr>
          <w:rFonts w:ascii="Times New Roman" w:cs="Times New Roman" w:eastAsia="Times New Roman" w:hAnsi="Times New Roman"/>
          <w:rtl w:val="0"/>
        </w:rPr>
        <w:t xml:space="preserve">(22), 1-9. </w:t>
      </w:r>
      <w:hyperlink r:id="rId16">
        <w:r w:rsidDel="00000000" w:rsidR="00000000" w:rsidRPr="00000000">
          <w:rPr>
            <w:rFonts w:ascii="Times New Roman" w:cs="Times New Roman" w:eastAsia="Times New Roman" w:hAnsi="Times New Roman"/>
            <w:color w:val="0563c1"/>
            <w:u w:val="single"/>
            <w:rtl w:val="0"/>
          </w:rPr>
          <w:t xml:space="preserve">https://doi.org/10.22201/cuaed.20074751e.2019.22.70581</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Luna Velázquez, J. D. (2024). Gestión educativa e innovación tecnológica en instituciones educativas públicas [Tesis de maestría]. Universidad César Vallejo.</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Maggio, M. (2020). Las prácticas de la enseñanza universitarias en la pandemia: de la conmoción a la mutación. </w:t>
      </w:r>
      <w:r w:rsidDel="00000000" w:rsidR="00000000" w:rsidRPr="00000000">
        <w:rPr>
          <w:rFonts w:ascii="Times New Roman" w:cs="Times New Roman" w:eastAsia="Times New Roman" w:hAnsi="Times New Roman"/>
          <w:i w:val="1"/>
          <w:iCs w:val="1"/>
          <w:rtl w:val="0"/>
        </w:rPr>
        <w:t xml:space="preserve">Campus virtuales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9</w:t>
      </w:r>
      <w:r w:rsidDel="00000000" w:rsidR="00000000" w:rsidRPr="00000000">
        <w:rPr>
          <w:rFonts w:ascii="Times New Roman" w:cs="Times New Roman" w:eastAsia="Times New Roman" w:hAnsi="Times New Roman"/>
          <w:rtl w:val="0"/>
        </w:rPr>
        <w:t xml:space="preserve">(2), 113-122.</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Maggio, M. (2021). </w:t>
      </w:r>
      <w:r w:rsidDel="00000000" w:rsidR="00000000" w:rsidRPr="00000000">
        <w:rPr>
          <w:rFonts w:ascii="Times New Roman" w:cs="Times New Roman" w:eastAsia="Times New Roman" w:hAnsi="Times New Roman"/>
          <w:i w:val="1"/>
          <w:iCs w:val="1"/>
          <w:rtl w:val="0"/>
        </w:rPr>
        <w:t xml:space="preserve">Educación en pandemia</w:t>
      </w:r>
      <w:r w:rsidDel="00000000" w:rsidR="00000000" w:rsidRPr="00000000">
        <w:rPr>
          <w:rFonts w:ascii="Times New Roman" w:cs="Times New Roman" w:eastAsia="Times New Roman" w:hAnsi="Times New Roman"/>
          <w:rtl w:val="0"/>
        </w:rPr>
        <w:t xml:space="preserve">. Paidós.</w:t>
      </w:r>
    </w:p>
    <w:p w:rsidR="00000000" w:rsidDel="00000000" w:rsidP="00000000" w:rsidRDefault="00000000" w:rsidRPr="00000000" w14:paraId="0000006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Maggio, M. (2022). </w:t>
      </w:r>
      <w:r w:rsidDel="00000000" w:rsidR="00000000" w:rsidRPr="00000000">
        <w:rPr>
          <w:rFonts w:ascii="Times New Roman" w:cs="Times New Roman" w:eastAsia="Times New Roman" w:hAnsi="Times New Roman"/>
          <w:i w:val="1"/>
          <w:iCs w:val="1"/>
          <w:rtl w:val="0"/>
        </w:rPr>
        <w:t xml:space="preserve">Híbrida. Enseñar en la universidad que no vimos venir</w:t>
      </w:r>
      <w:r w:rsidDel="00000000" w:rsidR="00000000" w:rsidRPr="00000000">
        <w:rPr>
          <w:rFonts w:ascii="Times New Roman" w:cs="Times New Roman" w:eastAsia="Times New Roman" w:hAnsi="Times New Roman"/>
          <w:rtl w:val="0"/>
        </w:rPr>
        <w:t xml:space="preserve">. Tilde Editora.</w:t>
      </w:r>
    </w:p>
    <w:p w:rsidR="00000000" w:rsidDel="00000000" w:rsidP="00000000" w:rsidRDefault="00000000" w:rsidRPr="00000000" w14:paraId="000000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Marcelo, C. y Rijo, D. (2019). Aprendizaje autorregulado de estudiantes universitarios: los usos de las tecnologías digitales. </w:t>
      </w:r>
      <w:r w:rsidDel="00000000" w:rsidR="00000000" w:rsidRPr="00000000">
        <w:rPr>
          <w:rFonts w:ascii="Times New Roman" w:cs="Times New Roman" w:eastAsia="Times New Roman" w:hAnsi="Times New Roman"/>
          <w:i w:val="1"/>
          <w:iCs w:val="1"/>
          <w:rtl w:val="0"/>
        </w:rPr>
        <w:t xml:space="preserve">Revista caribeña de Investigación Educativa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3</w:t>
      </w:r>
      <w:r w:rsidDel="00000000" w:rsidR="00000000" w:rsidRPr="00000000">
        <w:rPr>
          <w:rFonts w:ascii="Times New Roman" w:cs="Times New Roman" w:eastAsia="Times New Roman" w:hAnsi="Times New Roman"/>
          <w:rtl w:val="0"/>
        </w:rPr>
        <w:t xml:space="preserve">(1), 62-81. </w:t>
      </w:r>
      <w:hyperlink r:id="rId17">
        <w:r w:rsidDel="00000000" w:rsidR="00000000" w:rsidRPr="00000000">
          <w:rPr>
            <w:rFonts w:ascii="Times New Roman" w:cs="Times New Roman" w:eastAsia="Times New Roman" w:hAnsi="Times New Roman"/>
            <w:color w:val="0563c1"/>
            <w:u w:val="single"/>
            <w:rtl w:val="0"/>
          </w:rPr>
          <w:t xml:space="preserve">https://doi.org/10.32541/recie.2019.v3i1.pp62-81</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Mishra, P. y Koehler, M. J. (2006). Technological pedagogical content knowledge: a framework for teacher knowledge. </w:t>
      </w:r>
      <w:r w:rsidDel="00000000" w:rsidR="00000000" w:rsidRPr="00000000">
        <w:rPr>
          <w:rFonts w:ascii="Times New Roman" w:cs="Times New Roman" w:eastAsia="Times New Roman" w:hAnsi="Times New Roman"/>
          <w:i w:val="1"/>
          <w:iCs w:val="1"/>
          <w:rtl w:val="0"/>
        </w:rPr>
        <w:t xml:space="preserve">Teachers college record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108</w:t>
      </w:r>
      <w:r w:rsidDel="00000000" w:rsidR="00000000" w:rsidRPr="00000000">
        <w:rPr>
          <w:rFonts w:ascii="Times New Roman" w:cs="Times New Roman" w:eastAsia="Times New Roman" w:hAnsi="Times New Roman"/>
          <w:rtl w:val="0"/>
        </w:rPr>
        <w:t xml:space="preserve">(6), 1017-1054. </w:t>
      </w:r>
      <w:hyperlink r:id="rId18">
        <w:r w:rsidDel="00000000" w:rsidR="00000000" w:rsidRPr="00000000">
          <w:rPr>
            <w:rFonts w:ascii="Times New Roman" w:cs="Times New Roman" w:eastAsia="Times New Roman" w:hAnsi="Times New Roman"/>
            <w:color w:val="0563c1"/>
            <w:u w:val="single"/>
            <w:rtl w:val="0"/>
          </w:rPr>
          <w:t xml:space="preserve">https://doi.org/10.1111/j.1467-9620.2006.00684.x</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Orrego Riofrío, M. y Aimacaña Pinduisaca, C. J. (2018). Herramienta multimedia Educaplay como recurso didáctico en el proceso enseñanza-aprendizaje de Química y Física general. </w:t>
      </w:r>
      <w:r w:rsidDel="00000000" w:rsidR="00000000" w:rsidRPr="00000000">
        <w:rPr>
          <w:rFonts w:ascii="Times New Roman" w:cs="Times New Roman" w:eastAsia="Times New Roman" w:hAnsi="Times New Roman"/>
          <w:i w:val="1"/>
          <w:iCs w:val="1"/>
          <w:rtl w:val="0"/>
        </w:rPr>
        <w:t xml:space="preserve">Polo del Conocimiento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3</w:t>
      </w:r>
      <w:r w:rsidDel="00000000" w:rsidR="00000000" w:rsidRPr="00000000">
        <w:rPr>
          <w:rFonts w:ascii="Times New Roman" w:cs="Times New Roman" w:eastAsia="Times New Roman" w:hAnsi="Times New Roman"/>
          <w:rtl w:val="0"/>
        </w:rPr>
        <w:t xml:space="preserve">(10), 44-57. </w:t>
      </w:r>
      <w:hyperlink r:id="rId19">
        <w:r w:rsidDel="00000000" w:rsidR="00000000" w:rsidRPr="00000000">
          <w:rPr>
            <w:rFonts w:ascii="Times New Roman" w:cs="Times New Roman" w:eastAsia="Times New Roman" w:hAnsi="Times New Roman"/>
            <w:color w:val="0563c1"/>
            <w:u w:val="single"/>
            <w:rtl w:val="0"/>
          </w:rPr>
          <w:t xml:space="preserve">https://doi.org/10.23857/pc.v3i10.729</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Pinto, L. (2019). </w:t>
      </w:r>
      <w:r w:rsidDel="00000000" w:rsidR="00000000" w:rsidRPr="00000000">
        <w:rPr>
          <w:rFonts w:ascii="Times New Roman" w:cs="Times New Roman" w:eastAsia="Times New Roman" w:hAnsi="Times New Roman"/>
          <w:i w:val="1"/>
          <w:iCs w:val="1"/>
          <w:rtl w:val="0"/>
        </w:rPr>
        <w:t xml:space="preserve">Rediseñar la escuela para y con las habilidades del siglo XXI</w:t>
      </w:r>
      <w:r w:rsidDel="00000000" w:rsidR="00000000" w:rsidRPr="00000000">
        <w:rPr>
          <w:rFonts w:ascii="Times New Roman" w:cs="Times New Roman" w:eastAsia="Times New Roman" w:hAnsi="Times New Roman"/>
          <w:rtl w:val="0"/>
        </w:rPr>
        <w:t xml:space="preserve">. Santillana.</w:t>
      </w:r>
    </w:p>
    <w:p w:rsidR="00000000" w:rsidDel="00000000" w:rsidP="00000000" w:rsidRDefault="00000000" w:rsidRPr="00000000" w14:paraId="0000006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Quesada Vania, C. T. y Trujano Ruíz, P. (2015). Infoxicación, angustia, ansiedad y web semántica. </w:t>
      </w:r>
      <w:r w:rsidDel="00000000" w:rsidR="00000000" w:rsidRPr="00000000">
        <w:rPr>
          <w:rFonts w:ascii="Times New Roman" w:cs="Times New Roman" w:eastAsia="Times New Roman" w:hAnsi="Times New Roman"/>
          <w:i w:val="1"/>
          <w:iCs w:val="1"/>
          <w:rtl w:val="0"/>
        </w:rPr>
        <w:t xml:space="preserve">Razón y Palabra</w:t>
      </w:r>
      <w:r w:rsidDel="00000000" w:rsidR="00000000" w:rsidRPr="00000000">
        <w:rPr>
          <w:rFonts w:ascii="Times New Roman" w:cs="Times New Roman" w:eastAsia="Times New Roman" w:hAnsi="Times New Roman"/>
          <w:rtl w:val="0"/>
        </w:rPr>
        <w:t xml:space="preserve">, (92), 1-27.</w:t>
      </w:r>
    </w:p>
    <w:p w:rsidR="00000000" w:rsidDel="00000000" w:rsidP="00000000" w:rsidRDefault="00000000" w:rsidRPr="00000000" w14:paraId="0000006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Ramos Mejía, A. (2020). ¿Cómo se puede usar el celular como pretexto para enseñar la tabla periódica? </w:t>
      </w:r>
      <w:r w:rsidDel="00000000" w:rsidR="00000000" w:rsidRPr="00000000">
        <w:rPr>
          <w:rFonts w:ascii="Times New Roman" w:cs="Times New Roman" w:eastAsia="Times New Roman" w:hAnsi="Times New Roman"/>
          <w:i w:val="1"/>
          <w:iCs w:val="1"/>
          <w:rtl w:val="0"/>
        </w:rPr>
        <w:t xml:space="preserve">Educación Química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31</w:t>
      </w:r>
      <w:r w:rsidDel="00000000" w:rsidR="00000000" w:rsidRPr="00000000">
        <w:rPr>
          <w:rFonts w:ascii="Times New Roman" w:cs="Times New Roman" w:eastAsia="Times New Roman" w:hAnsi="Times New Roman"/>
          <w:rtl w:val="0"/>
        </w:rPr>
        <w:t xml:space="preserve">(1), 49-61.  </w:t>
      </w:r>
      <w:hyperlink r:id="rId20">
        <w:r w:rsidDel="00000000" w:rsidR="00000000" w:rsidRPr="00000000">
          <w:rPr>
            <w:rFonts w:ascii="Times New Roman" w:cs="Times New Roman" w:eastAsia="Times New Roman" w:hAnsi="Times New Roman"/>
            <w:color w:val="0563c1"/>
            <w:u w:val="single"/>
            <w:rtl w:val="0"/>
          </w:rPr>
          <w:t xml:space="preserve">https://doi.org/10.22201/fq.18708404e.2020.1.70399</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Ramos-Zaga, F. (2024). Transformación digital en las Instituciones de Educación Superior: retos, estrategias y perspectivas para el siglo XXI. </w:t>
      </w:r>
      <w:r w:rsidDel="00000000" w:rsidR="00000000" w:rsidRPr="00000000">
        <w:rPr>
          <w:rFonts w:ascii="Times New Roman" w:cs="Times New Roman" w:eastAsia="Times New Roman" w:hAnsi="Times New Roman"/>
          <w:i w:val="1"/>
          <w:iCs w:val="1"/>
          <w:rtl w:val="0"/>
        </w:rPr>
        <w:t xml:space="preserve">Punto Cero</w:t>
      </w:r>
      <w:r w:rsidDel="00000000" w:rsidR="00000000" w:rsidRPr="00000000">
        <w:rPr>
          <w:rFonts w:ascii="Times New Roman" w:cs="Times New Roman" w:eastAsia="Times New Roman" w:hAnsi="Times New Roman"/>
          <w:rtl w:val="0"/>
        </w:rPr>
        <w:t xml:space="preserve">, 29(48), 42-52. </w:t>
      </w:r>
      <w:hyperlink r:id="rId21">
        <w:r w:rsidDel="00000000" w:rsidR="00000000" w:rsidRPr="00000000">
          <w:rPr>
            <w:rFonts w:ascii="Times New Roman" w:cs="Times New Roman" w:eastAsia="Times New Roman" w:hAnsi="Times New Roman"/>
            <w:color w:val="0563c1"/>
            <w:u w:val="single"/>
            <w:rtl w:val="0"/>
          </w:rPr>
          <w:t xml:space="preserve">https://doi.org/10.35319/puntocero.202448229</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Raviolo, A. (2019). Imágenes y enseñanza de la Química. Aportes de la teoría cognitiva del aprendizaje multimedia. </w:t>
      </w:r>
      <w:r w:rsidDel="00000000" w:rsidR="00000000" w:rsidRPr="00000000">
        <w:rPr>
          <w:rFonts w:ascii="Times New Roman" w:cs="Times New Roman" w:eastAsia="Times New Roman" w:hAnsi="Times New Roman"/>
          <w:i w:val="1"/>
          <w:iCs w:val="1"/>
          <w:rtl w:val="0"/>
        </w:rPr>
        <w:t xml:space="preserve">Educación Química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30</w:t>
      </w:r>
      <w:r w:rsidDel="00000000" w:rsidR="00000000" w:rsidRPr="00000000">
        <w:rPr>
          <w:rFonts w:ascii="Times New Roman" w:cs="Times New Roman" w:eastAsia="Times New Roman" w:hAnsi="Times New Roman"/>
          <w:rtl w:val="0"/>
        </w:rPr>
        <w:t xml:space="preserve">(2), 114-128.  </w:t>
      </w:r>
      <w:hyperlink r:id="rId22">
        <w:r w:rsidDel="00000000" w:rsidR="00000000" w:rsidRPr="00000000">
          <w:rPr>
            <w:rFonts w:ascii="Times New Roman" w:cs="Times New Roman" w:eastAsia="Times New Roman" w:hAnsi="Times New Roman"/>
            <w:color w:val="0563c1"/>
            <w:u w:val="single"/>
            <w:rtl w:val="0"/>
          </w:rPr>
          <w:t xml:space="preserve">https://doi.org/10.22201/fq.18708404e.2019.2.67174</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Rodríguez Jiménez, C., Ramos Navas Parejo, M., Santos Villalba, M. J. y Fernández Campoy, J. M. (2019). El uso de la gamificación para el fomento de la educación inclusiva. </w:t>
      </w:r>
      <w:r w:rsidDel="00000000" w:rsidR="00000000" w:rsidRPr="00000000">
        <w:rPr>
          <w:rFonts w:ascii="Times New Roman" w:cs="Times New Roman" w:eastAsia="Times New Roman" w:hAnsi="Times New Roman"/>
          <w:i w:val="1"/>
          <w:iCs w:val="1"/>
          <w:rtl w:val="0"/>
        </w:rPr>
        <w:t xml:space="preserve">International journal of new education</w:t>
      </w:r>
      <w:r w:rsidDel="00000000" w:rsidR="00000000" w:rsidRPr="00000000">
        <w:rPr>
          <w:rFonts w:ascii="Times New Roman" w:cs="Times New Roman" w:eastAsia="Times New Roman" w:hAnsi="Times New Roman"/>
          <w:rtl w:val="0"/>
        </w:rPr>
        <w:t xml:space="preserve">, (3), 39-59. </w:t>
      </w:r>
      <w:hyperlink r:id="rId23">
        <w:r w:rsidDel="00000000" w:rsidR="00000000" w:rsidRPr="00000000">
          <w:rPr>
            <w:rFonts w:ascii="Times New Roman" w:cs="Times New Roman" w:eastAsia="Times New Roman" w:hAnsi="Times New Roman"/>
            <w:color w:val="0563c1"/>
            <w:u w:val="single"/>
            <w:rtl w:val="0"/>
          </w:rPr>
          <w:t xml:space="preserve">https://doi.org/10.24310/IJNE2.1.2019.6557</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Romero Carbonell, M., Romeu Fontanillas, T., Guitert Catasús, M., y Baztán Quemada, P. (2023). La transformación digital en la educación superior: el caso de la UOC. </w:t>
      </w:r>
      <w:r w:rsidDel="00000000" w:rsidR="00000000" w:rsidRPr="00000000">
        <w:rPr>
          <w:rFonts w:ascii="Times New Roman" w:cs="Times New Roman" w:eastAsia="Times New Roman" w:hAnsi="Times New Roman"/>
          <w:i w:val="1"/>
          <w:iCs w:val="1"/>
          <w:rtl w:val="0"/>
        </w:rPr>
        <w:t xml:space="preserve">RIED-Revista Iberoamericana de Educación a Distancia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26</w:t>
      </w:r>
      <w:r w:rsidDel="00000000" w:rsidR="00000000" w:rsidRPr="00000000">
        <w:rPr>
          <w:rFonts w:ascii="Times New Roman" w:cs="Times New Roman" w:eastAsia="Times New Roman" w:hAnsi="Times New Roman"/>
          <w:rtl w:val="0"/>
        </w:rPr>
        <w:t xml:space="preserve">(1), 163-179. </w:t>
      </w:r>
      <w:hyperlink r:id="rId24">
        <w:r w:rsidDel="00000000" w:rsidR="00000000" w:rsidRPr="00000000">
          <w:rPr>
            <w:rFonts w:ascii="Times New Roman" w:cs="Times New Roman" w:eastAsia="Times New Roman" w:hAnsi="Times New Roman"/>
            <w:color w:val="0563c1"/>
            <w:u w:val="single"/>
            <w:rtl w:val="0"/>
          </w:rPr>
          <w:t xml:space="preserve">https://doi.org/10.5944/ried.26.1.33998</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Roselli, N. D. (2016). El aprendizaje colaborativo: bases teóricas y estrategias aplicables en la enseñanza universitaria. </w:t>
      </w:r>
      <w:r w:rsidDel="00000000" w:rsidR="00000000" w:rsidRPr="00000000">
        <w:rPr>
          <w:rFonts w:ascii="Times New Roman" w:cs="Times New Roman" w:eastAsia="Times New Roman" w:hAnsi="Times New Roman"/>
          <w:i w:val="1"/>
          <w:iCs w:val="1"/>
          <w:rtl w:val="0"/>
        </w:rPr>
        <w:t xml:space="preserve">Propósitos y Representaciones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4</w:t>
      </w:r>
      <w:r w:rsidDel="00000000" w:rsidR="00000000" w:rsidRPr="00000000">
        <w:rPr>
          <w:rFonts w:ascii="Times New Roman" w:cs="Times New Roman" w:eastAsia="Times New Roman" w:hAnsi="Times New Roman"/>
          <w:rtl w:val="0"/>
        </w:rPr>
        <w:t xml:space="preserve">(1), 219-280.  </w:t>
      </w:r>
      <w:hyperlink r:id="rId25">
        <w:r w:rsidDel="00000000" w:rsidR="00000000" w:rsidRPr="00000000">
          <w:rPr>
            <w:rFonts w:ascii="Times New Roman" w:cs="Times New Roman" w:eastAsia="Times New Roman" w:hAnsi="Times New Roman"/>
            <w:color w:val="0563c1"/>
            <w:u w:val="single"/>
            <w:rtl w:val="0"/>
          </w:rPr>
          <w:t xml:space="preserve">https://doi.org/10.20511/pyr2016.v4n1.90</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Ruiz Olabuénaga, J. I. (2012). </w:t>
      </w:r>
      <w:r w:rsidDel="00000000" w:rsidR="00000000" w:rsidRPr="00000000">
        <w:rPr>
          <w:rFonts w:ascii="Times New Roman" w:cs="Times New Roman" w:eastAsia="Times New Roman" w:hAnsi="Times New Roman"/>
          <w:i w:val="1"/>
          <w:iCs w:val="1"/>
          <w:rtl w:val="0"/>
        </w:rPr>
        <w:t xml:space="preserve">Metodología de la investigación cualitativa</w:t>
      </w:r>
      <w:r w:rsidDel="00000000" w:rsidR="00000000" w:rsidRPr="00000000">
        <w:rPr>
          <w:rFonts w:ascii="Times New Roman" w:cs="Times New Roman" w:eastAsia="Times New Roman" w:hAnsi="Times New Roman"/>
          <w:rtl w:val="0"/>
        </w:rPr>
        <w:t xml:space="preserve">. 5° edición. Universidad de Deusto.</w:t>
      </w:r>
    </w:p>
    <w:p w:rsidR="00000000" w:rsidDel="00000000" w:rsidP="00000000" w:rsidRDefault="00000000" w:rsidRPr="00000000" w14:paraId="0000006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Shulman, L. S. (1986). Those who understand: knowledge growth in Teaching. </w:t>
      </w:r>
      <w:r w:rsidDel="00000000" w:rsidR="00000000" w:rsidRPr="00000000">
        <w:rPr>
          <w:rFonts w:ascii="Times New Roman" w:cs="Times New Roman" w:eastAsia="Times New Roman" w:hAnsi="Times New Roman"/>
          <w:i w:val="1"/>
          <w:iCs w:val="1"/>
          <w:rtl w:val="0"/>
        </w:rPr>
        <w:t xml:space="preserve">Educational Researcher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15</w:t>
      </w:r>
      <w:r w:rsidDel="00000000" w:rsidR="00000000" w:rsidRPr="00000000">
        <w:rPr>
          <w:rFonts w:ascii="Times New Roman" w:cs="Times New Roman" w:eastAsia="Times New Roman" w:hAnsi="Times New Roman"/>
          <w:rtl w:val="0"/>
        </w:rPr>
        <w:t xml:space="preserve">(2), 4-14. </w:t>
      </w:r>
      <w:hyperlink r:id="rId26">
        <w:r w:rsidDel="00000000" w:rsidR="00000000" w:rsidRPr="00000000">
          <w:rPr>
            <w:rFonts w:ascii="Times New Roman" w:cs="Times New Roman" w:eastAsia="Times New Roman" w:hAnsi="Times New Roman"/>
            <w:color w:val="0563c1"/>
            <w:u w:val="single"/>
            <w:rtl w:val="0"/>
          </w:rPr>
          <w:t xml:space="preserve">https://doi.org/10.3102/0013189X015002004</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Soletic, A. (2021). </w:t>
      </w:r>
      <w:r w:rsidDel="00000000" w:rsidR="00000000" w:rsidRPr="00000000">
        <w:rPr>
          <w:rFonts w:ascii="Times New Roman" w:cs="Times New Roman" w:eastAsia="Times New Roman" w:hAnsi="Times New Roman"/>
          <w:i w:val="1"/>
          <w:iCs w:val="1"/>
          <w:rtl w:val="0"/>
        </w:rPr>
        <w:t xml:space="preserve">Modelos híbridos en la enseñanza: claves para ensamblar la presencialidad y la virtualidad</w:t>
      </w:r>
      <w:r w:rsidDel="00000000" w:rsidR="00000000" w:rsidRPr="00000000">
        <w:rPr>
          <w:rFonts w:ascii="Times New Roman" w:cs="Times New Roman" w:eastAsia="Times New Roman" w:hAnsi="Times New Roman"/>
          <w:rtl w:val="0"/>
        </w:rPr>
        <w:t xml:space="preserve">. CIPPEC (Centro de Implementación de Políticas Públicas para la Equidad y el Crecimiento).</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(2019). </w:t>
      </w:r>
      <w:r w:rsidDel="00000000" w:rsidR="00000000" w:rsidRPr="00000000">
        <w:rPr>
          <w:rFonts w:ascii="Times New Roman" w:cs="Times New Roman" w:eastAsia="Times New Roman" w:hAnsi="Times New Roman"/>
          <w:i w:val="1"/>
          <w:iCs w:val="1"/>
          <w:rtl w:val="0"/>
        </w:rPr>
        <w:t xml:space="preserve">SIED-UNL: Sistema UNLVirtual, Educación mediada por tecnologías en la UNL. Documento de caracterización del SIED.</w:t>
      </w:r>
      <w:r w:rsidDel="00000000" w:rsidR="00000000" w:rsidRPr="00000000">
        <w:rPr>
          <w:rFonts w:ascii="Times New Roman" w:cs="Times New Roman" w:eastAsia="Times New Roman" w:hAnsi="Times New Roman"/>
          <w:rtl w:val="0"/>
        </w:rPr>
        <w:t xml:space="preserve"> Sistema validado por Resolución SPU-ME Nro. 165/2019 y Resolución CONEAU Nro. 41/2019. Ed.: CEMED-UNL.</w:t>
      </w:r>
    </w:p>
    <w:p w:rsidR="00000000" w:rsidDel="00000000" w:rsidP="00000000" w:rsidRDefault="00000000" w:rsidRPr="00000000" w14:paraId="00000071">
      <w:pPr>
        <w:spacing w:line="240" w:lineRule="auto"/>
        <w:jc w:val="both"/>
        <w:rPr>
          <w:rFonts w:ascii="Times New Roman" w:cs="Times New Roman" w:eastAsia="Times New Roman" w:hAnsi="Times New Roman"/>
        </w:rPr>
      </w:pPr>
      <w:bookmarkStart w:colFirst="0" w:colLast="0" w:name="_heading=h.mfm0l7labro9" w:id="0"/>
      <w:bookmarkEnd w:id="0"/>
      <w:r w:rsidDel="00000000" w:rsidR="00000000" w:rsidRPr="00000000">
        <w:rPr>
          <w:rFonts w:ascii="Times New Roman" w:cs="Times New Roman" w:eastAsia="Times New Roman" w:hAnsi="Times New Roman"/>
          <w:rtl w:val="0"/>
        </w:rPr>
        <w:t xml:space="preserve">Urzúa, M. C., Rodríguez, D. P., Martínez, M. y Eustaquio, R. (2020). Aprender Ciencias Experimentales mediante TIC en tiempos de COVID-19: percepción del estudiantado. </w:t>
      </w:r>
      <w:r w:rsidDel="00000000" w:rsidR="00000000" w:rsidRPr="00000000">
        <w:rPr>
          <w:rFonts w:ascii="Times New Roman" w:cs="Times New Roman" w:eastAsia="Times New Roman" w:hAnsi="Times New Roman"/>
          <w:i w:val="1"/>
          <w:iCs w:val="1"/>
          <w:rtl w:val="0"/>
        </w:rPr>
        <w:t xml:space="preserve">Praxis &amp; Saber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11</w:t>
      </w:r>
      <w:r w:rsidDel="00000000" w:rsidR="00000000" w:rsidRPr="00000000">
        <w:rPr>
          <w:rFonts w:ascii="Times New Roman" w:cs="Times New Roman" w:eastAsia="Times New Roman" w:hAnsi="Times New Roman"/>
          <w:rtl w:val="0"/>
        </w:rPr>
        <w:t xml:space="preserve">(27), e11447. </w:t>
      </w:r>
      <w:hyperlink r:id="rId27">
        <w:r w:rsidDel="00000000" w:rsidR="00000000" w:rsidRPr="00000000">
          <w:rPr>
            <w:rFonts w:ascii="Times New Roman" w:cs="Times New Roman" w:eastAsia="Times New Roman" w:hAnsi="Times New Roman"/>
            <w:color w:val="0563c1"/>
            <w:u w:val="single"/>
            <w:rtl w:val="0"/>
          </w:rPr>
          <w:t xml:space="preserve">https://doi.org/10.19053/22160159.v11.n27.2020.11447</w:t>
        </w:r>
      </w:hyperlink>
      <w:r w:rsidDel="00000000" w:rsidR="00000000" w:rsidRPr="00000000">
        <w:rPr>
          <w:rFonts w:ascii="Times New Roman" w:cs="Times New Roman" w:eastAsia="Times New Roman" w:hAnsi="Times New Roman"/>
          <w:rtl w:val="0"/>
        </w:rPr>
        <w:t xml:space="preserve">.</w:t>
      </w:r>
    </w:p>
    <w:sectPr>
      <w:headerReference r:id="rId28" w:type="default"/>
      <w:footerReference r:id="rId29"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22201/fq.18708404e.2020.1.70399" TargetMode="External"/><Relationship Id="rId22" Type="http://schemas.openxmlformats.org/officeDocument/2006/relationships/hyperlink" Target="https://doi.org/10.22201/fq.18708404e.2019.2.67174" TargetMode="External"/><Relationship Id="rId21" Type="http://schemas.openxmlformats.org/officeDocument/2006/relationships/hyperlink" Target="https://doi.org/10.35319/puntocero.202448229" TargetMode="External"/><Relationship Id="rId24" Type="http://schemas.openxmlformats.org/officeDocument/2006/relationships/hyperlink" Target="https://doi.org/10.5944/ried.26.1.33998" TargetMode="External"/><Relationship Id="rId23" Type="http://schemas.openxmlformats.org/officeDocument/2006/relationships/hyperlink" Target="https://doi.org/10.24310/IJNE2.1.2019.655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37/15969-000" TargetMode="External"/><Relationship Id="rId26" Type="http://schemas.openxmlformats.org/officeDocument/2006/relationships/hyperlink" Target="https://doi.org/10.3102/0013189X015002004" TargetMode="External"/><Relationship Id="rId25" Type="http://schemas.openxmlformats.org/officeDocument/2006/relationships/hyperlink" Target="https://doi.org/10.20511/pyr2016.v4n1.90" TargetMode="External"/><Relationship Id="rId28" Type="http://schemas.openxmlformats.org/officeDocument/2006/relationships/header" Target="header1.xml"/><Relationship Id="rId27" Type="http://schemas.openxmlformats.org/officeDocument/2006/relationships/hyperlink" Target="https://doi.org/10.19053/22160159.v11.n27.2020.11447"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1.xml"/><Relationship Id="rId7" Type="http://schemas.openxmlformats.org/officeDocument/2006/relationships/image" Target="media/image3.png"/><Relationship Id="rId8" Type="http://schemas.openxmlformats.org/officeDocument/2006/relationships/hyperlink" Target="http://www.tpack.org" TargetMode="External"/><Relationship Id="rId11" Type="http://schemas.openxmlformats.org/officeDocument/2006/relationships/hyperlink" Target="https://doi.org/10.4067/S0718-50062016000300005" TargetMode="External"/><Relationship Id="rId10" Type="http://schemas.openxmlformats.org/officeDocument/2006/relationships/hyperlink" Target="https://doi.org/10.24215/18509959.22.e01" TargetMode="External"/><Relationship Id="rId13" Type="http://schemas.openxmlformats.org/officeDocument/2006/relationships/hyperlink" Target="https://doi.org/10.21556/edutec.2018.63.927" TargetMode="External"/><Relationship Id="rId12" Type="http://schemas.openxmlformats.org/officeDocument/2006/relationships/hyperlink" Target="https://doi.org/10.62319/simonrodriguez.v.6i11.170" TargetMode="External"/><Relationship Id="rId15" Type="http://schemas.openxmlformats.org/officeDocument/2006/relationships/hyperlink" Target="https://doi.org/10.18861/cied.2019.10.1.2878" TargetMode="External"/><Relationship Id="rId14" Type="http://schemas.openxmlformats.org/officeDocument/2006/relationships/hyperlink" Target="https://doi.org/10.25267/Rev_estud_socioeducativos.2019.i7.02" TargetMode="External"/><Relationship Id="rId17" Type="http://schemas.openxmlformats.org/officeDocument/2006/relationships/hyperlink" Target="https://doi.org/10.32541/recie.2019.v3i1.pp62-81" TargetMode="External"/><Relationship Id="rId16" Type="http://schemas.openxmlformats.org/officeDocument/2006/relationships/hyperlink" Target="https://doi.org/10.22201/cuaed.20074751e.2019.22.70581" TargetMode="External"/><Relationship Id="rId19" Type="http://schemas.openxmlformats.org/officeDocument/2006/relationships/hyperlink" Target="https://doi.org/10.23857/pc.v3i10.729" TargetMode="External"/><Relationship Id="rId18" Type="http://schemas.openxmlformats.org/officeDocument/2006/relationships/hyperlink" Target="https://doi.org/10.1111/j.1467-9620.2006.00684.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xmcjJuqOUDTWvl0qvC0ZE/f13Q==">CgMxLjAyDmgubWZtMGw3bGFicm85OAByITFwb0QzdUZEYWMyMTI0azJ4VzZYRTF6OVVremlCRGM2MQ==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