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0BFCD" w14:textId="77777777" w:rsidR="0037102A" w:rsidRDefault="0037102A">
      <w:pPr>
        <w:jc w:val="center"/>
        <w:rPr>
          <w:rFonts w:ascii="Times New Roman" w:eastAsia="Times New Roman" w:hAnsi="Times New Roman" w:cs="Times New Roman"/>
        </w:rPr>
      </w:pPr>
    </w:p>
    <w:p w14:paraId="039AE701" w14:textId="77777777" w:rsidR="0037102A"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 xml:space="preserve">La construcción del rol de </w:t>
      </w:r>
      <w:proofErr w:type="spellStart"/>
      <w:r>
        <w:rPr>
          <w:rFonts w:ascii="Times New Roman" w:eastAsia="Times New Roman" w:hAnsi="Times New Roman" w:cs="Times New Roman"/>
          <w:b/>
          <w:bCs/>
        </w:rPr>
        <w:t>co-formadores</w:t>
      </w:r>
      <w:proofErr w:type="spellEnd"/>
      <w:r>
        <w:rPr>
          <w:rFonts w:ascii="Times New Roman" w:eastAsia="Times New Roman" w:hAnsi="Times New Roman" w:cs="Times New Roman"/>
          <w:b/>
          <w:bCs/>
        </w:rPr>
        <w:t>: el dispositivo de los ateneos</w:t>
      </w:r>
    </w:p>
    <w:p w14:paraId="689CC86F" w14:textId="77777777" w:rsidR="0037102A" w:rsidRDefault="0037102A">
      <w:pPr>
        <w:jc w:val="center"/>
        <w:rPr>
          <w:rFonts w:ascii="Times New Roman" w:eastAsia="Times New Roman" w:hAnsi="Times New Roman" w:cs="Times New Roman"/>
          <w:b/>
          <w:bCs/>
        </w:rPr>
      </w:pPr>
    </w:p>
    <w:p w14:paraId="61C23791" w14:textId="77777777" w:rsidR="0037102A" w:rsidRDefault="0037102A">
      <w:pPr>
        <w:jc w:val="center"/>
        <w:rPr>
          <w:rFonts w:ascii="Times New Roman" w:eastAsia="Times New Roman" w:hAnsi="Times New Roman" w:cs="Times New Roman"/>
        </w:rPr>
      </w:pPr>
    </w:p>
    <w:p w14:paraId="72DAAF6E" w14:textId="77777777" w:rsidR="0037102A" w:rsidRPr="00EF5B7D" w:rsidRDefault="00000000">
      <w:pPr>
        <w:spacing w:after="0" w:line="240" w:lineRule="auto"/>
        <w:jc w:val="right"/>
        <w:rPr>
          <w:rFonts w:ascii="Times New Roman" w:eastAsia="Times New Roman" w:hAnsi="Times New Roman" w:cs="Times New Roman"/>
          <w:lang w:val="pt-PT"/>
        </w:rPr>
      </w:pPr>
      <w:r w:rsidRPr="00EF5B7D">
        <w:rPr>
          <w:rFonts w:ascii="Times New Roman" w:eastAsia="Times New Roman" w:hAnsi="Times New Roman" w:cs="Times New Roman"/>
          <w:lang w:val="pt-PT"/>
        </w:rPr>
        <w:t>Bifano, Fernando</w:t>
      </w:r>
    </w:p>
    <w:p w14:paraId="4A891588" w14:textId="77777777" w:rsidR="0037102A" w:rsidRPr="00EF5B7D" w:rsidRDefault="00000000">
      <w:pPr>
        <w:spacing w:after="0" w:line="240" w:lineRule="auto"/>
        <w:jc w:val="right"/>
        <w:rPr>
          <w:rFonts w:ascii="Times New Roman" w:eastAsia="Times New Roman" w:hAnsi="Times New Roman" w:cs="Times New Roman"/>
          <w:lang w:val="pt-PT"/>
        </w:rPr>
      </w:pPr>
      <w:r w:rsidRPr="00EF5B7D">
        <w:rPr>
          <w:rFonts w:ascii="Times New Roman" w:eastAsia="Times New Roman" w:hAnsi="Times New Roman" w:cs="Times New Roman"/>
          <w:lang w:val="pt-PT"/>
        </w:rPr>
        <w:t xml:space="preserve">Instituto </w:t>
      </w:r>
      <w:proofErr w:type="spellStart"/>
      <w:r w:rsidRPr="00EF5B7D">
        <w:rPr>
          <w:rFonts w:ascii="Times New Roman" w:eastAsia="Times New Roman" w:hAnsi="Times New Roman" w:cs="Times New Roman"/>
          <w:lang w:val="pt-PT"/>
        </w:rPr>
        <w:t>CeFIEC</w:t>
      </w:r>
      <w:proofErr w:type="spellEnd"/>
      <w:r w:rsidRPr="00EF5B7D">
        <w:rPr>
          <w:rFonts w:ascii="Times New Roman" w:eastAsia="Times New Roman" w:hAnsi="Times New Roman" w:cs="Times New Roman"/>
          <w:lang w:val="pt-PT"/>
        </w:rPr>
        <w:t>/CCPEMS-FCEN-UBA</w:t>
      </w:r>
    </w:p>
    <w:p w14:paraId="080BE4F1" w14:textId="77777777" w:rsidR="0037102A" w:rsidRPr="00EF5B7D" w:rsidRDefault="00000000">
      <w:pPr>
        <w:spacing w:after="0" w:line="240" w:lineRule="auto"/>
        <w:jc w:val="right"/>
        <w:rPr>
          <w:rFonts w:ascii="Times New Roman" w:eastAsia="Times New Roman" w:hAnsi="Times New Roman" w:cs="Times New Roman"/>
          <w:lang w:val="pt-PT"/>
        </w:rPr>
      </w:pPr>
      <w:hyperlink r:id="rId7">
        <w:r w:rsidRPr="00EF5B7D">
          <w:rPr>
            <w:rFonts w:ascii="Times New Roman" w:eastAsia="Times New Roman" w:hAnsi="Times New Roman" w:cs="Times New Roman"/>
            <w:color w:val="1155CC"/>
            <w:u w:val="single"/>
            <w:lang w:val="pt-PT"/>
          </w:rPr>
          <w:t>fjbifano@ccpems.exactas.uba.ar</w:t>
        </w:r>
      </w:hyperlink>
    </w:p>
    <w:p w14:paraId="4B5A9F8E" w14:textId="77777777" w:rsidR="0037102A" w:rsidRPr="00EF5B7D" w:rsidRDefault="0037102A">
      <w:pPr>
        <w:pBdr>
          <w:top w:val="nil"/>
          <w:left w:val="nil"/>
          <w:bottom w:val="nil"/>
          <w:right w:val="nil"/>
          <w:between w:val="nil"/>
        </w:pBdr>
        <w:spacing w:after="0" w:line="240" w:lineRule="auto"/>
        <w:jc w:val="right"/>
        <w:rPr>
          <w:rFonts w:ascii="Times New Roman" w:eastAsia="Times New Roman" w:hAnsi="Times New Roman" w:cs="Times New Roman"/>
          <w:lang w:val="pt-PT"/>
        </w:rPr>
      </w:pPr>
    </w:p>
    <w:p w14:paraId="6EA7F8A7" w14:textId="77777777" w:rsidR="0037102A" w:rsidRPr="00EF5B7D" w:rsidRDefault="00000000">
      <w:pPr>
        <w:spacing w:after="0" w:line="240" w:lineRule="auto"/>
        <w:jc w:val="right"/>
        <w:rPr>
          <w:rFonts w:ascii="Times New Roman" w:eastAsia="Times New Roman" w:hAnsi="Times New Roman" w:cs="Times New Roman"/>
          <w:lang w:val="pt-PT"/>
        </w:rPr>
      </w:pPr>
      <w:proofErr w:type="spellStart"/>
      <w:r w:rsidRPr="00EF5B7D">
        <w:rPr>
          <w:rFonts w:ascii="Times New Roman" w:eastAsia="Times New Roman" w:hAnsi="Times New Roman" w:cs="Times New Roman"/>
          <w:lang w:val="pt-PT"/>
        </w:rPr>
        <w:t>Di</w:t>
      </w:r>
      <w:proofErr w:type="spellEnd"/>
      <w:r w:rsidRPr="00EF5B7D">
        <w:rPr>
          <w:rFonts w:ascii="Times New Roman" w:eastAsia="Times New Roman" w:hAnsi="Times New Roman" w:cs="Times New Roman"/>
          <w:lang w:val="pt-PT"/>
        </w:rPr>
        <w:t xml:space="preserve"> Rico, Enrique</w:t>
      </w:r>
    </w:p>
    <w:p w14:paraId="3CFB185A" w14:textId="77777777" w:rsidR="0037102A" w:rsidRPr="00EF5B7D" w:rsidRDefault="00000000">
      <w:pPr>
        <w:spacing w:after="0" w:line="240" w:lineRule="auto"/>
        <w:jc w:val="right"/>
        <w:rPr>
          <w:rFonts w:ascii="Times New Roman" w:eastAsia="Times New Roman" w:hAnsi="Times New Roman" w:cs="Times New Roman"/>
          <w:lang w:val="pt-PT"/>
        </w:rPr>
      </w:pPr>
      <w:r w:rsidRPr="00EF5B7D">
        <w:rPr>
          <w:rFonts w:ascii="Times New Roman" w:eastAsia="Times New Roman" w:hAnsi="Times New Roman" w:cs="Times New Roman"/>
          <w:lang w:val="pt-PT"/>
        </w:rPr>
        <w:t xml:space="preserve">Instituto </w:t>
      </w:r>
      <w:proofErr w:type="spellStart"/>
      <w:r w:rsidRPr="00EF5B7D">
        <w:rPr>
          <w:rFonts w:ascii="Times New Roman" w:eastAsia="Times New Roman" w:hAnsi="Times New Roman" w:cs="Times New Roman"/>
          <w:lang w:val="pt-PT"/>
        </w:rPr>
        <w:t>CeFIEC</w:t>
      </w:r>
      <w:proofErr w:type="spellEnd"/>
      <w:r w:rsidRPr="00EF5B7D">
        <w:rPr>
          <w:rFonts w:ascii="Times New Roman" w:eastAsia="Times New Roman" w:hAnsi="Times New Roman" w:cs="Times New Roman"/>
          <w:lang w:val="pt-PT"/>
        </w:rPr>
        <w:t>/CCPEMS-FCEN-UBA</w:t>
      </w:r>
    </w:p>
    <w:p w14:paraId="07E20DF0" w14:textId="77777777" w:rsidR="0037102A" w:rsidRPr="00EF5B7D" w:rsidRDefault="00000000">
      <w:pPr>
        <w:spacing w:after="0" w:line="240" w:lineRule="auto"/>
        <w:jc w:val="right"/>
        <w:rPr>
          <w:rFonts w:ascii="Times New Roman" w:eastAsia="Times New Roman" w:hAnsi="Times New Roman" w:cs="Times New Roman"/>
          <w:lang w:val="pt-PT"/>
        </w:rPr>
      </w:pPr>
      <w:r w:rsidRPr="00EF5B7D">
        <w:rPr>
          <w:rFonts w:ascii="Times New Roman" w:eastAsia="Times New Roman" w:hAnsi="Times New Roman" w:cs="Times New Roman"/>
          <w:color w:val="1155CC"/>
          <w:u w:val="single"/>
          <w:lang w:val="pt-PT"/>
        </w:rPr>
        <w:t xml:space="preserve">enriquedirico@ccpems.exactas.uba.ar </w:t>
      </w:r>
    </w:p>
    <w:p w14:paraId="063D707B" w14:textId="77777777" w:rsidR="0037102A" w:rsidRPr="00EF5B7D" w:rsidRDefault="0037102A">
      <w:pPr>
        <w:spacing w:after="0" w:line="240" w:lineRule="auto"/>
        <w:jc w:val="right"/>
        <w:rPr>
          <w:rFonts w:ascii="Times New Roman" w:eastAsia="Times New Roman" w:hAnsi="Times New Roman" w:cs="Times New Roman"/>
          <w:lang w:val="pt-PT"/>
        </w:rPr>
      </w:pPr>
    </w:p>
    <w:p w14:paraId="7E10CC50" w14:textId="77777777" w:rsidR="0037102A" w:rsidRDefault="00000000">
      <w:pPr>
        <w:tabs>
          <w:tab w:val="center" w:pos="4252"/>
          <w:tab w:val="right" w:pos="8504"/>
        </w:tabs>
        <w:spacing w:after="0" w:line="240" w:lineRule="auto"/>
        <w:rPr>
          <w:rFonts w:ascii="Times New Roman" w:eastAsia="Times New Roman" w:hAnsi="Times New Roman" w:cs="Times New Roman"/>
        </w:rPr>
      </w:pPr>
      <w:r w:rsidRPr="00EF5B7D">
        <w:rPr>
          <w:rFonts w:ascii="Times New Roman" w:eastAsia="Times New Roman" w:hAnsi="Times New Roman" w:cs="Times New Roman"/>
          <w:lang w:val="pt-PT"/>
        </w:rPr>
        <w:tab/>
      </w:r>
      <w:r w:rsidRPr="00EF5B7D">
        <w:rPr>
          <w:rFonts w:ascii="Times New Roman" w:eastAsia="Times New Roman" w:hAnsi="Times New Roman" w:cs="Times New Roman"/>
          <w:lang w:val="pt-PT"/>
        </w:rPr>
        <w:tab/>
      </w:r>
      <w:r>
        <w:rPr>
          <w:rFonts w:ascii="Times New Roman" w:eastAsia="Times New Roman" w:hAnsi="Times New Roman" w:cs="Times New Roman"/>
        </w:rPr>
        <w:t>Gómez, Fabián</w:t>
      </w:r>
    </w:p>
    <w:p w14:paraId="657B0AA7" w14:textId="77777777" w:rsidR="0037102A"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Instituto </w:t>
      </w:r>
      <w:proofErr w:type="spellStart"/>
      <w:r>
        <w:rPr>
          <w:rFonts w:ascii="Times New Roman" w:eastAsia="Times New Roman" w:hAnsi="Times New Roman" w:cs="Times New Roman"/>
        </w:rPr>
        <w:t>CeFIEC</w:t>
      </w:r>
      <w:proofErr w:type="spellEnd"/>
      <w:r>
        <w:rPr>
          <w:rFonts w:ascii="Times New Roman" w:eastAsia="Times New Roman" w:hAnsi="Times New Roman" w:cs="Times New Roman"/>
        </w:rPr>
        <w:t>/CCPEMS-FCEN-UBA</w:t>
      </w:r>
    </w:p>
    <w:p w14:paraId="3C549098" w14:textId="77777777" w:rsidR="0037102A" w:rsidRPr="00EF5B7D" w:rsidRDefault="00000000">
      <w:pPr>
        <w:spacing w:after="0" w:line="240" w:lineRule="auto"/>
        <w:jc w:val="right"/>
        <w:rPr>
          <w:rFonts w:ascii="Times New Roman" w:eastAsia="Times New Roman" w:hAnsi="Times New Roman" w:cs="Times New Roman"/>
          <w:lang w:val="pt-PT"/>
        </w:rPr>
      </w:pPr>
      <w:hyperlink r:id="rId8">
        <w:r w:rsidRPr="00EF5B7D">
          <w:rPr>
            <w:rFonts w:ascii="Times New Roman" w:eastAsia="Times New Roman" w:hAnsi="Times New Roman" w:cs="Times New Roman"/>
            <w:color w:val="1155CC"/>
            <w:u w:val="single"/>
            <w:lang w:val="pt-PT"/>
          </w:rPr>
          <w:t>fabiangomezpascual@ccpems.exctas.uba.ar</w:t>
        </w:r>
      </w:hyperlink>
    </w:p>
    <w:p w14:paraId="133BEE97" w14:textId="77777777" w:rsidR="0037102A" w:rsidRPr="00EF5B7D" w:rsidRDefault="0037102A">
      <w:pPr>
        <w:spacing w:after="0" w:line="240" w:lineRule="auto"/>
        <w:jc w:val="right"/>
        <w:rPr>
          <w:rFonts w:ascii="Times New Roman" w:eastAsia="Times New Roman" w:hAnsi="Times New Roman" w:cs="Times New Roman"/>
          <w:lang w:val="pt-PT"/>
        </w:rPr>
      </w:pPr>
    </w:p>
    <w:p w14:paraId="7D3CC263" w14:textId="77777777" w:rsidR="0037102A" w:rsidRPr="00EF5B7D" w:rsidRDefault="00000000">
      <w:pPr>
        <w:spacing w:after="0" w:line="240" w:lineRule="auto"/>
        <w:ind w:left="6480" w:firstLine="720"/>
        <w:rPr>
          <w:rFonts w:ascii="Times New Roman" w:eastAsia="Times New Roman" w:hAnsi="Times New Roman" w:cs="Times New Roman"/>
          <w:lang w:val="pt-PT"/>
        </w:rPr>
      </w:pPr>
      <w:r w:rsidRPr="00EF5B7D">
        <w:rPr>
          <w:rFonts w:ascii="Times New Roman" w:eastAsia="Times New Roman" w:hAnsi="Times New Roman" w:cs="Times New Roman"/>
          <w:lang w:val="pt-PT"/>
        </w:rPr>
        <w:t>Polo, Tamara</w:t>
      </w:r>
    </w:p>
    <w:p w14:paraId="1EFA3E43" w14:textId="77777777" w:rsidR="0037102A" w:rsidRPr="00EF5B7D" w:rsidRDefault="00000000">
      <w:pPr>
        <w:spacing w:after="0" w:line="240" w:lineRule="auto"/>
        <w:ind w:left="3600" w:firstLine="720"/>
        <w:jc w:val="center"/>
        <w:rPr>
          <w:rFonts w:ascii="Times New Roman" w:eastAsia="Times New Roman" w:hAnsi="Times New Roman" w:cs="Times New Roman"/>
          <w:lang w:val="pt-PT"/>
        </w:rPr>
      </w:pPr>
      <w:r w:rsidRPr="00EF5B7D">
        <w:rPr>
          <w:rFonts w:ascii="Times New Roman" w:eastAsia="Times New Roman" w:hAnsi="Times New Roman" w:cs="Times New Roman"/>
          <w:lang w:val="pt-PT"/>
        </w:rPr>
        <w:t xml:space="preserve">Instituto </w:t>
      </w:r>
      <w:proofErr w:type="spellStart"/>
      <w:r w:rsidRPr="00EF5B7D">
        <w:rPr>
          <w:rFonts w:ascii="Times New Roman" w:eastAsia="Times New Roman" w:hAnsi="Times New Roman" w:cs="Times New Roman"/>
          <w:lang w:val="pt-PT"/>
        </w:rPr>
        <w:t>CeFIEC</w:t>
      </w:r>
      <w:proofErr w:type="spellEnd"/>
      <w:r w:rsidRPr="00EF5B7D">
        <w:rPr>
          <w:rFonts w:ascii="Times New Roman" w:eastAsia="Times New Roman" w:hAnsi="Times New Roman" w:cs="Times New Roman"/>
          <w:lang w:val="pt-PT"/>
        </w:rPr>
        <w:t>/CCPEMS-FCEN-UBA</w:t>
      </w:r>
    </w:p>
    <w:p w14:paraId="01335235" w14:textId="77777777" w:rsidR="0037102A" w:rsidRPr="00EF5B7D" w:rsidRDefault="00000000">
      <w:pPr>
        <w:spacing w:after="0" w:line="240" w:lineRule="auto"/>
        <w:jc w:val="right"/>
        <w:rPr>
          <w:rFonts w:ascii="Times New Roman" w:eastAsia="Times New Roman" w:hAnsi="Times New Roman" w:cs="Times New Roman"/>
          <w:lang w:val="pt-PT"/>
        </w:rPr>
      </w:pPr>
      <w:hyperlink r:id="rId9">
        <w:r w:rsidRPr="00EF5B7D">
          <w:rPr>
            <w:rFonts w:ascii="Times New Roman" w:eastAsia="Times New Roman" w:hAnsi="Times New Roman" w:cs="Times New Roman"/>
            <w:color w:val="1155CC"/>
            <w:u w:val="single"/>
            <w:lang w:val="pt-PT"/>
          </w:rPr>
          <w:t>polo.tamara@gmail.com</w:t>
        </w:r>
      </w:hyperlink>
    </w:p>
    <w:p w14:paraId="28E561C5" w14:textId="77777777" w:rsidR="0037102A" w:rsidRPr="00EF5B7D" w:rsidRDefault="0037102A">
      <w:pPr>
        <w:spacing w:after="0" w:line="240" w:lineRule="auto"/>
        <w:jc w:val="right"/>
        <w:rPr>
          <w:rFonts w:ascii="Times New Roman" w:eastAsia="Times New Roman" w:hAnsi="Times New Roman" w:cs="Times New Roman"/>
          <w:lang w:val="pt-PT"/>
        </w:rPr>
      </w:pPr>
    </w:p>
    <w:p w14:paraId="02E483FC" w14:textId="77777777" w:rsidR="0037102A" w:rsidRDefault="0000000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Resumen: </w:t>
      </w:r>
    </w:p>
    <w:p w14:paraId="13A8091E" w14:textId="77777777" w:rsidR="0037102A" w:rsidRDefault="00000000">
      <w:pPr>
        <w:spacing w:after="200" w:line="240" w:lineRule="auto"/>
        <w:jc w:val="both"/>
        <w:rPr>
          <w:rFonts w:ascii="Times New Roman" w:eastAsia="Times New Roman" w:hAnsi="Times New Roman" w:cs="Times New Roman"/>
          <w:highlight w:val="white"/>
        </w:rPr>
      </w:pPr>
      <w:r>
        <w:rPr>
          <w:rFonts w:ascii="Times New Roman" w:eastAsia="Times New Roman" w:hAnsi="Times New Roman" w:cs="Times New Roman"/>
        </w:rPr>
        <w:t xml:space="preserve">A partir de los resultados de un proyecto de investigación orientado a caracterizar y comprender los procesos de construcción colectiva de conocimiento en torno a la enseñanza de la matemática en la formación inicial de docentes de nivel secundario, se identificó como una limitación relevante la escasa integración sistemática de las y los docentes de aula en los dispositivos de acompañamiento de las prácticas, cuya participación tendía a restringirse a intervenciones generales con bajo impacto en la formación (Bifano, Di Rico &amp; Gómez, 2024). En este marco, la presente ponencia se propone identificar unos primeros indicios acerca de cuáles son los elementos que impactan en la emergencia y configuración del rol de </w:t>
      </w:r>
      <w:proofErr w:type="spellStart"/>
      <w:r>
        <w:rPr>
          <w:rFonts w:ascii="Times New Roman" w:eastAsia="Times New Roman" w:hAnsi="Times New Roman" w:cs="Times New Roman"/>
        </w:rPr>
        <w:t>co-formador</w:t>
      </w:r>
      <w:proofErr w:type="spellEnd"/>
      <w:r>
        <w:rPr>
          <w:rFonts w:ascii="Times New Roman" w:eastAsia="Times New Roman" w:hAnsi="Times New Roman" w:cs="Times New Roman"/>
        </w:rPr>
        <w:t xml:space="preserve">, entendido como aquel docente que habilita su aula y participa activamente en la formación en terreno de futuros docentes (Sanjurjo et al., 2012), en articulación con la construcción de un dispositivo específico denominado ateneos de </w:t>
      </w:r>
      <w:proofErr w:type="spellStart"/>
      <w:r>
        <w:rPr>
          <w:rFonts w:ascii="Times New Roman" w:eastAsia="Times New Roman" w:hAnsi="Times New Roman" w:cs="Times New Roman"/>
        </w:rPr>
        <w:t>co-formación</w:t>
      </w:r>
      <w:proofErr w:type="spellEnd"/>
      <w:r>
        <w:rPr>
          <w:rFonts w:ascii="Times New Roman" w:eastAsia="Times New Roman" w:hAnsi="Times New Roman" w:cs="Times New Roman"/>
        </w:rPr>
        <w:t xml:space="preserve">. El trabajo se inscribe en la perspectiva de comunidades de práctica (Lave &amp; Wenger, 1991; Wenger, 1998, 2000; Jaworski, 2003, 2008; Goodchild, 2007, 2008), desde la cual se concibe la formación docente como un proceso colectivo situado, atravesado por relaciones interpersonales e interinstitucionales que requieren ser sostenidas en el tiempo. Asimismo, se recupera la noción de confianza como categoría analítica central (Sadovsky et al., 2015, 2016; Ponce, 2024), en tanto hipótesis que orienta en nuestro caso la construcción de vínculos que favorezcan el aprendizaje frente a lógicas de control que tienden a reforzar asimetrías preexistentes entre formadores, docentes de aula y estudiantes. A partir de estos antecedentes, se formulan como preguntas de investigación cómo se construye el rol de </w:t>
      </w:r>
      <w:proofErr w:type="spellStart"/>
      <w:r>
        <w:rPr>
          <w:rFonts w:ascii="Times New Roman" w:eastAsia="Times New Roman" w:hAnsi="Times New Roman" w:cs="Times New Roman"/>
        </w:rPr>
        <w:t>co-formador</w:t>
      </w:r>
      <w:proofErr w:type="spellEnd"/>
      <w:r>
        <w:rPr>
          <w:rFonts w:ascii="Times New Roman" w:eastAsia="Times New Roman" w:hAnsi="Times New Roman" w:cs="Times New Roman"/>
        </w:rPr>
        <w:t xml:space="preserve"> en </w:t>
      </w:r>
      <w:r>
        <w:rPr>
          <w:rFonts w:ascii="Times New Roman" w:eastAsia="Times New Roman" w:hAnsi="Times New Roman" w:cs="Times New Roman"/>
        </w:rPr>
        <w:lastRenderedPageBreak/>
        <w:t xml:space="preserve">“contextos institucionales atravesados por demandas y restricciones diversas” (Bourdieu, 1998), qué condiciones favorecen su integración efectiva en los procesos formativos y qué tipos de tareas y dispositivos posibilitan la consolidación de relaciones de confianza entre los distintos actores. En este sentido, los ateneos de </w:t>
      </w:r>
      <w:proofErr w:type="spellStart"/>
      <w:r>
        <w:rPr>
          <w:rFonts w:ascii="Times New Roman" w:eastAsia="Times New Roman" w:hAnsi="Times New Roman" w:cs="Times New Roman"/>
        </w:rPr>
        <w:t>co-formación</w:t>
      </w:r>
      <w:proofErr w:type="spellEnd"/>
      <w:r>
        <w:rPr>
          <w:rFonts w:ascii="Times New Roman" w:eastAsia="Times New Roman" w:hAnsi="Times New Roman" w:cs="Times New Roman"/>
        </w:rPr>
        <w:t xml:space="preserve"> se proponen como instancias específicas de trabajo conjunto que buscan promover en forma sistemática y periódica el ejercicio reflexivo sobre la práctica a fin de lograr una mayor articulación entre la planificación, implementación y análisis de propuestas de enseñanza. Se plantea como hipótesis que la institucionalización progresiva de estos espacios, en el marco de una red interinstitucional, puede contribuir a fortalecer la comunidad de práctica en torno a la enseñanza de la matemática y a reconfigurar el lugar de las y los docentes de aula como </w:t>
      </w:r>
      <w:proofErr w:type="spellStart"/>
      <w:r>
        <w:rPr>
          <w:rFonts w:ascii="Times New Roman" w:eastAsia="Times New Roman" w:hAnsi="Times New Roman" w:cs="Times New Roman"/>
        </w:rPr>
        <w:t>co-formadores</w:t>
      </w:r>
      <w:proofErr w:type="spellEnd"/>
      <w:r>
        <w:rPr>
          <w:rFonts w:ascii="Times New Roman" w:eastAsia="Times New Roman" w:hAnsi="Times New Roman" w:cs="Times New Roman"/>
        </w:rPr>
        <w:t>, no sólo en términos de acompañamiento individual sino como actores clave en la producción colectiva de saberes didácticos. De este modo, la ponencia busca aportar elementos para problematizar y profundizar las condiciones de posibilidad de una formación docente que integre de manera más orgánica las dimensiones institucionales, relacionales y epistemológicas implicadas en la enseñanza de la matemática.</w:t>
      </w:r>
    </w:p>
    <w:p w14:paraId="30728653"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b/>
          <w:bCs/>
          <w:i/>
          <w:iCs/>
        </w:rPr>
        <w:t>Palabras clave:</w:t>
      </w:r>
      <w:r>
        <w:rPr>
          <w:rFonts w:ascii="Times New Roman" w:eastAsia="Times New Roman" w:hAnsi="Times New Roman" w:cs="Times New Roman"/>
          <w:b/>
          <w:bCs/>
        </w:rPr>
        <w:t xml:space="preserve"> prácticas docentes - enseñanza de la matemática - rol del </w:t>
      </w:r>
      <w:proofErr w:type="spellStart"/>
      <w:r>
        <w:rPr>
          <w:rFonts w:ascii="Times New Roman" w:eastAsia="Times New Roman" w:hAnsi="Times New Roman" w:cs="Times New Roman"/>
          <w:b/>
          <w:bCs/>
        </w:rPr>
        <w:t>co-formador</w:t>
      </w:r>
      <w:proofErr w:type="spellEnd"/>
      <w:r>
        <w:rPr>
          <w:rFonts w:ascii="Times New Roman" w:eastAsia="Times New Roman" w:hAnsi="Times New Roman" w:cs="Times New Roman"/>
          <w:b/>
          <w:bCs/>
        </w:rPr>
        <w:t xml:space="preserve"> - confianza</w:t>
      </w:r>
    </w:p>
    <w:p w14:paraId="3497FCC0" w14:textId="77777777" w:rsidR="0037102A" w:rsidRDefault="0037102A">
      <w:pPr>
        <w:spacing w:line="240" w:lineRule="auto"/>
        <w:jc w:val="both"/>
        <w:rPr>
          <w:rFonts w:ascii="Times New Roman" w:eastAsia="Times New Roman" w:hAnsi="Times New Roman" w:cs="Times New Roman"/>
          <w:b/>
          <w:bCs/>
        </w:rPr>
      </w:pPr>
    </w:p>
    <w:p w14:paraId="45C824BC" w14:textId="77777777" w:rsidR="0037102A" w:rsidRDefault="0000000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Introducción</w:t>
      </w:r>
    </w:p>
    <w:p w14:paraId="2A360D5D"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creación de los ateneos de </w:t>
      </w:r>
      <w:proofErr w:type="spellStart"/>
      <w:r>
        <w:rPr>
          <w:rFonts w:ascii="Times New Roman" w:eastAsia="Times New Roman" w:hAnsi="Times New Roman" w:cs="Times New Roman"/>
        </w:rPr>
        <w:t>co-formación</w:t>
      </w:r>
      <w:proofErr w:type="spellEnd"/>
      <w:r>
        <w:rPr>
          <w:rFonts w:ascii="Times New Roman" w:eastAsia="Times New Roman" w:hAnsi="Times New Roman" w:cs="Times New Roman"/>
        </w:rPr>
        <w:t xml:space="preserve"> es el resultado de un proceso progresivo de problematización desarrollado a lo largo de varios años de trabajo en torno a la formación inicial de profesores de matemáticas. Si bien no constituyó una decisión inicial del proyecto de investigación, desde las primeras reuniones del equipo comenzó a tomar forma una preocupación vinculada con la necesidad de comprender cómo se articulan los diferentes espacios, actores e instituciones que participan en la formación de futuros docentes (Bifano, Di Rico y Gómez, 2024a). En este marco, las discusiones se orientaron inicialmente hacia la construcción de comunidades de práctica vinculadas a la enseñanza de la matemática (Lave y Wenger, 1991; Wenger, 1998, 2000; Jaworski, 2003, 2008; Goodchild, 2007, 2008), poniendo el foco en los procesos colectivos de construcción de conocimiento que tienen lugar en los espacios de formación.</w:t>
      </w:r>
    </w:p>
    <w:p w14:paraId="76AB6879" w14:textId="3196D12B"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reflexión sobre la práctica constituyó desde el inicio una dimensión central de las propuestas impulsadas por el equipo. El análisis de episodios de clases, la elaboración de registros escritos, los diarios de la formación y, especialmente, </w:t>
      </w:r>
      <w:r w:rsidR="00EF5B7D">
        <w:rPr>
          <w:rFonts w:ascii="Times New Roman" w:eastAsia="Times New Roman" w:hAnsi="Times New Roman" w:cs="Times New Roman"/>
        </w:rPr>
        <w:t>el trabajo sostenido sobre el documento de las planificaciones fue</w:t>
      </w:r>
      <w:r>
        <w:rPr>
          <w:rFonts w:ascii="Times New Roman" w:eastAsia="Times New Roman" w:hAnsi="Times New Roman" w:cs="Times New Roman"/>
        </w:rPr>
        <w:t xml:space="preserve"> configurándose como dispositivos privilegiados para favorecer procesos de objetivación y reflexión acerca de la enseñanza (Bifano, 2025; Bifano, Di Rico y Gómez, 2024b). Estas experiencias permitieron consolidar espacios de intercambio entre estudiantes y formadores, al tiempo que pusieron en evidencia la potencia formativa que adquiere el análisis compartido de la práctica.</w:t>
      </w:r>
    </w:p>
    <w:p w14:paraId="28D3D2EF"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Sin embargo, a medida que avanzaba el proyecto comenzó a emerger una nueva preocupación. Si bien los docentes de aula participaban de manera habitual en el proceso </w:t>
      </w:r>
      <w:r>
        <w:rPr>
          <w:rFonts w:ascii="Times New Roman" w:eastAsia="Times New Roman" w:hAnsi="Times New Roman" w:cs="Times New Roman"/>
        </w:rPr>
        <w:lastRenderedPageBreak/>
        <w:t>formativo recibiendo practicantes, acompañando diversas instancias de trabajo y sosteniendo intercambios con estudiantes y formadores, su participación en los espacios sistemáticos de reflexión tendía a desarrollarse de manera más bien informal, vinculada a situaciones particulares y dependiente, en gran medida, de iniciativas personales. Esta constatación llevó progresivamente a los formadores a preguntarse por las condiciones que permitirían ampliar y fortalecer la participación de los docentes de aula en los procesos colectivos de análisis y reflexión sobre la enseñanza.</w:t>
      </w:r>
    </w:p>
    <w:p w14:paraId="614FE0BB"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En este contexto, surgió la necesidad de generar instancias específicas que permitieran incorporarlos de manera más activa y sistemática. Lo que empezó a problematizarse fue cómo construir espacios de trabajo conjunto que posibilitaran poner en diálogo experiencias, conocimientos y distintas perspectivas acerca de la enseñanza de la matemática en el contexto de las prácticas docentes.</w:t>
      </w:r>
    </w:p>
    <w:p w14:paraId="506D51D4"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Fue en el marco de estas discusiones donde comenzó a delinearse la idea de los ateneos de </w:t>
      </w:r>
      <w:proofErr w:type="spellStart"/>
      <w:r>
        <w:rPr>
          <w:rFonts w:ascii="Times New Roman" w:eastAsia="Times New Roman" w:hAnsi="Times New Roman" w:cs="Times New Roman"/>
        </w:rPr>
        <w:t>co-formación</w:t>
      </w:r>
      <w:proofErr w:type="spellEnd"/>
      <w:r>
        <w:rPr>
          <w:rFonts w:ascii="Times New Roman" w:eastAsia="Times New Roman" w:hAnsi="Times New Roman" w:cs="Times New Roman"/>
        </w:rPr>
        <w:t xml:space="preserve">. La elección de esta denominación expresa dos decisiones complementarias. Por un lado, recuperar la tradición del ateneo como espacio de intercambio y análisis colectivo de situaciones de práctica (Barbero et al., 2011; Borel &amp; Malet, 2009). Por otro lado, poner de relieve que la formación de futuros docentes constituye una responsabilidad compartida entre los distintos actores involucrados. En esta perspectiva, la figura del </w:t>
      </w:r>
      <w:proofErr w:type="spellStart"/>
      <w:r>
        <w:rPr>
          <w:rFonts w:ascii="Times New Roman" w:eastAsia="Times New Roman" w:hAnsi="Times New Roman" w:cs="Times New Roman"/>
        </w:rPr>
        <w:t>co-formador</w:t>
      </w:r>
      <w:proofErr w:type="spellEnd"/>
      <w:r>
        <w:rPr>
          <w:rFonts w:ascii="Times New Roman" w:eastAsia="Times New Roman" w:hAnsi="Times New Roman" w:cs="Times New Roman"/>
        </w:rPr>
        <w:t xml:space="preserve"> es una construcción profesional que se termina de configurar en el propio trabajo de acompañamiento a los futuros docentes (Foresi, 2009).</w:t>
      </w:r>
    </w:p>
    <w:p w14:paraId="0CE92170"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esta construcción, el docente de aula ocupa un lugar singular. No se trata solamente de quien habilita su curso para la realización de las prácticas. Su participación permite acercar al espacio de formación la complejidad de las instituciones escolares concretas, las condiciones en las que se desarrolla la enseñanza y las diferentes maneras en que la matemática cobra vida en las aulas. De esta manera, el docente de aula constituye un vínculo privilegiado con la institución escolar y con las dinámicas que la atraviesan cotidianamente. Su presencia ofrece a los futuros docentes oportunidades para poner en diálogo las perspectivas construidas durante su formación con las múltiples realidades en las que posteriormente desarrollarán su tarea profesional. </w:t>
      </w:r>
    </w:p>
    <w:p w14:paraId="66B47CFC"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La diversidad de contextos educativos involucrados en las prácticas —escuelas técnicas, artísticas, de reingreso, entre otras— contribuye además a complejizar la comprensión de la matemática escolar y de sus múltiples modos de realización. Desde esta mirada el aula deja de ser concebida como un espacio destinado a la aplicación de teorías previamente elaboradas para convertirse en una oportunidad de aproximación a la riqueza y diversidad de situaciones que atraviesan la práctica docente (Sadovsky, 2005, 15).</w:t>
      </w:r>
    </w:p>
    <w:p w14:paraId="352BAB56" w14:textId="18011709" w:rsidR="0037102A" w:rsidRDefault="00EF5B7D">
      <w:pPr>
        <w:spacing w:line="240" w:lineRule="auto"/>
        <w:jc w:val="both"/>
        <w:rPr>
          <w:rFonts w:ascii="Times New Roman" w:eastAsia="Times New Roman" w:hAnsi="Times New Roman" w:cs="Times New Roman"/>
        </w:rPr>
      </w:pPr>
      <w:r>
        <w:rPr>
          <w:rFonts w:ascii="Times New Roman" w:eastAsia="Times New Roman" w:hAnsi="Times New Roman" w:cs="Times New Roman"/>
        </w:rPr>
        <w:t>La convocatoria para participar</w:t>
      </w:r>
      <w:r w:rsidR="00000000">
        <w:rPr>
          <w:rFonts w:ascii="Times New Roman" w:eastAsia="Times New Roman" w:hAnsi="Times New Roman" w:cs="Times New Roman"/>
        </w:rPr>
        <w:t xml:space="preserve"> en los ateneos se apoyó inicialmente en vínculos previamente existentes, ya sea con la institución formadora —muchos de los docentes convocados son egresados de la facultad— o a través de relaciones profesionales construidas con integrantes del equipo de investigación. Sin embargo, la confianza que posibilitó esa primera aproximación al dispositivo no podía sostenerse únicamente en esos lazos personales o institucionales. Si bien dichos vínculos resultaron fundamentales </w:t>
      </w:r>
      <w:r w:rsidR="00000000">
        <w:rPr>
          <w:rFonts w:ascii="Times New Roman" w:eastAsia="Times New Roman" w:hAnsi="Times New Roman" w:cs="Times New Roman"/>
        </w:rPr>
        <w:lastRenderedPageBreak/>
        <w:t>para habilitar el encuentro, uno de los desafíos que comenzó a plantearse desde el inicio fue cómo transformar esa confianza de índole personal inicial en una construcción de carácter más colectivo.</w:t>
      </w:r>
    </w:p>
    <w:p w14:paraId="6758C946"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Esta preocupación dialoga con la perspectiva de las comunidades de práctica, en la medida en que el compromiso mutuo no puede entenderse como una condición previa sino como una construcción que se desarrolla en torno a una tarea compartida (Wenger, 1998). Desde esta mirada, el interés no radica únicamente en convocar docentes para que participaran de los ateneos, sino en generar condiciones para que pudieran asumir progresivamente un lugar diferente dentro del proceso formativo. La intención no era incorporar </w:t>
      </w:r>
      <w:proofErr w:type="spellStart"/>
      <w:r>
        <w:rPr>
          <w:rFonts w:ascii="Times New Roman" w:eastAsia="Times New Roman" w:hAnsi="Times New Roman" w:cs="Times New Roman"/>
        </w:rPr>
        <w:t>co-formadores</w:t>
      </w:r>
      <w:proofErr w:type="spellEnd"/>
      <w:r>
        <w:rPr>
          <w:rFonts w:ascii="Times New Roman" w:eastAsia="Times New Roman" w:hAnsi="Times New Roman" w:cs="Times New Roman"/>
        </w:rPr>
        <w:t xml:space="preserve"> a un dispositivo ya constituido, sino propiciar espacios de trabajo conjunto que permitiera la construcción gradual de ese rol.</w:t>
      </w:r>
    </w:p>
    <w:p w14:paraId="542E63C3"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sentido, los ateneos fueron concebidos no sólo como espacios de reflexión sobre la práctica, sino también como ámbitos donde la participación pudiera ir transformándose progresivamente en una forma de compromiso colectivo con la formación inicial. La hipótesis que orientó este trabajo fue que la confianza colectiva no constituye una condición previa para el desarrollo del dispositivo sino una construcción que se produce a partir de la participación sostenida en torno a problemas comunes de la enseñanza (Ponce, 2024). </w:t>
      </w:r>
    </w:p>
    <w:p w14:paraId="12B607CF"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marco, resulta clave la propuesta de </w:t>
      </w:r>
      <w:proofErr w:type="spellStart"/>
      <w:r>
        <w:rPr>
          <w:rFonts w:ascii="Times New Roman" w:eastAsia="Times New Roman" w:hAnsi="Times New Roman" w:cs="Times New Roman"/>
        </w:rPr>
        <w:t>Zask</w:t>
      </w:r>
      <w:proofErr w:type="spellEnd"/>
      <w:r>
        <w:rPr>
          <w:rFonts w:ascii="Times New Roman" w:eastAsia="Times New Roman" w:hAnsi="Times New Roman" w:cs="Times New Roman"/>
        </w:rPr>
        <w:t xml:space="preserve"> (2011), quien entiende la participación como una experiencia que articula tres dimensiones complementarias: tomar parte de una actividad colectiva, aportar una contribución propia y recibir algo como resultado de esa participación. Estas tres dimensiones permiten interpretar con mayor precisión el proceso observado en los ateneos. Los docentes de aula toman parte de un espacio sistemático de reflexión sobre la práctica, aportan conocimientos construidos en la experiencia cotidiana de la enseñanza y, al mismo tiempo, reciben nuevas oportunidades para resignificar su propia práctica, confrontar perspectivas diversas y construir un lugar diferente dentro del proceso formativo. En esta misma dinámica, la confianza deja de apoyarse exclusivamente en vínculos personales o institucionales preexistentes para convertirse gradualmente en una confianza de carácter colectivo, construida alrededor de una tarea común y del reconocimiento mutuo de los aportes que cada participante realiza.</w:t>
      </w:r>
    </w:p>
    <w:p w14:paraId="6C564D1D" w14:textId="77777777" w:rsidR="0037102A" w:rsidRDefault="0037102A">
      <w:pPr>
        <w:spacing w:line="240" w:lineRule="auto"/>
        <w:jc w:val="both"/>
        <w:rPr>
          <w:rFonts w:ascii="Times New Roman" w:eastAsia="Times New Roman" w:hAnsi="Times New Roman" w:cs="Times New Roman"/>
        </w:rPr>
      </w:pPr>
    </w:p>
    <w:p w14:paraId="45D94539" w14:textId="77777777" w:rsidR="0037102A"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Desarrollo</w:t>
      </w:r>
    </w:p>
    <w:p w14:paraId="11D69661"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Teniendo en cuenta lo dicho previamente, se desarrolló un proceso de consulta personal y por correo electrónico orientado a identificar formatos, horarios y modalidades de trabajo que favorezcan la participación sostenida de los docentes convocados. Como resultado, se configuraron dos espacios de ateneo con cinco temáticas comunes, coordinados por distintos integrantes del equipo de investigación.</w:t>
      </w:r>
    </w:p>
    <w:p w14:paraId="0BA4E91D" w14:textId="77777777" w:rsidR="00EF5B7D" w:rsidRDefault="00EF5B7D" w:rsidP="00EF5B7D">
      <w:pPr>
        <w:spacing w:line="240"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Tabla 1</w:t>
      </w:r>
    </w:p>
    <w:p w14:paraId="508FBCEC" w14:textId="26B90308" w:rsidR="00EF5B7D" w:rsidRDefault="00EF5B7D" w:rsidP="00EF5B7D">
      <w:pPr>
        <w:spacing w:line="240" w:lineRule="auto"/>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Temáticas para desarrollar</w:t>
      </w:r>
      <w:r>
        <w:rPr>
          <w:rFonts w:ascii="Times New Roman" w:eastAsia="Times New Roman" w:hAnsi="Times New Roman" w:cs="Times New Roman"/>
          <w:i/>
          <w:iCs/>
          <w:sz w:val="22"/>
          <w:szCs w:val="22"/>
        </w:rPr>
        <w:t xml:space="preserve"> a lo largo de los cinco ateneos </w:t>
      </w:r>
    </w:p>
    <w:p w14:paraId="21426838" w14:textId="77777777" w:rsidR="00EF5B7D" w:rsidRDefault="00EF5B7D">
      <w:pPr>
        <w:spacing w:line="240" w:lineRule="auto"/>
        <w:jc w:val="both"/>
        <w:rPr>
          <w:rFonts w:ascii="Times New Roman" w:eastAsia="Times New Roman" w:hAnsi="Times New Roman" w:cs="Times New Roman"/>
          <w:i/>
          <w:iCs/>
          <w:sz w:val="22"/>
          <w:szCs w:val="22"/>
        </w:rPr>
      </w:pPr>
    </w:p>
    <w:sdt>
      <w:sdtPr>
        <w:tag w:val="goog_rdk_0"/>
        <w:id w:val="-567078596"/>
        <w:lock w:val="contentLocked"/>
      </w:sdtPr>
      <w:sdtContent>
        <w:tbl>
          <w:tblPr>
            <w:tblStyle w:val="a"/>
            <w:tblpPr w:leftFromText="180" w:rightFromText="180" w:topFromText="180" w:bottomFromText="180" w:horzAnchor="margin" w:tblpXSpec="center" w:tblpYSpec="top"/>
            <w:tblW w:w="846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45"/>
            <w:gridCol w:w="3420"/>
            <w:gridCol w:w="4095"/>
          </w:tblGrid>
          <w:tr w:rsidR="0037102A" w14:paraId="21CF7BCB" w14:textId="77777777">
            <w:trPr>
              <w:tblHeader/>
              <w:jc w:val="center"/>
            </w:trPr>
            <w:tc>
              <w:tcPr>
                <w:tcW w:w="945" w:type="dxa"/>
                <w:tcBorders>
                  <w:top w:val="single" w:sz="8" w:space="0" w:color="000000"/>
                  <w:bottom w:val="single" w:sz="8" w:space="0" w:color="000000"/>
                </w:tcBorders>
              </w:tcPr>
              <w:p w14:paraId="7053C799" w14:textId="77777777" w:rsidR="0037102A"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Ateneo</w:t>
                </w:r>
              </w:p>
            </w:tc>
            <w:tc>
              <w:tcPr>
                <w:tcW w:w="3420" w:type="dxa"/>
                <w:tcBorders>
                  <w:top w:val="single" w:sz="8" w:space="0" w:color="000000"/>
                  <w:bottom w:val="single" w:sz="8" w:space="0" w:color="000000"/>
                </w:tcBorders>
              </w:tcPr>
              <w:p w14:paraId="591D39E8" w14:textId="77777777" w:rsidR="0037102A" w:rsidRDefault="00000000">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Pregunta orientadora</w:t>
                </w:r>
              </w:p>
            </w:tc>
            <w:tc>
              <w:tcPr>
                <w:tcW w:w="4095" w:type="dxa"/>
                <w:tcBorders>
                  <w:top w:val="single" w:sz="8" w:space="0" w:color="000000"/>
                  <w:bottom w:val="single" w:sz="8" w:space="0" w:color="000000"/>
                </w:tcBorders>
              </w:tcPr>
              <w:p w14:paraId="514366E7" w14:textId="77777777" w:rsidR="0037102A" w:rsidRDefault="00000000">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Temática a trabajar</w:t>
                </w:r>
              </w:p>
            </w:tc>
          </w:tr>
          <w:tr w:rsidR="0037102A" w14:paraId="1141AC02" w14:textId="77777777">
            <w:trPr>
              <w:tblHeader/>
              <w:jc w:val="center"/>
            </w:trPr>
            <w:tc>
              <w:tcPr>
                <w:tcW w:w="945" w:type="dxa"/>
                <w:tcBorders>
                  <w:top w:val="single" w:sz="8" w:space="0" w:color="000000"/>
                </w:tcBorders>
              </w:tcPr>
              <w:p w14:paraId="2FCCE65A" w14:textId="77777777" w:rsidR="0037102A" w:rsidRDefault="00000000">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3420" w:type="dxa"/>
                <w:tcBorders>
                  <w:top w:val="single" w:sz="8" w:space="0" w:color="000000"/>
                </w:tcBorders>
              </w:tcPr>
              <w:p w14:paraId="62ADC8BC" w14:textId="77777777" w:rsidR="0037102A"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¿Por qué ofrecer mi aula?</w:t>
                </w:r>
              </w:p>
            </w:tc>
            <w:tc>
              <w:tcPr>
                <w:tcW w:w="4095" w:type="dxa"/>
                <w:tcBorders>
                  <w:top w:val="single" w:sz="8" w:space="0" w:color="000000"/>
                </w:tcBorders>
              </w:tcPr>
              <w:p w14:paraId="3FFABD6C" w14:textId="77777777" w:rsidR="0037102A"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La decisión de abrir el aula.</w:t>
                </w:r>
              </w:p>
            </w:tc>
          </w:tr>
          <w:tr w:rsidR="0037102A" w14:paraId="20983053" w14:textId="77777777">
            <w:trPr>
              <w:tblHeader/>
              <w:jc w:val="center"/>
            </w:trPr>
            <w:tc>
              <w:tcPr>
                <w:tcW w:w="945" w:type="dxa"/>
              </w:tcPr>
              <w:p w14:paraId="1F707F0D" w14:textId="77777777" w:rsidR="0037102A" w:rsidRDefault="00000000">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3420" w:type="dxa"/>
              </w:tcPr>
              <w:p w14:paraId="39C6E3A6" w14:textId="77777777" w:rsidR="0037102A"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¿Cómo acompañar la formación?</w:t>
                </w:r>
              </w:p>
            </w:tc>
            <w:tc>
              <w:tcPr>
                <w:tcW w:w="4095" w:type="dxa"/>
              </w:tcPr>
              <w:p w14:paraId="1E182D8D" w14:textId="77777777" w:rsidR="0037102A"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El acompañamiento del practicante.</w:t>
                </w:r>
              </w:p>
            </w:tc>
          </w:tr>
          <w:tr w:rsidR="0037102A" w14:paraId="36D214D3" w14:textId="77777777">
            <w:trPr>
              <w:tblHeader/>
              <w:jc w:val="center"/>
            </w:trPr>
            <w:tc>
              <w:tcPr>
                <w:tcW w:w="945" w:type="dxa"/>
              </w:tcPr>
              <w:p w14:paraId="0982992D" w14:textId="77777777" w:rsidR="0037102A" w:rsidRDefault="00000000">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3420" w:type="dxa"/>
              </w:tcPr>
              <w:p w14:paraId="723B0F96" w14:textId="77777777" w:rsidR="0037102A"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¿Cómo me ven quienes se están formando?</w:t>
                </w:r>
              </w:p>
            </w:tc>
            <w:tc>
              <w:tcPr>
                <w:tcW w:w="4095" w:type="dxa"/>
              </w:tcPr>
              <w:p w14:paraId="5ED1EF31" w14:textId="77777777" w:rsidR="0037102A"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La mirada que los futuros docentes construyen sobre la experiencia de la práctica.</w:t>
                </w:r>
              </w:p>
            </w:tc>
          </w:tr>
          <w:tr w:rsidR="0037102A" w14:paraId="3FDDCC4B" w14:textId="77777777">
            <w:trPr>
              <w:jc w:val="center"/>
            </w:trPr>
            <w:tc>
              <w:tcPr>
                <w:tcW w:w="945" w:type="dxa"/>
              </w:tcPr>
              <w:p w14:paraId="3475BD51" w14:textId="77777777" w:rsidR="0037102A" w:rsidRDefault="00000000">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3420" w:type="dxa"/>
              </w:tcPr>
              <w:p w14:paraId="23EC9E06" w14:textId="77777777" w:rsidR="0037102A"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¿Qué está pasando en el aula?</w:t>
                </w:r>
              </w:p>
            </w:tc>
            <w:tc>
              <w:tcPr>
                <w:tcW w:w="4095" w:type="dxa"/>
              </w:tcPr>
              <w:p w14:paraId="47771E9A" w14:textId="77777777" w:rsidR="0037102A"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El seguimiento de las prácticas en desarrollo.</w:t>
                </w:r>
              </w:p>
            </w:tc>
          </w:tr>
          <w:tr w:rsidR="0037102A" w14:paraId="236FF3E6" w14:textId="77777777">
            <w:trPr>
              <w:jc w:val="center"/>
            </w:trPr>
            <w:tc>
              <w:tcPr>
                <w:tcW w:w="945" w:type="dxa"/>
              </w:tcPr>
              <w:p w14:paraId="3AF324A0" w14:textId="77777777" w:rsidR="0037102A" w:rsidRDefault="00000000">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3420" w:type="dxa"/>
              </w:tcPr>
              <w:p w14:paraId="1CD0DDA0" w14:textId="77777777" w:rsidR="0037102A"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¿Qué nos deja lo que pasó?</w:t>
                </w:r>
              </w:p>
            </w:tc>
            <w:tc>
              <w:tcPr>
                <w:tcW w:w="4095" w:type="dxa"/>
              </w:tcPr>
              <w:p w14:paraId="13D31241" w14:textId="77777777" w:rsidR="0037102A"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La reconstrucción retrospectiva de la experiencia.</w:t>
                </w:r>
              </w:p>
            </w:tc>
          </w:tr>
        </w:tbl>
      </w:sdtContent>
    </w:sdt>
    <w:p w14:paraId="18EC7F72"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temáticas seleccionadas buscaron la progresiva integración de los docentes de aula y la construcción de espacios sistemáticos de reflexión sobre la práctica a partir de la problematización de diferentes momentos del proceso formativo de los estudiantes del profesorado con el objetivo de construir el rol de </w:t>
      </w:r>
      <w:proofErr w:type="spellStart"/>
      <w:r>
        <w:rPr>
          <w:rFonts w:ascii="Times New Roman" w:eastAsia="Times New Roman" w:hAnsi="Times New Roman" w:cs="Times New Roman"/>
        </w:rPr>
        <w:t>co-formación</w:t>
      </w:r>
      <w:proofErr w:type="spellEnd"/>
      <w:r>
        <w:rPr>
          <w:rFonts w:ascii="Times New Roman" w:eastAsia="Times New Roman" w:hAnsi="Times New Roman" w:cs="Times New Roman"/>
        </w:rPr>
        <w:t>. Este trabajo dio lugar a una propuesta de cinco encuentros organizados en torno a preguntas orientadoras. La formulación de estas preguntas buscó enfatizar el carácter problematizador de cada instancia y promover la discusión colectiva de situaciones vinculadas con la formación y la enseñanza. En esta comunicación se presentan parte de las actividades desarrolladas y algunas primeras reflexiones surgidas a partir de los dos primeros ateneos.</w:t>
      </w:r>
    </w:p>
    <w:p w14:paraId="43E1F76E" w14:textId="77777777" w:rsidR="0037102A" w:rsidRDefault="0037102A">
      <w:pPr>
        <w:spacing w:line="240" w:lineRule="auto"/>
        <w:jc w:val="both"/>
        <w:rPr>
          <w:rFonts w:ascii="Times New Roman" w:eastAsia="Times New Roman" w:hAnsi="Times New Roman" w:cs="Times New Roman"/>
        </w:rPr>
      </w:pPr>
    </w:p>
    <w:p w14:paraId="4EDE0795" w14:textId="77777777" w:rsidR="0037102A" w:rsidRDefault="00000000">
      <w:pPr>
        <w:spacing w:line="240" w:lineRule="auto"/>
        <w:jc w:val="both"/>
        <w:rPr>
          <w:rFonts w:ascii="Times New Roman" w:eastAsia="Times New Roman" w:hAnsi="Times New Roman" w:cs="Times New Roman"/>
          <w:i/>
          <w:iCs/>
        </w:rPr>
      </w:pPr>
      <w:r>
        <w:rPr>
          <w:rFonts w:ascii="Times New Roman" w:eastAsia="Times New Roman" w:hAnsi="Times New Roman" w:cs="Times New Roman"/>
          <w:i/>
          <w:iCs/>
        </w:rPr>
        <w:t>El primer ateneo</w:t>
      </w:r>
    </w:p>
    <w:p w14:paraId="36D5CA0D"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El encuentro se desarrolló de manera virtual sincrónica. Antes del encuentro se propuso la realización de una tarea diferenciando a los docentes que ya habían recibido practicantes de los que no lo habían hecho aún. La tarea fue la siguiente:</w:t>
      </w:r>
    </w:p>
    <w:p w14:paraId="42B53648" w14:textId="77777777" w:rsidR="0037102A" w:rsidRDefault="00000000">
      <w:pPr>
        <w:spacing w:line="240" w:lineRule="auto"/>
        <w:ind w:left="566" w:right="431"/>
        <w:jc w:val="both"/>
        <w:rPr>
          <w:rFonts w:ascii="Times New Roman" w:eastAsia="Times New Roman" w:hAnsi="Times New Roman" w:cs="Times New Roman"/>
        </w:rPr>
      </w:pPr>
      <w:r>
        <w:rPr>
          <w:rFonts w:ascii="Times New Roman" w:eastAsia="Times New Roman" w:hAnsi="Times New Roman" w:cs="Times New Roman"/>
        </w:rPr>
        <w:t xml:space="preserve">Si tuviste alguna experiencia de recibir practicantes en tu aula, trae un breve punteo escrito para compartir en el ateneo sobre la misma. La idea es poder conversar sobre aquellos aspectos que consideras que funcionaron “bien” y también aquellos que no tanto; ya sea del trabajo dentro del aula con las y los practicantes como por fuera de ella, con ellos/as o con los y las responsables de la práctica. </w:t>
      </w:r>
    </w:p>
    <w:p w14:paraId="3CF02EAA" w14:textId="77777777" w:rsidR="0037102A" w:rsidRDefault="00000000">
      <w:pPr>
        <w:spacing w:line="240" w:lineRule="auto"/>
        <w:ind w:left="566" w:right="431"/>
        <w:jc w:val="both"/>
        <w:rPr>
          <w:rFonts w:ascii="Times New Roman" w:eastAsia="Times New Roman" w:hAnsi="Times New Roman" w:cs="Times New Roman"/>
        </w:rPr>
      </w:pPr>
      <w:r>
        <w:rPr>
          <w:rFonts w:ascii="Times New Roman" w:eastAsia="Times New Roman" w:hAnsi="Times New Roman" w:cs="Times New Roman"/>
        </w:rPr>
        <w:t xml:space="preserve">Si no tuviste experiencia, </w:t>
      </w:r>
      <w:proofErr w:type="spellStart"/>
      <w:r>
        <w:rPr>
          <w:rFonts w:ascii="Times New Roman" w:eastAsia="Times New Roman" w:hAnsi="Times New Roman" w:cs="Times New Roman"/>
        </w:rPr>
        <w:t>traé</w:t>
      </w:r>
      <w:proofErr w:type="spellEnd"/>
      <w:r>
        <w:rPr>
          <w:rFonts w:ascii="Times New Roman" w:eastAsia="Times New Roman" w:hAnsi="Times New Roman" w:cs="Times New Roman"/>
        </w:rPr>
        <w:t xml:space="preserve"> un breve punteo escrito de tus expectativas por las cuales te gustaría ofrecer tu aula o participar de este espacio aún sin tener certezas sobre la posibilidad de acompañar este año a practicantes. También sería interesante que incorpores algunas ideas sobre qué implica para vos acompañar la práctica.</w:t>
      </w:r>
    </w:p>
    <w:p w14:paraId="653B06AC"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En esta ponencia, vamos a compartir algunas reflexiones fruto de los intercambios que se dieron a partir de esta tarea.</w:t>
      </w:r>
    </w:p>
    <w:p w14:paraId="247BE94D" w14:textId="77777777" w:rsidR="0037102A" w:rsidRDefault="0000000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Intereses de recibir practicantes por el beneficio que les ofrece para repensar sus prácticas</w:t>
      </w:r>
    </w:p>
    <w:p w14:paraId="40B1E944"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Identificamos dos planos, uno en relación con las propias prácticas y otro relacionado, de manera más directa, con los practicantes.</w:t>
      </w:r>
    </w:p>
    <w:p w14:paraId="044EBBAF"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Con respecto al primer plano, queremos señalar que los docentes de aula enfatizan la relación que se construye en el ámbito de la clase entre practicantes y estudiantes. Mencionan que, por lo general, los reciben muy bien, les entusiasma que se quiebre la rutina cotidiana de las clases. La visita de los practicantes, en particular si son jóvenes, genera una renovación en el clima del aula y una cierta complicidad entre los practicantes y los alumnos posiblemente porque comparten una posición común de ser estudiantes aún. Frente a esto, para darles mayor legitimidad, se los presenta como estudiantes en el último tramo de la carrera que solamente deben hacer las prácticas para recibirse, así que ya son docentes.</w:t>
      </w:r>
    </w:p>
    <w:p w14:paraId="5B82E437"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El otro plano se relaciona con la renovación de la experiencia de enseñar que reconocen los docentes de aula y el trabajo colaborativo que desarrollan los estudiantes durante las prácticas. El trabajo con practicantes los moviliza y permite revisar los sesgos o vicios que se construyen a lo largo de años de práctica, incorporando nuevas secuencias didácticas, tomando en cuenta los aportes de la observación externa del grupo de estudiantes y la experiencia de las prácticas que aporta elementos para repensar las propias. Por otro lado, identifican a la soledad del trabajo en el aula como uno de los problemas de la tarea docente. En ese sentido, consideran al hecho de pensar colectivamente los sucesos del aula y las decisiones que se van tomando como una posibilidad de desarrollo profesional.</w:t>
      </w:r>
    </w:p>
    <w:p w14:paraId="477A024C" w14:textId="3B89E17B"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Considerando lo dicho por </w:t>
      </w:r>
      <w:proofErr w:type="spellStart"/>
      <w:r>
        <w:rPr>
          <w:rFonts w:ascii="Times New Roman" w:eastAsia="Times New Roman" w:hAnsi="Times New Roman" w:cs="Times New Roman"/>
        </w:rPr>
        <w:t>Zask</w:t>
      </w:r>
      <w:proofErr w:type="spellEnd"/>
      <w:r>
        <w:rPr>
          <w:rFonts w:ascii="Times New Roman" w:eastAsia="Times New Roman" w:hAnsi="Times New Roman" w:cs="Times New Roman"/>
        </w:rPr>
        <w:t xml:space="preserve"> (2011), estos docentes no sólo ofrecen sus aulas, sino también, deciden participar de una comunidad de prácticas, lo que genera transformaciones en los sujetos que están en ellas por el simple hecho de formar parte. Asimismo, reconocemos que ofrecer sus aulas y asumir el rol de </w:t>
      </w:r>
      <w:proofErr w:type="spellStart"/>
      <w:r>
        <w:rPr>
          <w:rFonts w:ascii="Times New Roman" w:eastAsia="Times New Roman" w:hAnsi="Times New Roman" w:cs="Times New Roman"/>
        </w:rPr>
        <w:t>co-formador</w:t>
      </w:r>
      <w:proofErr w:type="spellEnd"/>
      <w:r>
        <w:rPr>
          <w:rFonts w:ascii="Times New Roman" w:eastAsia="Times New Roman" w:hAnsi="Times New Roman" w:cs="Times New Roman"/>
        </w:rPr>
        <w:t xml:space="preserve"> implica la ampliación del horizonte profesional a quienes lo hacen, ya que participan de manera directa en la formación de futuros docentes más allá de su tarea de enseñar en el nivel secundario. Es necesario también estar dispuesto a modificar posturas y </w:t>
      </w:r>
      <w:r w:rsidR="00EF5B7D">
        <w:rPr>
          <w:rFonts w:ascii="Times New Roman" w:eastAsia="Times New Roman" w:hAnsi="Times New Roman" w:cs="Times New Roman"/>
        </w:rPr>
        <w:t>cambiar puntos</w:t>
      </w:r>
      <w:r>
        <w:rPr>
          <w:rFonts w:ascii="Times New Roman" w:eastAsia="Times New Roman" w:hAnsi="Times New Roman" w:cs="Times New Roman"/>
        </w:rPr>
        <w:t xml:space="preserve"> de vista en la tarea compartida, aceptando que puede reformar la tarea matemática cotidiana en el aula. El quiebre del trabajo solitario implica necesariamente aceptar otras miradas y poder explicitar ideas propias acerca de los significados de la tarea de enseñar.</w:t>
      </w:r>
    </w:p>
    <w:p w14:paraId="2EB7022A" w14:textId="77777777" w:rsidR="0037102A" w:rsidRDefault="00000000">
      <w:pPr>
        <w:spacing w:line="240" w:lineRule="auto"/>
        <w:jc w:val="both"/>
        <w:rPr>
          <w:rFonts w:ascii="Times New Roman" w:eastAsia="Times New Roman" w:hAnsi="Times New Roman" w:cs="Times New Roman"/>
          <w:i/>
          <w:iCs/>
        </w:rPr>
      </w:pPr>
      <w:r>
        <w:rPr>
          <w:rFonts w:ascii="Times New Roman" w:eastAsia="Times New Roman" w:hAnsi="Times New Roman" w:cs="Times New Roman"/>
          <w:i/>
          <w:iCs/>
        </w:rPr>
        <w:t>El segundo ateneo</w:t>
      </w:r>
    </w:p>
    <w:p w14:paraId="3DDAD5F5" w14:textId="77777777" w:rsidR="0037102A"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segundo ateneo, desarrollado también bajo la modalidad virtual sincrónica, estuvo centrado en pensar en el acompañamiento de los practicantes durante el desarrollo de sus prácticas. A diferencia del encuentro anterior, donde el foco estuvo puesto en las motivaciones para ofrecer el aula y comenzar a construir el lugar del docente como </w:t>
      </w:r>
      <w:proofErr w:type="spellStart"/>
      <w:r>
        <w:rPr>
          <w:rFonts w:ascii="Times New Roman" w:eastAsia="Times New Roman" w:hAnsi="Times New Roman" w:cs="Times New Roman"/>
        </w:rPr>
        <w:t>co-formador</w:t>
      </w:r>
      <w:proofErr w:type="spellEnd"/>
      <w:r>
        <w:rPr>
          <w:rFonts w:ascii="Times New Roman" w:eastAsia="Times New Roman" w:hAnsi="Times New Roman" w:cs="Times New Roman"/>
        </w:rPr>
        <w:t xml:space="preserve">, en esta oportunidad se buscó problematizar qué significa acompañar la </w:t>
      </w:r>
      <w:r>
        <w:rPr>
          <w:rFonts w:ascii="Times New Roman" w:eastAsia="Times New Roman" w:hAnsi="Times New Roman" w:cs="Times New Roman"/>
        </w:rPr>
        <w:lastRenderedPageBreak/>
        <w:t>formación de futuros docentes y cuáles son los saberes que se ponen en juego en ese proceso.</w:t>
      </w:r>
    </w:p>
    <w:p w14:paraId="0F4EE389" w14:textId="77777777" w:rsidR="0037102A"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Con ese propósito se diseñaron dos actividades complementarias. La primera invitó a los docentes a escribir una carta dirigida al </w:t>
      </w:r>
      <w:r>
        <w:rPr>
          <w:rFonts w:ascii="Times New Roman" w:eastAsia="Times New Roman" w:hAnsi="Times New Roman" w:cs="Times New Roman"/>
          <w:i/>
          <w:iCs/>
        </w:rPr>
        <w:t>practicante que fueron</w:t>
      </w:r>
      <w:r>
        <w:rPr>
          <w:rFonts w:ascii="Times New Roman" w:eastAsia="Times New Roman" w:hAnsi="Times New Roman" w:cs="Times New Roman"/>
        </w:rPr>
        <w:t xml:space="preserve">, recuperando retrospectivamente su propia experiencia de formación. La segunda, inspirada en la estrategia metodológica de la </w:t>
      </w:r>
      <w:r>
        <w:rPr>
          <w:rFonts w:ascii="Times New Roman" w:eastAsia="Times New Roman" w:hAnsi="Times New Roman" w:cs="Times New Roman"/>
          <w:i/>
          <w:iCs/>
        </w:rPr>
        <w:t xml:space="preserve">instrucción </w:t>
      </w:r>
      <w:proofErr w:type="gramStart"/>
      <w:r>
        <w:rPr>
          <w:rFonts w:ascii="Times New Roman" w:eastAsia="Times New Roman" w:hAnsi="Times New Roman" w:cs="Times New Roman"/>
          <w:i/>
          <w:iCs/>
        </w:rPr>
        <w:t>al sosias</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Saujat</w:t>
      </w:r>
      <w:proofErr w:type="spellEnd"/>
      <w:r>
        <w:rPr>
          <w:rFonts w:ascii="Times New Roman" w:eastAsia="Times New Roman" w:hAnsi="Times New Roman" w:cs="Times New Roman"/>
        </w:rPr>
        <w:t>, 2021), propuso un ejercicio de explicitación de aquellas decisiones que habitualmente orientan la enseñanza en un aula determinada y que deberían ser conocidas por un practicante que asumiera temporalmente esa tarea. Lejos de constituir dos actividades independientes, ambas fueron concebidas como momentos sucesivos de un mismo proceso de reflexión. Mientras la primera recuperaba la memoria de la propia formación, la segunda invitaba a objetivar el saber profesional construido a lo largo de la experiencia docente.</w:t>
      </w:r>
    </w:p>
    <w:p w14:paraId="607BB5D7" w14:textId="77777777" w:rsidR="0037102A" w:rsidRDefault="00000000">
      <w:pPr>
        <w:pStyle w:val="Ttulo3"/>
        <w:keepNext w:val="0"/>
        <w:keepLines w:val="0"/>
        <w:spacing w:before="280" w:line="240" w:lineRule="auto"/>
        <w:jc w:val="both"/>
        <w:rPr>
          <w:rFonts w:ascii="Times New Roman" w:eastAsia="Times New Roman" w:hAnsi="Times New Roman" w:cs="Times New Roman"/>
          <w:b/>
          <w:bCs/>
          <w:color w:val="000000"/>
          <w:sz w:val="24"/>
          <w:szCs w:val="24"/>
        </w:rPr>
      </w:pPr>
      <w:bookmarkStart w:id="0" w:name="_heading=h.bybfdebbzgjk" w:colFirst="0" w:colLast="0"/>
      <w:bookmarkEnd w:id="0"/>
      <w:r>
        <w:rPr>
          <w:rFonts w:ascii="Times New Roman" w:eastAsia="Times New Roman" w:hAnsi="Times New Roman" w:cs="Times New Roman"/>
          <w:b/>
          <w:bCs/>
          <w:color w:val="000000"/>
          <w:sz w:val="24"/>
          <w:szCs w:val="24"/>
        </w:rPr>
        <w:t>Recuperar al practicante que fuimos</w:t>
      </w:r>
    </w:p>
    <w:p w14:paraId="04FBE65B" w14:textId="77777777" w:rsidR="0037102A"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Como actividad previa al encuentro se solicitó a cada participante la escritura de una carta dirigida al </w:t>
      </w:r>
      <w:r>
        <w:rPr>
          <w:rFonts w:ascii="Times New Roman" w:eastAsia="Times New Roman" w:hAnsi="Times New Roman" w:cs="Times New Roman"/>
          <w:i/>
          <w:iCs/>
        </w:rPr>
        <w:t>practicante que fueron</w:t>
      </w:r>
      <w:r>
        <w:rPr>
          <w:rFonts w:ascii="Times New Roman" w:eastAsia="Times New Roman" w:hAnsi="Times New Roman" w:cs="Times New Roman"/>
        </w:rPr>
        <w:t>, con recomendaciones que pudieran resultar valiosas para quienes hoy transitan esa misma instancia de formación.</w:t>
      </w:r>
    </w:p>
    <w:p w14:paraId="4EC0DE17" w14:textId="77777777" w:rsidR="0037102A" w:rsidRDefault="00000000">
      <w:pPr>
        <w:spacing w:before="240" w:after="240" w:line="240" w:lineRule="auto"/>
        <w:ind w:left="600" w:right="600"/>
        <w:jc w:val="both"/>
        <w:rPr>
          <w:rFonts w:ascii="Times New Roman" w:eastAsia="Times New Roman" w:hAnsi="Times New Roman" w:cs="Times New Roman"/>
        </w:rPr>
      </w:pPr>
      <w:proofErr w:type="spellStart"/>
      <w:r>
        <w:rPr>
          <w:rFonts w:ascii="Times New Roman" w:eastAsia="Times New Roman" w:hAnsi="Times New Roman" w:cs="Times New Roman"/>
        </w:rPr>
        <w:t>Escribile</w:t>
      </w:r>
      <w:proofErr w:type="spellEnd"/>
      <w:r>
        <w:rPr>
          <w:rFonts w:ascii="Times New Roman" w:eastAsia="Times New Roman" w:hAnsi="Times New Roman" w:cs="Times New Roman"/>
        </w:rPr>
        <w:t xml:space="preserve"> al "practicante que fuiste" una carta con algunas recomendaciones que puedan servirle para sus prácticas. El objetivo de esta tarea es que desde tu experiencia docente puedas hacer una lectura retrospectiva para reflexionar sobre las posibilidades que ofrece la instancia de formación inicial al momento de iniciar las prácticas.</w:t>
      </w:r>
    </w:p>
    <w:p w14:paraId="5814F890" w14:textId="77777777" w:rsidR="0037102A"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La propuesta buscó generar un ejercicio de reconstrucción de la propia trayectoria profesional recuperando recuerdos, incertidumbres, entusiasmos, temores y aprendizajes que, vistos desde el presente, permitieran resignificar la experiencia de las prácticas. Más que solicitar consejos para futuros docentes, el propósito consistía en favorecer un movimiento de reflexión que permitiera volver sobre el propio recorrido para comprender, desde una nueva perspectiva, qué aspectos resultaron decisivos en la construcción del oficio.</w:t>
      </w:r>
    </w:p>
    <w:p w14:paraId="37908ED8" w14:textId="77777777" w:rsidR="0037102A"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Los intercambios desarrollados durante el encuentro pusieron rápidamente en evidencia una primera cuestión compartida por varios participantes: la enseñanza aparece como un oficio cuya complejidad sólo puede comprenderse plenamente en el ejercicio mismo de la práctica. Diversos docentes señalaron que una parte sustancial de lo que hoy reconocen como conocimiento profesional no fue adquirida exclusivamente durante el profesorado sino, fundamentalmente, a través de la experiencia cotidiana de enseñar. En ese marco, surgieron reflexiones acerca de la distancia existente entre algunos espacios de formación y los desafíos concretos que supone la enseñanza en el aula, así como el valor que tendría poder aprender junto a docentes con mayor experiencia, del mismo modo que ocurre en otros oficios y profesiones.</w:t>
      </w:r>
    </w:p>
    <w:p w14:paraId="3FC4C8D7" w14:textId="77777777" w:rsidR="0037102A"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Esta discusión condujo a otra cuestión que atravesó buena parte del intercambio: la docencia como tarea simultáneamente individual y colectiva. Algunos participantes caracterizaron la enseñanza como una actividad profundamente solitaria, en tanto gran parte de las decisiones se toman individualmente dentro del aula y rara vez son objeto de discusión sistemática con otros colegas. Otros, en cambio, recuperaron distintas formas de colaboración presentes en las instituciones escolares, destacando la importancia de compartir materiales, intercambiar experiencias o conversar con otros docentes frente a situaciones problemáticas. Lejos de resolverse como posiciones contrapuestas, el debate permitió reconocer que, aun cuando la enseñanza suele desarrollarse individualmente frente a un grupo de estudiantes, el aprendizaje del oficio requiere necesariamente espacios de intercambio que permitan poner en común dudas, decisiones y modos de interpretar la práctica.</w:t>
      </w:r>
    </w:p>
    <w:p w14:paraId="7B59A7CF" w14:textId="77777777" w:rsidR="0037102A"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Las cartas también recuperaron otras preocupaciones propias de los primeros años de ejercicio profesional. La planificación apareció como un apoyo necesario para organizar la enseñanza, aunque varios docentes señalaron que la experiencia les permitió comprender progresivamente la necesidad de flexibilizarla frente a las situaciones que emergen en el aula. Del mismo modo, surgieron reflexiones acerca de la dificultad de responder todas las preguntas de los estudiantes, la importancia de reconocer los propios límites y el valor de sostener una actitud permanente de revisión sobre las decisiones tomadas durante la enseñanza. En conjunto, estas producciones comenzaron a delinear una imagen del acompañamiento alejada de la transmisión de recetas o procedimientos, para acercarse a una concepción del oficio caracterizada por la reflexión permanente sobre la propia práctica.</w:t>
      </w:r>
    </w:p>
    <w:p w14:paraId="3987A9E2" w14:textId="77777777" w:rsidR="0037102A" w:rsidRDefault="00000000">
      <w:pPr>
        <w:pStyle w:val="Ttulo3"/>
        <w:keepNext w:val="0"/>
        <w:keepLines w:val="0"/>
        <w:spacing w:before="280" w:line="240" w:lineRule="auto"/>
        <w:jc w:val="both"/>
        <w:rPr>
          <w:rFonts w:ascii="Times New Roman" w:eastAsia="Times New Roman" w:hAnsi="Times New Roman" w:cs="Times New Roman"/>
          <w:b/>
          <w:bCs/>
          <w:color w:val="000000"/>
          <w:sz w:val="24"/>
          <w:szCs w:val="24"/>
        </w:rPr>
      </w:pPr>
      <w:bookmarkStart w:id="1" w:name="_heading=h.91ospvoey6ei" w:colFirst="0" w:colLast="0"/>
      <w:bookmarkEnd w:id="1"/>
      <w:r>
        <w:rPr>
          <w:rFonts w:ascii="Times New Roman" w:eastAsia="Times New Roman" w:hAnsi="Times New Roman" w:cs="Times New Roman"/>
          <w:b/>
          <w:bCs/>
          <w:color w:val="000000"/>
          <w:sz w:val="24"/>
          <w:szCs w:val="24"/>
        </w:rPr>
        <w:t>Hacer explícito el saber profesional</w:t>
      </w:r>
    </w:p>
    <w:p w14:paraId="248D1C58" w14:textId="77777777" w:rsidR="0037102A"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segunda parte del encuentro buscó profundizar esta reflexión mediante una estrategia diferente. Retomando la propuesta metodológica de la </w:t>
      </w:r>
      <w:r>
        <w:rPr>
          <w:rFonts w:ascii="Times New Roman" w:eastAsia="Times New Roman" w:hAnsi="Times New Roman" w:cs="Times New Roman"/>
          <w:i/>
          <w:iCs/>
        </w:rPr>
        <w:t xml:space="preserve">instrucción </w:t>
      </w:r>
      <w:proofErr w:type="gramStart"/>
      <w:r>
        <w:rPr>
          <w:rFonts w:ascii="Times New Roman" w:eastAsia="Times New Roman" w:hAnsi="Times New Roman" w:cs="Times New Roman"/>
          <w:i/>
          <w:iCs/>
        </w:rPr>
        <w:t>al sosias</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Saujat</w:t>
      </w:r>
      <w:proofErr w:type="spellEnd"/>
      <w:r>
        <w:rPr>
          <w:rFonts w:ascii="Times New Roman" w:eastAsia="Times New Roman" w:hAnsi="Times New Roman" w:cs="Times New Roman"/>
        </w:rPr>
        <w:t xml:space="preserve">, 2021), se invitó a los docentes a imaginar que un practicante asumiría temporalmente la enseñanza en uno de sus cursos y a elaborar un conjunto de orientaciones que permitieran desarrollar esa tarea de la manera "más parecida posible". La propuesta fue deliberadamente presentada con un carácter irónico, ya que el objetivo no consistía en promover la reproducción de un modo particular de enseñar. Tal como se discutió durante el encuentro, ningún docente espera que un practicante copie su práctica ni que renuncie a construir un estilo propio. La referencia al texto </w:t>
      </w:r>
      <w:r>
        <w:rPr>
          <w:rFonts w:ascii="Times New Roman" w:eastAsia="Times New Roman" w:hAnsi="Times New Roman" w:cs="Times New Roman"/>
          <w:i/>
          <w:iCs/>
        </w:rPr>
        <w:t>Instrucciones para subir una escalera</w:t>
      </w:r>
      <w:r>
        <w:rPr>
          <w:rFonts w:ascii="Times New Roman" w:eastAsia="Times New Roman" w:hAnsi="Times New Roman" w:cs="Times New Roman"/>
        </w:rPr>
        <w:t xml:space="preserve"> (Cortázar, 1962) permitió justamente problematizar esta cuestión: del mismo modo que nadie sube una escalera exactamente igual a otro aun siguiendo las mismas indicaciones, tampoco es posible ni deseable reproducir una práctica docente de manera idéntica.</w:t>
      </w:r>
    </w:p>
    <w:p w14:paraId="54851C42" w14:textId="77777777" w:rsidR="0037102A"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Precisamente por ello, el valor de la actividad residía en incentivar a los docentes a hacer explícitos aquellos conocimientos que habitualmente permanecen implícitos en el desarrollo cotidiano de la enseñanza. La discusión mostró que acompañar a un practicante supone compartir mucho más que una planificación o una secuencia de contenidos. Implica ofrecer información sobre la historia del grupo, las formas habituales de trabajo, </w:t>
      </w:r>
      <w:r>
        <w:rPr>
          <w:rFonts w:ascii="Times New Roman" w:eastAsia="Times New Roman" w:hAnsi="Times New Roman" w:cs="Times New Roman"/>
        </w:rPr>
        <w:lastRenderedPageBreak/>
        <w:t>las relaciones construidas con los estudiantes, las particularidades institucionales, las dificultades previsibles y las decisiones que suelen tomarse frente a situaciones no anticipadas. En otras palabras, supone poner a disposición un conocimiento situado que difícilmente puede encontrarse en otros espacios de la formación.</w:t>
      </w:r>
    </w:p>
    <w:p w14:paraId="1199E3F9" w14:textId="77777777" w:rsidR="0037102A"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En este punto comenzó a vislumbrarse con mayor claridad el aporte específico que realizan los docentes de aula al proceso formativo. Mientras los formadores acompañan prioritariamente la construcción y análisis de las propuestas de enseñanza, los docentes de aula aportan un conocimiento profundamente vinculado con las condiciones concretas en las que dichas propuestas cobran vida. Los intercambios permitieron reconocer que ambas perspectivas no sólo no resultan excluyentes, sino que se complementan mutuamente. La planificación, por ejemplo, fue identificada como un espacio de negociación donde confluyen el conocimiento didáctico construido durante la formación inicial y el conocimiento situado que poseen quienes conocen en profundidad la historia de ese grupo, sus modos de trabajo y las condiciones particulares de la institución.</w:t>
      </w:r>
    </w:p>
    <w:p w14:paraId="57CB92AF" w14:textId="77777777" w:rsidR="0037102A"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Desde esta perspectiva, el acompañamiento deja de entenderse como una instancia de supervisión para configurarse como una tarea compartida orientada a favorecer el aprendizaje del oficio docente. En ella, los docentes de aula no sólo ponen a disposición un espacio para que los practicantes desarrollen sus clases, sino también un conjunto de saberes construidos en la experiencia que adquieren sentido precisamente cuando son compartidos, discutidos y resignificados junto a otros actores de la formación.</w:t>
      </w:r>
    </w:p>
    <w:p w14:paraId="37C72B80" w14:textId="77777777" w:rsidR="0037102A"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sentido, el segundo ateneo permitió avanzar un paso más respecto del anterior. Si en el primer encuentro comenzaron a emerger las motivaciones que llevaban a los docentes a ofrecer sus aulas para la formación de futuros colegas, en esta oportunidad empezó a configurarse con mayor claridad el contenido de esa tarea compartida. La explicitación de saberes profesionales habitualmente implícitos, el reconocimiento de la complementariedad entre los aportes de docentes de aula y formadores, y la reflexión colectiva sobre los dilemas propios del acompañamiento constituyeron condiciones particularmente fértiles para la construcción progresiva del rol de </w:t>
      </w:r>
      <w:proofErr w:type="spellStart"/>
      <w:r>
        <w:rPr>
          <w:rFonts w:ascii="Times New Roman" w:eastAsia="Times New Roman" w:hAnsi="Times New Roman" w:cs="Times New Roman"/>
        </w:rPr>
        <w:t>co-formador</w:t>
      </w:r>
      <w:proofErr w:type="spellEnd"/>
      <w:r>
        <w:rPr>
          <w:rFonts w:ascii="Times New Roman" w:eastAsia="Times New Roman" w:hAnsi="Times New Roman" w:cs="Times New Roman"/>
        </w:rPr>
        <w:t>. Al mismo tiempo, estos intercambios fortalecieron relaciones de confianza sustentadas no sólo en vínculos personales previos, sino también en el reconocimiento mutuo de las contribuciones que cada actor puede realizar al proceso de formación inicial.</w:t>
      </w:r>
    </w:p>
    <w:p w14:paraId="21ADAA8C" w14:textId="77777777" w:rsidR="0037102A" w:rsidRDefault="0000000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Posicionamiento sobre el acompañamiento al practicante</w:t>
      </w:r>
    </w:p>
    <w:p w14:paraId="1E7484DE"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En los intercambios se manifiesta el interés de acompañar la formación de docentes y así poder devolver algo de la formación que recibieron cuando ellos mismos fueron estudiantes. Por otro lado, plantean la existencia de una tensión en el acompañamiento entre dar lugar a la creatividad, la experimentación y regular esas decisiones desde la experiencia como docentes en general y de esa aula en particular. Esta tensión se vislumbra de manera diferente en el seguimiento de la planificación, por un lado, y en su implementación en el aula, por otro.</w:t>
      </w:r>
    </w:p>
    <w:p w14:paraId="771A017A" w14:textId="5AE58865" w:rsidR="0037102A" w:rsidRDefault="00EF5B7D">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D</w:t>
      </w:r>
      <w:r w:rsidR="00000000">
        <w:rPr>
          <w:rFonts w:ascii="Times New Roman" w:eastAsia="Times New Roman" w:hAnsi="Times New Roman" w:cs="Times New Roman"/>
        </w:rPr>
        <w:t xml:space="preserve">esde la planificación, consideran que acompañar es intervenir teniendo en cuenta la historia del aula; la planificación anual; lo que se estuvo trabajando y la manera en que se hizo; algunas características de los alumnos en cuanto a su relación con la matemática y elementos de contexto que pueden incidir en el desarrollo de cierto tipo de tareas. Se refieren también al aporte que pueden hacer, desde su experiencia, a las anticipaciones de posibles resoluciones que se realizan en el diseño de los problemas. </w:t>
      </w:r>
    </w:p>
    <w:p w14:paraId="3BB79471"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En el ámbito del seguimiento de la planificación, también está la presencia sostenida de los formadores, que, si bien reflexionan con los practicantes en torno a su implementación, la priorizan frente a otros aspectos de la práctica. Tienen en su horizonte la formación de los futuros docentes haciendo énfasis en el diseño de propuestas de enseñanza donde los hechos del aula son elementos que aportan a esta tarea. Teniendo en cuenta lo dicho, posiblemente, los docentes de aula podrían experimentar la tensión de tener que atender a las particularidades de su aula en cuanto al trabajo con el contenido y también dar lugar a las expectativas de la formación.</w:t>
      </w:r>
    </w:p>
    <w:p w14:paraId="0CC674EB" w14:textId="2C6888A5" w:rsidR="0037102A" w:rsidRDefault="00EF5B7D">
      <w:pPr>
        <w:spacing w:line="240" w:lineRule="auto"/>
        <w:jc w:val="both"/>
        <w:rPr>
          <w:rFonts w:ascii="Times New Roman" w:eastAsia="Times New Roman" w:hAnsi="Times New Roman" w:cs="Times New Roman"/>
        </w:rPr>
      </w:pPr>
      <w:r>
        <w:rPr>
          <w:rFonts w:ascii="Times New Roman" w:eastAsia="Times New Roman" w:hAnsi="Times New Roman" w:cs="Times New Roman"/>
        </w:rPr>
        <w:t>D</w:t>
      </w:r>
      <w:r w:rsidR="00000000">
        <w:rPr>
          <w:rFonts w:ascii="Times New Roman" w:eastAsia="Times New Roman" w:hAnsi="Times New Roman" w:cs="Times New Roman"/>
        </w:rPr>
        <w:t>esde el aula, señalan que ésta puede funcionar como un espacio de experimentación donde, desde la contención que ofrecen los docentes y formadores, los practicantes pueden equivocarse y hacer reformulaciones clase a clase. Ahí, la presencia de los formadores no tiene el mismo impacto que en la planificación, entonces, las tradiciones y hábitos de la institución pueden condicionar más fuertemente la experiencia de la práctica. En el espacio del aula, los practicantes se enfrentan a dilemas que los ponen en situación de tener que tomar decisiones que quizás no fueron anticipadas en la planificación. En ese marco, el docente de aula asume un rol de sostén y acompañamiento que se apoya en su experiencia y el conocimiento en profundidad de las condiciones de enseñanza de esa aula en particular. Por otro lado, es quien comparte la totalidad de las clases que abarcan las prácticas.</w:t>
      </w:r>
    </w:p>
    <w:p w14:paraId="348001E3"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Como hemos problematizado oportunamente (Bifano, Di Rico &amp; Gómez, 2024a), diferentes mundos con sus propias dinámicas e intereses confluyen en un mundo común a partir de sucesivos procesos de negociación. Consideramos que lo que facilita este encuentro es la mutua confianza que hay depositada en el rol que cada uno asume en este proceso formativo.</w:t>
      </w:r>
    </w:p>
    <w:p w14:paraId="64A7DB2B" w14:textId="77777777" w:rsidR="0037102A" w:rsidRDefault="0037102A">
      <w:pPr>
        <w:spacing w:line="240" w:lineRule="auto"/>
        <w:jc w:val="both"/>
        <w:rPr>
          <w:rFonts w:ascii="Times New Roman" w:eastAsia="Times New Roman" w:hAnsi="Times New Roman" w:cs="Times New Roman"/>
        </w:rPr>
      </w:pPr>
    </w:p>
    <w:p w14:paraId="168FDAC3" w14:textId="77777777" w:rsidR="0037102A" w:rsidRDefault="0000000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Primeras conclusiones: vínculos y confianza entre </w:t>
      </w:r>
      <w:proofErr w:type="spellStart"/>
      <w:r>
        <w:rPr>
          <w:rFonts w:ascii="Times New Roman" w:eastAsia="Times New Roman" w:hAnsi="Times New Roman" w:cs="Times New Roman"/>
          <w:b/>
          <w:bCs/>
        </w:rPr>
        <w:t>co-formadores</w:t>
      </w:r>
      <w:proofErr w:type="spellEnd"/>
      <w:r>
        <w:rPr>
          <w:rFonts w:ascii="Times New Roman" w:eastAsia="Times New Roman" w:hAnsi="Times New Roman" w:cs="Times New Roman"/>
          <w:b/>
          <w:bCs/>
        </w:rPr>
        <w:t xml:space="preserve"> y practicantes, y </w:t>
      </w:r>
      <w:proofErr w:type="spellStart"/>
      <w:r>
        <w:rPr>
          <w:rFonts w:ascii="Times New Roman" w:eastAsia="Times New Roman" w:hAnsi="Times New Roman" w:cs="Times New Roman"/>
          <w:b/>
          <w:bCs/>
        </w:rPr>
        <w:t>co-formadores</w:t>
      </w:r>
      <w:proofErr w:type="spellEnd"/>
      <w:r>
        <w:rPr>
          <w:rFonts w:ascii="Times New Roman" w:eastAsia="Times New Roman" w:hAnsi="Times New Roman" w:cs="Times New Roman"/>
          <w:b/>
          <w:bCs/>
        </w:rPr>
        <w:t xml:space="preserve"> y docentes</w:t>
      </w:r>
    </w:p>
    <w:p w14:paraId="27C83206" w14:textId="2E1F0B7A"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los intercambios emerge la idea de confianza en diferentes planos. Por un lado, los docentes de aula reconocen como un valor la formación que los practicantes han adquirido en todo su proceso como estudiantes en la facultad. En particular, a la vez, la experiencia les ha demostrado la dedicación que asumen los practicantes para elaborar propuestas didácticas potentes y, así mismo, el tipo de trabajo reflexivo que se promueve a través de la construcción del documento de la planificación (Bifano, Di Rico &amp; Gómez, 2024a). Se trata de una reflexión que se realiza en forma sistemática a través de diferentes instancias: la explicitación de </w:t>
      </w:r>
      <w:proofErr w:type="spellStart"/>
      <w:r>
        <w:rPr>
          <w:rFonts w:ascii="Times New Roman" w:eastAsia="Times New Roman" w:hAnsi="Times New Roman" w:cs="Times New Roman"/>
        </w:rPr>
        <w:t>lo</w:t>
      </w:r>
      <w:proofErr w:type="spellEnd"/>
      <w:r>
        <w:rPr>
          <w:rFonts w:ascii="Times New Roman" w:eastAsia="Times New Roman" w:hAnsi="Times New Roman" w:cs="Times New Roman"/>
        </w:rPr>
        <w:t xml:space="preserve"> objetivos que se buscan desarrollar en el aula con las propuestas de enseñanza; la anticipación de lo que puedan hacer los estudiantes al abordar cada </w:t>
      </w:r>
      <w:r>
        <w:rPr>
          <w:rFonts w:ascii="Times New Roman" w:eastAsia="Times New Roman" w:hAnsi="Times New Roman" w:cs="Times New Roman"/>
        </w:rPr>
        <w:lastRenderedPageBreak/>
        <w:t xml:space="preserve">problema; el ensayo de potenciales maneras de intervenir frente a estas estrategias de resolución anticipadas en vínculo con los objetivos y posibles conclusiones que se pueden sistematizar, entre otras. </w:t>
      </w:r>
      <w:r w:rsidR="00EF5B7D">
        <w:rPr>
          <w:rFonts w:ascii="Times New Roman" w:eastAsia="Times New Roman" w:hAnsi="Times New Roman" w:cs="Times New Roman"/>
        </w:rPr>
        <w:t>Todos estos elementos</w:t>
      </w:r>
      <w:r>
        <w:rPr>
          <w:rFonts w:ascii="Times New Roman" w:eastAsia="Times New Roman" w:hAnsi="Times New Roman" w:cs="Times New Roman"/>
        </w:rPr>
        <w:t>, se materializan en un documento escrito que a la vez tiene la suficiente apertura para ser revisado y reajustado en función de lo que efectivamente acontece en el aula.</w:t>
      </w:r>
    </w:p>
    <w:p w14:paraId="4633D916"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otro lado, una señal de esta confianza se manifiesta en la incorporación de partes de estas propuestas en el cotidiano de sus aulas más allá del contexto de las prácticas. Se percibe cierta necesidad de parte de los docentes de aula de ampliar su repertorio de recursos para el desarrollo de la enseñanza. Muchas veces, los años transcurridos entre el egreso de las instituciones formativas conduce a la obsolescencia de las propuestas de enseñanza (Chevallard, 1997) y entonces estos espacios se transforman en una oportunidad para la renovación y actualización de la propia formación. A la vez, las instituciones escolares tienen sus propias dinámicas y </w:t>
      </w:r>
      <w:proofErr w:type="spellStart"/>
      <w:r>
        <w:rPr>
          <w:rFonts w:ascii="Times New Roman" w:eastAsia="Times New Roman" w:hAnsi="Times New Roman" w:cs="Times New Roman"/>
        </w:rPr>
        <w:t>habitus</w:t>
      </w:r>
      <w:proofErr w:type="spellEnd"/>
      <w:r>
        <w:rPr>
          <w:rFonts w:ascii="Times New Roman" w:eastAsia="Times New Roman" w:hAnsi="Times New Roman" w:cs="Times New Roman"/>
        </w:rPr>
        <w:t xml:space="preserve"> (Bourdieu, 1991) que condicionan y restringen las posibilidades de una revisión más sistemática y frecuente de las propuestas de enseñanza.</w:t>
      </w:r>
    </w:p>
    <w:p w14:paraId="4E1BF0B7"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Como hemos señalado, también la confianza está puesta del lado de los formadores en el espacio del aula que se habilita. Más allá de los vínculos iniciales personales entre distintos miembros de estos espacios, consideramos que están dadas ciertas condiciones que habilitan a que los practicantes puedan desarrollar una experiencia fértil y consistente con la propuesta formativa llevada a cabo en las diferentes asignaturas. Un aula donde prima un funcionamiento que favorece el aprendizaje de la matemática a través de la estimulación a la </w:t>
      </w:r>
      <w:proofErr w:type="gramStart"/>
      <w:r>
        <w:rPr>
          <w:rFonts w:ascii="Times New Roman" w:eastAsia="Times New Roman" w:hAnsi="Times New Roman" w:cs="Times New Roman"/>
        </w:rPr>
        <w:t>participación activa</w:t>
      </w:r>
      <w:proofErr w:type="gramEnd"/>
      <w:r>
        <w:rPr>
          <w:rFonts w:ascii="Times New Roman" w:eastAsia="Times New Roman" w:hAnsi="Times New Roman" w:cs="Times New Roman"/>
        </w:rPr>
        <w:t xml:space="preserve"> de los estudiantes de la escuela secundaria, promoviendo el despliegue de la argumentación matemática para el debate y la circulación de ideas. Confianza a la vez en que pueden asumir un rol de acompañamiento, tanto de la planificación como en el aula, de los practicantes en el día a día del aula mientras dura la experiencia.</w:t>
      </w:r>
    </w:p>
    <w:p w14:paraId="20EE8083"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Por último, se desarrolla una confianza que trasciende el vínculo mediado por los formadores y se consolida entre los docentes de aula y los practicantes a través de una comunicación fluida y más directa. Esto se testimonia en los diferentes extractos de los diarios de la formación en los que emerge claramente cómo los docentes de aula se transforman en una referencia profesional sobre la enseñanza de la matemática. Precisamente sobre esta idea profundizaremos a partir del desarrollo del siguiente ateneo.</w:t>
      </w:r>
    </w:p>
    <w:p w14:paraId="78C4E7DF" w14:textId="77777777" w:rsidR="0037102A"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Referencias Bibliográficas</w:t>
      </w:r>
    </w:p>
    <w:p w14:paraId="35003E63"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Barbero, C., Ferreyra, H., Peretti, G., &amp; Vidales, S. (2011). Formatos curriculares en la educación secundaria. </w:t>
      </w:r>
      <w:r>
        <w:rPr>
          <w:rFonts w:ascii="Times New Roman" w:eastAsia="Times New Roman" w:hAnsi="Times New Roman" w:cs="Times New Roman"/>
          <w:i/>
          <w:iCs/>
        </w:rPr>
        <w:t>Novedades Educativas, 249</w:t>
      </w:r>
      <w:r>
        <w:rPr>
          <w:rFonts w:ascii="Times New Roman" w:eastAsia="Times New Roman" w:hAnsi="Times New Roman" w:cs="Times New Roman"/>
        </w:rPr>
        <w:t>.</w:t>
      </w:r>
    </w:p>
    <w:p w14:paraId="656636DA" w14:textId="77777777" w:rsidR="0037102A" w:rsidRPr="00EF5B7D" w:rsidRDefault="00000000">
      <w:pPr>
        <w:spacing w:line="240" w:lineRule="auto"/>
        <w:jc w:val="both"/>
        <w:rPr>
          <w:rFonts w:ascii="Times New Roman" w:eastAsia="Times New Roman" w:hAnsi="Times New Roman" w:cs="Times New Roman"/>
          <w:lang w:val="it-IT"/>
        </w:rPr>
      </w:pPr>
      <w:r>
        <w:rPr>
          <w:rFonts w:ascii="Times New Roman" w:eastAsia="Times New Roman" w:hAnsi="Times New Roman" w:cs="Times New Roman"/>
        </w:rPr>
        <w:t xml:space="preserve">Bifano, F. J. (2025). Investigar y formar en la enseñanza de la matemática: Diálogos y experiencias en el marco de las prácticas profesionales. En F. J. Bifano, L. Sanjurjo, &amp; N. </w:t>
      </w:r>
      <w:proofErr w:type="spellStart"/>
      <w:r>
        <w:rPr>
          <w:rFonts w:ascii="Times New Roman" w:eastAsia="Times New Roman" w:hAnsi="Times New Roman" w:cs="Times New Roman"/>
        </w:rPr>
        <w:t>Sgreccia</w:t>
      </w:r>
      <w:proofErr w:type="spellEnd"/>
      <w:r>
        <w:rPr>
          <w:rFonts w:ascii="Times New Roman" w:eastAsia="Times New Roman" w:hAnsi="Times New Roman" w:cs="Times New Roman"/>
        </w:rPr>
        <w:t xml:space="preserve"> (Eds.), </w:t>
      </w:r>
      <w:r>
        <w:rPr>
          <w:rFonts w:ascii="Times New Roman" w:eastAsia="Times New Roman" w:hAnsi="Times New Roman" w:cs="Times New Roman"/>
          <w:i/>
          <w:iCs/>
        </w:rPr>
        <w:t>Memorias de las Terceras Jornadas de Práctica Profesional Docente en Profesorados Universitarios en Matemática</w:t>
      </w:r>
      <w:r>
        <w:rPr>
          <w:rFonts w:ascii="Times New Roman" w:eastAsia="Times New Roman" w:hAnsi="Times New Roman" w:cs="Times New Roman"/>
        </w:rPr>
        <w:t xml:space="preserve"> (pp. 5–13). Asociación de Profesores de la Facultad de Ciencias Exactas e Ingeniería de la Universidad Nacional de Rosario. </w:t>
      </w:r>
      <w:hyperlink r:id="rId10">
        <w:r w:rsidRPr="00EF5B7D">
          <w:rPr>
            <w:rFonts w:ascii="Times New Roman" w:eastAsia="Times New Roman" w:hAnsi="Times New Roman" w:cs="Times New Roman"/>
            <w:color w:val="1155CC"/>
            <w:u w:val="single"/>
            <w:lang w:val="it-IT"/>
          </w:rPr>
          <w:t>https://hdl.handle.net/2133/31023</w:t>
        </w:r>
      </w:hyperlink>
    </w:p>
    <w:p w14:paraId="1D532FB3" w14:textId="77777777" w:rsidR="0037102A" w:rsidRDefault="00000000">
      <w:pPr>
        <w:spacing w:line="240" w:lineRule="auto"/>
        <w:jc w:val="both"/>
        <w:rPr>
          <w:rFonts w:ascii="Times New Roman" w:eastAsia="Times New Roman" w:hAnsi="Times New Roman" w:cs="Times New Roman"/>
        </w:rPr>
      </w:pPr>
      <w:r w:rsidRPr="00EF5B7D">
        <w:rPr>
          <w:rFonts w:ascii="Times New Roman" w:eastAsia="Times New Roman" w:hAnsi="Times New Roman" w:cs="Times New Roman"/>
          <w:lang w:val="it-IT"/>
        </w:rPr>
        <w:lastRenderedPageBreak/>
        <w:t xml:space="preserve">Bifano, F., Di Rico, E., &amp; Gómez, F. (2024a). </w:t>
      </w:r>
      <w:r>
        <w:rPr>
          <w:rFonts w:ascii="Times New Roman" w:eastAsia="Times New Roman" w:hAnsi="Times New Roman" w:cs="Times New Roman"/>
        </w:rPr>
        <w:t xml:space="preserve">El documento de la planificación para enseñar matemática: Un </w:t>
      </w:r>
      <w:proofErr w:type="gramStart"/>
      <w:r>
        <w:rPr>
          <w:rFonts w:ascii="Times New Roman" w:eastAsia="Times New Roman" w:hAnsi="Times New Roman" w:cs="Times New Roman"/>
        </w:rPr>
        <w:t>objeto frontera</w:t>
      </w:r>
      <w:proofErr w:type="gramEnd"/>
      <w:r>
        <w:rPr>
          <w:rFonts w:ascii="Times New Roman" w:eastAsia="Times New Roman" w:hAnsi="Times New Roman" w:cs="Times New Roman"/>
        </w:rPr>
        <w:t xml:space="preserve"> entre el mundo de la formación y el de la práctica. En M. Sobrino &amp; F. </w:t>
      </w:r>
      <w:proofErr w:type="spellStart"/>
      <w:r>
        <w:rPr>
          <w:rFonts w:ascii="Times New Roman" w:eastAsia="Times New Roman" w:hAnsi="Times New Roman" w:cs="Times New Roman"/>
        </w:rPr>
        <w:t>Scilipoti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Comps</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 xml:space="preserve">Memorias del VIII Congreso Nacional y VI Internacional de Investigación Educativa: La investigación educativa en 40 años de democracia </w:t>
      </w:r>
      <w:r>
        <w:rPr>
          <w:rFonts w:ascii="Times New Roman" w:eastAsia="Times New Roman" w:hAnsi="Times New Roman" w:cs="Times New Roman"/>
        </w:rPr>
        <w:t xml:space="preserve">(pp. 129–135). Universidad Nacional del Comahue. </w:t>
      </w:r>
      <w:hyperlink r:id="rId11">
        <w:r>
          <w:rPr>
            <w:rFonts w:ascii="Times New Roman" w:eastAsia="Times New Roman" w:hAnsi="Times New Roman" w:cs="Times New Roman"/>
            <w:color w:val="1155CC"/>
            <w:u w:val="single"/>
          </w:rPr>
          <w:t>https://rdi.uncoma.edu.ar/handle/uncomaid/18652</w:t>
        </w:r>
      </w:hyperlink>
    </w:p>
    <w:p w14:paraId="1B59AC16" w14:textId="77777777" w:rsidR="0037102A" w:rsidRDefault="00000000">
      <w:pPr>
        <w:spacing w:line="240" w:lineRule="auto"/>
        <w:jc w:val="both"/>
        <w:rPr>
          <w:rFonts w:ascii="Times New Roman" w:eastAsia="Times New Roman" w:hAnsi="Times New Roman" w:cs="Times New Roman"/>
        </w:rPr>
      </w:pPr>
      <w:r w:rsidRPr="00EF5B7D">
        <w:rPr>
          <w:rFonts w:ascii="Times New Roman" w:eastAsia="Times New Roman" w:hAnsi="Times New Roman" w:cs="Times New Roman"/>
          <w:lang w:val="it-IT"/>
        </w:rPr>
        <w:t xml:space="preserve">Bifano, F., Di Rico, E., &amp; Gómez, F. (2024b). </w:t>
      </w:r>
      <w:r>
        <w:rPr>
          <w:rFonts w:ascii="Times New Roman" w:eastAsia="Times New Roman" w:hAnsi="Times New Roman" w:cs="Times New Roman"/>
        </w:rPr>
        <w:t xml:space="preserve">Resignificar el lugar de docentes y estudiantes en la clase de matemática: El fenómeno del </w:t>
      </w:r>
      <w:proofErr w:type="spellStart"/>
      <w:r>
        <w:rPr>
          <w:rFonts w:ascii="Times New Roman" w:eastAsia="Times New Roman" w:hAnsi="Times New Roman" w:cs="Times New Roman"/>
        </w:rPr>
        <w:t>noticing</w:t>
      </w:r>
      <w:proofErr w:type="spellEnd"/>
      <w:r>
        <w:rPr>
          <w:rFonts w:ascii="Times New Roman" w:eastAsia="Times New Roman" w:hAnsi="Times New Roman" w:cs="Times New Roman"/>
        </w:rPr>
        <w:t xml:space="preserve"> para comprender el mundo de la formación. </w:t>
      </w:r>
      <w:r>
        <w:rPr>
          <w:rFonts w:ascii="Times New Roman" w:eastAsia="Times New Roman" w:hAnsi="Times New Roman" w:cs="Times New Roman"/>
          <w:i/>
          <w:iCs/>
        </w:rPr>
        <w:t>Noticiero de la Unión Matemática Argentina, 59</w:t>
      </w:r>
      <w:r>
        <w:rPr>
          <w:rFonts w:ascii="Times New Roman" w:eastAsia="Times New Roman" w:hAnsi="Times New Roman" w:cs="Times New Roman"/>
        </w:rPr>
        <w:t xml:space="preserve">(3), 199–204. </w:t>
      </w:r>
      <w:hyperlink r:id="rId12">
        <w:r>
          <w:rPr>
            <w:rFonts w:ascii="Times New Roman" w:eastAsia="Times New Roman" w:hAnsi="Times New Roman" w:cs="Times New Roman"/>
            <w:color w:val="1155CC"/>
            <w:u w:val="single"/>
          </w:rPr>
          <w:t>https://www.unionmatematica.org.ar/comunicaciones/files/2024/confirmed/INVESTIGACION-00418-Bifano.pdf</w:t>
        </w:r>
      </w:hyperlink>
    </w:p>
    <w:p w14:paraId="5A2B9B76"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Borel, M., &amp; Malet, A. (2009). </w:t>
      </w:r>
      <w:r>
        <w:rPr>
          <w:rFonts w:ascii="Times New Roman" w:eastAsia="Times New Roman" w:hAnsi="Times New Roman" w:cs="Times New Roman"/>
          <w:i/>
          <w:iCs/>
        </w:rPr>
        <w:t>Los ateneos: ¿Una alternativa en la formación profesional docente?</w:t>
      </w:r>
      <w:r>
        <w:rPr>
          <w:rFonts w:ascii="Times New Roman" w:eastAsia="Times New Roman" w:hAnsi="Times New Roman" w:cs="Times New Roman"/>
        </w:rPr>
        <w:t xml:space="preserve"> Universidad Nacional del Sur.</w:t>
      </w:r>
    </w:p>
    <w:p w14:paraId="55F7E50B"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Bourdieu, P. (1991). </w:t>
      </w:r>
      <w:r>
        <w:rPr>
          <w:rFonts w:ascii="Times New Roman" w:eastAsia="Times New Roman" w:hAnsi="Times New Roman" w:cs="Times New Roman"/>
          <w:i/>
          <w:iCs/>
        </w:rPr>
        <w:t>El sentido práctico.</w:t>
      </w:r>
      <w:r>
        <w:rPr>
          <w:rFonts w:ascii="Times New Roman" w:eastAsia="Times New Roman" w:hAnsi="Times New Roman" w:cs="Times New Roman"/>
        </w:rPr>
        <w:t xml:space="preserve"> Taurus.</w:t>
      </w:r>
    </w:p>
    <w:p w14:paraId="221AB568"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Chevallard, Y. (1997). </w:t>
      </w:r>
      <w:r>
        <w:rPr>
          <w:rFonts w:ascii="Times New Roman" w:eastAsia="Times New Roman" w:hAnsi="Times New Roman" w:cs="Times New Roman"/>
          <w:i/>
          <w:iCs/>
        </w:rPr>
        <w:t>La transposición didáctica: Del saber sabio al saber enseñado</w:t>
      </w:r>
      <w:r>
        <w:rPr>
          <w:rFonts w:ascii="Times New Roman" w:eastAsia="Times New Roman" w:hAnsi="Times New Roman" w:cs="Times New Roman"/>
        </w:rPr>
        <w:t xml:space="preserve"> (2.ª ed.). </w:t>
      </w:r>
      <w:proofErr w:type="spellStart"/>
      <w:r>
        <w:rPr>
          <w:rFonts w:ascii="Times New Roman" w:eastAsia="Times New Roman" w:hAnsi="Times New Roman" w:cs="Times New Roman"/>
        </w:rPr>
        <w:t>Aique</w:t>
      </w:r>
      <w:proofErr w:type="spellEnd"/>
      <w:r>
        <w:rPr>
          <w:rFonts w:ascii="Times New Roman" w:eastAsia="Times New Roman" w:hAnsi="Times New Roman" w:cs="Times New Roman"/>
        </w:rPr>
        <w:t>.</w:t>
      </w:r>
    </w:p>
    <w:p w14:paraId="75AE2B86"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Cortázar, J. (1962). Instrucciones para subir una escalera. En </w:t>
      </w:r>
      <w:r>
        <w:rPr>
          <w:rFonts w:ascii="Times New Roman" w:eastAsia="Times New Roman" w:hAnsi="Times New Roman" w:cs="Times New Roman"/>
          <w:i/>
          <w:iCs/>
        </w:rPr>
        <w:t xml:space="preserve">Historias de </w:t>
      </w:r>
      <w:proofErr w:type="spellStart"/>
      <w:r>
        <w:rPr>
          <w:rFonts w:ascii="Times New Roman" w:eastAsia="Times New Roman" w:hAnsi="Times New Roman" w:cs="Times New Roman"/>
          <w:i/>
          <w:iCs/>
        </w:rPr>
        <w:t>cronopios</w:t>
      </w:r>
      <w:proofErr w:type="spellEnd"/>
      <w:r>
        <w:rPr>
          <w:rFonts w:ascii="Times New Roman" w:eastAsia="Times New Roman" w:hAnsi="Times New Roman" w:cs="Times New Roman"/>
          <w:i/>
          <w:iCs/>
        </w:rPr>
        <w:t xml:space="preserve"> y de famas</w:t>
      </w:r>
      <w:r>
        <w:rPr>
          <w:rFonts w:ascii="Times New Roman" w:eastAsia="Times New Roman" w:hAnsi="Times New Roman" w:cs="Times New Roman"/>
        </w:rPr>
        <w:t>. Minotauro.</w:t>
      </w:r>
    </w:p>
    <w:p w14:paraId="35C89E3B"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Foresi, M. F. (2009). El profesor </w:t>
      </w:r>
      <w:proofErr w:type="spellStart"/>
      <w:r>
        <w:rPr>
          <w:rFonts w:ascii="Times New Roman" w:eastAsia="Times New Roman" w:hAnsi="Times New Roman" w:cs="Times New Roman"/>
        </w:rPr>
        <w:t>co-formador</w:t>
      </w:r>
      <w:proofErr w:type="spellEnd"/>
      <w:r>
        <w:rPr>
          <w:rFonts w:ascii="Times New Roman" w:eastAsia="Times New Roman" w:hAnsi="Times New Roman" w:cs="Times New Roman"/>
        </w:rPr>
        <w:t xml:space="preserve">: ¿Es posible la construcción de una identidad profesional? En L. Sanjurjo (Coord.), </w:t>
      </w:r>
      <w:r>
        <w:rPr>
          <w:rFonts w:ascii="Times New Roman" w:eastAsia="Times New Roman" w:hAnsi="Times New Roman" w:cs="Times New Roman"/>
          <w:i/>
          <w:iCs/>
        </w:rPr>
        <w:t xml:space="preserve">Los dispositivos para la formación en las prácticas profesionales </w:t>
      </w:r>
      <w:r>
        <w:rPr>
          <w:rFonts w:ascii="Times New Roman" w:eastAsia="Times New Roman" w:hAnsi="Times New Roman" w:cs="Times New Roman"/>
        </w:rPr>
        <w:t>(pp. 223–269). Homo Sapiens.</w:t>
      </w:r>
    </w:p>
    <w:p w14:paraId="6C6AFC4C" w14:textId="77777777" w:rsidR="0037102A" w:rsidRPr="00EF5B7D" w:rsidRDefault="00000000">
      <w:pPr>
        <w:spacing w:line="240" w:lineRule="auto"/>
        <w:jc w:val="both"/>
        <w:rPr>
          <w:rFonts w:ascii="Times New Roman" w:eastAsia="Times New Roman" w:hAnsi="Times New Roman" w:cs="Times New Roman"/>
          <w:lang w:val="pt-PT"/>
        </w:rPr>
      </w:pPr>
      <w:r>
        <w:rPr>
          <w:rFonts w:ascii="Times New Roman" w:eastAsia="Times New Roman" w:hAnsi="Times New Roman" w:cs="Times New Roman"/>
        </w:rPr>
        <w:t xml:space="preserve">Goodchild, S. (2007). </w:t>
      </w:r>
      <w:proofErr w:type="spellStart"/>
      <w:r>
        <w:rPr>
          <w:rFonts w:ascii="Times New Roman" w:eastAsia="Times New Roman" w:hAnsi="Times New Roman" w:cs="Times New Roman"/>
        </w:rPr>
        <w:t>Inside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outside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Seeking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evidence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didacticians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learning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expansion</w:t>
      </w:r>
      <w:proofErr w:type="spellEnd"/>
      <w:r>
        <w:rPr>
          <w:rFonts w:ascii="Times New Roman" w:eastAsia="Times New Roman" w:hAnsi="Times New Roman" w:cs="Times New Roman"/>
        </w:rPr>
        <w:t xml:space="preserve">. En B. Jaworski, A.-B. Fuglestad, R. </w:t>
      </w:r>
      <w:proofErr w:type="spellStart"/>
      <w:r>
        <w:rPr>
          <w:rFonts w:ascii="Times New Roman" w:eastAsia="Times New Roman" w:hAnsi="Times New Roman" w:cs="Times New Roman"/>
        </w:rPr>
        <w:t>Bjuland</w:t>
      </w:r>
      <w:proofErr w:type="spellEnd"/>
      <w:r>
        <w:rPr>
          <w:rFonts w:ascii="Times New Roman" w:eastAsia="Times New Roman" w:hAnsi="Times New Roman" w:cs="Times New Roman"/>
        </w:rPr>
        <w:t xml:space="preserve">, T. </w:t>
      </w:r>
      <w:proofErr w:type="spellStart"/>
      <w:r>
        <w:rPr>
          <w:rFonts w:ascii="Times New Roman" w:eastAsia="Times New Roman" w:hAnsi="Times New Roman" w:cs="Times New Roman"/>
        </w:rPr>
        <w:t>Breiteig</w:t>
      </w:r>
      <w:proofErr w:type="spellEnd"/>
      <w:r>
        <w:rPr>
          <w:rFonts w:ascii="Times New Roman" w:eastAsia="Times New Roman" w:hAnsi="Times New Roman" w:cs="Times New Roman"/>
        </w:rPr>
        <w:t xml:space="preserve">, S. Goodchild, &amp; B. </w:t>
      </w:r>
      <w:proofErr w:type="spellStart"/>
      <w:r>
        <w:rPr>
          <w:rFonts w:ascii="Times New Roman" w:eastAsia="Times New Roman" w:hAnsi="Times New Roman" w:cs="Times New Roman"/>
        </w:rPr>
        <w:t>Grevholm</w:t>
      </w:r>
      <w:proofErr w:type="spellEnd"/>
      <w:r>
        <w:rPr>
          <w:rFonts w:ascii="Times New Roman" w:eastAsia="Times New Roman" w:hAnsi="Times New Roman" w:cs="Times New Roman"/>
        </w:rPr>
        <w:t xml:space="preserve"> (Eds.), </w:t>
      </w:r>
      <w:proofErr w:type="spellStart"/>
      <w:r>
        <w:rPr>
          <w:rFonts w:ascii="Times New Roman" w:eastAsia="Times New Roman" w:hAnsi="Times New Roman" w:cs="Times New Roman"/>
          <w:i/>
          <w:iCs/>
        </w:rPr>
        <w:t>Learning</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communities</w:t>
      </w:r>
      <w:proofErr w:type="spellEnd"/>
      <w:r>
        <w:rPr>
          <w:rFonts w:ascii="Times New Roman" w:eastAsia="Times New Roman" w:hAnsi="Times New Roman" w:cs="Times New Roman"/>
          <w:i/>
          <w:iCs/>
        </w:rPr>
        <w:t xml:space="preserve"> in </w:t>
      </w:r>
      <w:proofErr w:type="spellStart"/>
      <w:r>
        <w:rPr>
          <w:rFonts w:ascii="Times New Roman" w:eastAsia="Times New Roman" w:hAnsi="Times New Roman" w:cs="Times New Roman"/>
          <w:i/>
          <w:iCs/>
        </w:rPr>
        <w:t>mathematics</w:t>
      </w:r>
      <w:proofErr w:type="spellEnd"/>
      <w:r>
        <w:rPr>
          <w:rFonts w:ascii="Times New Roman" w:eastAsia="Times New Roman" w:hAnsi="Times New Roman" w:cs="Times New Roman"/>
          <w:i/>
          <w:iCs/>
        </w:rPr>
        <w:t xml:space="preserve"> </w:t>
      </w:r>
      <w:r>
        <w:rPr>
          <w:rFonts w:ascii="Times New Roman" w:eastAsia="Times New Roman" w:hAnsi="Times New Roman" w:cs="Times New Roman"/>
        </w:rPr>
        <w:t xml:space="preserve">(pp. 189–204). </w:t>
      </w:r>
      <w:proofErr w:type="spellStart"/>
      <w:r w:rsidRPr="00EF5B7D">
        <w:rPr>
          <w:rFonts w:ascii="Times New Roman" w:eastAsia="Times New Roman" w:hAnsi="Times New Roman" w:cs="Times New Roman"/>
          <w:lang w:val="pt-PT"/>
        </w:rPr>
        <w:t>Caspar</w:t>
      </w:r>
      <w:proofErr w:type="spellEnd"/>
      <w:r w:rsidRPr="00EF5B7D">
        <w:rPr>
          <w:rFonts w:ascii="Times New Roman" w:eastAsia="Times New Roman" w:hAnsi="Times New Roman" w:cs="Times New Roman"/>
          <w:lang w:val="pt-PT"/>
        </w:rPr>
        <w:t>.</w:t>
      </w:r>
    </w:p>
    <w:p w14:paraId="5F5DD8A8" w14:textId="77777777" w:rsidR="0037102A" w:rsidRPr="00EF5B7D" w:rsidRDefault="00000000">
      <w:pPr>
        <w:spacing w:line="240" w:lineRule="auto"/>
        <w:jc w:val="both"/>
        <w:rPr>
          <w:rFonts w:ascii="Times New Roman" w:eastAsia="Times New Roman" w:hAnsi="Times New Roman" w:cs="Times New Roman"/>
          <w:lang w:val="pt-PT"/>
        </w:rPr>
      </w:pPr>
      <w:proofErr w:type="spellStart"/>
      <w:r w:rsidRPr="00EF5B7D">
        <w:rPr>
          <w:rFonts w:ascii="Times New Roman" w:eastAsia="Times New Roman" w:hAnsi="Times New Roman" w:cs="Times New Roman"/>
          <w:lang w:val="pt-PT"/>
        </w:rPr>
        <w:t>Goodchild</w:t>
      </w:r>
      <w:proofErr w:type="spellEnd"/>
      <w:r w:rsidRPr="00EF5B7D">
        <w:rPr>
          <w:rFonts w:ascii="Times New Roman" w:eastAsia="Times New Roman" w:hAnsi="Times New Roman" w:cs="Times New Roman"/>
          <w:lang w:val="pt-PT"/>
        </w:rPr>
        <w:t xml:space="preserve">, S. (2008). A </w:t>
      </w:r>
      <w:proofErr w:type="spellStart"/>
      <w:r w:rsidRPr="00EF5B7D">
        <w:rPr>
          <w:rFonts w:ascii="Times New Roman" w:eastAsia="Times New Roman" w:hAnsi="Times New Roman" w:cs="Times New Roman"/>
          <w:lang w:val="pt-PT"/>
        </w:rPr>
        <w:t>quest</w:t>
      </w:r>
      <w:proofErr w:type="spellEnd"/>
      <w:r w:rsidRPr="00EF5B7D">
        <w:rPr>
          <w:rFonts w:ascii="Times New Roman" w:eastAsia="Times New Roman" w:hAnsi="Times New Roman" w:cs="Times New Roman"/>
          <w:lang w:val="pt-PT"/>
        </w:rPr>
        <w:t xml:space="preserve"> for ‘</w:t>
      </w:r>
      <w:proofErr w:type="spellStart"/>
      <w:r w:rsidRPr="00EF5B7D">
        <w:rPr>
          <w:rFonts w:ascii="Times New Roman" w:eastAsia="Times New Roman" w:hAnsi="Times New Roman" w:cs="Times New Roman"/>
          <w:lang w:val="pt-PT"/>
        </w:rPr>
        <w:t>good</w:t>
      </w:r>
      <w:proofErr w:type="spellEnd"/>
      <w:r w:rsidRPr="00EF5B7D">
        <w:rPr>
          <w:rFonts w:ascii="Times New Roman" w:eastAsia="Times New Roman" w:hAnsi="Times New Roman" w:cs="Times New Roman"/>
          <w:lang w:val="pt-PT"/>
        </w:rPr>
        <w:t xml:space="preserve">’ research. </w:t>
      </w:r>
      <w:proofErr w:type="spellStart"/>
      <w:r w:rsidRPr="00EF5B7D">
        <w:rPr>
          <w:rFonts w:ascii="Times New Roman" w:eastAsia="Times New Roman" w:hAnsi="Times New Roman" w:cs="Times New Roman"/>
          <w:lang w:val="pt-PT"/>
        </w:rPr>
        <w:t>En</w:t>
      </w:r>
      <w:proofErr w:type="spellEnd"/>
      <w:r w:rsidRPr="00EF5B7D">
        <w:rPr>
          <w:rFonts w:ascii="Times New Roman" w:eastAsia="Times New Roman" w:hAnsi="Times New Roman" w:cs="Times New Roman"/>
          <w:lang w:val="pt-PT"/>
        </w:rPr>
        <w:t xml:space="preserve"> B. </w:t>
      </w:r>
      <w:proofErr w:type="spellStart"/>
      <w:r w:rsidRPr="00EF5B7D">
        <w:rPr>
          <w:rFonts w:ascii="Times New Roman" w:eastAsia="Times New Roman" w:hAnsi="Times New Roman" w:cs="Times New Roman"/>
          <w:lang w:val="pt-PT"/>
        </w:rPr>
        <w:t>Jaworski</w:t>
      </w:r>
      <w:proofErr w:type="spellEnd"/>
      <w:r w:rsidRPr="00EF5B7D">
        <w:rPr>
          <w:rFonts w:ascii="Times New Roman" w:eastAsia="Times New Roman" w:hAnsi="Times New Roman" w:cs="Times New Roman"/>
          <w:lang w:val="pt-PT"/>
        </w:rPr>
        <w:t xml:space="preserve"> &amp; T. </w:t>
      </w:r>
      <w:proofErr w:type="spellStart"/>
      <w:r w:rsidRPr="00EF5B7D">
        <w:rPr>
          <w:rFonts w:ascii="Times New Roman" w:eastAsia="Times New Roman" w:hAnsi="Times New Roman" w:cs="Times New Roman"/>
          <w:lang w:val="pt-PT"/>
        </w:rPr>
        <w:t>Wood</w:t>
      </w:r>
      <w:proofErr w:type="spellEnd"/>
      <w:r w:rsidRPr="00EF5B7D">
        <w:rPr>
          <w:rFonts w:ascii="Times New Roman" w:eastAsia="Times New Roman" w:hAnsi="Times New Roman" w:cs="Times New Roman"/>
          <w:lang w:val="pt-PT"/>
        </w:rPr>
        <w:t xml:space="preserve"> (Eds.), </w:t>
      </w:r>
      <w:proofErr w:type="spellStart"/>
      <w:r w:rsidRPr="00EF5B7D">
        <w:rPr>
          <w:rFonts w:ascii="Times New Roman" w:eastAsia="Times New Roman" w:hAnsi="Times New Roman" w:cs="Times New Roman"/>
          <w:i/>
          <w:iCs/>
          <w:lang w:val="pt-PT"/>
        </w:rPr>
        <w:t>The</w:t>
      </w:r>
      <w:proofErr w:type="spellEnd"/>
      <w:r w:rsidRPr="00EF5B7D">
        <w:rPr>
          <w:rFonts w:ascii="Times New Roman" w:eastAsia="Times New Roman" w:hAnsi="Times New Roman" w:cs="Times New Roman"/>
          <w:i/>
          <w:iCs/>
          <w:lang w:val="pt-PT"/>
        </w:rPr>
        <w:t xml:space="preserve"> </w:t>
      </w:r>
      <w:proofErr w:type="spellStart"/>
      <w:r w:rsidRPr="00EF5B7D">
        <w:rPr>
          <w:rFonts w:ascii="Times New Roman" w:eastAsia="Times New Roman" w:hAnsi="Times New Roman" w:cs="Times New Roman"/>
          <w:i/>
          <w:iCs/>
          <w:lang w:val="pt-PT"/>
        </w:rPr>
        <w:t>mathematics</w:t>
      </w:r>
      <w:proofErr w:type="spellEnd"/>
      <w:r w:rsidRPr="00EF5B7D">
        <w:rPr>
          <w:rFonts w:ascii="Times New Roman" w:eastAsia="Times New Roman" w:hAnsi="Times New Roman" w:cs="Times New Roman"/>
          <w:i/>
          <w:iCs/>
          <w:lang w:val="pt-PT"/>
        </w:rPr>
        <w:t xml:space="preserve"> </w:t>
      </w:r>
      <w:proofErr w:type="spellStart"/>
      <w:r w:rsidRPr="00EF5B7D">
        <w:rPr>
          <w:rFonts w:ascii="Times New Roman" w:eastAsia="Times New Roman" w:hAnsi="Times New Roman" w:cs="Times New Roman"/>
          <w:i/>
          <w:iCs/>
          <w:lang w:val="pt-PT"/>
        </w:rPr>
        <w:t>teacher</w:t>
      </w:r>
      <w:proofErr w:type="spellEnd"/>
      <w:r w:rsidRPr="00EF5B7D">
        <w:rPr>
          <w:rFonts w:ascii="Times New Roman" w:eastAsia="Times New Roman" w:hAnsi="Times New Roman" w:cs="Times New Roman"/>
          <w:i/>
          <w:iCs/>
          <w:lang w:val="pt-PT"/>
        </w:rPr>
        <w:t xml:space="preserve"> </w:t>
      </w:r>
      <w:proofErr w:type="spellStart"/>
      <w:r w:rsidRPr="00EF5B7D">
        <w:rPr>
          <w:rFonts w:ascii="Times New Roman" w:eastAsia="Times New Roman" w:hAnsi="Times New Roman" w:cs="Times New Roman"/>
          <w:i/>
          <w:iCs/>
          <w:lang w:val="pt-PT"/>
        </w:rPr>
        <w:t>educator</w:t>
      </w:r>
      <w:proofErr w:type="spellEnd"/>
      <w:r w:rsidRPr="00EF5B7D">
        <w:rPr>
          <w:rFonts w:ascii="Times New Roman" w:eastAsia="Times New Roman" w:hAnsi="Times New Roman" w:cs="Times New Roman"/>
          <w:i/>
          <w:iCs/>
          <w:lang w:val="pt-PT"/>
        </w:rPr>
        <w:t xml:space="preserve"> as a </w:t>
      </w:r>
      <w:proofErr w:type="spellStart"/>
      <w:r w:rsidRPr="00EF5B7D">
        <w:rPr>
          <w:rFonts w:ascii="Times New Roman" w:eastAsia="Times New Roman" w:hAnsi="Times New Roman" w:cs="Times New Roman"/>
          <w:i/>
          <w:iCs/>
          <w:lang w:val="pt-PT"/>
        </w:rPr>
        <w:t>developing</w:t>
      </w:r>
      <w:proofErr w:type="spellEnd"/>
      <w:r w:rsidRPr="00EF5B7D">
        <w:rPr>
          <w:rFonts w:ascii="Times New Roman" w:eastAsia="Times New Roman" w:hAnsi="Times New Roman" w:cs="Times New Roman"/>
          <w:i/>
          <w:iCs/>
          <w:lang w:val="pt-PT"/>
        </w:rPr>
        <w:t xml:space="preserve"> </w:t>
      </w:r>
      <w:proofErr w:type="spellStart"/>
      <w:r w:rsidRPr="00EF5B7D">
        <w:rPr>
          <w:rFonts w:ascii="Times New Roman" w:eastAsia="Times New Roman" w:hAnsi="Times New Roman" w:cs="Times New Roman"/>
          <w:i/>
          <w:iCs/>
          <w:lang w:val="pt-PT"/>
        </w:rPr>
        <w:t>professional</w:t>
      </w:r>
      <w:proofErr w:type="spellEnd"/>
      <w:r w:rsidRPr="00EF5B7D">
        <w:rPr>
          <w:rFonts w:ascii="Times New Roman" w:eastAsia="Times New Roman" w:hAnsi="Times New Roman" w:cs="Times New Roman"/>
          <w:lang w:val="pt-PT"/>
        </w:rPr>
        <w:t xml:space="preserve"> (Vol. 4, pp. 201–220). </w:t>
      </w:r>
      <w:proofErr w:type="spellStart"/>
      <w:r w:rsidRPr="00EF5B7D">
        <w:rPr>
          <w:rFonts w:ascii="Times New Roman" w:eastAsia="Times New Roman" w:hAnsi="Times New Roman" w:cs="Times New Roman"/>
          <w:lang w:val="pt-PT"/>
        </w:rPr>
        <w:t>Sense</w:t>
      </w:r>
      <w:proofErr w:type="spellEnd"/>
      <w:r w:rsidRPr="00EF5B7D">
        <w:rPr>
          <w:rFonts w:ascii="Times New Roman" w:eastAsia="Times New Roman" w:hAnsi="Times New Roman" w:cs="Times New Roman"/>
          <w:lang w:val="pt-PT"/>
        </w:rPr>
        <w:t xml:space="preserve"> Publishers.</w:t>
      </w:r>
    </w:p>
    <w:p w14:paraId="2E4D9859" w14:textId="77777777" w:rsidR="0037102A" w:rsidRPr="00EF5B7D" w:rsidRDefault="00000000">
      <w:pPr>
        <w:spacing w:line="240" w:lineRule="auto"/>
        <w:jc w:val="both"/>
        <w:rPr>
          <w:rFonts w:ascii="Times New Roman" w:eastAsia="Times New Roman" w:hAnsi="Times New Roman" w:cs="Times New Roman"/>
          <w:lang w:val="pt-PT"/>
        </w:rPr>
      </w:pPr>
      <w:proofErr w:type="spellStart"/>
      <w:r w:rsidRPr="00EF5B7D">
        <w:rPr>
          <w:rFonts w:ascii="Times New Roman" w:eastAsia="Times New Roman" w:hAnsi="Times New Roman" w:cs="Times New Roman"/>
          <w:lang w:val="pt-PT"/>
        </w:rPr>
        <w:t>Goodchild</w:t>
      </w:r>
      <w:proofErr w:type="spellEnd"/>
      <w:r w:rsidRPr="00EF5B7D">
        <w:rPr>
          <w:rFonts w:ascii="Times New Roman" w:eastAsia="Times New Roman" w:hAnsi="Times New Roman" w:cs="Times New Roman"/>
          <w:lang w:val="pt-PT"/>
        </w:rPr>
        <w:t xml:space="preserve">, S., &amp; </w:t>
      </w:r>
      <w:proofErr w:type="spellStart"/>
      <w:r w:rsidRPr="00EF5B7D">
        <w:rPr>
          <w:rFonts w:ascii="Times New Roman" w:eastAsia="Times New Roman" w:hAnsi="Times New Roman" w:cs="Times New Roman"/>
          <w:lang w:val="pt-PT"/>
        </w:rPr>
        <w:t>Jaworski</w:t>
      </w:r>
      <w:proofErr w:type="spellEnd"/>
      <w:r w:rsidRPr="00EF5B7D">
        <w:rPr>
          <w:rFonts w:ascii="Times New Roman" w:eastAsia="Times New Roman" w:hAnsi="Times New Roman" w:cs="Times New Roman"/>
          <w:lang w:val="pt-PT"/>
        </w:rPr>
        <w:t xml:space="preserve">, B. (2005). </w:t>
      </w:r>
      <w:proofErr w:type="spellStart"/>
      <w:r w:rsidRPr="00EF5B7D">
        <w:rPr>
          <w:rFonts w:ascii="Times New Roman" w:eastAsia="Times New Roman" w:hAnsi="Times New Roman" w:cs="Times New Roman"/>
          <w:lang w:val="pt-PT"/>
        </w:rPr>
        <w:t>Identifying</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contradictions</w:t>
      </w:r>
      <w:proofErr w:type="spellEnd"/>
      <w:r w:rsidRPr="00EF5B7D">
        <w:rPr>
          <w:rFonts w:ascii="Times New Roman" w:eastAsia="Times New Roman" w:hAnsi="Times New Roman" w:cs="Times New Roman"/>
          <w:lang w:val="pt-PT"/>
        </w:rPr>
        <w:t xml:space="preserve"> in a </w:t>
      </w:r>
      <w:proofErr w:type="spellStart"/>
      <w:r w:rsidRPr="00EF5B7D">
        <w:rPr>
          <w:rFonts w:ascii="Times New Roman" w:eastAsia="Times New Roman" w:hAnsi="Times New Roman" w:cs="Times New Roman"/>
          <w:lang w:val="pt-PT"/>
        </w:rPr>
        <w:t>teaching</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and</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learning</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development</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project</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En</w:t>
      </w:r>
      <w:proofErr w:type="spellEnd"/>
      <w:r w:rsidRPr="00EF5B7D">
        <w:rPr>
          <w:rFonts w:ascii="Times New Roman" w:eastAsia="Times New Roman" w:hAnsi="Times New Roman" w:cs="Times New Roman"/>
          <w:lang w:val="pt-PT"/>
        </w:rPr>
        <w:t xml:space="preserve"> H. L. </w:t>
      </w:r>
      <w:proofErr w:type="spellStart"/>
      <w:r w:rsidRPr="00EF5B7D">
        <w:rPr>
          <w:rFonts w:ascii="Times New Roman" w:eastAsia="Times New Roman" w:hAnsi="Times New Roman" w:cs="Times New Roman"/>
          <w:lang w:val="pt-PT"/>
        </w:rPr>
        <w:t>Chick</w:t>
      </w:r>
      <w:proofErr w:type="spellEnd"/>
      <w:r w:rsidRPr="00EF5B7D">
        <w:rPr>
          <w:rFonts w:ascii="Times New Roman" w:eastAsia="Times New Roman" w:hAnsi="Times New Roman" w:cs="Times New Roman"/>
          <w:lang w:val="pt-PT"/>
        </w:rPr>
        <w:t xml:space="preserve"> &amp; J. L. Vincent (Eds.), </w:t>
      </w:r>
      <w:proofErr w:type="spellStart"/>
      <w:r w:rsidRPr="00EF5B7D">
        <w:rPr>
          <w:rFonts w:ascii="Times New Roman" w:eastAsia="Times New Roman" w:hAnsi="Times New Roman" w:cs="Times New Roman"/>
          <w:i/>
          <w:iCs/>
          <w:lang w:val="pt-PT"/>
        </w:rPr>
        <w:t>Proceedings</w:t>
      </w:r>
      <w:proofErr w:type="spellEnd"/>
      <w:r w:rsidRPr="00EF5B7D">
        <w:rPr>
          <w:rFonts w:ascii="Times New Roman" w:eastAsia="Times New Roman" w:hAnsi="Times New Roman" w:cs="Times New Roman"/>
          <w:i/>
          <w:iCs/>
          <w:lang w:val="pt-PT"/>
        </w:rPr>
        <w:t xml:space="preserve"> </w:t>
      </w:r>
      <w:proofErr w:type="spellStart"/>
      <w:r w:rsidRPr="00EF5B7D">
        <w:rPr>
          <w:rFonts w:ascii="Times New Roman" w:eastAsia="Times New Roman" w:hAnsi="Times New Roman" w:cs="Times New Roman"/>
          <w:i/>
          <w:iCs/>
          <w:lang w:val="pt-PT"/>
        </w:rPr>
        <w:t>of</w:t>
      </w:r>
      <w:proofErr w:type="spellEnd"/>
      <w:r w:rsidRPr="00EF5B7D">
        <w:rPr>
          <w:rFonts w:ascii="Times New Roman" w:eastAsia="Times New Roman" w:hAnsi="Times New Roman" w:cs="Times New Roman"/>
          <w:i/>
          <w:iCs/>
          <w:lang w:val="pt-PT"/>
        </w:rPr>
        <w:t xml:space="preserve"> </w:t>
      </w:r>
      <w:proofErr w:type="spellStart"/>
      <w:r w:rsidRPr="00EF5B7D">
        <w:rPr>
          <w:rFonts w:ascii="Times New Roman" w:eastAsia="Times New Roman" w:hAnsi="Times New Roman" w:cs="Times New Roman"/>
          <w:i/>
          <w:iCs/>
          <w:lang w:val="pt-PT"/>
        </w:rPr>
        <w:t>the</w:t>
      </w:r>
      <w:proofErr w:type="spellEnd"/>
      <w:r w:rsidRPr="00EF5B7D">
        <w:rPr>
          <w:rFonts w:ascii="Times New Roman" w:eastAsia="Times New Roman" w:hAnsi="Times New Roman" w:cs="Times New Roman"/>
          <w:i/>
          <w:iCs/>
          <w:lang w:val="pt-PT"/>
        </w:rPr>
        <w:t xml:space="preserve"> 29th Conference </w:t>
      </w:r>
      <w:proofErr w:type="spellStart"/>
      <w:r w:rsidRPr="00EF5B7D">
        <w:rPr>
          <w:rFonts w:ascii="Times New Roman" w:eastAsia="Times New Roman" w:hAnsi="Times New Roman" w:cs="Times New Roman"/>
          <w:i/>
          <w:iCs/>
          <w:lang w:val="pt-PT"/>
        </w:rPr>
        <w:t>of</w:t>
      </w:r>
      <w:proofErr w:type="spellEnd"/>
      <w:r w:rsidRPr="00EF5B7D">
        <w:rPr>
          <w:rFonts w:ascii="Times New Roman" w:eastAsia="Times New Roman" w:hAnsi="Times New Roman" w:cs="Times New Roman"/>
          <w:i/>
          <w:iCs/>
          <w:lang w:val="pt-PT"/>
        </w:rPr>
        <w:t xml:space="preserve"> </w:t>
      </w:r>
      <w:proofErr w:type="spellStart"/>
      <w:r w:rsidRPr="00EF5B7D">
        <w:rPr>
          <w:rFonts w:ascii="Times New Roman" w:eastAsia="Times New Roman" w:hAnsi="Times New Roman" w:cs="Times New Roman"/>
          <w:i/>
          <w:iCs/>
          <w:lang w:val="pt-PT"/>
        </w:rPr>
        <w:t>the</w:t>
      </w:r>
      <w:proofErr w:type="spellEnd"/>
      <w:r w:rsidRPr="00EF5B7D">
        <w:rPr>
          <w:rFonts w:ascii="Times New Roman" w:eastAsia="Times New Roman" w:hAnsi="Times New Roman" w:cs="Times New Roman"/>
          <w:i/>
          <w:iCs/>
          <w:lang w:val="pt-PT"/>
        </w:rPr>
        <w:t xml:space="preserve"> </w:t>
      </w:r>
      <w:proofErr w:type="spellStart"/>
      <w:r w:rsidRPr="00EF5B7D">
        <w:rPr>
          <w:rFonts w:ascii="Times New Roman" w:eastAsia="Times New Roman" w:hAnsi="Times New Roman" w:cs="Times New Roman"/>
          <w:i/>
          <w:iCs/>
          <w:lang w:val="pt-PT"/>
        </w:rPr>
        <w:t>International</w:t>
      </w:r>
      <w:proofErr w:type="spellEnd"/>
      <w:r w:rsidRPr="00EF5B7D">
        <w:rPr>
          <w:rFonts w:ascii="Times New Roman" w:eastAsia="Times New Roman" w:hAnsi="Times New Roman" w:cs="Times New Roman"/>
          <w:i/>
          <w:iCs/>
          <w:lang w:val="pt-PT"/>
        </w:rPr>
        <w:t xml:space="preserve"> </w:t>
      </w:r>
      <w:proofErr w:type="spellStart"/>
      <w:r w:rsidRPr="00EF5B7D">
        <w:rPr>
          <w:rFonts w:ascii="Times New Roman" w:eastAsia="Times New Roman" w:hAnsi="Times New Roman" w:cs="Times New Roman"/>
          <w:i/>
          <w:iCs/>
          <w:lang w:val="pt-PT"/>
        </w:rPr>
        <w:t>Group</w:t>
      </w:r>
      <w:proofErr w:type="spellEnd"/>
      <w:r w:rsidRPr="00EF5B7D">
        <w:rPr>
          <w:rFonts w:ascii="Times New Roman" w:eastAsia="Times New Roman" w:hAnsi="Times New Roman" w:cs="Times New Roman"/>
          <w:i/>
          <w:iCs/>
          <w:lang w:val="pt-PT"/>
        </w:rPr>
        <w:t xml:space="preserve"> for </w:t>
      </w:r>
      <w:proofErr w:type="spellStart"/>
      <w:r w:rsidRPr="00EF5B7D">
        <w:rPr>
          <w:rFonts w:ascii="Times New Roman" w:eastAsia="Times New Roman" w:hAnsi="Times New Roman" w:cs="Times New Roman"/>
          <w:i/>
          <w:iCs/>
          <w:lang w:val="pt-PT"/>
        </w:rPr>
        <w:t>the</w:t>
      </w:r>
      <w:proofErr w:type="spellEnd"/>
      <w:r w:rsidRPr="00EF5B7D">
        <w:rPr>
          <w:rFonts w:ascii="Times New Roman" w:eastAsia="Times New Roman" w:hAnsi="Times New Roman" w:cs="Times New Roman"/>
          <w:i/>
          <w:iCs/>
          <w:lang w:val="pt-PT"/>
        </w:rPr>
        <w:t xml:space="preserve"> </w:t>
      </w:r>
      <w:proofErr w:type="spellStart"/>
      <w:r w:rsidRPr="00EF5B7D">
        <w:rPr>
          <w:rFonts w:ascii="Times New Roman" w:eastAsia="Times New Roman" w:hAnsi="Times New Roman" w:cs="Times New Roman"/>
          <w:i/>
          <w:iCs/>
          <w:lang w:val="pt-PT"/>
        </w:rPr>
        <w:t>Psychology</w:t>
      </w:r>
      <w:proofErr w:type="spellEnd"/>
      <w:r w:rsidRPr="00EF5B7D">
        <w:rPr>
          <w:rFonts w:ascii="Times New Roman" w:eastAsia="Times New Roman" w:hAnsi="Times New Roman" w:cs="Times New Roman"/>
          <w:i/>
          <w:iCs/>
          <w:lang w:val="pt-PT"/>
        </w:rPr>
        <w:t xml:space="preserve"> </w:t>
      </w:r>
      <w:proofErr w:type="spellStart"/>
      <w:r w:rsidRPr="00EF5B7D">
        <w:rPr>
          <w:rFonts w:ascii="Times New Roman" w:eastAsia="Times New Roman" w:hAnsi="Times New Roman" w:cs="Times New Roman"/>
          <w:i/>
          <w:iCs/>
          <w:lang w:val="pt-PT"/>
        </w:rPr>
        <w:t>of</w:t>
      </w:r>
      <w:proofErr w:type="spellEnd"/>
      <w:r w:rsidRPr="00EF5B7D">
        <w:rPr>
          <w:rFonts w:ascii="Times New Roman" w:eastAsia="Times New Roman" w:hAnsi="Times New Roman" w:cs="Times New Roman"/>
          <w:i/>
          <w:iCs/>
          <w:lang w:val="pt-PT"/>
        </w:rPr>
        <w:t xml:space="preserve"> </w:t>
      </w:r>
      <w:proofErr w:type="spellStart"/>
      <w:r w:rsidRPr="00EF5B7D">
        <w:rPr>
          <w:rFonts w:ascii="Times New Roman" w:eastAsia="Times New Roman" w:hAnsi="Times New Roman" w:cs="Times New Roman"/>
          <w:i/>
          <w:iCs/>
          <w:lang w:val="pt-PT"/>
        </w:rPr>
        <w:t>Mathematics</w:t>
      </w:r>
      <w:proofErr w:type="spellEnd"/>
      <w:r w:rsidRPr="00EF5B7D">
        <w:rPr>
          <w:rFonts w:ascii="Times New Roman" w:eastAsia="Times New Roman" w:hAnsi="Times New Roman" w:cs="Times New Roman"/>
          <w:i/>
          <w:iCs/>
          <w:lang w:val="pt-PT"/>
        </w:rPr>
        <w:t xml:space="preserve"> </w:t>
      </w:r>
      <w:proofErr w:type="spellStart"/>
      <w:r w:rsidRPr="00EF5B7D">
        <w:rPr>
          <w:rFonts w:ascii="Times New Roman" w:eastAsia="Times New Roman" w:hAnsi="Times New Roman" w:cs="Times New Roman"/>
          <w:i/>
          <w:iCs/>
          <w:lang w:val="pt-PT"/>
        </w:rPr>
        <w:t>Education</w:t>
      </w:r>
      <w:proofErr w:type="spellEnd"/>
      <w:r w:rsidRPr="00EF5B7D">
        <w:rPr>
          <w:rFonts w:ascii="Times New Roman" w:eastAsia="Times New Roman" w:hAnsi="Times New Roman" w:cs="Times New Roman"/>
          <w:lang w:val="pt-PT"/>
        </w:rPr>
        <w:t xml:space="preserve"> (Vol. 3, pp. 41–47). PME.</w:t>
      </w:r>
    </w:p>
    <w:p w14:paraId="71DA56B6" w14:textId="77777777" w:rsidR="0037102A" w:rsidRPr="00EF5B7D" w:rsidRDefault="00000000">
      <w:pPr>
        <w:spacing w:line="240" w:lineRule="auto"/>
        <w:jc w:val="both"/>
        <w:rPr>
          <w:rFonts w:ascii="Times New Roman" w:eastAsia="Times New Roman" w:hAnsi="Times New Roman" w:cs="Times New Roman"/>
          <w:lang w:val="pt-PT"/>
        </w:rPr>
      </w:pPr>
      <w:proofErr w:type="spellStart"/>
      <w:r w:rsidRPr="00EF5B7D">
        <w:rPr>
          <w:rFonts w:ascii="Times New Roman" w:eastAsia="Times New Roman" w:hAnsi="Times New Roman" w:cs="Times New Roman"/>
          <w:lang w:val="pt-PT"/>
        </w:rPr>
        <w:t>Jaworski</w:t>
      </w:r>
      <w:proofErr w:type="spellEnd"/>
      <w:r w:rsidRPr="00EF5B7D">
        <w:rPr>
          <w:rFonts w:ascii="Times New Roman" w:eastAsia="Times New Roman" w:hAnsi="Times New Roman" w:cs="Times New Roman"/>
          <w:lang w:val="pt-PT"/>
        </w:rPr>
        <w:t xml:space="preserve">, B. (2003). Research </w:t>
      </w:r>
      <w:proofErr w:type="spellStart"/>
      <w:r w:rsidRPr="00EF5B7D">
        <w:rPr>
          <w:rFonts w:ascii="Times New Roman" w:eastAsia="Times New Roman" w:hAnsi="Times New Roman" w:cs="Times New Roman"/>
          <w:lang w:val="pt-PT"/>
        </w:rPr>
        <w:t>practice</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into</w:t>
      </w:r>
      <w:proofErr w:type="spellEnd"/>
      <w:r w:rsidRPr="00EF5B7D">
        <w:rPr>
          <w:rFonts w:ascii="Times New Roman" w:eastAsia="Times New Roman" w:hAnsi="Times New Roman" w:cs="Times New Roman"/>
          <w:lang w:val="pt-PT"/>
        </w:rPr>
        <w:t>/</w:t>
      </w:r>
      <w:proofErr w:type="spellStart"/>
      <w:r w:rsidRPr="00EF5B7D">
        <w:rPr>
          <w:rFonts w:ascii="Times New Roman" w:eastAsia="Times New Roman" w:hAnsi="Times New Roman" w:cs="Times New Roman"/>
          <w:lang w:val="pt-PT"/>
        </w:rPr>
        <w:t>influencing</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mathematics</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teaching</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and</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learning</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development</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Towards</w:t>
      </w:r>
      <w:proofErr w:type="spellEnd"/>
      <w:r w:rsidRPr="00EF5B7D">
        <w:rPr>
          <w:rFonts w:ascii="Times New Roman" w:eastAsia="Times New Roman" w:hAnsi="Times New Roman" w:cs="Times New Roman"/>
          <w:lang w:val="pt-PT"/>
        </w:rPr>
        <w:t xml:space="preserve"> a </w:t>
      </w:r>
      <w:proofErr w:type="spellStart"/>
      <w:r w:rsidRPr="00EF5B7D">
        <w:rPr>
          <w:rFonts w:ascii="Times New Roman" w:eastAsia="Times New Roman" w:hAnsi="Times New Roman" w:cs="Times New Roman"/>
          <w:lang w:val="pt-PT"/>
        </w:rPr>
        <w:t>theoretical</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framework</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based</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on</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co-learning</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partnerships</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i/>
          <w:iCs/>
          <w:lang w:val="pt-PT"/>
        </w:rPr>
        <w:t>Educational</w:t>
      </w:r>
      <w:proofErr w:type="spellEnd"/>
      <w:r w:rsidRPr="00EF5B7D">
        <w:rPr>
          <w:rFonts w:ascii="Times New Roman" w:eastAsia="Times New Roman" w:hAnsi="Times New Roman" w:cs="Times New Roman"/>
          <w:i/>
          <w:iCs/>
          <w:lang w:val="pt-PT"/>
        </w:rPr>
        <w:t xml:space="preserve"> </w:t>
      </w:r>
      <w:proofErr w:type="spellStart"/>
      <w:r w:rsidRPr="00EF5B7D">
        <w:rPr>
          <w:rFonts w:ascii="Times New Roman" w:eastAsia="Times New Roman" w:hAnsi="Times New Roman" w:cs="Times New Roman"/>
          <w:i/>
          <w:iCs/>
          <w:lang w:val="pt-PT"/>
        </w:rPr>
        <w:t>Studies</w:t>
      </w:r>
      <w:proofErr w:type="spellEnd"/>
      <w:r w:rsidRPr="00EF5B7D">
        <w:rPr>
          <w:rFonts w:ascii="Times New Roman" w:eastAsia="Times New Roman" w:hAnsi="Times New Roman" w:cs="Times New Roman"/>
          <w:i/>
          <w:iCs/>
          <w:lang w:val="pt-PT"/>
        </w:rPr>
        <w:t xml:space="preserve"> in </w:t>
      </w:r>
      <w:proofErr w:type="spellStart"/>
      <w:r w:rsidRPr="00EF5B7D">
        <w:rPr>
          <w:rFonts w:ascii="Times New Roman" w:eastAsia="Times New Roman" w:hAnsi="Times New Roman" w:cs="Times New Roman"/>
          <w:i/>
          <w:iCs/>
          <w:lang w:val="pt-PT"/>
        </w:rPr>
        <w:t>Mathematics</w:t>
      </w:r>
      <w:proofErr w:type="spellEnd"/>
      <w:r w:rsidRPr="00EF5B7D">
        <w:rPr>
          <w:rFonts w:ascii="Times New Roman" w:eastAsia="Times New Roman" w:hAnsi="Times New Roman" w:cs="Times New Roman"/>
          <w:i/>
          <w:iCs/>
          <w:lang w:val="pt-PT"/>
        </w:rPr>
        <w:t>, 54</w:t>
      </w:r>
      <w:r w:rsidRPr="00EF5B7D">
        <w:rPr>
          <w:rFonts w:ascii="Times New Roman" w:eastAsia="Times New Roman" w:hAnsi="Times New Roman" w:cs="Times New Roman"/>
          <w:lang w:val="pt-PT"/>
        </w:rPr>
        <w:t>, 249–282.</w:t>
      </w:r>
    </w:p>
    <w:p w14:paraId="603D6FCA" w14:textId="77777777" w:rsidR="0037102A" w:rsidRDefault="00000000">
      <w:pPr>
        <w:spacing w:line="240" w:lineRule="auto"/>
        <w:jc w:val="both"/>
        <w:rPr>
          <w:rFonts w:ascii="Times New Roman" w:eastAsia="Times New Roman" w:hAnsi="Times New Roman" w:cs="Times New Roman"/>
        </w:rPr>
      </w:pPr>
      <w:proofErr w:type="spellStart"/>
      <w:r w:rsidRPr="00EF5B7D">
        <w:rPr>
          <w:rFonts w:ascii="Times New Roman" w:eastAsia="Times New Roman" w:hAnsi="Times New Roman" w:cs="Times New Roman"/>
          <w:lang w:val="pt-PT"/>
        </w:rPr>
        <w:t>Jaworski</w:t>
      </w:r>
      <w:proofErr w:type="spellEnd"/>
      <w:r w:rsidRPr="00EF5B7D">
        <w:rPr>
          <w:rFonts w:ascii="Times New Roman" w:eastAsia="Times New Roman" w:hAnsi="Times New Roman" w:cs="Times New Roman"/>
          <w:lang w:val="pt-PT"/>
        </w:rPr>
        <w:t xml:space="preserve">, B. (2008). </w:t>
      </w:r>
      <w:proofErr w:type="spellStart"/>
      <w:r w:rsidRPr="00EF5B7D">
        <w:rPr>
          <w:rFonts w:ascii="Times New Roman" w:eastAsia="Times New Roman" w:hAnsi="Times New Roman" w:cs="Times New Roman"/>
          <w:lang w:val="pt-PT"/>
        </w:rPr>
        <w:t>Building</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and</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sustaining</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inquiry</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communities</w:t>
      </w:r>
      <w:proofErr w:type="spellEnd"/>
      <w:r w:rsidRPr="00EF5B7D">
        <w:rPr>
          <w:rFonts w:ascii="Times New Roman" w:eastAsia="Times New Roman" w:hAnsi="Times New Roman" w:cs="Times New Roman"/>
          <w:lang w:val="pt-PT"/>
        </w:rPr>
        <w:t xml:space="preserve"> in </w:t>
      </w:r>
      <w:proofErr w:type="spellStart"/>
      <w:r w:rsidRPr="00EF5B7D">
        <w:rPr>
          <w:rFonts w:ascii="Times New Roman" w:eastAsia="Times New Roman" w:hAnsi="Times New Roman" w:cs="Times New Roman"/>
          <w:lang w:val="pt-PT"/>
        </w:rPr>
        <w:t>mathematics</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teaching</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development</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Teachers</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and</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didacticians</w:t>
      </w:r>
      <w:proofErr w:type="spellEnd"/>
      <w:r w:rsidRPr="00EF5B7D">
        <w:rPr>
          <w:rFonts w:ascii="Times New Roman" w:eastAsia="Times New Roman" w:hAnsi="Times New Roman" w:cs="Times New Roman"/>
          <w:lang w:val="pt-PT"/>
        </w:rPr>
        <w:t xml:space="preserve"> in </w:t>
      </w:r>
      <w:proofErr w:type="spellStart"/>
      <w:r w:rsidRPr="00EF5B7D">
        <w:rPr>
          <w:rFonts w:ascii="Times New Roman" w:eastAsia="Times New Roman" w:hAnsi="Times New Roman" w:cs="Times New Roman"/>
          <w:lang w:val="pt-PT"/>
        </w:rPr>
        <w:t>collaboration</w:t>
      </w:r>
      <w:proofErr w:type="spellEnd"/>
      <w:r w:rsidRPr="00EF5B7D">
        <w:rPr>
          <w:rFonts w:ascii="Times New Roman" w:eastAsia="Times New Roman" w:hAnsi="Times New Roman" w:cs="Times New Roman"/>
          <w:lang w:val="pt-PT"/>
        </w:rPr>
        <w:t xml:space="preserve">. </w:t>
      </w:r>
      <w:proofErr w:type="spellStart"/>
      <w:r w:rsidRPr="00EF5B7D">
        <w:rPr>
          <w:rFonts w:ascii="Times New Roman" w:eastAsia="Times New Roman" w:hAnsi="Times New Roman" w:cs="Times New Roman"/>
          <w:lang w:val="pt-PT"/>
        </w:rPr>
        <w:t>En</w:t>
      </w:r>
      <w:proofErr w:type="spellEnd"/>
      <w:r w:rsidRPr="00EF5B7D">
        <w:rPr>
          <w:rFonts w:ascii="Times New Roman" w:eastAsia="Times New Roman" w:hAnsi="Times New Roman" w:cs="Times New Roman"/>
          <w:lang w:val="pt-PT"/>
        </w:rPr>
        <w:t xml:space="preserve"> K. </w:t>
      </w:r>
      <w:proofErr w:type="spellStart"/>
      <w:r w:rsidRPr="00EF5B7D">
        <w:rPr>
          <w:rFonts w:ascii="Times New Roman" w:eastAsia="Times New Roman" w:hAnsi="Times New Roman" w:cs="Times New Roman"/>
          <w:lang w:val="pt-PT"/>
        </w:rPr>
        <w:t>Krainer</w:t>
      </w:r>
      <w:proofErr w:type="spellEnd"/>
      <w:r w:rsidRPr="00EF5B7D">
        <w:rPr>
          <w:rFonts w:ascii="Times New Roman" w:eastAsia="Times New Roman" w:hAnsi="Times New Roman" w:cs="Times New Roman"/>
          <w:lang w:val="pt-PT"/>
        </w:rPr>
        <w:t xml:space="preserve"> &amp; T. </w:t>
      </w:r>
      <w:proofErr w:type="spellStart"/>
      <w:r w:rsidRPr="00EF5B7D">
        <w:rPr>
          <w:rFonts w:ascii="Times New Roman" w:eastAsia="Times New Roman" w:hAnsi="Times New Roman" w:cs="Times New Roman"/>
          <w:lang w:val="pt-PT"/>
        </w:rPr>
        <w:t>Wood</w:t>
      </w:r>
      <w:proofErr w:type="spellEnd"/>
      <w:r w:rsidRPr="00EF5B7D">
        <w:rPr>
          <w:rFonts w:ascii="Times New Roman" w:eastAsia="Times New Roman" w:hAnsi="Times New Roman" w:cs="Times New Roman"/>
          <w:lang w:val="pt-PT"/>
        </w:rPr>
        <w:t xml:space="preserve"> (Eds.), </w:t>
      </w:r>
      <w:proofErr w:type="spellStart"/>
      <w:r w:rsidRPr="00EF5B7D">
        <w:rPr>
          <w:rFonts w:ascii="Times New Roman" w:eastAsia="Times New Roman" w:hAnsi="Times New Roman" w:cs="Times New Roman"/>
          <w:i/>
          <w:iCs/>
          <w:lang w:val="pt-PT"/>
        </w:rPr>
        <w:t>The</w:t>
      </w:r>
      <w:proofErr w:type="spellEnd"/>
      <w:r w:rsidRPr="00EF5B7D">
        <w:rPr>
          <w:rFonts w:ascii="Times New Roman" w:eastAsia="Times New Roman" w:hAnsi="Times New Roman" w:cs="Times New Roman"/>
          <w:i/>
          <w:iCs/>
          <w:lang w:val="pt-PT"/>
        </w:rPr>
        <w:t xml:space="preserve"> </w:t>
      </w:r>
      <w:proofErr w:type="spellStart"/>
      <w:r w:rsidRPr="00EF5B7D">
        <w:rPr>
          <w:rFonts w:ascii="Times New Roman" w:eastAsia="Times New Roman" w:hAnsi="Times New Roman" w:cs="Times New Roman"/>
          <w:i/>
          <w:iCs/>
          <w:lang w:val="pt-PT"/>
        </w:rPr>
        <w:t>mathematics</w:t>
      </w:r>
      <w:proofErr w:type="spellEnd"/>
      <w:r w:rsidRPr="00EF5B7D">
        <w:rPr>
          <w:rFonts w:ascii="Times New Roman" w:eastAsia="Times New Roman" w:hAnsi="Times New Roman" w:cs="Times New Roman"/>
          <w:i/>
          <w:iCs/>
          <w:lang w:val="pt-PT"/>
        </w:rPr>
        <w:t xml:space="preserve"> </w:t>
      </w:r>
      <w:proofErr w:type="spellStart"/>
      <w:r w:rsidRPr="00EF5B7D">
        <w:rPr>
          <w:rFonts w:ascii="Times New Roman" w:eastAsia="Times New Roman" w:hAnsi="Times New Roman" w:cs="Times New Roman"/>
          <w:i/>
          <w:iCs/>
          <w:lang w:val="pt-PT"/>
        </w:rPr>
        <w:t>teacher</w:t>
      </w:r>
      <w:proofErr w:type="spellEnd"/>
      <w:r w:rsidRPr="00EF5B7D">
        <w:rPr>
          <w:rFonts w:ascii="Times New Roman" w:eastAsia="Times New Roman" w:hAnsi="Times New Roman" w:cs="Times New Roman"/>
          <w:i/>
          <w:iCs/>
          <w:lang w:val="pt-PT"/>
        </w:rPr>
        <w:t xml:space="preserve"> </w:t>
      </w:r>
      <w:proofErr w:type="spellStart"/>
      <w:r w:rsidRPr="00EF5B7D">
        <w:rPr>
          <w:rFonts w:ascii="Times New Roman" w:eastAsia="Times New Roman" w:hAnsi="Times New Roman" w:cs="Times New Roman"/>
          <w:i/>
          <w:iCs/>
          <w:lang w:val="pt-PT"/>
        </w:rPr>
        <w:t>educator</w:t>
      </w:r>
      <w:proofErr w:type="spellEnd"/>
      <w:r w:rsidRPr="00EF5B7D">
        <w:rPr>
          <w:rFonts w:ascii="Times New Roman" w:eastAsia="Times New Roman" w:hAnsi="Times New Roman" w:cs="Times New Roman"/>
          <w:i/>
          <w:iCs/>
          <w:lang w:val="pt-PT"/>
        </w:rPr>
        <w:t xml:space="preserve"> as a </w:t>
      </w:r>
      <w:proofErr w:type="spellStart"/>
      <w:r w:rsidRPr="00EF5B7D">
        <w:rPr>
          <w:rFonts w:ascii="Times New Roman" w:eastAsia="Times New Roman" w:hAnsi="Times New Roman" w:cs="Times New Roman"/>
          <w:i/>
          <w:iCs/>
          <w:lang w:val="pt-PT"/>
        </w:rPr>
        <w:t>developing</w:t>
      </w:r>
      <w:proofErr w:type="spellEnd"/>
      <w:r w:rsidRPr="00EF5B7D">
        <w:rPr>
          <w:rFonts w:ascii="Times New Roman" w:eastAsia="Times New Roman" w:hAnsi="Times New Roman" w:cs="Times New Roman"/>
          <w:i/>
          <w:iCs/>
          <w:lang w:val="pt-PT"/>
        </w:rPr>
        <w:t xml:space="preserve"> </w:t>
      </w:r>
      <w:proofErr w:type="spellStart"/>
      <w:r w:rsidRPr="00EF5B7D">
        <w:rPr>
          <w:rFonts w:ascii="Times New Roman" w:eastAsia="Times New Roman" w:hAnsi="Times New Roman" w:cs="Times New Roman"/>
          <w:i/>
          <w:iCs/>
          <w:lang w:val="pt-PT"/>
        </w:rPr>
        <w:t>professional</w:t>
      </w:r>
      <w:proofErr w:type="spellEnd"/>
      <w:r w:rsidRPr="00EF5B7D">
        <w:rPr>
          <w:rFonts w:ascii="Times New Roman" w:eastAsia="Times New Roman" w:hAnsi="Times New Roman" w:cs="Times New Roman"/>
          <w:lang w:val="pt-PT"/>
        </w:rPr>
        <w:t xml:space="preserve"> (Vol. 3, pp. 335–361). </w:t>
      </w:r>
      <w:r>
        <w:rPr>
          <w:rFonts w:ascii="Times New Roman" w:eastAsia="Times New Roman" w:hAnsi="Times New Roman" w:cs="Times New Roman"/>
        </w:rPr>
        <w:t xml:space="preserve">Sense </w:t>
      </w:r>
      <w:proofErr w:type="spellStart"/>
      <w:r>
        <w:rPr>
          <w:rFonts w:ascii="Times New Roman" w:eastAsia="Times New Roman" w:hAnsi="Times New Roman" w:cs="Times New Roman"/>
        </w:rPr>
        <w:t>Publishers</w:t>
      </w:r>
      <w:proofErr w:type="spellEnd"/>
      <w:r>
        <w:rPr>
          <w:rFonts w:ascii="Times New Roman" w:eastAsia="Times New Roman" w:hAnsi="Times New Roman" w:cs="Times New Roman"/>
        </w:rPr>
        <w:t>.</w:t>
      </w:r>
    </w:p>
    <w:p w14:paraId="2FF672F9"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Lave, J., &amp; Wenger, E. (1991). </w:t>
      </w:r>
      <w:proofErr w:type="spellStart"/>
      <w:r>
        <w:rPr>
          <w:rFonts w:ascii="Times New Roman" w:eastAsia="Times New Roman" w:hAnsi="Times New Roman" w:cs="Times New Roman"/>
          <w:i/>
          <w:iCs/>
        </w:rPr>
        <w:t>Situated</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learning</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Legitimate</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peripheral</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participation</w:t>
      </w:r>
      <w:proofErr w:type="spellEnd"/>
      <w:r>
        <w:rPr>
          <w:rFonts w:ascii="Times New Roman" w:eastAsia="Times New Roman" w:hAnsi="Times New Roman" w:cs="Times New Roman"/>
          <w:i/>
          <w:iCs/>
        </w:rPr>
        <w:t>.</w:t>
      </w:r>
      <w:r>
        <w:rPr>
          <w:rFonts w:ascii="Times New Roman" w:eastAsia="Times New Roman" w:hAnsi="Times New Roman" w:cs="Times New Roman"/>
        </w:rPr>
        <w:t xml:space="preserve"> Cambridge </w:t>
      </w:r>
      <w:proofErr w:type="spellStart"/>
      <w:r>
        <w:rPr>
          <w:rFonts w:ascii="Times New Roman" w:eastAsia="Times New Roman" w:hAnsi="Times New Roman" w:cs="Times New Roman"/>
        </w:rPr>
        <w:t>University</w:t>
      </w:r>
      <w:proofErr w:type="spellEnd"/>
      <w:r>
        <w:rPr>
          <w:rFonts w:ascii="Times New Roman" w:eastAsia="Times New Roman" w:hAnsi="Times New Roman" w:cs="Times New Roman"/>
        </w:rPr>
        <w:t xml:space="preserve"> Press.</w:t>
      </w:r>
    </w:p>
    <w:p w14:paraId="1CA58517"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Ponce, H. (2024). Sobre la noción de confianza en un espacio de trabajo compartido por docentes e investigadores, en el marco de un estudio colaborativo. </w:t>
      </w:r>
      <w:r>
        <w:rPr>
          <w:rFonts w:ascii="Times New Roman" w:eastAsia="Times New Roman" w:hAnsi="Times New Roman" w:cs="Times New Roman"/>
          <w:i/>
          <w:iCs/>
        </w:rPr>
        <w:t>Análisis de las Prácticas, 3</w:t>
      </w:r>
      <w:r>
        <w:rPr>
          <w:rFonts w:ascii="Times New Roman" w:eastAsia="Times New Roman" w:hAnsi="Times New Roman" w:cs="Times New Roman"/>
        </w:rPr>
        <w:t>, 61–82.</w:t>
      </w:r>
    </w:p>
    <w:p w14:paraId="14EF738A" w14:textId="77777777" w:rsidR="0037102A"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Sadovsky, P. (2005). La Teoría de Situaciones Didácticas: Un marco para pensar y actuar la enseñanza de la matemática. En H. Alagia, A. Bressan, &amp; P. Sadovsky, </w:t>
      </w:r>
      <w:r>
        <w:rPr>
          <w:rFonts w:ascii="Times New Roman" w:eastAsia="Times New Roman" w:hAnsi="Times New Roman" w:cs="Times New Roman"/>
          <w:i/>
          <w:iCs/>
        </w:rPr>
        <w:t>Reflexiones teóricas para la Educación Matemática</w:t>
      </w:r>
      <w:r>
        <w:rPr>
          <w:rFonts w:ascii="Times New Roman" w:eastAsia="Times New Roman" w:hAnsi="Times New Roman" w:cs="Times New Roman"/>
        </w:rPr>
        <w:t xml:space="preserve"> (pp. 13–68). Libros del Zorzal.</w:t>
      </w:r>
    </w:p>
    <w:p w14:paraId="413020BE" w14:textId="77777777" w:rsidR="0037102A" w:rsidRDefault="00000000">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Saujat</w:t>
      </w:r>
      <w:proofErr w:type="spellEnd"/>
      <w:r>
        <w:rPr>
          <w:rFonts w:ascii="Times New Roman" w:eastAsia="Times New Roman" w:hAnsi="Times New Roman" w:cs="Times New Roman"/>
        </w:rPr>
        <w:t xml:space="preserve">, F. (2021). Función y usos de la instrucción </w:t>
      </w:r>
      <w:proofErr w:type="gramStart"/>
      <w:r>
        <w:rPr>
          <w:rFonts w:ascii="Times New Roman" w:eastAsia="Times New Roman" w:hAnsi="Times New Roman" w:cs="Times New Roman"/>
        </w:rPr>
        <w:t>al sosías</w:t>
      </w:r>
      <w:proofErr w:type="gramEnd"/>
      <w:r>
        <w:rPr>
          <w:rFonts w:ascii="Times New Roman" w:eastAsia="Times New Roman" w:hAnsi="Times New Roman" w:cs="Times New Roman"/>
        </w:rPr>
        <w:t xml:space="preserve"> en la formación inicial. En A. Pereyra &amp; L. Calderón. (</w:t>
      </w:r>
      <w:proofErr w:type="spellStart"/>
      <w:r>
        <w:rPr>
          <w:rFonts w:ascii="Times New Roman" w:eastAsia="Times New Roman" w:hAnsi="Times New Roman" w:cs="Times New Roman"/>
        </w:rPr>
        <w:t>comps</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Didáctica profesional y trabajo docente. Aportes teóricos para su análisis en la formación.</w:t>
      </w:r>
      <w:r>
        <w:rPr>
          <w:rFonts w:ascii="Times New Roman" w:eastAsia="Times New Roman" w:hAnsi="Times New Roman" w:cs="Times New Roman"/>
        </w:rPr>
        <w:t xml:space="preserve"> (E. Muñoz de Corrales, Trad., pp. 501-512). UNIPE: Editorial Universitaria. </w:t>
      </w:r>
      <w:hyperlink r:id="rId13">
        <w:r>
          <w:rPr>
            <w:rFonts w:ascii="Times New Roman" w:eastAsia="Times New Roman" w:hAnsi="Times New Roman" w:cs="Times New Roman"/>
            <w:color w:val="1155CC"/>
            <w:u w:val="single"/>
          </w:rPr>
          <w:t>https://editorial.unipe.edu.ar/colecciones/investigaciones/did%C3%A1ctica-profesional-y-trabajo-docente-aportes-te%C3%B3ricos-para-su-an%C3%A1lisis-en-la-formaci%C3%B3n-detail</w:t>
        </w:r>
      </w:hyperlink>
    </w:p>
    <w:p w14:paraId="6E64E7EC" w14:textId="77777777" w:rsidR="0037102A" w:rsidRPr="00EF5B7D" w:rsidRDefault="00000000">
      <w:pPr>
        <w:spacing w:line="240" w:lineRule="auto"/>
        <w:jc w:val="both"/>
        <w:rPr>
          <w:rFonts w:ascii="Times New Roman" w:eastAsia="Times New Roman" w:hAnsi="Times New Roman" w:cs="Times New Roman"/>
          <w:lang w:val="it-IT"/>
        </w:rPr>
      </w:pPr>
      <w:r w:rsidRPr="00EF5B7D">
        <w:rPr>
          <w:rFonts w:ascii="Times New Roman" w:eastAsia="Times New Roman" w:hAnsi="Times New Roman" w:cs="Times New Roman"/>
          <w:lang w:val="it-IT"/>
        </w:rPr>
        <w:t xml:space="preserve">Wenger, E. (1998). </w:t>
      </w:r>
      <w:r w:rsidRPr="00EF5B7D">
        <w:rPr>
          <w:rFonts w:ascii="Times New Roman" w:eastAsia="Times New Roman" w:hAnsi="Times New Roman" w:cs="Times New Roman"/>
          <w:i/>
          <w:iCs/>
          <w:lang w:val="it-IT"/>
        </w:rPr>
        <w:t xml:space="preserve">Communities of practice: Learning, </w:t>
      </w:r>
      <w:proofErr w:type="spellStart"/>
      <w:r w:rsidRPr="00EF5B7D">
        <w:rPr>
          <w:rFonts w:ascii="Times New Roman" w:eastAsia="Times New Roman" w:hAnsi="Times New Roman" w:cs="Times New Roman"/>
          <w:i/>
          <w:iCs/>
          <w:lang w:val="it-IT"/>
        </w:rPr>
        <w:t>meaning</w:t>
      </w:r>
      <w:proofErr w:type="spellEnd"/>
      <w:r w:rsidRPr="00EF5B7D">
        <w:rPr>
          <w:rFonts w:ascii="Times New Roman" w:eastAsia="Times New Roman" w:hAnsi="Times New Roman" w:cs="Times New Roman"/>
          <w:i/>
          <w:iCs/>
          <w:lang w:val="it-IT"/>
        </w:rPr>
        <w:t xml:space="preserve">, and </w:t>
      </w:r>
      <w:proofErr w:type="spellStart"/>
      <w:r w:rsidRPr="00EF5B7D">
        <w:rPr>
          <w:rFonts w:ascii="Times New Roman" w:eastAsia="Times New Roman" w:hAnsi="Times New Roman" w:cs="Times New Roman"/>
          <w:i/>
          <w:iCs/>
          <w:lang w:val="it-IT"/>
        </w:rPr>
        <w:t>identity</w:t>
      </w:r>
      <w:proofErr w:type="spellEnd"/>
      <w:r w:rsidRPr="00EF5B7D">
        <w:rPr>
          <w:rFonts w:ascii="Times New Roman" w:eastAsia="Times New Roman" w:hAnsi="Times New Roman" w:cs="Times New Roman"/>
          <w:i/>
          <w:iCs/>
          <w:lang w:val="it-IT"/>
        </w:rPr>
        <w:t>.</w:t>
      </w:r>
      <w:r w:rsidRPr="00EF5B7D">
        <w:rPr>
          <w:rFonts w:ascii="Times New Roman" w:eastAsia="Times New Roman" w:hAnsi="Times New Roman" w:cs="Times New Roman"/>
          <w:lang w:val="it-IT"/>
        </w:rPr>
        <w:t xml:space="preserve"> Cambridge University Press.</w:t>
      </w:r>
    </w:p>
    <w:p w14:paraId="30222CD7" w14:textId="77777777" w:rsidR="0037102A" w:rsidRDefault="00000000">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Zask</w:t>
      </w:r>
      <w:proofErr w:type="spellEnd"/>
      <w:r>
        <w:rPr>
          <w:rFonts w:ascii="Times New Roman" w:eastAsia="Times New Roman" w:hAnsi="Times New Roman" w:cs="Times New Roman"/>
        </w:rPr>
        <w:t xml:space="preserve">, J. (2011). </w:t>
      </w:r>
      <w:proofErr w:type="spellStart"/>
      <w:r>
        <w:rPr>
          <w:rFonts w:ascii="Times New Roman" w:eastAsia="Times New Roman" w:hAnsi="Times New Roman" w:cs="Times New Roman"/>
          <w:i/>
          <w:iCs/>
        </w:rPr>
        <w:t>Participer</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Essai</w:t>
      </w:r>
      <w:proofErr w:type="spellEnd"/>
      <w:r>
        <w:rPr>
          <w:rFonts w:ascii="Times New Roman" w:eastAsia="Times New Roman" w:hAnsi="Times New Roman" w:cs="Times New Roman"/>
          <w:i/>
          <w:iCs/>
        </w:rPr>
        <w:t xml:space="preserve"> sur les formes </w:t>
      </w:r>
      <w:proofErr w:type="spellStart"/>
      <w:r>
        <w:rPr>
          <w:rFonts w:ascii="Times New Roman" w:eastAsia="Times New Roman" w:hAnsi="Times New Roman" w:cs="Times New Roman"/>
          <w:i/>
          <w:iCs/>
        </w:rPr>
        <w:t>démocratiques</w:t>
      </w:r>
      <w:proofErr w:type="spellEnd"/>
      <w:r>
        <w:rPr>
          <w:rFonts w:ascii="Times New Roman" w:eastAsia="Times New Roman" w:hAnsi="Times New Roman" w:cs="Times New Roman"/>
          <w:i/>
          <w:iCs/>
        </w:rPr>
        <w:t xml:space="preserve"> de la </w:t>
      </w:r>
      <w:proofErr w:type="spellStart"/>
      <w:r>
        <w:rPr>
          <w:rFonts w:ascii="Times New Roman" w:eastAsia="Times New Roman" w:hAnsi="Times New Roman" w:cs="Times New Roman"/>
          <w:i/>
          <w:iCs/>
        </w:rPr>
        <w:t>participation</w:t>
      </w:r>
      <w:proofErr w:type="spellEnd"/>
      <w:r>
        <w:rPr>
          <w:rFonts w:ascii="Times New Roman" w:eastAsia="Times New Roman" w:hAnsi="Times New Roman" w:cs="Times New Roman"/>
          <w:i/>
          <w:iCs/>
        </w:rPr>
        <w:t>.</w:t>
      </w:r>
      <w:r>
        <w:rPr>
          <w:rFonts w:ascii="Times New Roman" w:eastAsia="Times New Roman" w:hAnsi="Times New Roman" w:cs="Times New Roman"/>
        </w:rPr>
        <w:t xml:space="preserve"> Le Bord de </w:t>
      </w:r>
      <w:proofErr w:type="spellStart"/>
      <w:r>
        <w:rPr>
          <w:rFonts w:ascii="Times New Roman" w:eastAsia="Times New Roman" w:hAnsi="Times New Roman" w:cs="Times New Roman"/>
        </w:rPr>
        <w:t>l’Eau</w:t>
      </w:r>
      <w:proofErr w:type="spellEnd"/>
      <w:r>
        <w:rPr>
          <w:rFonts w:ascii="Times New Roman" w:eastAsia="Times New Roman" w:hAnsi="Times New Roman" w:cs="Times New Roman"/>
        </w:rPr>
        <w:t>.</w:t>
      </w:r>
    </w:p>
    <w:sectPr w:rsidR="0037102A">
      <w:headerReference w:type="default" r:id="rId14"/>
      <w:footerReference w:type="default" r:id="rId15"/>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79632" w14:textId="77777777" w:rsidR="00CB3D5F" w:rsidRDefault="00CB3D5F">
      <w:pPr>
        <w:spacing w:after="0" w:line="240" w:lineRule="auto"/>
      </w:pPr>
      <w:r>
        <w:separator/>
      </w:r>
    </w:p>
  </w:endnote>
  <w:endnote w:type="continuationSeparator" w:id="0">
    <w:p w14:paraId="102F6108" w14:textId="77777777" w:rsidR="00CB3D5F" w:rsidRDefault="00CB3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54D1EE35-B9C3-446E-8318-A5A6C081B1E6}"/>
    <w:embedItalic r:id="rId2" w:fontKey="{73271BCC-FDAD-4D88-A90A-A1E56B37339F}"/>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DC51F22C-865F-4DF1-94AE-368CC56A11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AF6C" w14:textId="77777777" w:rsidR="0037102A"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3ACFB05E" wp14:editId="4CADC7C9">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31B87EA1" w14:textId="77777777" w:rsidR="0037102A" w:rsidRDefault="0037102A">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F842B" w14:textId="77777777" w:rsidR="00CB3D5F" w:rsidRDefault="00CB3D5F">
      <w:pPr>
        <w:spacing w:after="0" w:line="240" w:lineRule="auto"/>
      </w:pPr>
      <w:r>
        <w:separator/>
      </w:r>
    </w:p>
  </w:footnote>
  <w:footnote w:type="continuationSeparator" w:id="0">
    <w:p w14:paraId="0833AE17" w14:textId="77777777" w:rsidR="00CB3D5F" w:rsidRDefault="00CB3D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9E03F" w14:textId="77777777" w:rsidR="0037102A"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0039004A" wp14:editId="25CCBF32">
          <wp:extent cx="2617939" cy="10913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02A"/>
    <w:rsid w:val="0037102A"/>
    <w:rsid w:val="004A613A"/>
    <w:rsid w:val="00CB3D5F"/>
    <w:rsid w:val="00EF5B7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298D5"/>
  <w15:docId w15:val="{781C8F54-735F-4D3E-970D-BD5A1CAC4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419" w:eastAsia="es-A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unhideWhenUsed/>
    <w:qFormat/>
    <w:pPr>
      <w:keepNext/>
      <w:keepLines/>
      <w:spacing w:before="160" w:after="80"/>
      <w:outlineLvl w:val="1"/>
    </w:pPr>
    <w:rPr>
      <w:color w:val="2F5496"/>
      <w:sz w:val="32"/>
      <w:szCs w:val="32"/>
    </w:rPr>
  </w:style>
  <w:style w:type="paragraph" w:styleId="Ttulo3">
    <w:name w:val="heading 3"/>
    <w:basedOn w:val="Normal"/>
    <w:next w:val="Normal"/>
    <w:uiPriority w:val="9"/>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biangomezpascual@ccpems.exctas.uba.ar" TargetMode="External"/><Relationship Id="rId13" Type="http://schemas.openxmlformats.org/officeDocument/2006/relationships/hyperlink" Target="https://editorial.unipe.edu.ar/colecciones/investigaciones/did%C3%A1ctica-profesional-y-trabajo-docente-aportes-te%C3%B3ricos-para-su-an%C3%A1lisis-en-la-formaci%C3%B3n-detail" TargetMode="External"/><Relationship Id="rId3" Type="http://schemas.openxmlformats.org/officeDocument/2006/relationships/settings" Target="settings.xml"/><Relationship Id="rId7" Type="http://schemas.openxmlformats.org/officeDocument/2006/relationships/hyperlink" Target="mailto:fjbifano@ccpems.exactas.uba.ar" TargetMode="External"/><Relationship Id="rId12" Type="http://schemas.openxmlformats.org/officeDocument/2006/relationships/hyperlink" Target="https://www.unionmatematica.org.ar/comunicaciones/files/2024/confirmed/INVESTIGACION-00418-Bifano.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rdi.uncoma.edu.ar/handle/uncomaid/1865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hdl.handle.net/2133/31023" TargetMode="External"/><Relationship Id="rId4" Type="http://schemas.openxmlformats.org/officeDocument/2006/relationships/webSettings" Target="webSettings.xml"/><Relationship Id="rId9" Type="http://schemas.openxmlformats.org/officeDocument/2006/relationships/hyperlink" Target="mailto:polo.tamara@gmail.com"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MuIZSdtzmOEzFZGxCV6XTCAErQ==">CgMxLjAaHwoBMBIaChgICVIUChJ0YWJsZS4xMnBqMWJ2czc1bHkyDmguYnliZmRlYmJ6Z2prMg5oLjkxb3Nwdm9leTZlaTgAciExNkpyRWZvbWVEdVQzNHRtT00tU1g3VkxhMXpOTVN6bzI=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5575</Words>
  <Characters>32062</Characters>
  <Application>Microsoft Office Word</Application>
  <DocSecurity>0</DocSecurity>
  <Lines>525</Lines>
  <Paragraphs>129</Paragraphs>
  <ScaleCrop>false</ScaleCrop>
  <Company/>
  <LinksUpToDate>false</LinksUpToDate>
  <CharactersWithSpaces>37508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Fernando Bifano</cp:lastModifiedBy>
  <cp:revision>3</cp:revision>
  <dcterms:created xsi:type="dcterms:W3CDTF">2026-07-12T20:59:00Z</dcterms:created>
  <dcterms:modified xsi:type="dcterms:W3CDTF">2026-07-12T21:06:00Z</dcterms:modified>
</cp:coreProperties>
</file>