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48655E">
      <w:pPr>
        <w:spacing w:line="240" w:lineRule="auto"/>
        <w:jc w:val="center"/>
        <w:rPr>
          <w:rFonts w:ascii="Times New Roman" w:hAnsi="Times New Roman" w:cs="Times New Roman"/>
        </w:rPr>
      </w:pPr>
    </w:p>
    <w:p w14:paraId="08117FC2" w14:textId="77777777" w:rsidR="0048655E" w:rsidRPr="0048655E" w:rsidRDefault="0048655E" w:rsidP="0048655E">
      <w:pPr>
        <w:spacing w:line="240" w:lineRule="auto"/>
        <w:jc w:val="center"/>
        <w:rPr>
          <w:rFonts w:ascii="Times New Roman" w:hAnsi="Times New Roman" w:cs="Times New Roman"/>
          <w:b/>
          <w:bCs/>
          <w:lang w:val="es-ES"/>
        </w:rPr>
      </w:pPr>
      <w:r w:rsidRPr="0048655E">
        <w:rPr>
          <w:rFonts w:ascii="Times New Roman" w:hAnsi="Times New Roman" w:cs="Times New Roman"/>
          <w:b/>
          <w:bCs/>
          <w:lang w:val="es-ES"/>
        </w:rPr>
        <w:t>Universidades latinoamericanas e interacciones con el entorno: aspectos locales y universales</w:t>
      </w:r>
    </w:p>
    <w:p w14:paraId="43C49479" w14:textId="77777777" w:rsidR="005F3B2E" w:rsidRPr="0048655E" w:rsidRDefault="005F3B2E" w:rsidP="0048655E">
      <w:pPr>
        <w:spacing w:line="240" w:lineRule="auto"/>
        <w:jc w:val="center"/>
        <w:rPr>
          <w:rFonts w:ascii="Times New Roman" w:hAnsi="Times New Roman" w:cs="Times New Roman"/>
          <w:lang w:val="es-ES"/>
        </w:rPr>
      </w:pPr>
    </w:p>
    <w:p w14:paraId="4E738780" w14:textId="0E3091AF" w:rsidR="005F3B2E" w:rsidRPr="00BA642E" w:rsidRDefault="0048655E" w:rsidP="0048655E">
      <w:pPr>
        <w:spacing w:after="0" w:line="240" w:lineRule="auto"/>
        <w:jc w:val="right"/>
        <w:rPr>
          <w:rFonts w:ascii="Times New Roman" w:hAnsi="Times New Roman" w:cs="Times New Roman"/>
        </w:rPr>
      </w:pPr>
      <w:r>
        <w:rPr>
          <w:rFonts w:ascii="Times New Roman" w:hAnsi="Times New Roman" w:cs="Times New Roman"/>
        </w:rPr>
        <w:t>Di Bello, Mariana Eva</w:t>
      </w:r>
    </w:p>
    <w:p w14:paraId="6C2AECCA" w14:textId="56B735EA" w:rsidR="005F3B2E" w:rsidRPr="0048655E" w:rsidRDefault="0048655E" w:rsidP="0048655E">
      <w:pPr>
        <w:spacing w:after="0" w:line="240" w:lineRule="auto"/>
        <w:jc w:val="right"/>
        <w:rPr>
          <w:rFonts w:ascii="Times New Roman" w:hAnsi="Times New Roman" w:cs="Times New Roman"/>
          <w:lang w:val="en-GB"/>
        </w:rPr>
      </w:pPr>
      <w:proofErr w:type="spellStart"/>
      <w:r w:rsidRPr="0048655E">
        <w:rPr>
          <w:rFonts w:ascii="Times New Roman" w:hAnsi="Times New Roman" w:cs="Times New Roman"/>
          <w:lang w:val="en-GB"/>
        </w:rPr>
        <w:t>CIMeCS</w:t>
      </w:r>
      <w:proofErr w:type="spellEnd"/>
      <w:r w:rsidRPr="0048655E">
        <w:rPr>
          <w:rFonts w:ascii="Times New Roman" w:hAnsi="Times New Roman" w:cs="Times New Roman"/>
          <w:lang w:val="en-GB"/>
        </w:rPr>
        <w:t xml:space="preserve"> </w:t>
      </w:r>
      <w:proofErr w:type="spellStart"/>
      <w:r w:rsidRPr="0048655E">
        <w:rPr>
          <w:rFonts w:ascii="Times New Roman" w:hAnsi="Times New Roman" w:cs="Times New Roman"/>
          <w:lang w:val="en-GB"/>
        </w:rPr>
        <w:t>IdIHCS</w:t>
      </w:r>
      <w:proofErr w:type="spellEnd"/>
      <w:r w:rsidRPr="0048655E">
        <w:rPr>
          <w:rFonts w:ascii="Times New Roman" w:hAnsi="Times New Roman" w:cs="Times New Roman"/>
          <w:lang w:val="en-GB"/>
        </w:rPr>
        <w:t xml:space="preserve"> UNLP/CONICET</w:t>
      </w:r>
    </w:p>
    <w:p w14:paraId="7D0026CD" w14:textId="1C919C37" w:rsidR="005F3B2E" w:rsidRPr="0048655E" w:rsidRDefault="0048655E" w:rsidP="0048655E">
      <w:pPr>
        <w:spacing w:after="0" w:line="240" w:lineRule="auto"/>
        <w:jc w:val="right"/>
        <w:rPr>
          <w:rFonts w:ascii="Times New Roman" w:hAnsi="Times New Roman" w:cs="Times New Roman"/>
          <w:lang w:val="en-GB"/>
        </w:rPr>
      </w:pPr>
      <w:r w:rsidRPr="0048655E">
        <w:rPr>
          <w:rFonts w:ascii="Times New Roman" w:hAnsi="Times New Roman" w:cs="Times New Roman"/>
          <w:lang w:val="en-GB"/>
        </w:rPr>
        <w:t>marianaevadibe</w:t>
      </w:r>
      <w:r>
        <w:rPr>
          <w:rFonts w:ascii="Times New Roman" w:hAnsi="Times New Roman" w:cs="Times New Roman"/>
          <w:lang w:val="en-GB"/>
        </w:rPr>
        <w:t>llo@gmail.com</w:t>
      </w:r>
    </w:p>
    <w:p w14:paraId="7B9027E2" w14:textId="77777777" w:rsidR="00BA642E" w:rsidRPr="00BA642E" w:rsidRDefault="00BA642E" w:rsidP="0048655E">
      <w:pPr>
        <w:spacing w:line="240" w:lineRule="auto"/>
        <w:rPr>
          <w:rFonts w:ascii="Times New Roman" w:hAnsi="Times New Roman" w:cs="Times New Roman"/>
          <w:b/>
          <w:bCs/>
        </w:rPr>
      </w:pPr>
    </w:p>
    <w:p w14:paraId="70997CC3" w14:textId="77777777" w:rsidR="0048655E" w:rsidRPr="0048655E" w:rsidRDefault="00BA642E" w:rsidP="0048655E">
      <w:pPr>
        <w:spacing w:line="240" w:lineRule="auto"/>
        <w:jc w:val="both"/>
        <w:rPr>
          <w:lang w:val="es-ES"/>
        </w:rPr>
      </w:pPr>
      <w:r w:rsidRPr="0048655E">
        <w:rPr>
          <w:rFonts w:ascii="Times New Roman" w:hAnsi="Times New Roman" w:cs="Times New Roman"/>
          <w:b/>
          <w:bCs/>
          <w:lang w:val="es-ES"/>
        </w:rPr>
        <w:t>Resumen:</w:t>
      </w:r>
      <w:r w:rsidR="007B5B5F" w:rsidRPr="0048655E">
        <w:rPr>
          <w:rFonts w:ascii="Times New Roman" w:hAnsi="Times New Roman" w:cs="Times New Roman"/>
          <w:b/>
          <w:bCs/>
          <w:lang w:val="es-ES"/>
        </w:rPr>
        <w:t xml:space="preserve"> </w:t>
      </w:r>
      <w:r w:rsidR="0048655E" w:rsidRPr="0048655E">
        <w:rPr>
          <w:rFonts w:ascii="Times New Roman" w:hAnsi="Times New Roman" w:cs="Times New Roman"/>
          <w:lang w:val="es-AR"/>
        </w:rPr>
        <w:t xml:space="preserve">Las universidades latinoamericanas han incorporado desde sus orígenes arreglos institucionales, elementos normativos y valorativos alineados con tendencias universalistas propias de la institución universitaria y del quehacer científico-académico. Estas tendencias se manifiestan en la organización funcional, la composición de las </w:t>
      </w:r>
      <w:proofErr w:type="spellStart"/>
      <w:r w:rsidR="0048655E" w:rsidRPr="0048655E">
        <w:rPr>
          <w:rFonts w:ascii="Times New Roman" w:hAnsi="Times New Roman" w:cs="Times New Roman"/>
          <w:lang w:val="es-AR"/>
        </w:rPr>
        <w:t>currículas</w:t>
      </w:r>
      <w:proofErr w:type="spellEnd"/>
      <w:r w:rsidR="0048655E" w:rsidRPr="0048655E">
        <w:rPr>
          <w:rFonts w:ascii="Times New Roman" w:hAnsi="Times New Roman" w:cs="Times New Roman"/>
          <w:lang w:val="es-AR"/>
        </w:rPr>
        <w:t xml:space="preserve">, los programas de investigación y los sistemas de incentivos y evaluación. No obstante, las universidades de la región también presentan particularidades y tendencias de corte localista, especialmente en actividades vinculadas a lo que se conoce como la tercera misión universitaria. Entonces, </w:t>
      </w:r>
      <w:r w:rsidR="0048655E" w:rsidRPr="0048655E">
        <w:rPr>
          <w:rFonts w:ascii="Times New Roman" w:hAnsi="Times New Roman" w:cs="Times New Roman"/>
          <w:lang w:val="es-ES"/>
        </w:rPr>
        <w:t>¿Es posible hablar de las relaciones universidad-entorno en clave latinoamericana? Dicha pregunta conduce a otros dos interrogantes: ¿existen aspectos inherentes a las universidades latinoamericanas que las diferencian del resto de las universidades de occidente en sus vínculos con el entorno?; ¿qué rasgos de la región latinoamericana pueden influir en las interacciones de sus universidades con el entorno? El objetivo del trabajo es exponer una serie de argumentos plausibles para responder a estos interrogantes, basados en nuestra propia experiencia como investigadores del tema y en la revisión de literatura pertinente. En la primera parte del trabajo se sostiene que, si bien no existen rasgos “esenciales” que definan a las universidades latinoamericanas como un tipo institucional completamente distinto del resto de las universidades occidentales, las universidades de la región se han configurado históricamente en contextos sociales, políticos y económicos específicos. Estos</w:t>
      </w:r>
      <w:r w:rsidR="0048655E" w:rsidRPr="0048655E">
        <w:rPr>
          <w:rFonts w:ascii="Times New Roman" w:hAnsi="Times New Roman" w:cs="Times New Roman"/>
          <w:b/>
          <w:bCs/>
          <w:lang w:val="es-ES"/>
        </w:rPr>
        <w:t xml:space="preserve"> </w:t>
      </w:r>
      <w:r w:rsidR="0048655E" w:rsidRPr="0048655E">
        <w:rPr>
          <w:rFonts w:ascii="Times New Roman" w:hAnsi="Times New Roman" w:cs="Times New Roman"/>
          <w:lang w:val="es-ES"/>
        </w:rPr>
        <w:t xml:space="preserve">han moldeado una tradición de pensamiento latinoamericano sostenido a partir de la idea de compromiso social universitario, lo cual fundamenta tanto la multiplicidad como la centralidad valorativa de sus interacciones con el entorno. En la segunda parte señalamos dos aspectos de la región que afectan los modos por los cuales las universidades latinoamericanas interaccionan con sus entornos: la baja institucionalidad y la heterogeneidad estructural. En contextos como el latinoamericano, donde los Estados locales presentan capacidades limitadas de planificación, coordinación y provisión de bienes y servicios, las universidades públicas emergen como actores estratégicos, con potencial de producir capacidades territoriales, articular actores y sostener procesos de gobernanza local. La relación entre territorios con baja institucionalidad y la organización y función de las universidades en América Latina puede entenderse como una relación de </w:t>
      </w:r>
      <w:proofErr w:type="spellStart"/>
      <w:r w:rsidR="0048655E" w:rsidRPr="0048655E">
        <w:rPr>
          <w:rFonts w:ascii="Times New Roman" w:hAnsi="Times New Roman" w:cs="Times New Roman"/>
          <w:lang w:val="es-ES"/>
        </w:rPr>
        <w:t>co</w:t>
      </w:r>
      <w:proofErr w:type="spellEnd"/>
      <w:r w:rsidR="0048655E" w:rsidRPr="0048655E">
        <w:rPr>
          <w:rFonts w:ascii="Times New Roman" w:hAnsi="Times New Roman" w:cs="Times New Roman"/>
          <w:lang w:val="es-ES"/>
        </w:rPr>
        <w:t xml:space="preserve">-constitución. Las debilidades estructurales del Estado y del entramado institucional territorial amplían el espacio de acción universitaria, mientras que la universidad se reorganiza para suplir esos vacíos. Por otro lado, la articulación entre heterogeneidad estructural y misión social universitaria permite profundizar la comprensión de por qué las formas de vinculación universidad–entorno en América Latina difieren </w:t>
      </w:r>
      <w:r w:rsidR="0048655E" w:rsidRPr="0048655E">
        <w:rPr>
          <w:rFonts w:ascii="Times New Roman" w:hAnsi="Times New Roman" w:cs="Times New Roman"/>
          <w:lang w:val="es-ES"/>
        </w:rPr>
        <w:lastRenderedPageBreak/>
        <w:t xml:space="preserve">sustantivamente de aquellas predominantes en contextos centrales. En economías estructuralmente heterogéneas, el territorio reproduce desigualdades productivas, sociales e institucionales. En este contexto, muchas modalidades de interacción de las universidades latinoamericanas con sus entornos no se limitan a la transferencia de conocimiento, sino que incluyen tareas de mediación institucional, construcción de vínculos sociales y </w:t>
      </w:r>
      <w:proofErr w:type="spellStart"/>
      <w:r w:rsidR="0048655E" w:rsidRPr="0048655E">
        <w:rPr>
          <w:rFonts w:ascii="Times New Roman" w:hAnsi="Times New Roman" w:cs="Times New Roman"/>
          <w:lang w:val="es-ES"/>
        </w:rPr>
        <w:t>co</w:t>
      </w:r>
      <w:proofErr w:type="spellEnd"/>
      <w:r w:rsidR="0048655E" w:rsidRPr="0048655E">
        <w:rPr>
          <w:rFonts w:ascii="Times New Roman" w:hAnsi="Times New Roman" w:cs="Times New Roman"/>
          <w:lang w:val="es-ES"/>
        </w:rPr>
        <w:t>-producción de saberes donde el mercado y el Estado no logran articular demandas ni integrar actores.</w:t>
      </w:r>
      <w:r w:rsidR="0048655E" w:rsidRPr="0048655E">
        <w:rPr>
          <w:lang w:val="es-ES"/>
        </w:rPr>
        <w:t xml:space="preserve"> </w:t>
      </w:r>
    </w:p>
    <w:p w14:paraId="35A6682C" w14:textId="0241DE0B" w:rsidR="00BA642E" w:rsidRPr="0048655E" w:rsidRDefault="00BA642E" w:rsidP="0048655E">
      <w:pPr>
        <w:spacing w:line="240" w:lineRule="auto"/>
        <w:jc w:val="both"/>
        <w:rPr>
          <w:rFonts w:ascii="Times New Roman" w:hAnsi="Times New Roman" w:cs="Times New Roman"/>
          <w:b/>
          <w:bCs/>
          <w:lang w:val="es-ES"/>
        </w:rPr>
      </w:pPr>
    </w:p>
    <w:p w14:paraId="2994BAB3" w14:textId="04CDD7BF" w:rsidR="00BA642E" w:rsidRPr="0048655E" w:rsidRDefault="00BA642E" w:rsidP="0048655E">
      <w:pPr>
        <w:pStyle w:val="NormalWeb"/>
        <w:spacing w:line="360" w:lineRule="auto"/>
        <w:jc w:val="both"/>
        <w:rPr>
          <w:lang w:val="es-ES"/>
        </w:rPr>
      </w:pPr>
      <w:r w:rsidRPr="0048655E">
        <w:rPr>
          <w:b/>
          <w:bCs/>
          <w:lang w:val="es-ES"/>
        </w:rPr>
        <w:t xml:space="preserve">Palabras clave: </w:t>
      </w:r>
      <w:r w:rsidR="0048655E">
        <w:rPr>
          <w:lang w:val="es-ES"/>
        </w:rPr>
        <w:t>U</w:t>
      </w:r>
      <w:r w:rsidR="0048655E">
        <w:rPr>
          <w:lang w:val="es-ES"/>
        </w:rPr>
        <w:t>niversidad</w:t>
      </w:r>
      <w:r w:rsidR="0048655E">
        <w:rPr>
          <w:lang w:val="es-ES"/>
        </w:rPr>
        <w:t>, E</w:t>
      </w:r>
      <w:r w:rsidR="0048655E">
        <w:rPr>
          <w:lang w:val="es-ES"/>
        </w:rPr>
        <w:t>ntorno</w:t>
      </w:r>
      <w:r w:rsidR="0048655E">
        <w:rPr>
          <w:lang w:val="es-ES"/>
        </w:rPr>
        <w:t>, I</w:t>
      </w:r>
      <w:r w:rsidR="0048655E">
        <w:rPr>
          <w:lang w:val="es-ES"/>
        </w:rPr>
        <w:t>nteracción</w:t>
      </w:r>
      <w:r w:rsidR="0048655E">
        <w:rPr>
          <w:lang w:val="es-ES"/>
        </w:rPr>
        <w:t>, A</w:t>
      </w:r>
      <w:r w:rsidR="0048655E">
        <w:rPr>
          <w:lang w:val="es-ES"/>
        </w:rPr>
        <w:t>mérica</w:t>
      </w:r>
      <w:r w:rsidR="0048655E">
        <w:rPr>
          <w:lang w:val="es-ES"/>
        </w:rPr>
        <w:t xml:space="preserve"> L</w:t>
      </w:r>
      <w:r w:rsidR="0048655E">
        <w:rPr>
          <w:lang w:val="es-ES"/>
        </w:rPr>
        <w:t>atina.</w:t>
      </w:r>
    </w:p>
    <w:p w14:paraId="05B7EE0B" w14:textId="77777777" w:rsidR="0048655E" w:rsidRDefault="0048655E" w:rsidP="0048655E">
      <w:pPr>
        <w:spacing w:line="240" w:lineRule="auto"/>
        <w:jc w:val="center"/>
        <w:rPr>
          <w:rFonts w:ascii="Times New Roman" w:hAnsi="Times New Roman" w:cs="Times New Roman"/>
        </w:rPr>
      </w:pPr>
    </w:p>
    <w:p w14:paraId="62CE643B" w14:textId="77777777" w:rsidR="0048655E" w:rsidRPr="0048655E" w:rsidRDefault="0048655E" w:rsidP="0048655E">
      <w:pPr>
        <w:spacing w:line="240" w:lineRule="auto"/>
        <w:rPr>
          <w:rFonts w:ascii="Times New Roman" w:eastAsia="Times New Roman" w:hAnsi="Times New Roman" w:cs="Times New Roman"/>
          <w:b/>
          <w:bCs/>
        </w:rPr>
      </w:pPr>
      <w:r w:rsidRPr="0048655E">
        <w:rPr>
          <w:rFonts w:ascii="Times New Roman" w:eastAsia="Times New Roman" w:hAnsi="Times New Roman" w:cs="Times New Roman"/>
          <w:b/>
          <w:bCs/>
        </w:rPr>
        <w:t xml:space="preserve">Introducción </w:t>
      </w:r>
    </w:p>
    <w:p w14:paraId="22E81DB4" w14:textId="77777777" w:rsidR="0048655E" w:rsidRDefault="0048655E" w:rsidP="0048655E">
      <w:pPr>
        <w:spacing w:line="240" w:lineRule="auto"/>
      </w:pPr>
    </w:p>
    <w:p w14:paraId="3DC835F1" w14:textId="77777777" w:rsidR="0048655E" w:rsidRDefault="0048655E" w:rsidP="0048655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universidades latinoamericanas han incorporado desde sus orígenes arreglos institucionales, elementos normativos y valorativos alineados con tendencias universalistas propias de la institución universitaria y del quehacer científico-académico. Estas tendencias se manifiestan en la organización funcional, la composición de las currículas, los programas de investigación y los sistemas de incentivos y evaluación. No obstante, las universidades de la región también presentan particularidades y tendencias de corte localista, especialmente en actividades vinculadas a lo que se conoce como la tercera misión universitaria. Entonces, ¿Es posible hablar de las relaciones universidad-entorno en clave latinoamericana? Esa fue la pregunta que motivó la escritura de este capítulo. Intentar responderla nos condujo a otros dos interrogantes: ¿existen aspectos inherentes a las universidades latinoamericanas que las diferencian del resto de las universidades de occidente en sus vínculos con el entorno?; ¿qué rasgos de la región latinoamericana pueden influir en las interacciones de sus universidades con el entorno? </w:t>
      </w:r>
    </w:p>
    <w:p w14:paraId="44CA3731" w14:textId="77777777" w:rsidR="0048655E" w:rsidRDefault="0048655E" w:rsidP="0048655E">
      <w:pPr>
        <w:spacing w:line="240" w:lineRule="auto"/>
        <w:jc w:val="both"/>
        <w:rPr>
          <w:rFonts w:ascii="Times New Roman" w:eastAsia="Times New Roman" w:hAnsi="Times New Roman" w:cs="Times New Roman"/>
        </w:rPr>
      </w:pPr>
    </w:p>
    <w:p w14:paraId="1CB42812" w14:textId="77777777" w:rsidR="0048655E" w:rsidRDefault="0048655E" w:rsidP="0048655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cierto, se trata de preguntas que encierran un alto nivel de complejidad. No es el objetivo de este trabajo responder cabalmente a estas preguntas con rigor metodológico, sino más bien exponer una serie de argumentos plausibles, basados en nuestra propia experiencia como investigadores del tema y en la revisión de literatura pertinente. Por ello, las claves interpretativas que sugerimos tienen un carácter exploratorio o hipotético que podrán ser usadas como una guía heurística para futuras investigaciones empíricas. </w:t>
      </w:r>
    </w:p>
    <w:p w14:paraId="46720924" w14:textId="77777777" w:rsidR="0048655E" w:rsidRDefault="0048655E" w:rsidP="0048655E">
      <w:pPr>
        <w:spacing w:line="240" w:lineRule="auto"/>
        <w:jc w:val="both"/>
        <w:rPr>
          <w:rFonts w:ascii="Times New Roman" w:eastAsia="Times New Roman" w:hAnsi="Times New Roman" w:cs="Times New Roman"/>
        </w:rPr>
      </w:pPr>
    </w:p>
    <w:p w14:paraId="1FD57250" w14:textId="77777777" w:rsidR="0048655E" w:rsidRDefault="0048655E" w:rsidP="0048655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Hecha esta importante aclaración inicial, continuaremos nuestra exposición de la siguiente manera: en el próximo apartado argumentamos que existen rasgos inherentes a las universidades latinoamericanas y que ellos se asocian a los modos por los cuales se vinculan con sus entornos. Luego, nos preguntamos por las características sociopolíticas y socioeconómicas de la región latinoamericana y cómo podrían afectar las interacciones que las universidades de la región mantienen con sus entornos. Sugerimos que existen </w:t>
      </w:r>
      <w:r>
        <w:rPr>
          <w:rFonts w:ascii="Times New Roman" w:eastAsia="Times New Roman" w:hAnsi="Times New Roman" w:cs="Times New Roman"/>
        </w:rPr>
        <w:lastRenderedPageBreak/>
        <w:t xml:space="preserve">dos rasgos principales de la región, la debilidad institucional y la heterogeneidad estructural, que afectan formas organizacionales y elementos funcionales de las universidades latinoamericanas ayudando a configurar modos específicos de relacionarse con el entorno. Finalmente, recuperamos sintéticamente nuestros principales argumentos y señalamos posibles caminos a seguir. </w:t>
      </w:r>
    </w:p>
    <w:p w14:paraId="5A8F1E6F" w14:textId="77777777" w:rsidR="0048655E" w:rsidRDefault="0048655E" w:rsidP="0048655E">
      <w:pPr>
        <w:spacing w:line="240" w:lineRule="auto"/>
        <w:jc w:val="both"/>
        <w:rPr>
          <w:rFonts w:ascii="Times New Roman" w:eastAsia="Times New Roman" w:hAnsi="Times New Roman" w:cs="Times New Roman"/>
        </w:rPr>
      </w:pPr>
    </w:p>
    <w:p w14:paraId="2EB3CFB6" w14:textId="7A16E0C3" w:rsidR="0048655E" w:rsidRPr="0048655E" w:rsidRDefault="0048655E" w:rsidP="0048655E">
      <w:pPr>
        <w:spacing w:line="240" w:lineRule="auto"/>
        <w:jc w:val="both"/>
        <w:rPr>
          <w:rFonts w:ascii="Times New Roman" w:eastAsia="Times New Roman" w:hAnsi="Times New Roman" w:cs="Times New Roman"/>
          <w:b/>
          <w:bCs/>
        </w:rPr>
      </w:pPr>
      <w:r w:rsidRPr="0048655E">
        <w:rPr>
          <w:rFonts w:ascii="Times New Roman" w:eastAsia="Times New Roman" w:hAnsi="Times New Roman" w:cs="Times New Roman"/>
          <w:b/>
          <w:bCs/>
        </w:rPr>
        <w:t>Desarrollo</w:t>
      </w:r>
    </w:p>
    <w:p w14:paraId="7C0BC789" w14:textId="76D8B12E" w:rsidR="0048655E" w:rsidRPr="00E41AAF" w:rsidRDefault="0048655E" w:rsidP="0048655E">
      <w:pPr>
        <w:spacing w:line="240" w:lineRule="auto"/>
        <w:jc w:val="both"/>
        <w:rPr>
          <w:rFonts w:ascii="Times New Roman" w:eastAsia="Times New Roman" w:hAnsi="Times New Roman" w:cs="Times New Roman"/>
          <w:b/>
          <w:bCs/>
        </w:rPr>
      </w:pPr>
      <w:r w:rsidRPr="00E41AAF">
        <w:rPr>
          <w:rFonts w:ascii="Times New Roman" w:eastAsia="Times New Roman" w:hAnsi="Times New Roman" w:cs="Times New Roman"/>
          <w:b/>
          <w:bCs/>
        </w:rPr>
        <w:t>La “universidad latinoamericana”</w:t>
      </w:r>
    </w:p>
    <w:p w14:paraId="01C23E8E" w14:textId="03372D7C" w:rsidR="0048655E" w:rsidRDefault="0048655E" w:rsidP="0048655E">
      <w:pPr>
        <w:spacing w:line="240" w:lineRule="auto"/>
        <w:jc w:val="both"/>
        <w:rPr>
          <w:rFonts w:ascii="Times New Roman" w:eastAsia="Times New Roman" w:hAnsi="Times New Roman" w:cs="Times New Roman"/>
        </w:rPr>
      </w:pPr>
      <w:r>
        <w:rPr>
          <w:rFonts w:ascii="Times New Roman" w:eastAsia="Times New Roman" w:hAnsi="Times New Roman" w:cs="Times New Roman"/>
        </w:rPr>
        <w:t>En esta primera parte del capítulo planteamos algunas reflexiones en torno al siguiente interrogante: ¿existen rasgos inherentes a las universidades latinoamericanas que las diferencian del resto de las universidades de occidente en sus relaciones con el entorno?</w:t>
      </w:r>
    </w:p>
    <w:p w14:paraId="13E675FA" w14:textId="77777777" w:rsidR="0048655E" w:rsidRDefault="0048655E" w:rsidP="0048655E">
      <w:pPr>
        <w:spacing w:line="240" w:lineRule="auto"/>
        <w:jc w:val="both"/>
        <w:rPr>
          <w:rFonts w:ascii="Times New Roman" w:eastAsia="Times New Roman" w:hAnsi="Times New Roman" w:cs="Times New Roman"/>
        </w:rPr>
      </w:pPr>
      <w:r>
        <w:rPr>
          <w:rFonts w:ascii="Times New Roman" w:eastAsia="Times New Roman" w:hAnsi="Times New Roman" w:cs="Times New Roman"/>
        </w:rPr>
        <w:t>Argumentaremos que sí hay diferencias, aunque éstas no se encuentran en el plano institucional; entendido este no como una forma organizacional concreta, sino como un conjunto de reglas más o menos difusas que organizan las prácticas sociales. Para aclarar esto, conviene comenzar el apartado mencionando que varios enfoques teóricos</w:t>
      </w:r>
      <w:r>
        <w:rPr>
          <w:rFonts w:ascii="Times New Roman" w:eastAsia="Times New Roman" w:hAnsi="Times New Roman" w:cs="Times New Roman"/>
          <w:b/>
          <w:bCs/>
        </w:rPr>
        <w:t xml:space="preserve"> </w:t>
      </w:r>
      <w:r>
        <w:rPr>
          <w:rFonts w:ascii="Times New Roman" w:eastAsia="Times New Roman" w:hAnsi="Times New Roman" w:cs="Times New Roman"/>
        </w:rPr>
        <w:t xml:space="preserve">sostienen, con distintos lenguajes y supuestos, que existen modelos globales o racionalidades transnacionales de educación superior, frente a los cuales las universidades nacionales y regionales se alinean, se adaptan o se desvían. </w:t>
      </w:r>
    </w:p>
    <w:p w14:paraId="7D53919E" w14:textId="17F3E8D0"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ejemplo, para el neoinstitucionalismo sociológico, la educación superior está organizada en torno a modelos institucionales globales que definen el “concepto de universidad”. Si bien existen desacoples organizacionales a nivel nacional, los lineamientos funcionales principales de los sistemas de educación superior en el mundo como la autonomía formal, la investigación científica, la evaluación por pares o la vinculación tecnológica responden a reglas o guiones culturales difusos. Estos se difunden globalmente y generan isomorfismo organizacional, incluso en contextos diversos (Meyer </w:t>
      </w:r>
      <w:r>
        <w:rPr>
          <w:rFonts w:ascii="Times New Roman" w:eastAsia="Times New Roman" w:hAnsi="Times New Roman" w:cs="Times New Roman"/>
          <w:i/>
          <w:iCs/>
          <w:color w:val="000000"/>
        </w:rPr>
        <w:t>et al,</w:t>
      </w:r>
      <w:r>
        <w:rPr>
          <w:rFonts w:ascii="Times New Roman" w:eastAsia="Times New Roman" w:hAnsi="Times New Roman" w:cs="Times New Roman"/>
          <w:color w:val="000000"/>
        </w:rPr>
        <w:t xml:space="preserve"> 2007; Schofer y Meyer, 2005). Para este enfoque, en tanto institución, las universidades adquieren su autoridad y legitimidad de modelos globales. No obstante, existen diferentes trayectorias y formas organizacionales particulares que responden a las políticas nacionales, coyunturas históricas y territoriales de cada región. </w:t>
      </w:r>
    </w:p>
    <w:p w14:paraId="0A065B34"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Desde perspectivas más cercanas al realismo sociológico, algunos autores sugieren que la educación superior es parte de la economía política global del conocimiento, estructurada jerárquicamente entre centro y periferia. Los modelos universitarios dominantes se producen en el centro y se difunden de manera desigual, reproduciendo dependencias académicas y cognitivas. Así, aun las universidades situadas en la periferia se integran discursivamente a los valores y pautas de acción difundidos por el centro, aunque en la práctica no sean de fácil implementación (Labraña, Brunner y Álvarez, 2019)</w:t>
      </w:r>
    </w:p>
    <w:p w14:paraId="30E596A9"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Finalmente, desde los años 1980, autores más enfocados en la gestión y gobernanza de las universidades han señalado la consolidación de un modelo hegemónico de educación </w:t>
      </w:r>
      <w:r>
        <w:rPr>
          <w:rFonts w:ascii="Times New Roman" w:eastAsia="Times New Roman" w:hAnsi="Times New Roman" w:cs="Times New Roman"/>
          <w:color w:val="000000"/>
        </w:rPr>
        <w:lastRenderedPageBreak/>
        <w:t xml:space="preserve">superior difundido por organismos internacionales. Este modelo, basado en la mercantilización del conocimiento, la competencia por recursos, la evaluación y la aplicación de rankings internacionales, reconfigura funciones y prioridades de las universidades en todo el mundo (Slaughter y Rhoades, 2004). </w:t>
      </w:r>
    </w:p>
    <w:p w14:paraId="72D190C8"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difícil no coincidir con las tesis sostenidas por los diferentes enfoques sucintamente reseñados. En efecto, creemos que las universidades latinoamericanas obtienen su principal fuente de legitimidad mediante la adscripción a modelos globales performativos de los sistemas de educación superior, al mismo tiempo que ocupan una posición periférica que se materializa en procesos de adaptación y copia, ejemplificada en las reformas que se sucedieron en varios países durante la década de 1990 siguiendo sugerencias de organismos internacionales. En consecuencia, en el nivel institucional global no encontramos diferencias significativas que permitan hablar de universidades latinoamericanas, más allá de su posición estructural periférica. </w:t>
      </w:r>
    </w:p>
    <w:p w14:paraId="6CAC3C1E"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Asumimos entonces que no hay rasgos institucionales esenciales, pero sí configuraciones históricas, sociales y políticas particulares de nuestra región. Éstas se expresan en el plano organizacional como desacoples al modelo internacional o prácticas distintivas de sus académicos de las que dan cuenta muchos estudios de caso, especialmente aquellos que analizan prácticas de vinculación con el entorno. </w:t>
      </w:r>
    </w:p>
    <w:p w14:paraId="268B47A8"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231F20"/>
        </w:rPr>
      </w:pPr>
      <w:r>
        <w:rPr>
          <w:rFonts w:ascii="Times New Roman" w:eastAsia="Times New Roman" w:hAnsi="Times New Roman" w:cs="Times New Roman"/>
          <w:color w:val="000000"/>
        </w:rPr>
        <w:t>Aunque no nos centraremos en ello en este capítulo, es imposible en este punto obviar el peso que tuvo el movimiento de la Reforma de 1918 en ciertos rasgos de las universidades latinoamericanas que afectan el modo en el cual se vinculan con el entorno y que las diferencian de universidades del norte global. Aún con los matices propios de cada país y de las diferentes coyunturas históricas, resultados de la Reforma como la autonomía, el cogobierno y la politización estudiantil y docente, configuraron a la universidad latinoamericana como un actor político-territorial sobre el cual se posan expectativas sociales de intervención pública. Como señala Tünermann (2008) la idea de misión social de la universidad …</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rPr>
        <w:t>“contribuyó a definir el perfil de la Universidad latinoamericana al asumir ésta, o sus elementos componentes, tareas que no se proponen o que permanecen inéditas para las Universidades de otras regiones del mundo”</w:t>
      </w:r>
      <w:r>
        <w:rPr>
          <w:rFonts w:ascii="Times New Roman" w:eastAsia="Times New Roman" w:hAnsi="Times New Roman" w:cs="Times New Roman"/>
          <w:i/>
          <w:iCs/>
          <w:color w:val="231F20"/>
        </w:rPr>
        <w:t xml:space="preserve"> </w:t>
      </w:r>
      <w:r>
        <w:rPr>
          <w:rFonts w:ascii="Times New Roman" w:eastAsia="Times New Roman" w:hAnsi="Times New Roman" w:cs="Times New Roman"/>
          <w:color w:val="231F20"/>
        </w:rPr>
        <w:t>(pág. 95).</w:t>
      </w:r>
    </w:p>
    <w:p w14:paraId="4848BC24"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Si bien es difícil probar en sentido estricto su causalidad, podemos sugerir que la idea de misión social ha dado lugar a modelos organizacionales particulares de la región latinoamericana, como las universidades populares (Ossenbach y Scagliola, 2021), o las universidades cuyos estatutos subrayan como prioritaria la misión territorial como es el caso de las universidades del conurbano bonaerense en Argentina (</w:t>
      </w:r>
      <w:r>
        <w:rPr>
          <w:rFonts w:ascii="Times New Roman" w:eastAsia="Times New Roman" w:hAnsi="Times New Roman" w:cs="Times New Roman"/>
          <w:color w:val="000000"/>
          <w:highlight w:val="white"/>
        </w:rPr>
        <w:t xml:space="preserve">Di Meglio, 2024). </w:t>
      </w:r>
    </w:p>
    <w:p w14:paraId="29668F31"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Asimismo, se ha configurado un tipo de tercera misión universitaria, denominada tradicionalmente extensión universitaria, que difiere de otras formas organizacionales de la tercera misión como el </w:t>
      </w:r>
      <w:r>
        <w:rPr>
          <w:rFonts w:ascii="Times New Roman" w:eastAsia="Times New Roman" w:hAnsi="Times New Roman" w:cs="Times New Roman"/>
          <w:i/>
          <w:iCs/>
          <w:color w:val="000000"/>
        </w:rPr>
        <w:t>outreach</w:t>
      </w:r>
      <w:r>
        <w:rPr>
          <w:rFonts w:ascii="Times New Roman" w:eastAsia="Times New Roman" w:hAnsi="Times New Roman" w:cs="Times New Roman"/>
          <w:color w:val="000000"/>
        </w:rPr>
        <w:t xml:space="preserve"> de universidades estadounidenses o el denominado compromiso regional (</w:t>
      </w:r>
      <w:r>
        <w:rPr>
          <w:rFonts w:ascii="Times New Roman" w:eastAsia="Times New Roman" w:hAnsi="Times New Roman" w:cs="Times New Roman"/>
          <w:i/>
          <w:iCs/>
          <w:color w:val="000000"/>
        </w:rPr>
        <w:t>regional engagement</w:t>
      </w:r>
      <w:r>
        <w:rPr>
          <w:rFonts w:ascii="Times New Roman" w:eastAsia="Times New Roman" w:hAnsi="Times New Roman" w:cs="Times New Roman"/>
          <w:color w:val="000000"/>
        </w:rPr>
        <w:t xml:space="preserve">) de universidades europeas. Esta diferencia se observa en su fundamento, más ligado al compromiso social -ilustrado en prácticas asociadas a la economía popular, el asesoramiento a sectores vulnerables o la salud </w:t>
      </w:r>
      <w:r>
        <w:rPr>
          <w:rFonts w:ascii="Times New Roman" w:eastAsia="Times New Roman" w:hAnsi="Times New Roman" w:cs="Times New Roman"/>
          <w:color w:val="000000"/>
        </w:rPr>
        <w:lastRenderedPageBreak/>
        <w:t xml:space="preserve">comunitaria- que a razones instrumentales como la transferencia de conocimientos a sectores productivos o de innovaciones que fomenten el desarrollo regional. </w:t>
      </w:r>
    </w:p>
    <w:p w14:paraId="5E9003AB" w14:textId="67DA5C41"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cierto, la tercera misión universitaria no se agota en estos aspectos y las universidades latinoamericanas han seguido, sobre todo a partir de la década de 1980, patrones similares a otras universidades de países centrales adoptando marcos regulatorios y espacios organizacionales de fomento a la vinculación tecnológica (Versino, Guido y Di Bello, 2012). Sin embargo, creemos que las prácticas a las que nos hemos referido sí contienen una fuerte impronta regional que es deudora de coyunturas sociohistóricas específicas por las que transitaron las universidades latinoamericanas. En este mismo marco, podemos mencionar el desarrollo de pedagogías críticas de claro cuño latinoamericano, que impulsan epistemologías basadas en el diálogo de saberes entre la academia y comunidades extra académicas y enfoques que analizan la co-creación de soluciones tecnológicas “apropiadas” con actores del territorio (Freire, 2015; Erreguena, Nieto y Tommasino, 2020; Thomas 2024; Dubeux, 2014). </w:t>
      </w:r>
    </w:p>
    <w:p w14:paraId="55E9B227"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Asimismo, se observa la conformación de modelos de gestión de los vínculos con la comunidad como el enfoque de la Responsabilidad Social Universitaria, que aboga por la creación de comunidades de aprendizajes que se nutran y operen con los aportes de personas y organizaciones del medio extra académico. De acuerdo con esta perspectiva, en un entorno institucional débil como el latinoamericano, las universidades deberían gestionar sus impactos para co-crear soluciones a problemas territoriales que el Estado no resuelve (Vallaeys, 2014; Appe et al, 2017). Más centrado en el desarrollo regional, el modelo de “Universidad para el desarrollo” sostiene que, en países con Sistemas Nacionales de Innovación débiles, la universidad no puede limitarse a la transferencia tecnológica tradicional, sino que debe cooperar para resolver problemas sociales básicos que el Estado no logra cubrir</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(Arocena, Goransson y Sutz, 2015).</w:t>
      </w:r>
    </w:p>
    <w:p w14:paraId="016465C0"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sumaria mención a prácticas y enfoques nos sirve como introducción para argumentar que ambos se nutren discursivamente y se legitiman en lo que podemos denominar como una tradición de pensamiento universitario latinoamericano, alrededor de la idea de una universidad socialmente comprometida. Esta tradición se encarna en un tipo de intelectual o académico “comprometido” que también podemos arriesgar que presenta rasgos típicamente latinoamericanos. Deudora de la Reforma, dicha tradición presenta matices y variaciones coyunturales. Tuvo probablemente una mayor visibilidad durante los años 1960 y 1970 del siglo pasado (Buchbinder, 2005), pero ha estructurado en mayor o menor medida las identidades institucionales y académicas de las universidades latinoamericanas y de parte de sus integrantes docentes y no docentes a lo largo de toda su trayectoria posreformista. </w:t>
      </w:r>
    </w:p>
    <w:p w14:paraId="03A03997"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Este ideal de compromiso social ha impactado tanto en los modos de producir conocimientos de las universidades latinoamericanas, como en sus formas de legitimación. Así, la literatura ha indicado como un rasgo latinoamericano que una parte significativa de la producción académica de las universidades presenta una orientación regional o local. Este tipo de investigación usualmente circula en espacios acotados y </w:t>
      </w:r>
      <w:r>
        <w:rPr>
          <w:rFonts w:ascii="Times New Roman" w:eastAsia="Times New Roman" w:hAnsi="Times New Roman" w:cs="Times New Roman"/>
          <w:color w:val="000000"/>
        </w:rPr>
        <w:lastRenderedPageBreak/>
        <w:t>obtiene su prestigio en circuitos nacionales y no en la esfera disciplinar internacional (Beigel, Gallardo y Bekerman, 2018). Una parte de estos académicos orienta su producción de conocimientos en línea con una postura militante o un compromiso ideológico que busca no solo comprender y estudiar problemas locales o regionales, sino modificarlos</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(Prandini Assis y Eslava, 2025).</w:t>
      </w:r>
      <w:r>
        <w:rPr>
          <w:rFonts w:ascii="Times New Roman" w:eastAsia="Times New Roman" w:hAnsi="Times New Roman" w:cs="Times New Roman"/>
          <w:i/>
          <w:iCs/>
          <w:color w:val="000000"/>
        </w:rPr>
        <w:t xml:space="preserve"> </w:t>
      </w:r>
    </w:p>
    <w:p w14:paraId="34CE0A3C"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modo de producir conocimientos está, por cierto, fuertemente vinculado al tipo de interacciones que los académicos latinoamericanos y las universidades donde se asientan, mantienen con los problemas de sus entornos. En este sentido, se ha señalado la importancia que adquieren en las universidades latinoamericanas un tipo especial de tercera misión centrada en el compromiso social (Mora, Aguiar Sierra y Vieira, 2017). Actividades como el desarrollo de servicios gratuitos para grupos vulnerables -incubadoras de proyectos comunitarios, servicios de salud, asesoramientos jurídicos o culturales, voluntariados asociados a problemáticas del territorio, promoción de la democratización educativa- o el desarrollo de tecnologías materiales o de organización, forman parte del diverso paisaje de interacciones con el entorno que mantienen las universidades latinoamericanas y le dan su aspecto distintivo (Mora, Aguiar Sierra y Vieira, 2017).</w:t>
      </w:r>
    </w:p>
    <w:p w14:paraId="5F6B5D80"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Como hemos señalado, estas prácticas se sustentan en una tradición de pensamiento que exalta el valor de la responsabilidad social de las universidades y sus miembros frente a las problemáticas regionales y que se encarna organizacionalmente como una parte del </w:t>
      </w:r>
      <w:r>
        <w:rPr>
          <w:rFonts w:ascii="Times New Roman" w:eastAsia="Times New Roman" w:hAnsi="Times New Roman" w:cs="Times New Roman"/>
          <w:i/>
          <w:iCs/>
          <w:color w:val="000000"/>
        </w:rPr>
        <w:t>ethos</w:t>
      </w:r>
      <w:r>
        <w:rPr>
          <w:rFonts w:ascii="Times New Roman" w:eastAsia="Times New Roman" w:hAnsi="Times New Roman" w:cs="Times New Roman"/>
          <w:color w:val="000000"/>
        </w:rPr>
        <w:t xml:space="preserve"> universitario. En línea con lo anterior, Mu y Pereyra Rojas (2015) muestran que, a diferencia de sus pares anglosajones, los académicos de América latina -especialistas en estudios latinoamericanos- se ven a sí mismos primordialmente como actores sociales y agente de cambio, más que como expertos en sus temas de estudio. Así, se involucran activamente en la generación de conocimientos, muchas veces en conjunto con agentes de la comunidad, orientando su labor a la resolución de los problemas del entorno. Varios estudios de caso corroboran esta voluntad de los académicos latinoamericanos por participar en espacios por fuera de los límites de la organización universitaria. Revelan, asimismo, que el origen de esas interacciones con actores extra universitarios se encuentra en la intención de grupos académicos de colaborar aplicando sus conocimientos y no en una demanda explícita por parte de agentes del territorio (Sanchez Macchioli, 2024; Bortz, 2018; Di Bello, 2013; Barrero, 2022). Estas investigaciones muestran una relación estrecha entre el posicionamiento ideológico de los investigadores y su voluntad de participación: la vinculación territorial no se percibe como una obligación administrativa, sino como parte de un compromiso ético y político. Para estos actores académicos, el despliegue de las interacciones en el territorio es, en última instancia, una forma de intervenir en la realidad social desde sus propios marcos de valores.</w:t>
      </w:r>
    </w:p>
    <w:p w14:paraId="34EED473"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Aunque nos desviemos de la pregunta que guía el apartado y que remite a la existencia o no de una especificidad latinoamericana en la forma y función de la universidad, pensamos que es pertinente en ese punto mencionar algunos problemas que se derivan de lo analizado hasta el momento. Por una parte, si bien en algunas coyunturas históricas se han promovido en América latina políticas públicas de fomento a la tercera misión y el </w:t>
      </w:r>
      <w:r>
        <w:rPr>
          <w:rFonts w:ascii="Times New Roman" w:eastAsia="Times New Roman" w:hAnsi="Times New Roman" w:cs="Times New Roman"/>
          <w:color w:val="000000"/>
        </w:rPr>
        <w:lastRenderedPageBreak/>
        <w:t xml:space="preserve">compromiso social universitario, participar en proyectos asociados a la solución de problemas del territorio es en general una actividad con menor reconocimiento y prestigio, especialmente en ámbitos del </w:t>
      </w:r>
      <w:r>
        <w:rPr>
          <w:rFonts w:ascii="Times New Roman" w:eastAsia="Times New Roman" w:hAnsi="Times New Roman" w:cs="Times New Roman"/>
          <w:i/>
          <w:iCs/>
          <w:color w:val="000000"/>
        </w:rPr>
        <w:t>mainstream</w:t>
      </w:r>
      <w:r>
        <w:rPr>
          <w:rFonts w:ascii="Times New Roman" w:eastAsia="Times New Roman" w:hAnsi="Times New Roman" w:cs="Times New Roman"/>
          <w:color w:val="000000"/>
        </w:rPr>
        <w:t xml:space="preserve"> científico, que se legitima en arenas globales. Esto produce una fragmentación jerárquica y consolida la existencia de asimetrías al interior del sistema científico académico.</w:t>
      </w:r>
    </w:p>
    <w:p w14:paraId="495912F3"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otra parte, el vuelco hacia actividades con alto compromiso social redunda en una sobrecarga normativa para las universidades latinoamericanas, a las cuales se les asignan simultáneamente funciones de desarrollo económico, inclusión social, crítica política, producción científica y construcción identitaria, frecuentemente sin un correlato equivalente en términos de financiamiento, estabilidad institucional o profesionalización académica (Bernasconi, 2008). Es posible, sin embargo, que esta multiplicidad de expectativas que se posan sobre las universidades latinoamericanas refuerce una elevada reflexividad de las mismas y se traduzcan en una extensa producción discursiva sobre su misión social y su vínculo con el territorio. </w:t>
      </w:r>
    </w:p>
    <w:p w14:paraId="7938BF94"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Ahora sí, recapitulando, en este apartado sostuvimos, como respuesta al interrogante inicial, que no existen rasgos “esenciales” o ahistóricos que definan a las universidades latinoamericanas como un tipo institucional completamente distinto del resto de las universidades occidentales. Sin embargo, las universidades de la región se han configurado históricamente en contextos sociales, políticos y económicos específicos, que han moldeado de manera persistente sus funciones y, especialmente, sus modos de vinculación con la sociedad. En este sentido, puede hablarse de una trayectoria latinoamericana de la organización universitaria, caracterizada por una fuerte imbricación con los problemas de la región y un elevado peso valorativo del compromiso social.</w:t>
      </w:r>
    </w:p>
    <w:p w14:paraId="111A7FAA" w14:textId="77777777" w:rsidR="0048655E" w:rsidRPr="00E41AAF"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b/>
          <w:bCs/>
          <w:color w:val="000000"/>
        </w:rPr>
      </w:pPr>
      <w:r w:rsidRPr="00E41AAF">
        <w:rPr>
          <w:rFonts w:ascii="Times New Roman" w:eastAsia="Times New Roman" w:hAnsi="Times New Roman" w:cs="Times New Roman"/>
          <w:b/>
          <w:bCs/>
          <w:color w:val="000000"/>
        </w:rPr>
        <w:t xml:space="preserve">El entorno latinoamericano: debilidad institucional y heterogeneidad estructural </w:t>
      </w:r>
    </w:p>
    <w:p w14:paraId="40A049A4"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Llegados a este punto, esbozaremos algunos postulados para tratar de responder al segundo interrogante que nos planteamos al comienzo del capítulo: ¿qué rasgos de la región latinoamericana pueden influir en las interacciones de sus universidades con el entorno?</w:t>
      </w:r>
    </w:p>
    <w:p w14:paraId="6035EAD9"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responderlo nos valemos, a modo de fundamento, de tradiciones teóricas que han conceptualizado al espacio y al territorio no como meros escenarios de la acción institucional, sino como dimensiones constitutivas que moldean las formas organizacionales, los patrones de interacción y las capacidades de intervención de las instituciones. Asumimos entonces que</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las formas organizacionales, en nuestro caso, las universidades latinoamericanas, no solo actúan en el espacio, sino que contribuyen a producirlo y son, al mismo tiempo, moldeadas por este.</w:t>
      </w:r>
    </w:p>
    <w:p w14:paraId="0F7F719C"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1B1C1D"/>
        </w:rPr>
      </w:pPr>
      <w:r>
        <w:rPr>
          <w:rFonts w:ascii="Times New Roman" w:eastAsia="Times New Roman" w:hAnsi="Times New Roman" w:cs="Times New Roman"/>
          <w:color w:val="1B1C1D"/>
        </w:rPr>
        <w:t xml:space="preserve">Del mismo modo, también el comportamiento y las interacciones cambian según los espacios </w:t>
      </w:r>
      <w:r>
        <w:rPr>
          <w:rFonts w:ascii="Times New Roman" w:eastAsia="Times New Roman" w:hAnsi="Times New Roman" w:cs="Times New Roman"/>
          <w:color w:val="000000"/>
        </w:rPr>
        <w:t>(Livingston, 2003</w:t>
      </w:r>
      <w:r>
        <w:rPr>
          <w:rFonts w:ascii="Times New Roman" w:eastAsia="Times New Roman" w:hAnsi="Times New Roman" w:cs="Times New Roman"/>
          <w:color w:val="1B1C1D"/>
        </w:rPr>
        <w:t xml:space="preserve">). Así, por ejemplo, en las interacciones de grupos académicos con actores del entorno, los espacios proveen, en cada coyuntura socio temporal, repertorios de sentidos que facilitan o no la comunicación, habilitan o constriñen </w:t>
      </w:r>
      <w:r>
        <w:rPr>
          <w:rFonts w:ascii="Times New Roman" w:eastAsia="Times New Roman" w:hAnsi="Times New Roman" w:cs="Times New Roman"/>
          <w:color w:val="1B1C1D"/>
        </w:rPr>
        <w:lastRenderedPageBreak/>
        <w:t>significados que afectan modos de producción de conocimientos, así como su circulación, apropiación y uso.</w:t>
      </w:r>
    </w:p>
    <w:p w14:paraId="61B3EB35" w14:textId="24C95A5F"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1B1C1D"/>
        </w:rPr>
      </w:pPr>
      <w:r>
        <w:rPr>
          <w:rFonts w:ascii="Times New Roman" w:eastAsia="Times New Roman" w:hAnsi="Times New Roman" w:cs="Times New Roman"/>
          <w:color w:val="1B1C1D"/>
        </w:rPr>
        <w:t xml:space="preserve">Con estos enfoques como premisas, argumentamos que existen al menos dos rasgos comunes a los países latinoamericanos que, aun sin ser exclusivos de ellos, afectan el modo en el cual sus universidades interactúan con sus entornos. Nos referimos a ellos usando los conceptos de debilidad institucional y heterogeneidad estructural. Los subapartados siguientes tratarán cada uno de ellos con mayor detalle. </w:t>
      </w:r>
    </w:p>
    <w:p w14:paraId="4E534CC9" w14:textId="77777777" w:rsidR="0048655E" w:rsidRPr="0048655E" w:rsidRDefault="0048655E" w:rsidP="0048655E">
      <w:pPr>
        <w:spacing w:line="240" w:lineRule="auto"/>
        <w:jc w:val="both"/>
        <w:rPr>
          <w:rFonts w:ascii="Times New Roman" w:eastAsia="Times New Roman" w:hAnsi="Times New Roman" w:cs="Times New Roman"/>
          <w:i/>
          <w:iCs/>
          <w:color w:val="1B1C1D"/>
        </w:rPr>
      </w:pPr>
      <w:r w:rsidRPr="0048655E">
        <w:rPr>
          <w:rFonts w:ascii="Times New Roman" w:eastAsia="Times New Roman" w:hAnsi="Times New Roman" w:cs="Times New Roman"/>
          <w:i/>
          <w:iCs/>
          <w:color w:val="1B1C1D"/>
        </w:rPr>
        <w:t>Debilidad institucional</w:t>
      </w:r>
    </w:p>
    <w:p w14:paraId="6CB59083"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Aunque no exista una definición clara y precisa de lo que abarca el concepto de debilidad institucional, aquí lo tomamos en una aproximación amplia, como un término que resume un conjunto de fenómenos asociados a bajas capacidades del entorno institucional para hacer efectivas o dar cumplimiento a objetivos de políticas públicas o a reglas que organizan la vida económica y civil de un territorio. De manera general, la debilidad institucional puede disminuir las capacidades estatales para llevar a cabo procesos de desarrollo regional (Fernández </w:t>
      </w:r>
      <w:r>
        <w:rPr>
          <w:rFonts w:ascii="Times New Roman" w:eastAsia="Times New Roman" w:hAnsi="Times New Roman" w:cs="Times New Roman"/>
          <w:i/>
          <w:iCs/>
          <w:color w:val="000000"/>
        </w:rPr>
        <w:t>et al</w:t>
      </w:r>
      <w:r>
        <w:rPr>
          <w:rFonts w:ascii="Times New Roman" w:eastAsia="Times New Roman" w:hAnsi="Times New Roman" w:cs="Times New Roman"/>
          <w:color w:val="000000"/>
        </w:rPr>
        <w:t>, 2008), limitar el desempeño económico nacional (Spiller y Tommasi, 2011) o incluso socavar la estabilidad y la calidad de la democracia (Brinks, Levitsky y Murillo, 2020)</w:t>
      </w:r>
    </w:p>
    <w:p w14:paraId="0C75D519" w14:textId="3F120759"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términos más concretos, la baja institucionalidad en América latina suele implicar: capacidades estatales fragmentadas</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 nivel local (Cejudo y Michel 2016); débil planificación y coordinación intersectorial (Repetto 2009); alta informalidad social y productiva (Holland, 2018), discontinuidad de políticas públicas (Spiller y Tommasi, 2011; Spiller </w:t>
      </w:r>
      <w:r>
        <w:rPr>
          <w:rFonts w:ascii="Times New Roman" w:eastAsia="Times New Roman" w:hAnsi="Times New Roman" w:cs="Times New Roman"/>
          <w:i/>
          <w:iCs/>
          <w:color w:val="000000"/>
        </w:rPr>
        <w:t>et al</w:t>
      </w:r>
      <w:r>
        <w:rPr>
          <w:rFonts w:ascii="Times New Roman" w:eastAsia="Times New Roman" w:hAnsi="Times New Roman" w:cs="Times New Roman"/>
          <w:color w:val="000000"/>
        </w:rPr>
        <w:t>, 2011); baja dotación de expertos que sostengan políticas y, como resultado de todo lo anterior, la afectación de la legitimidad de las decisiones gubernamentales (Munk, 2024).</w:t>
      </w:r>
    </w:p>
    <w:p w14:paraId="1F7CDBF4"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1B1C1D"/>
        </w:rPr>
      </w:pPr>
      <w:r>
        <w:rPr>
          <w:rFonts w:ascii="Times New Roman" w:eastAsia="Times New Roman" w:hAnsi="Times New Roman" w:cs="Times New Roman"/>
          <w:color w:val="000000"/>
        </w:rPr>
        <w:t xml:space="preserve">Por cierto, estas características no afectan de la misma manera y en todo tiempo y lugar al conjunto de países latinoamericanos. Aun así, consideramos que son rasgos presentes en mayor o menor medida en la región. De hecho, la desigual distribución territorial de capacidades de gestión, coordinación y provisión de bienes públicos es posiblemente otro aspecto constitutivo de Latinoamérica. Dichas asimetrías suelen expresarse con particular intensidad a escala subnacional, donde los gobiernos locales enfrentan limitaciones persistentes en términos de planificación, recursos técnicos, estabilidad institucional y legitimidad social. En esos contextos, las universidades latinoamericanas - </w:t>
      </w:r>
      <w:r>
        <w:rPr>
          <w:rFonts w:ascii="Times New Roman" w:eastAsia="Times New Roman" w:hAnsi="Times New Roman" w:cs="Times New Roman"/>
          <w:color w:val="1B1C1D"/>
        </w:rPr>
        <w:t>especialmente las de gestión público-estatal</w:t>
      </w:r>
      <w:r>
        <w:rPr>
          <w:rFonts w:ascii="Times New Roman" w:eastAsia="Times New Roman" w:hAnsi="Times New Roman" w:cs="Times New Roman"/>
          <w:color w:val="000000"/>
        </w:rPr>
        <w:t xml:space="preserve"> - reúnen una combinación de características que las vuelven relevantes para los territorios donde se sitúan </w:t>
      </w:r>
      <w:r>
        <w:rPr>
          <w:rFonts w:ascii="Times New Roman" w:eastAsia="Times New Roman" w:hAnsi="Times New Roman" w:cs="Times New Roman"/>
          <w:color w:val="1B1C1D"/>
        </w:rPr>
        <w:t>y operan</w:t>
      </w:r>
      <w:r>
        <w:rPr>
          <w:rFonts w:ascii="Times New Roman" w:eastAsia="Times New Roman" w:hAnsi="Times New Roman" w:cs="Times New Roman"/>
          <w:color w:val="000000"/>
        </w:rPr>
        <w:t>: capacidad técnica acumulada y recursos humanos calificados; presencia territorial</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estable (es decir, que no depende por ejemplo de ciclos electorales); autonomía institucional y legitimidad social relativa</w:t>
      </w:r>
      <w:r>
        <w:rPr>
          <w:rFonts w:ascii="Times New Roman" w:eastAsia="Times New Roman" w:hAnsi="Times New Roman" w:cs="Times New Roman"/>
          <w:color w:val="1B1C1D"/>
        </w:rPr>
        <w:t xml:space="preserve">. </w:t>
      </w:r>
    </w:p>
    <w:p w14:paraId="140ED824" w14:textId="77777777" w:rsidR="0048655E" w:rsidRDefault="0048655E" w:rsidP="0048655E">
      <w:pPr>
        <w:spacing w:line="240" w:lineRule="auto"/>
        <w:jc w:val="both"/>
        <w:rPr>
          <w:rFonts w:ascii="Times New Roman" w:eastAsia="Times New Roman" w:hAnsi="Times New Roman" w:cs="Times New Roman"/>
        </w:rPr>
      </w:pPr>
      <w:r>
        <w:rPr>
          <w:rFonts w:ascii="Times New Roman" w:eastAsia="Times New Roman" w:hAnsi="Times New Roman" w:cs="Times New Roman"/>
          <w:color w:val="1B1C1D"/>
        </w:rPr>
        <w:t xml:space="preserve">Ya hemos mencionado que partimos de la premisa, fundamentada en enfoques elaborados desde la geografía humana, de que el espacio tiene implicancias tanto sobre las formas organizacionales, como sobre los modos de producción, circulación y uso de los </w:t>
      </w:r>
      <w:r>
        <w:rPr>
          <w:rFonts w:ascii="Times New Roman" w:eastAsia="Times New Roman" w:hAnsi="Times New Roman" w:cs="Times New Roman"/>
          <w:color w:val="1B1C1D"/>
        </w:rPr>
        <w:lastRenderedPageBreak/>
        <w:t xml:space="preserve">conocimientos. A continuación, plantearemos como hipótesis que, </w:t>
      </w:r>
      <w:r>
        <w:rPr>
          <w:rFonts w:ascii="Times New Roman" w:eastAsia="Times New Roman" w:hAnsi="Times New Roman" w:cs="Times New Roman"/>
        </w:rPr>
        <w:t xml:space="preserve">en entornos institucionales fuertes, generalmente las diferentes agencias estatales gestionan el territorio y las universidades proveen conocimientos expertos y capital humano. Mientras que, en entornos institucionales débiles, las universidades suelen asumir funciones supletorias de las agencias estatales, conectándose directamente con el territorio para ejercer actividades de gestión, provisión de servicios y gobernanza. </w:t>
      </w:r>
    </w:p>
    <w:p w14:paraId="7D252C19" w14:textId="0D5EE4EF" w:rsidR="0048655E" w:rsidRDefault="0048655E" w:rsidP="0048655E">
      <w:pPr>
        <w:spacing w:line="240" w:lineRule="auto"/>
        <w:jc w:val="both"/>
        <w:rPr>
          <w:color w:val="1F1F1F"/>
        </w:rPr>
      </w:pPr>
      <w:r>
        <w:rPr>
          <w:rFonts w:ascii="Times New Roman" w:eastAsia="Times New Roman" w:hAnsi="Times New Roman" w:cs="Times New Roman"/>
          <w:color w:val="1F1F1F"/>
        </w:rPr>
        <w:t xml:space="preserve">En este sentido podemos mencionar el rol de las universidades latinoamericanas en la provisión de servicios para la comunidad como la atención sanitaria a través de hospitales universitarios, asesorías legales y prácticas de alfabetización. Otros ejemplos remiten al desarrollo de infraestructura social en zonas marginadas, a partir de iniciativas como la construcción de biodigestores (Sánchez Macchioli y Di Bello, 2022) o plantas para remover arsénico en aguas en escuelas de zonas rurales (Di Bello, 2011); la gestión de servicios de luz (Melián y Sánchez Macchioli, 2023); el suministro de servicios de cromatografía para cualificar y cuantificar los aceites de cannabis (Romero y Díaz en este libro) o la provisión de servicios de monitoreo de calidad de agua (Bortz en este libro) en barrios vulnerables. </w:t>
      </w:r>
    </w:p>
    <w:p w14:paraId="1619C8C6" w14:textId="4C7591C0"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Estos casos son útiles para sostener el argumento de que, en contextos de debilidad institucional, el Estado a menudo no llega a las periferias geográficas o sociales y la universidad pública, gracias a su autonomía y su despliegue territorial, ocupa en muchas ocasiones ese vacío. La autonomía posiblemente ejerza aquí un papel importante como medio de legitimación social de las tareas de vinculación territorial de las universidades </w:t>
      </w:r>
      <w:r>
        <w:rPr>
          <w:rFonts w:ascii="Times New Roman" w:eastAsia="Times New Roman" w:hAnsi="Times New Roman" w:cs="Times New Roman"/>
          <w:i/>
          <w:iCs/>
          <w:color w:val="000000"/>
        </w:rPr>
        <w:t>vis a vis</w:t>
      </w:r>
      <w:r>
        <w:rPr>
          <w:rFonts w:ascii="Times New Roman" w:eastAsia="Times New Roman" w:hAnsi="Times New Roman" w:cs="Times New Roman"/>
          <w:color w:val="000000"/>
        </w:rPr>
        <w:t xml:space="preserve"> un entorno institucional inestable y con baja legitimidad social. Postulamos entonces que una parte de la legitimidad universitaria se construye desde el territorio y no solo desde el sistema académico.</w:t>
      </w:r>
    </w:p>
    <w:p w14:paraId="763819FC"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un lado, la baja institucionalidad territorial tiene efectos sobre la organización interna de las universidades latinoamericanas que, en muchas ocasiones, incorporan oficinas de vinculación territorial, asistencia técnica a gobiernos locales, mediación entre actores sociales, observatorios sociales y urbanos, institutos de desarrollo local, programas interdisciplinarios orientados a problemas, entre otros. Del mismo modo, este tipo de contextos también afecta sus funciones. Así, las universidades cumplen funciones como intermediarias institucionales entre agencias gubernamentales, organizaciones sociales y/o actores productivos y como productoras de capacidades territoriales al generar metodologías, diagnósticos o herramientas de gestión del territorio.</w:t>
      </w:r>
    </w:p>
    <w:p w14:paraId="6149D261"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otro lado, la baja institucionalidad del entorno configura modos de interacción de carácter situados. De este modo, en muchas ocasiones la debilidad institucional del entorno “empuja” la salida de la universidad hacia el territorio, y se generan entonces nuevos lugares de encuentro, o co-presencia entre actores académicos y no académicos, que obligan a negociar significados sobre el espacio y el conocimiento que por él circula. En algunos casos, la interacción personalizada y la cercanía física entre académicos y otras personas que habitan el territorio facilita la construcción de patrones de interpretación compartidos, la circulación de conocimientos y su apropiación social. Otras </w:t>
      </w:r>
      <w:r>
        <w:rPr>
          <w:rFonts w:ascii="Times New Roman" w:eastAsia="Times New Roman" w:hAnsi="Times New Roman" w:cs="Times New Roman"/>
          <w:color w:val="000000"/>
        </w:rPr>
        <w:lastRenderedPageBreak/>
        <w:t xml:space="preserve">veces, los procesos de traducción no funcionan y las intervenciones no consiguen alcanzar sostenibilidad ni un despliegue territorial y temporal efectivo. De forma adicional, los recursos que las universidades poseen para revertir patrones estructurales del territorio donde actúan son escasos e intermitentes, lo que redunda en acciones esporádicas que solucionan o alivianan problemas, pero no logran revertirlos de forma estructural o sostenida en el tiempo.   </w:t>
      </w:r>
    </w:p>
    <w:p w14:paraId="6818BA6A" w14:textId="77777777" w:rsidR="0048655E" w:rsidRP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i/>
          <w:iCs/>
          <w:color w:val="000000"/>
        </w:rPr>
      </w:pPr>
      <w:r w:rsidRPr="0048655E">
        <w:rPr>
          <w:rFonts w:ascii="Times New Roman" w:eastAsia="Times New Roman" w:hAnsi="Times New Roman" w:cs="Times New Roman"/>
          <w:i/>
          <w:iCs/>
          <w:color w:val="000000"/>
        </w:rPr>
        <w:t>Heterogeneidad estructural</w:t>
      </w:r>
    </w:p>
    <w:p w14:paraId="17B452EC" w14:textId="689F9074"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Un segundo argumento, de carácter hipotético, que quisiéramos desarrollar brevemente en este trabajo refiere a la idea de que la especificidad de la universidad latinoamericana se comprende de manera más profunda cuando se la sitúa en contextos de heterogeneidad estructural, entendida como la coexistencia persistente de sectores productivos, tecnológicos y sociales con niveles muy dispares de productividad, ingresos y capacidades institucionales (Pinto, 1970). Desde esta mirada, la heterogeneidad estructural se manifiesta en la coexistencia de economías formales e informales, Estados con capacidades diferenciales, ciudadanías estratificadas y sistemas de conocimientos jerarquizados. Esta estructura fragmentada condiciona las posibilidades de integración social y limita la capacidad del mercado y del Estado para articular de manera uniforme a los distintos actores sociales, generando vacíos de cohesión que a menudo son abordados por las instituciones universitarias.</w:t>
      </w:r>
    </w:p>
    <w:p w14:paraId="7BDDD61D"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Podríamos pensar que, en contextos de heterogeneidad estructural, el territorio opera como un principio organizador de la acción institucional, condicionando las formas que asume la relación entre universidad y entorno. Esta heterogeneidad no se distribuye de manera homogénea en el espacio, sino que se territorializa en configuraciones multiescalares específicas, dando lugar a economías, mercados de trabajo y entramados institucionales diferenciados (Massey, 2008). Así, a diferencia de contextos donde los sistemas productivos, estatales y científicos presentan mayores niveles de homogeneidad y coordinación, las universidades latinoamericanas interactúan simultáneamente con: 1) sectores científicos y académicos integrados a circuitos globales, y 2) economías informales y populares, Estados nacionales y subnacionales con capacidades desiguales, que en muchas ocasiones presentan baja productividad, informalidad y débil capacidad en la provisión de bienes y servicios públicos. </w:t>
      </w:r>
    </w:p>
    <w:p w14:paraId="086C0116" w14:textId="556543E5"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el primer caso, las universidades habitualmente siguen patrones internacionales (por ejemplo, transferencia tecnológica). En el segundo caso, las universidades latinoamericanas actúan como agentes de desarrollo básico ante la ausencia de empresas o agencias estatales.</w:t>
      </w:r>
    </w:p>
    <w:p w14:paraId="327267B5"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 multiplicidad de entornos obliga a las universidades a desempeñar funciones de mediación, traducción y articulación entre mundos sociales heterogéneos, lo que incide tanto en sus agendas académicas como en sus prácticas de extensión, investigación aplicada y formación profesional (Arocena, Göransson y Sutz, 2015). En este sentido, la universidad no solo produce conocimiento, sino que contribuye, con resultados desiguales </w:t>
      </w:r>
      <w:r>
        <w:rPr>
          <w:rFonts w:ascii="Times New Roman" w:eastAsia="Times New Roman" w:hAnsi="Times New Roman" w:cs="Times New Roman"/>
          <w:color w:val="000000"/>
        </w:rPr>
        <w:lastRenderedPageBreak/>
        <w:t>y frecuentemente tensionados, a la construcción de puentes entre segmentos estructuralmente desconectados de la sociedad. Además, como hemos señalado en el subapartado previo, en esos contextos las universidades suelen constituirse como una de las pocas instituciones con capacidad de intervención relativamente legitimada a escala territorial.</w:t>
      </w:r>
    </w:p>
    <w:p w14:paraId="6A0165DD"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especificidad de la tercera misión universitaria en América Latina puede reinterpretarse, siguiendo este argumento, como una respuesta de estas organizaciones a la territorialización producida por la heterogeneidad estructural. En contextos donde amplios sectores sociales y productivos permanecen fuera de los circuitos formales de innovación, empleo calificado y provisión estatal, las tareas ligadas a la extensión universitaria se configuran como un dispositivo de intervención universitaria en el territorio que no puede reducirse a transferencia tecnológica o difusión del conocimiento, sino que implica procesos de coproducción de saberes, construcción de capacidades locales y reconocimiento de racionalidades no académicas (Melián y Sánchez Macchioli, 2023; Sánchez Macchioli y Di Bello, 2022, Goñi Mazzitelli en este libro). </w:t>
      </w:r>
    </w:p>
    <w:p w14:paraId="52ADCAB1"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Siguiendo esta línea argumentativa, podríamos también sugerir que estas características del espacio latinoamericano han jugado un rol en la configuración histórica de la tercera misión universitaria en la región a partir del movimiento de la Reforma Universitaria. En este sentido, a diferencia del </w:t>
      </w:r>
      <w:r>
        <w:rPr>
          <w:rFonts w:ascii="Times New Roman" w:eastAsia="Times New Roman" w:hAnsi="Times New Roman" w:cs="Times New Roman"/>
          <w:i/>
          <w:iCs/>
          <w:color w:val="000000"/>
        </w:rPr>
        <w:t>outreach</w:t>
      </w:r>
      <w:r>
        <w:rPr>
          <w:rFonts w:ascii="Times New Roman" w:eastAsia="Times New Roman" w:hAnsi="Times New Roman" w:cs="Times New Roman"/>
          <w:color w:val="000000"/>
        </w:rPr>
        <w:t xml:space="preserve"> estadounidense, vinculado a la transferencia de conocimiento hacia actores productivos consolidados, y del </w:t>
      </w:r>
      <w:r>
        <w:rPr>
          <w:rFonts w:ascii="Times New Roman" w:eastAsia="Times New Roman" w:hAnsi="Times New Roman" w:cs="Times New Roman"/>
          <w:i/>
          <w:iCs/>
          <w:color w:val="000000"/>
        </w:rPr>
        <w:t>regional engagement</w:t>
      </w:r>
      <w:r>
        <w:rPr>
          <w:rFonts w:ascii="Times New Roman" w:eastAsia="Times New Roman" w:hAnsi="Times New Roman" w:cs="Times New Roman"/>
          <w:color w:val="000000"/>
        </w:rPr>
        <w:t xml:space="preserve"> europeo, asociado a estrategias de desarrollo e innovación territorial, la extensión latinoamericana emerge como una práctica orientada a reducir brechas estructurales.</w:t>
      </w:r>
      <w:r>
        <w:rPr>
          <w:rFonts w:ascii="Times New Roman" w:eastAsia="Times New Roman" w:hAnsi="Times New Roman" w:cs="Times New Roman"/>
          <w:b/>
          <w:bCs/>
          <w:color w:val="000000"/>
        </w:rPr>
        <w:t xml:space="preserve"> </w:t>
      </w:r>
    </w:p>
    <w:p w14:paraId="7045C85B"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 este modo, la extensión no presupone simetría institucional entre la universidad y su entorno. Por el contrario, la asunción de la heterogeneidad estructural podría explicar la centralidad que han adquirido enfoques como la educación popular, el diálogo de saberes, y la producción de conocimiento situado. Se trata entonces de un mecanismo a través del cual el sistema universitario interviene en procesos de integración social, construcción de ciudadanía y co-producción de conocimiento. En contraste con los modelos del Norte global, donde la relación universidad–entorno se basa mayormente en la transferencia, la innovación o la competitividad territorial, la extensión latinoamericana incorpora una dimensión política explícita: reconoce las desigualdades estructurales existentes y asume la necesidad de intervenir sobre ellas. </w:t>
      </w:r>
    </w:p>
    <w:p w14:paraId="40244604" w14:textId="28EA9D88"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 mismo tiempo, sostenemos que el territorio actúa como un principio organizador de la propia universidad. Las estrategias de extensión, los dispositivos institucionales y los formatos organizativos adoptados por las universidades varían según las configuraciones territoriales en las que se insertan. En regiones de alta informalidad, pobreza persistente o débil infraestructura institucional, la extensión tiende a asumir funciones compensatorias y de provisión de bienes públicos; en territorios más formalizados o integrados, puede articularse con políticas públicas locales o iniciativas productivas específicas. Esta diversidad de prácticas no responde a elecciones meramente normativas, sino a condicionamientos estructurales inscritos espacialmente. En ausencia de un </w:t>
      </w:r>
      <w:r>
        <w:rPr>
          <w:rFonts w:ascii="Times New Roman" w:eastAsia="Times New Roman" w:hAnsi="Times New Roman" w:cs="Times New Roman"/>
          <w:color w:val="000000"/>
        </w:rPr>
        <w:lastRenderedPageBreak/>
        <w:t>mercado que genere y difunda el progreso técnico y de un Estado con cobertura territorial plena, la intervención territorial de las universidades podría interpretarse como mecanismos de compensación frente a las divergencias entre los polos de alta y baja productividad.</w:t>
      </w:r>
    </w:p>
    <w:p w14:paraId="4A9EE424" w14:textId="7D7E07F0" w:rsidR="0048655E" w:rsidRP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b/>
          <w:bCs/>
          <w:color w:val="000000"/>
        </w:rPr>
      </w:pPr>
      <w:r w:rsidRPr="0048655E">
        <w:rPr>
          <w:rFonts w:ascii="Times New Roman" w:eastAsia="Times New Roman" w:hAnsi="Times New Roman" w:cs="Times New Roman"/>
          <w:b/>
          <w:bCs/>
          <w:color w:val="000000"/>
        </w:rPr>
        <w:t>Con</w:t>
      </w:r>
      <w:r w:rsidRPr="0048655E">
        <w:rPr>
          <w:rFonts w:ascii="Times New Roman" w:eastAsia="Times New Roman" w:hAnsi="Times New Roman" w:cs="Times New Roman"/>
          <w:b/>
          <w:bCs/>
          <w:color w:val="000000"/>
        </w:rPr>
        <w:t>clusiones</w:t>
      </w:r>
    </w:p>
    <w:p w14:paraId="4CA30701"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Iniciamos el capítulo preguntándonos si existen aspectos inherentes a las universidades latinoamericanas que las diferencien de sus pares de occidente en sus vínculos con el entorno. Sostuvimos que, si bien no existen rasgos “esenciales” o que definan a las universidades latinoamericanas como un tipo institucional completamente distinto del resto de las universidades occidentales, las universidades de la región se han configurado históricamente en contextos sociales, políticos y económicos específicos. Estos han moldeado una tradición de pensamiento latinoamericano sostenido a partir de la idea de compromiso social universitario, lo cual fundamenta tanto la multiplicidad como la centralidad valorativa de sus interacciones con el entorno. </w:t>
      </w:r>
    </w:p>
    <w:p w14:paraId="2550879C"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la segunda parte del capítulo señalamos dos aspectos de la región que afectan los modos por los cuales las universidades latinoamericanas interaccionan con sus entornos: la baja institucionalidad y la heterogeneidad estructural. </w:t>
      </w:r>
    </w:p>
    <w:p w14:paraId="1D6F21C6"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contextos como el latinoamericano, donde los Estados locales presentan capacidades limitadas de planificación, coordinación y provisión de bienes y servicios, las universidades públicas emergen como actores estratégicos, con potencial de producir capacidades territoriales, articular actores y sostener procesos de gobernanza local. La relación entre territorios con baja institucionalidad y la organización y función de las universidades en América Latina puede entenderse como una relación de co-constitución. Las debilidades estructurales del Estado y del entramado institucional territorial amplían el espacio de acción universitaria, mientras que la universidad se reorganiza para suplir esos vacíos.</w:t>
      </w:r>
    </w:p>
    <w:p w14:paraId="4B6F61F3"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otro lado, la articulación entre heterogeneidad estructural y misión social universitaria permite profundizar la comprensión de por qué las formas de vinculación universidad–entorno en América Latina difieren sustantivamente de aquellas predominantes en contextos centrales. En economías estructuralmente heterogéneas, el territorio expresa y reproduce desigualdades productivas, sociales e institucionales. La coexistencia de sectores altamente integrados con otros excluidos o débilmente articulados se traduce en espacialidades fragmentadas, donde las capacidades estatales, las formas de organización social y las dinámicas económicas varían significativamente. En este contexto, muchas modalidades de interacción de las universidades latinoamericanas con sus entornos no se limitan a la transferencia de conocimiento, sino que incluyen tareas de mediación institucional, construcción de vínculos sociales y co-producción de saberes en espacios donde el mercado y el Estado no logran articular demandas ni integrar actores. </w:t>
      </w:r>
    </w:p>
    <w:p w14:paraId="0B0D89E3" w14:textId="77777777" w:rsidR="0048655E" w:rsidRDefault="0048655E" w:rsidP="0048655E">
      <w:pPr>
        <w:pBdr>
          <w:top w:val="nil"/>
          <w:left w:val="nil"/>
          <w:bottom w:val="nil"/>
          <w:right w:val="nil"/>
          <w:between w:val="nil"/>
        </w:pBd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Esto no significa, que estas prácticas, que aquí subrayamos como parte de la especificidad de las universidades latinoamericanas, tengan la capacidad de definir modelos institucionales. Por el contrario, como señalamos al comienzo del capítulo, las universidades latinoamericanas, sus formas y misiones, son deudoras de sistemas de reglas y valores de carácter universal. Más aún, los espacios y prácticas asociados a la misión social o responsabilidad social de las universidades suelen ser los menos institucionalizados y estar sujetos a vaivenes en términos de continuidad por recortes presupuestarios. Además, debido a que la acumulación de prestigio o recompensas académicas por el ejercicio de este tipo de actividades es menor, los académicos que eligen esta orientación o bien fragmentan sus estrategias (hacia el mercado internacional de </w:t>
      </w:r>
      <w:r>
        <w:rPr>
          <w:rFonts w:ascii="Times New Roman" w:eastAsia="Times New Roman" w:hAnsi="Times New Roman" w:cs="Times New Roman"/>
          <w:i/>
          <w:iCs/>
          <w:color w:val="000000"/>
        </w:rPr>
        <w:t>papers</w:t>
      </w:r>
      <w:r>
        <w:rPr>
          <w:rFonts w:ascii="Times New Roman" w:eastAsia="Times New Roman" w:hAnsi="Times New Roman" w:cs="Times New Roman"/>
          <w:color w:val="000000"/>
        </w:rPr>
        <w:t xml:space="preserve"> y hacia la relevancia local) o bien asumen posiciones subalternas en los sistemas científicos. Así, aun cuando el concepto de misión social universitaria podría considerarse un aporte latinoamericano al modelo institucional de universidad, en nuestra región no hemos encontrado todavía modos de legitimarla con sistemas de reconocimiento y evaluación que se equiparen con aquellos legitimados internacionalmente. Si bien han surgido en la región diversas iniciativas orientadas a reformular los sistemas de evaluación para otorgar mayor peso a las actividades de vinculación con el entorno, su influencia es aún insuficiente y su implementación ha tenido una suerte dispar, chocando a menudo con la preponderancia que fijan los esquemas clásicos de evaluación de la producción científica. </w:t>
      </w:r>
    </w:p>
    <w:p w14:paraId="216F7E71" w14:textId="77777777" w:rsidR="0048655E" w:rsidRDefault="0048655E" w:rsidP="0048655E">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síntesis, en este trabajo sostuvimos, a través de una serie de argumentos de carácter hipotéticos, que las universidades latinoamericanas presentan formas específicas de relacionarse con sus entornos que se asocian a sus propias trayectorias sociohistóricas y a las características socioespaciales de la región. Sin embargo, será necesario un mayor refinamiento conceptual y, especialmente, un diseño metodológico que operacionalice los interrogantes que guiaron las reflexiones de este capítulo en indicadores que permitan reforzar o declinar algunas de las hipótesis teóricas que se volcaron. Esperamos poder emprender ese camino en futuras investigaciones. </w:t>
      </w:r>
    </w:p>
    <w:p w14:paraId="4D5278A3" w14:textId="77777777" w:rsidR="0048655E" w:rsidRDefault="0048655E" w:rsidP="0048655E">
      <w:pPr>
        <w:spacing w:line="240" w:lineRule="auto"/>
        <w:jc w:val="both"/>
        <w:rPr>
          <w:rFonts w:ascii="Times New Roman" w:eastAsia="Times New Roman" w:hAnsi="Times New Roman" w:cs="Times New Roman"/>
        </w:rPr>
      </w:pPr>
    </w:p>
    <w:p w14:paraId="6FEAD8E8" w14:textId="77777777" w:rsidR="0048655E" w:rsidRPr="0048655E" w:rsidRDefault="0048655E" w:rsidP="0048655E">
      <w:pPr>
        <w:spacing w:line="240" w:lineRule="auto"/>
        <w:jc w:val="both"/>
        <w:rPr>
          <w:rFonts w:ascii="Times New Roman" w:eastAsia="Times New Roman" w:hAnsi="Times New Roman" w:cs="Times New Roman"/>
          <w:b/>
          <w:bCs/>
        </w:rPr>
      </w:pPr>
      <w:r w:rsidRPr="0048655E">
        <w:rPr>
          <w:rFonts w:ascii="Times New Roman" w:eastAsia="Times New Roman" w:hAnsi="Times New Roman" w:cs="Times New Roman"/>
          <w:b/>
          <w:bCs/>
        </w:rPr>
        <w:t>Referencias bibliográficas</w:t>
      </w:r>
    </w:p>
    <w:p w14:paraId="1F90385D"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Acosta Silva, A. (2024). Académicos imaginarios: Autonomía, libertad académica y compromiso social. </w:t>
      </w:r>
      <w:r>
        <w:rPr>
          <w:rFonts w:ascii="Times New Roman" w:eastAsia="Times New Roman" w:hAnsi="Times New Roman" w:cs="Times New Roman"/>
          <w:i/>
          <w:iCs/>
        </w:rPr>
        <w:t>Revista Educación Superior y Sociedad, 36</w:t>
      </w:r>
      <w:r>
        <w:rPr>
          <w:rFonts w:ascii="Times New Roman" w:eastAsia="Times New Roman" w:hAnsi="Times New Roman" w:cs="Times New Roman"/>
        </w:rPr>
        <w:t xml:space="preserve">(2), 22–40. </w:t>
      </w:r>
    </w:p>
    <w:p w14:paraId="7ACF19D4"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Appe, S., Rubaii, N., Líppez-De Castro, S., y Capobianco, S. (2017). </w:t>
      </w:r>
      <w:r w:rsidRPr="00377429">
        <w:rPr>
          <w:rFonts w:ascii="Times New Roman" w:eastAsia="Times New Roman" w:hAnsi="Times New Roman" w:cs="Times New Roman"/>
          <w:lang w:val="en-GB"/>
        </w:rPr>
        <w:t xml:space="preserve">The concept and context of the engaged university in the Global South: Lessons from Latin America to guide a research agenda. </w:t>
      </w:r>
      <w:r w:rsidRPr="00377429">
        <w:rPr>
          <w:rFonts w:ascii="Times New Roman" w:eastAsia="Times New Roman" w:hAnsi="Times New Roman" w:cs="Times New Roman"/>
          <w:i/>
          <w:iCs/>
          <w:lang w:val="en-GB"/>
        </w:rPr>
        <w:t>Journal of Higher Education Outreach and Engagement, 21</w:t>
      </w:r>
      <w:r w:rsidRPr="00377429">
        <w:rPr>
          <w:rFonts w:ascii="Times New Roman" w:eastAsia="Times New Roman" w:hAnsi="Times New Roman" w:cs="Times New Roman"/>
          <w:lang w:val="en-GB"/>
        </w:rPr>
        <w:t>(2).</w:t>
      </w:r>
    </w:p>
    <w:p w14:paraId="761ED63E" w14:textId="77777777" w:rsidR="0048655E" w:rsidRDefault="0048655E" w:rsidP="0048655E">
      <w:pPr>
        <w:spacing w:before="280" w:after="280" w:line="240" w:lineRule="auto"/>
        <w:ind w:left="567" w:hanging="567"/>
        <w:rPr>
          <w:rFonts w:ascii="Times New Roman" w:eastAsia="Times New Roman" w:hAnsi="Times New Roman" w:cs="Times New Roman"/>
        </w:rPr>
      </w:pPr>
      <w:r w:rsidRPr="00377429">
        <w:rPr>
          <w:rFonts w:ascii="Times New Roman" w:eastAsia="Times New Roman" w:hAnsi="Times New Roman" w:cs="Times New Roman"/>
          <w:lang w:val="en-GB"/>
        </w:rPr>
        <w:t xml:space="preserve">Arocena, R., </w:t>
      </w:r>
      <w:proofErr w:type="spellStart"/>
      <w:r w:rsidRPr="00377429">
        <w:rPr>
          <w:rFonts w:ascii="Times New Roman" w:eastAsia="Times New Roman" w:hAnsi="Times New Roman" w:cs="Times New Roman"/>
          <w:lang w:val="en-GB"/>
        </w:rPr>
        <w:t>Göransson</w:t>
      </w:r>
      <w:proofErr w:type="spellEnd"/>
      <w:r w:rsidRPr="00377429">
        <w:rPr>
          <w:rFonts w:ascii="Times New Roman" w:eastAsia="Times New Roman" w:hAnsi="Times New Roman" w:cs="Times New Roman"/>
          <w:lang w:val="en-GB"/>
        </w:rPr>
        <w:t xml:space="preserve">, B., &amp; </w:t>
      </w:r>
      <w:proofErr w:type="spellStart"/>
      <w:r w:rsidRPr="00377429">
        <w:rPr>
          <w:rFonts w:ascii="Times New Roman" w:eastAsia="Times New Roman" w:hAnsi="Times New Roman" w:cs="Times New Roman"/>
          <w:lang w:val="en-GB"/>
        </w:rPr>
        <w:t>Sutz</w:t>
      </w:r>
      <w:proofErr w:type="spellEnd"/>
      <w:r w:rsidRPr="00377429">
        <w:rPr>
          <w:rFonts w:ascii="Times New Roman" w:eastAsia="Times New Roman" w:hAnsi="Times New Roman" w:cs="Times New Roman"/>
          <w:lang w:val="en-GB"/>
        </w:rPr>
        <w:t xml:space="preserve">, J. (2015). Knowledge policies in developing countries: Inclusive development and the “developmental university”. </w:t>
      </w:r>
      <w:r>
        <w:rPr>
          <w:rFonts w:ascii="Times New Roman" w:eastAsia="Times New Roman" w:hAnsi="Times New Roman" w:cs="Times New Roman"/>
          <w:i/>
          <w:iCs/>
        </w:rPr>
        <w:t>Technology in Society, 41</w:t>
      </w:r>
      <w:r>
        <w:rPr>
          <w:rFonts w:ascii="Times New Roman" w:eastAsia="Times New Roman" w:hAnsi="Times New Roman" w:cs="Times New Roman"/>
        </w:rPr>
        <w:t>, 10–20.</w:t>
      </w:r>
    </w:p>
    <w:p w14:paraId="180E0EDF"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 xml:space="preserve">Barrero Salgado, G. C. (2022). </w:t>
      </w:r>
      <w:r>
        <w:rPr>
          <w:rFonts w:ascii="Times New Roman" w:eastAsia="Times New Roman" w:hAnsi="Times New Roman" w:cs="Times New Roman"/>
          <w:i/>
          <w:iCs/>
        </w:rPr>
        <w:t>Interacción universidad-entorno: El caso del Centro NanoMat de la Universidad de la República, Uruguay</w:t>
      </w:r>
      <w:r>
        <w:rPr>
          <w:rFonts w:ascii="Times New Roman" w:eastAsia="Times New Roman" w:hAnsi="Times New Roman" w:cs="Times New Roman"/>
        </w:rPr>
        <w:t xml:space="preserve"> (Tesis de maestría). Universidad Nacional de Quilmes.</w:t>
      </w:r>
    </w:p>
    <w:p w14:paraId="6E5D4EB6"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Beigel, M. F., Gallardo, O., y Bekerman, F. (2018). </w:t>
      </w:r>
      <w:r w:rsidRPr="00377429">
        <w:rPr>
          <w:rFonts w:ascii="Times New Roman" w:eastAsia="Times New Roman" w:hAnsi="Times New Roman" w:cs="Times New Roman"/>
          <w:lang w:val="en-GB"/>
        </w:rPr>
        <w:t xml:space="preserve">Institutional expansion and scientific development in the periphery. </w:t>
      </w:r>
      <w:r w:rsidRPr="00377429">
        <w:rPr>
          <w:rFonts w:ascii="Times New Roman" w:eastAsia="Times New Roman" w:hAnsi="Times New Roman" w:cs="Times New Roman"/>
          <w:i/>
          <w:iCs/>
          <w:lang w:val="en-GB"/>
        </w:rPr>
        <w:t>Minerva</w:t>
      </w:r>
      <w:r w:rsidRPr="00377429">
        <w:rPr>
          <w:rFonts w:ascii="Times New Roman" w:eastAsia="Times New Roman" w:hAnsi="Times New Roman" w:cs="Times New Roman"/>
          <w:lang w:val="en-GB"/>
        </w:rPr>
        <w:t>.</w:t>
      </w:r>
    </w:p>
    <w:p w14:paraId="0CA183D2" w14:textId="77777777" w:rsidR="0048655E" w:rsidRDefault="0048655E" w:rsidP="0048655E">
      <w:pPr>
        <w:spacing w:before="280" w:after="280" w:line="240" w:lineRule="auto"/>
        <w:ind w:left="567" w:hanging="567"/>
        <w:rPr>
          <w:rFonts w:ascii="Times New Roman" w:eastAsia="Times New Roman" w:hAnsi="Times New Roman" w:cs="Times New Roman"/>
        </w:rPr>
      </w:pPr>
      <w:proofErr w:type="spellStart"/>
      <w:r w:rsidRPr="00377429">
        <w:rPr>
          <w:rFonts w:ascii="Times New Roman" w:eastAsia="Times New Roman" w:hAnsi="Times New Roman" w:cs="Times New Roman"/>
          <w:lang w:val="en-GB"/>
        </w:rPr>
        <w:t>Bernasconi</w:t>
      </w:r>
      <w:proofErr w:type="spellEnd"/>
      <w:r w:rsidRPr="00377429">
        <w:rPr>
          <w:rFonts w:ascii="Times New Roman" w:eastAsia="Times New Roman" w:hAnsi="Times New Roman" w:cs="Times New Roman"/>
          <w:lang w:val="en-GB"/>
        </w:rPr>
        <w:t xml:space="preserve">, A. (2008). Is there a Latin American model of the university? </w:t>
      </w:r>
      <w:r>
        <w:rPr>
          <w:rFonts w:ascii="Times New Roman" w:eastAsia="Times New Roman" w:hAnsi="Times New Roman" w:cs="Times New Roman"/>
          <w:i/>
          <w:iCs/>
        </w:rPr>
        <w:t>Comparative Education Review, 52</w:t>
      </w:r>
      <w:r>
        <w:rPr>
          <w:rFonts w:ascii="Times New Roman" w:eastAsia="Times New Roman" w:hAnsi="Times New Roman" w:cs="Times New Roman"/>
        </w:rPr>
        <w:t>(1).</w:t>
      </w:r>
    </w:p>
    <w:p w14:paraId="2B4AD1C1"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Bortz, G. (2018). </w:t>
      </w:r>
      <w:r>
        <w:rPr>
          <w:rFonts w:ascii="Times New Roman" w:eastAsia="Times New Roman" w:hAnsi="Times New Roman" w:cs="Times New Roman"/>
          <w:i/>
          <w:iCs/>
        </w:rPr>
        <w:t>Biotecnologías para el desarrollo inclusivo y sustentable: Políticas públicas y estrategias de producción de conocimiento, desarrollo tecnológico e innovación para resolver problemas sociales y ambientales en Argentina (2007–2016)</w:t>
      </w:r>
      <w:r>
        <w:rPr>
          <w:rFonts w:ascii="Times New Roman" w:eastAsia="Times New Roman" w:hAnsi="Times New Roman" w:cs="Times New Roman"/>
        </w:rPr>
        <w:t xml:space="preserve"> (Tesis doctoral). Universidad de Buenos Aires.</w:t>
      </w:r>
    </w:p>
    <w:p w14:paraId="705D9102"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Brinks, D. M., Levitsky, S., y Murillo, M. V. (Eds.). </w:t>
      </w:r>
      <w:r w:rsidRPr="00377429">
        <w:rPr>
          <w:rFonts w:ascii="Times New Roman" w:eastAsia="Times New Roman" w:hAnsi="Times New Roman" w:cs="Times New Roman"/>
          <w:lang w:val="en-GB"/>
        </w:rPr>
        <w:t xml:space="preserve">(2020). </w:t>
      </w:r>
      <w:r w:rsidRPr="00377429">
        <w:rPr>
          <w:rFonts w:ascii="Times New Roman" w:eastAsia="Times New Roman" w:hAnsi="Times New Roman" w:cs="Times New Roman"/>
          <w:i/>
          <w:iCs/>
          <w:lang w:val="en-GB"/>
        </w:rPr>
        <w:t>The politics of institutional weakness in Latin America</w:t>
      </w:r>
      <w:r w:rsidRPr="00377429">
        <w:rPr>
          <w:rFonts w:ascii="Times New Roman" w:eastAsia="Times New Roman" w:hAnsi="Times New Roman" w:cs="Times New Roman"/>
          <w:lang w:val="en-GB"/>
        </w:rPr>
        <w:t xml:space="preserve">. </w:t>
      </w:r>
      <w:r>
        <w:rPr>
          <w:rFonts w:ascii="Times New Roman" w:eastAsia="Times New Roman" w:hAnsi="Times New Roman" w:cs="Times New Roman"/>
        </w:rPr>
        <w:t>Cambridge University Press.</w:t>
      </w:r>
    </w:p>
    <w:p w14:paraId="5090E6E5"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Buchbinder, P. (2005). </w:t>
      </w:r>
      <w:r>
        <w:rPr>
          <w:rFonts w:ascii="Times New Roman" w:eastAsia="Times New Roman" w:hAnsi="Times New Roman" w:cs="Times New Roman"/>
          <w:i/>
          <w:iCs/>
        </w:rPr>
        <w:t>Historia de las universidades argentinas</w:t>
      </w:r>
      <w:r>
        <w:rPr>
          <w:rFonts w:ascii="Times New Roman" w:eastAsia="Times New Roman" w:hAnsi="Times New Roman" w:cs="Times New Roman"/>
        </w:rPr>
        <w:t>. Sudamericana.</w:t>
      </w:r>
    </w:p>
    <w:p w14:paraId="61F6D20E"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Cejudo, G., y Michel, C. (2016). Coherencia y políticas públicas: Metas, instrumentos y poblaciones objetivo. </w:t>
      </w:r>
      <w:r>
        <w:rPr>
          <w:rFonts w:ascii="Times New Roman" w:eastAsia="Times New Roman" w:hAnsi="Times New Roman" w:cs="Times New Roman"/>
          <w:i/>
          <w:iCs/>
        </w:rPr>
        <w:t>Gestión y Política Pública, 25</w:t>
      </w:r>
      <w:r>
        <w:rPr>
          <w:rFonts w:ascii="Times New Roman" w:eastAsia="Times New Roman" w:hAnsi="Times New Roman" w:cs="Times New Roman"/>
        </w:rPr>
        <w:t>(1), 3–31.</w:t>
      </w:r>
    </w:p>
    <w:p w14:paraId="54E54E62"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Di Bello, M. (2013). </w:t>
      </w:r>
      <w:r>
        <w:rPr>
          <w:rFonts w:ascii="Times New Roman" w:eastAsia="Times New Roman" w:hAnsi="Times New Roman" w:cs="Times New Roman"/>
          <w:i/>
          <w:iCs/>
        </w:rPr>
        <w:t>Una ciencia que sirva… ¿a quién?: La construcción de la utilidad social del conocimiento científico, grupos de investigación académicos y problemas sociales</w:t>
      </w:r>
      <w:r>
        <w:rPr>
          <w:rFonts w:ascii="Times New Roman" w:eastAsia="Times New Roman" w:hAnsi="Times New Roman" w:cs="Times New Roman"/>
        </w:rPr>
        <w:t xml:space="preserve"> (Tesis doctoral). Universidad de Buenos Aires.</w:t>
      </w:r>
    </w:p>
    <w:p w14:paraId="7BFCE3A2"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Di Bello, M. (2011). Conocimientos científicos, utilidad social y definición de problemas locales en el caso de la aplicación de un desarrollo tecnológico para la eliminación de arsénico en aguas de consumo. </w:t>
      </w:r>
      <w:r>
        <w:rPr>
          <w:rFonts w:ascii="Times New Roman" w:eastAsia="Times New Roman" w:hAnsi="Times New Roman" w:cs="Times New Roman"/>
          <w:i/>
          <w:iCs/>
        </w:rPr>
        <w:t>Revista Espacios, 32</w:t>
      </w:r>
      <w:r>
        <w:rPr>
          <w:rFonts w:ascii="Times New Roman" w:eastAsia="Times New Roman" w:hAnsi="Times New Roman" w:cs="Times New Roman"/>
        </w:rPr>
        <w:t>(1).</w:t>
      </w:r>
    </w:p>
    <w:p w14:paraId="2FB5BC7B"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Di Meglio, F. (2024). Estrategias y dinámicas de vinculación con el entorno de las “nuevas” universidades del conurbano bonaerense. </w:t>
      </w:r>
      <w:r w:rsidRPr="00377429">
        <w:rPr>
          <w:rFonts w:ascii="Times New Roman" w:eastAsia="Times New Roman" w:hAnsi="Times New Roman" w:cs="Times New Roman"/>
          <w:i/>
          <w:iCs/>
          <w:lang w:val="en-GB"/>
        </w:rPr>
        <w:t xml:space="preserve">RAES – </w:t>
      </w:r>
      <w:proofErr w:type="spellStart"/>
      <w:r w:rsidRPr="00377429">
        <w:rPr>
          <w:rFonts w:ascii="Times New Roman" w:eastAsia="Times New Roman" w:hAnsi="Times New Roman" w:cs="Times New Roman"/>
          <w:i/>
          <w:iCs/>
          <w:lang w:val="en-GB"/>
        </w:rPr>
        <w:t>Revista</w:t>
      </w:r>
      <w:proofErr w:type="spellEnd"/>
      <w:r w:rsidRPr="00377429">
        <w:rPr>
          <w:rFonts w:ascii="Times New Roman" w:eastAsia="Times New Roman" w:hAnsi="Times New Roman" w:cs="Times New Roman"/>
          <w:i/>
          <w:iCs/>
          <w:lang w:val="en-GB"/>
        </w:rPr>
        <w:t xml:space="preserve"> Argentina de </w:t>
      </w:r>
      <w:proofErr w:type="spellStart"/>
      <w:r w:rsidRPr="00377429">
        <w:rPr>
          <w:rFonts w:ascii="Times New Roman" w:eastAsia="Times New Roman" w:hAnsi="Times New Roman" w:cs="Times New Roman"/>
          <w:i/>
          <w:iCs/>
          <w:lang w:val="en-GB"/>
        </w:rPr>
        <w:t>Educación</w:t>
      </w:r>
      <w:proofErr w:type="spellEnd"/>
      <w:r w:rsidRPr="00377429">
        <w:rPr>
          <w:rFonts w:ascii="Times New Roman" w:eastAsia="Times New Roman" w:hAnsi="Times New Roman" w:cs="Times New Roman"/>
          <w:i/>
          <w:iCs/>
          <w:lang w:val="en-GB"/>
        </w:rPr>
        <w:t xml:space="preserve"> Superior, 29</w:t>
      </w:r>
      <w:r w:rsidRPr="00377429">
        <w:rPr>
          <w:rFonts w:ascii="Times New Roman" w:eastAsia="Times New Roman" w:hAnsi="Times New Roman" w:cs="Times New Roman"/>
          <w:lang w:val="en-GB"/>
        </w:rPr>
        <w:t>, 47–62.</w:t>
      </w:r>
    </w:p>
    <w:p w14:paraId="6A0C9379" w14:textId="77777777" w:rsidR="0048655E" w:rsidRDefault="0048655E" w:rsidP="0048655E">
      <w:pPr>
        <w:spacing w:before="280" w:after="280" w:line="240" w:lineRule="auto"/>
        <w:ind w:left="567" w:hanging="567"/>
        <w:rPr>
          <w:rFonts w:ascii="Times New Roman" w:eastAsia="Times New Roman" w:hAnsi="Times New Roman" w:cs="Times New Roman"/>
        </w:rPr>
      </w:pPr>
      <w:proofErr w:type="spellStart"/>
      <w:r w:rsidRPr="00377429">
        <w:rPr>
          <w:rFonts w:ascii="Times New Roman" w:eastAsia="Times New Roman" w:hAnsi="Times New Roman" w:cs="Times New Roman"/>
          <w:lang w:val="en-GB"/>
        </w:rPr>
        <w:t>Dubeux</w:t>
      </w:r>
      <w:proofErr w:type="spellEnd"/>
      <w:r w:rsidRPr="00377429">
        <w:rPr>
          <w:rFonts w:ascii="Times New Roman" w:eastAsia="Times New Roman" w:hAnsi="Times New Roman" w:cs="Times New Roman"/>
          <w:lang w:val="en-GB"/>
        </w:rPr>
        <w:t xml:space="preserve">, A. (2014). Technological incubators of solidarity economy initiatives: A methodology for promoting social innovation in Brazil. </w:t>
      </w:r>
      <w:proofErr w:type="spellStart"/>
      <w:r w:rsidRPr="00377429">
        <w:rPr>
          <w:rFonts w:ascii="Times New Roman" w:eastAsia="Times New Roman" w:hAnsi="Times New Roman" w:cs="Times New Roman"/>
          <w:lang w:val="en-GB"/>
        </w:rPr>
        <w:t>En</w:t>
      </w:r>
      <w:proofErr w:type="spellEnd"/>
      <w:r w:rsidRPr="00377429">
        <w:rPr>
          <w:rFonts w:ascii="Times New Roman" w:eastAsia="Times New Roman" w:hAnsi="Times New Roman" w:cs="Times New Roman"/>
          <w:lang w:val="en-GB"/>
        </w:rPr>
        <w:t xml:space="preserve"> F. </w:t>
      </w:r>
      <w:proofErr w:type="spellStart"/>
      <w:r w:rsidRPr="00377429">
        <w:rPr>
          <w:rFonts w:ascii="Times New Roman" w:eastAsia="Times New Roman" w:hAnsi="Times New Roman" w:cs="Times New Roman"/>
          <w:lang w:val="en-GB"/>
        </w:rPr>
        <w:t>Moulaert</w:t>
      </w:r>
      <w:proofErr w:type="spellEnd"/>
      <w:r w:rsidRPr="00377429">
        <w:rPr>
          <w:rFonts w:ascii="Times New Roman" w:eastAsia="Times New Roman" w:hAnsi="Times New Roman" w:cs="Times New Roman"/>
          <w:lang w:val="en-GB"/>
        </w:rPr>
        <w:t xml:space="preserve"> et al. (Eds.), </w:t>
      </w:r>
      <w:r w:rsidRPr="00377429">
        <w:rPr>
          <w:rFonts w:ascii="Times New Roman" w:eastAsia="Times New Roman" w:hAnsi="Times New Roman" w:cs="Times New Roman"/>
          <w:i/>
          <w:iCs/>
          <w:lang w:val="en-GB"/>
        </w:rPr>
        <w:t>The international handbook of social innovation</w:t>
      </w:r>
      <w:r w:rsidRPr="00377429">
        <w:rPr>
          <w:rFonts w:ascii="Times New Roman" w:eastAsia="Times New Roman" w:hAnsi="Times New Roman" w:cs="Times New Roman"/>
          <w:lang w:val="en-GB"/>
        </w:rPr>
        <w:t xml:space="preserve"> (pp. 299–307). </w:t>
      </w:r>
      <w:r>
        <w:rPr>
          <w:rFonts w:ascii="Times New Roman" w:eastAsia="Times New Roman" w:hAnsi="Times New Roman" w:cs="Times New Roman"/>
        </w:rPr>
        <w:t>Edward Elgar.</w:t>
      </w:r>
    </w:p>
    <w:p w14:paraId="7F826C29"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Erreguerena, F., Nieto, G., y Tommasino, H. (2020). Tradiciones y matrices, pasadas y presentes, que confluyen en la extensión crítica latinoamericana y caribeña. </w:t>
      </w:r>
      <w:r>
        <w:rPr>
          <w:rFonts w:ascii="Times New Roman" w:eastAsia="Times New Roman" w:hAnsi="Times New Roman" w:cs="Times New Roman"/>
          <w:i/>
          <w:iCs/>
        </w:rPr>
        <w:t>Cuadernos de Extensión Universitaria de la UNLPam, 4</w:t>
      </w:r>
      <w:r>
        <w:rPr>
          <w:rFonts w:ascii="Times New Roman" w:eastAsia="Times New Roman" w:hAnsi="Times New Roman" w:cs="Times New Roman"/>
        </w:rPr>
        <w:t>(4), 177–204.</w:t>
      </w:r>
    </w:p>
    <w:p w14:paraId="497C4D9E"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 xml:space="preserve">Fernández, V. R., Güemes, M. C., Magnin, J. P., y Vigil, J. I. (2008). Capacidades estatales y desarrollo regional: Realidades y desafíos para América Latina. </w:t>
      </w:r>
      <w:r>
        <w:rPr>
          <w:rFonts w:ascii="Times New Roman" w:eastAsia="Times New Roman" w:hAnsi="Times New Roman" w:cs="Times New Roman"/>
          <w:i/>
          <w:iCs/>
        </w:rPr>
        <w:t>Documentos y Aportes en Administración Pública y Gestión Estatal, 8</w:t>
      </w:r>
      <w:r>
        <w:rPr>
          <w:rFonts w:ascii="Times New Roman" w:eastAsia="Times New Roman" w:hAnsi="Times New Roman" w:cs="Times New Roman"/>
        </w:rPr>
        <w:t>(10), 177–182.</w:t>
      </w:r>
    </w:p>
    <w:p w14:paraId="40BA6F74"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Freire, P. (2015). </w:t>
      </w:r>
      <w:r>
        <w:rPr>
          <w:rFonts w:ascii="Times New Roman" w:eastAsia="Times New Roman" w:hAnsi="Times New Roman" w:cs="Times New Roman"/>
          <w:i/>
          <w:iCs/>
        </w:rPr>
        <w:t>Pedagogía del oprimido</w:t>
      </w:r>
      <w:r>
        <w:rPr>
          <w:rFonts w:ascii="Times New Roman" w:eastAsia="Times New Roman" w:hAnsi="Times New Roman" w:cs="Times New Roman"/>
        </w:rPr>
        <w:t xml:space="preserve"> (Obra original publicada en 1970). </w:t>
      </w:r>
      <w:proofErr w:type="spellStart"/>
      <w:r w:rsidRPr="00377429">
        <w:rPr>
          <w:rFonts w:ascii="Times New Roman" w:eastAsia="Times New Roman" w:hAnsi="Times New Roman" w:cs="Times New Roman"/>
          <w:lang w:val="en-GB"/>
        </w:rPr>
        <w:t>Siglo</w:t>
      </w:r>
      <w:proofErr w:type="spellEnd"/>
      <w:r w:rsidRPr="00377429">
        <w:rPr>
          <w:rFonts w:ascii="Times New Roman" w:eastAsia="Times New Roman" w:hAnsi="Times New Roman" w:cs="Times New Roman"/>
          <w:lang w:val="en-GB"/>
        </w:rPr>
        <w:t xml:space="preserve"> XXI </w:t>
      </w:r>
      <w:proofErr w:type="spellStart"/>
      <w:r w:rsidRPr="00377429">
        <w:rPr>
          <w:rFonts w:ascii="Times New Roman" w:eastAsia="Times New Roman" w:hAnsi="Times New Roman" w:cs="Times New Roman"/>
          <w:lang w:val="en-GB"/>
        </w:rPr>
        <w:t>Editores</w:t>
      </w:r>
      <w:proofErr w:type="spellEnd"/>
      <w:r w:rsidRPr="00377429">
        <w:rPr>
          <w:rFonts w:ascii="Times New Roman" w:eastAsia="Times New Roman" w:hAnsi="Times New Roman" w:cs="Times New Roman"/>
          <w:lang w:val="en-GB"/>
        </w:rPr>
        <w:t>.</w:t>
      </w:r>
    </w:p>
    <w:p w14:paraId="4B5292CD" w14:textId="77777777" w:rsidR="0048655E" w:rsidRDefault="0048655E" w:rsidP="0048655E">
      <w:pPr>
        <w:spacing w:before="280" w:after="280" w:line="240" w:lineRule="auto"/>
        <w:ind w:left="567" w:hanging="567"/>
        <w:rPr>
          <w:rFonts w:ascii="Times New Roman" w:eastAsia="Times New Roman" w:hAnsi="Times New Roman" w:cs="Times New Roman"/>
        </w:rPr>
      </w:pPr>
      <w:r w:rsidRPr="00377429">
        <w:rPr>
          <w:rFonts w:ascii="Times New Roman" w:eastAsia="Times New Roman" w:hAnsi="Times New Roman" w:cs="Times New Roman"/>
          <w:lang w:val="en-GB"/>
        </w:rPr>
        <w:t xml:space="preserve">Holland, A. C. (2018). Diminished expectations: Redistributive preferences in truncated welfare states. </w:t>
      </w:r>
      <w:r>
        <w:rPr>
          <w:rFonts w:ascii="Times New Roman" w:eastAsia="Times New Roman" w:hAnsi="Times New Roman" w:cs="Times New Roman"/>
          <w:i/>
          <w:iCs/>
        </w:rPr>
        <w:t>World Politics, 70</w:t>
      </w:r>
      <w:r>
        <w:rPr>
          <w:rFonts w:ascii="Times New Roman" w:eastAsia="Times New Roman" w:hAnsi="Times New Roman" w:cs="Times New Roman"/>
        </w:rPr>
        <w:t xml:space="preserve">(4), 555–594. </w:t>
      </w:r>
    </w:p>
    <w:p w14:paraId="39D69E43"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Labraña, J., Brunner, J. J., y Álvarez, J. (2019). Entre el centro cultural y la periferia organizacional: La educación superior en América Latina desde la teoría de sistemas-mundo de Wallerstein. </w:t>
      </w:r>
      <w:proofErr w:type="spellStart"/>
      <w:r w:rsidRPr="00377429">
        <w:rPr>
          <w:rFonts w:ascii="Times New Roman" w:eastAsia="Times New Roman" w:hAnsi="Times New Roman" w:cs="Times New Roman"/>
          <w:i/>
          <w:iCs/>
          <w:lang w:val="en-GB"/>
        </w:rPr>
        <w:t>Estudios</w:t>
      </w:r>
      <w:proofErr w:type="spellEnd"/>
      <w:r w:rsidRPr="00377429">
        <w:rPr>
          <w:rFonts w:ascii="Times New Roman" w:eastAsia="Times New Roman" w:hAnsi="Times New Roman" w:cs="Times New Roman"/>
          <w:i/>
          <w:iCs/>
          <w:lang w:val="en-GB"/>
        </w:rPr>
        <w:t xml:space="preserve"> </w:t>
      </w:r>
      <w:proofErr w:type="spellStart"/>
      <w:r w:rsidRPr="00377429">
        <w:rPr>
          <w:rFonts w:ascii="Times New Roman" w:eastAsia="Times New Roman" w:hAnsi="Times New Roman" w:cs="Times New Roman"/>
          <w:i/>
          <w:iCs/>
          <w:lang w:val="en-GB"/>
        </w:rPr>
        <w:t>Públicos</w:t>
      </w:r>
      <w:proofErr w:type="spellEnd"/>
      <w:r w:rsidRPr="00377429">
        <w:rPr>
          <w:rFonts w:ascii="Times New Roman" w:eastAsia="Times New Roman" w:hAnsi="Times New Roman" w:cs="Times New Roman"/>
          <w:i/>
          <w:iCs/>
          <w:lang w:val="en-GB"/>
        </w:rPr>
        <w:t>, 156</w:t>
      </w:r>
      <w:r w:rsidRPr="00377429">
        <w:rPr>
          <w:rFonts w:ascii="Times New Roman" w:eastAsia="Times New Roman" w:hAnsi="Times New Roman" w:cs="Times New Roman"/>
          <w:lang w:val="en-GB"/>
        </w:rPr>
        <w:t>, 107–141.</w:t>
      </w:r>
    </w:p>
    <w:p w14:paraId="7982375E"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sidRPr="00377429">
        <w:rPr>
          <w:rFonts w:ascii="Times New Roman" w:eastAsia="Times New Roman" w:hAnsi="Times New Roman" w:cs="Times New Roman"/>
          <w:lang w:val="en-GB"/>
        </w:rPr>
        <w:t xml:space="preserve">Livingstone, D. N. (2003). </w:t>
      </w:r>
      <w:r w:rsidRPr="00377429">
        <w:rPr>
          <w:rFonts w:ascii="Times New Roman" w:eastAsia="Times New Roman" w:hAnsi="Times New Roman" w:cs="Times New Roman"/>
          <w:i/>
          <w:iCs/>
          <w:lang w:val="en-GB"/>
        </w:rPr>
        <w:t>Putting science in its place: Geographies of scientific knowledge</w:t>
      </w:r>
      <w:r w:rsidRPr="00377429">
        <w:rPr>
          <w:rFonts w:ascii="Times New Roman" w:eastAsia="Times New Roman" w:hAnsi="Times New Roman" w:cs="Times New Roman"/>
          <w:lang w:val="en-GB"/>
        </w:rPr>
        <w:t>. University of Chicago Press.</w:t>
      </w:r>
    </w:p>
    <w:p w14:paraId="139318D9"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sidRPr="00377429">
        <w:rPr>
          <w:rFonts w:ascii="Times New Roman" w:eastAsia="Times New Roman" w:hAnsi="Times New Roman" w:cs="Times New Roman"/>
          <w:lang w:val="en-GB"/>
        </w:rPr>
        <w:t xml:space="preserve">Massey, D. (2008). </w:t>
      </w:r>
      <w:r w:rsidRPr="00377429">
        <w:rPr>
          <w:rFonts w:ascii="Times New Roman" w:eastAsia="Times New Roman" w:hAnsi="Times New Roman" w:cs="Times New Roman"/>
          <w:i/>
          <w:iCs/>
          <w:lang w:val="en-GB"/>
        </w:rPr>
        <w:t>For space</w:t>
      </w:r>
      <w:r w:rsidRPr="00377429">
        <w:rPr>
          <w:rFonts w:ascii="Times New Roman" w:eastAsia="Times New Roman" w:hAnsi="Times New Roman" w:cs="Times New Roman"/>
          <w:lang w:val="en-GB"/>
        </w:rPr>
        <w:t>. SAGE.</w:t>
      </w:r>
    </w:p>
    <w:p w14:paraId="0D2CEE83" w14:textId="77777777" w:rsidR="0048655E" w:rsidRDefault="0048655E" w:rsidP="0048655E">
      <w:pPr>
        <w:spacing w:before="280" w:after="280" w:line="240" w:lineRule="auto"/>
        <w:ind w:left="567" w:hanging="567"/>
        <w:rPr>
          <w:rFonts w:ascii="Times New Roman" w:eastAsia="Times New Roman" w:hAnsi="Times New Roman" w:cs="Times New Roman"/>
        </w:rPr>
      </w:pPr>
      <w:proofErr w:type="spellStart"/>
      <w:r w:rsidRPr="00377429">
        <w:rPr>
          <w:rFonts w:ascii="Times New Roman" w:eastAsia="Times New Roman" w:hAnsi="Times New Roman" w:cs="Times New Roman"/>
          <w:lang w:val="en-GB"/>
        </w:rPr>
        <w:t>Melián</w:t>
      </w:r>
      <w:proofErr w:type="spellEnd"/>
      <w:r w:rsidRPr="00377429">
        <w:rPr>
          <w:rFonts w:ascii="Times New Roman" w:eastAsia="Times New Roman" w:hAnsi="Times New Roman" w:cs="Times New Roman"/>
          <w:lang w:val="en-GB"/>
        </w:rPr>
        <w:t xml:space="preserve">, I., y Sánchez </w:t>
      </w:r>
      <w:proofErr w:type="spellStart"/>
      <w:r w:rsidRPr="00377429">
        <w:rPr>
          <w:rFonts w:ascii="Times New Roman" w:eastAsia="Times New Roman" w:hAnsi="Times New Roman" w:cs="Times New Roman"/>
          <w:lang w:val="en-GB"/>
        </w:rPr>
        <w:t>Macchioli</w:t>
      </w:r>
      <w:proofErr w:type="spellEnd"/>
      <w:r w:rsidRPr="00377429">
        <w:rPr>
          <w:rFonts w:ascii="Times New Roman" w:eastAsia="Times New Roman" w:hAnsi="Times New Roman" w:cs="Times New Roman"/>
          <w:lang w:val="en-GB"/>
        </w:rPr>
        <w:t xml:space="preserve">, P. (2023). </w:t>
      </w:r>
      <w:r>
        <w:rPr>
          <w:rFonts w:ascii="Times New Roman" w:eastAsia="Times New Roman" w:hAnsi="Times New Roman" w:cs="Times New Roman"/>
        </w:rPr>
        <w:t xml:space="preserve">La matemática no funciona: Saberes, autogestión y desarrollo productivo en territorios de alta exclusión social. </w:t>
      </w:r>
      <w:r>
        <w:rPr>
          <w:rFonts w:ascii="Times New Roman" w:eastAsia="Times New Roman" w:hAnsi="Times New Roman" w:cs="Times New Roman"/>
          <w:i/>
          <w:iCs/>
        </w:rPr>
        <w:t>Cuadernos del CENDES, 112</w:t>
      </w:r>
      <w:r>
        <w:rPr>
          <w:rFonts w:ascii="Times New Roman" w:eastAsia="Times New Roman" w:hAnsi="Times New Roman" w:cs="Times New Roman"/>
        </w:rPr>
        <w:t>, 43–72.</w:t>
      </w:r>
    </w:p>
    <w:p w14:paraId="0FC6DB7A"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Meyer, J. W., Ramirez, F. O., Frank, D. J., y Schofer, E. (2007). </w:t>
      </w:r>
      <w:r w:rsidRPr="00377429">
        <w:rPr>
          <w:rFonts w:ascii="Times New Roman" w:eastAsia="Times New Roman" w:hAnsi="Times New Roman" w:cs="Times New Roman"/>
          <w:lang w:val="en-GB"/>
        </w:rPr>
        <w:t xml:space="preserve">Higher education as an institution. </w:t>
      </w:r>
      <w:proofErr w:type="spellStart"/>
      <w:r w:rsidRPr="00377429">
        <w:rPr>
          <w:rFonts w:ascii="Times New Roman" w:eastAsia="Times New Roman" w:hAnsi="Times New Roman" w:cs="Times New Roman"/>
          <w:lang w:val="en-GB"/>
        </w:rPr>
        <w:t>En</w:t>
      </w:r>
      <w:proofErr w:type="spellEnd"/>
      <w:r w:rsidRPr="00377429">
        <w:rPr>
          <w:rFonts w:ascii="Times New Roman" w:eastAsia="Times New Roman" w:hAnsi="Times New Roman" w:cs="Times New Roman"/>
          <w:lang w:val="en-GB"/>
        </w:rPr>
        <w:t xml:space="preserve"> P. </w:t>
      </w:r>
      <w:proofErr w:type="spellStart"/>
      <w:r w:rsidRPr="00377429">
        <w:rPr>
          <w:rFonts w:ascii="Times New Roman" w:eastAsia="Times New Roman" w:hAnsi="Times New Roman" w:cs="Times New Roman"/>
          <w:lang w:val="en-GB"/>
        </w:rPr>
        <w:t>Gumport</w:t>
      </w:r>
      <w:proofErr w:type="spellEnd"/>
      <w:r w:rsidRPr="00377429">
        <w:rPr>
          <w:rFonts w:ascii="Times New Roman" w:eastAsia="Times New Roman" w:hAnsi="Times New Roman" w:cs="Times New Roman"/>
          <w:lang w:val="en-GB"/>
        </w:rPr>
        <w:t xml:space="preserve"> (Ed.), </w:t>
      </w:r>
      <w:r w:rsidRPr="00377429">
        <w:rPr>
          <w:rFonts w:ascii="Times New Roman" w:eastAsia="Times New Roman" w:hAnsi="Times New Roman" w:cs="Times New Roman"/>
          <w:i/>
          <w:iCs/>
          <w:lang w:val="en-GB"/>
        </w:rPr>
        <w:t>The sociology of higher education</w:t>
      </w:r>
      <w:r w:rsidRPr="00377429">
        <w:rPr>
          <w:rFonts w:ascii="Times New Roman" w:eastAsia="Times New Roman" w:hAnsi="Times New Roman" w:cs="Times New Roman"/>
          <w:lang w:val="en-GB"/>
        </w:rPr>
        <w:t xml:space="preserve"> (pp. 187–221). Johns Hopkins University Press.</w:t>
      </w:r>
    </w:p>
    <w:p w14:paraId="5ADEA086"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sidRPr="00377429">
        <w:rPr>
          <w:rFonts w:ascii="Times New Roman" w:eastAsia="Times New Roman" w:hAnsi="Times New Roman" w:cs="Times New Roman"/>
          <w:lang w:val="en-GB"/>
        </w:rPr>
        <w:t xml:space="preserve">Mora, J. G., Aguiar Serra, M., y Vieira, M. J. (2017). Social engagement in Latin American universities. </w:t>
      </w:r>
      <w:r w:rsidRPr="00377429">
        <w:rPr>
          <w:rFonts w:ascii="Times New Roman" w:eastAsia="Times New Roman" w:hAnsi="Times New Roman" w:cs="Times New Roman"/>
          <w:i/>
          <w:iCs/>
          <w:lang w:val="en-GB"/>
        </w:rPr>
        <w:t>Higher Education Policy</w:t>
      </w:r>
      <w:r w:rsidRPr="00377429">
        <w:rPr>
          <w:rFonts w:ascii="Times New Roman" w:eastAsia="Times New Roman" w:hAnsi="Times New Roman" w:cs="Times New Roman"/>
          <w:lang w:val="en-GB"/>
        </w:rPr>
        <w:t>. https://doi.org/10.1057/s41307-017-0069-1</w:t>
      </w:r>
    </w:p>
    <w:p w14:paraId="29C12047" w14:textId="77777777" w:rsidR="0048655E" w:rsidRDefault="0048655E" w:rsidP="0048655E">
      <w:pPr>
        <w:spacing w:before="280" w:after="280" w:line="240" w:lineRule="auto"/>
        <w:ind w:left="567" w:hanging="567"/>
        <w:rPr>
          <w:rFonts w:ascii="Times New Roman" w:eastAsia="Times New Roman" w:hAnsi="Times New Roman" w:cs="Times New Roman"/>
        </w:rPr>
      </w:pPr>
      <w:r w:rsidRPr="00377429">
        <w:rPr>
          <w:rFonts w:ascii="Times New Roman" w:eastAsia="Times New Roman" w:hAnsi="Times New Roman" w:cs="Times New Roman"/>
          <w:lang w:val="en-GB"/>
        </w:rPr>
        <w:t xml:space="preserve">Mu, E., y Pereyra-Rojas, M. (2015). Impact on society versus impact on knowledge. </w:t>
      </w:r>
      <w:r>
        <w:rPr>
          <w:rFonts w:ascii="Times New Roman" w:eastAsia="Times New Roman" w:hAnsi="Times New Roman" w:cs="Times New Roman"/>
          <w:i/>
          <w:iCs/>
        </w:rPr>
        <w:t>Latin American Research Review, 50</w:t>
      </w:r>
      <w:r>
        <w:rPr>
          <w:rFonts w:ascii="Times New Roman" w:eastAsia="Times New Roman" w:hAnsi="Times New Roman" w:cs="Times New Roman"/>
        </w:rPr>
        <w:t>(2).</w:t>
      </w:r>
    </w:p>
    <w:p w14:paraId="71001756"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Munck, G. (2024). Estados semipatrimoniales y democracias duraderas de baja calidad en América Latina. </w:t>
      </w:r>
      <w:r>
        <w:rPr>
          <w:rFonts w:ascii="Times New Roman" w:eastAsia="Times New Roman" w:hAnsi="Times New Roman" w:cs="Times New Roman"/>
          <w:i/>
          <w:iCs/>
        </w:rPr>
        <w:t>Revista Mexicana de Sociología, 86</w:t>
      </w:r>
      <w:r>
        <w:rPr>
          <w:rFonts w:ascii="Times New Roman" w:eastAsia="Times New Roman" w:hAnsi="Times New Roman" w:cs="Times New Roman"/>
        </w:rPr>
        <w:t>(Número especial), 53–88.</w:t>
      </w:r>
    </w:p>
    <w:p w14:paraId="2B8C2C63"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Oszlak, O., Camou, A., y Soprano, G. (2007). Entrevista a Oscar Oszlak: Reflexiones sobre investigación, gestión y consultoría en organizaciones públicas. </w:t>
      </w:r>
      <w:r>
        <w:rPr>
          <w:rFonts w:ascii="Times New Roman" w:eastAsia="Times New Roman" w:hAnsi="Times New Roman" w:cs="Times New Roman"/>
          <w:i/>
          <w:iCs/>
        </w:rPr>
        <w:t>Cuestiones de Sociología, 4</w:t>
      </w:r>
      <w:r>
        <w:rPr>
          <w:rFonts w:ascii="Times New Roman" w:eastAsia="Times New Roman" w:hAnsi="Times New Roman" w:cs="Times New Roman"/>
        </w:rPr>
        <w:t>, 187–210.</w:t>
      </w:r>
    </w:p>
    <w:p w14:paraId="3B8FAC41"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Ossenbach, G., y Scagliola, G. (2021). Universidades populares y experiencias de extensión educativa en América Latina en la primera mitad del siglo XX. </w:t>
      </w:r>
      <w:r>
        <w:rPr>
          <w:rFonts w:ascii="Times New Roman" w:eastAsia="Times New Roman" w:hAnsi="Times New Roman" w:cs="Times New Roman"/>
          <w:i/>
          <w:iCs/>
        </w:rPr>
        <w:t>Historia Caribe, 16</w:t>
      </w:r>
      <w:r>
        <w:rPr>
          <w:rFonts w:ascii="Times New Roman" w:eastAsia="Times New Roman" w:hAnsi="Times New Roman" w:cs="Times New Roman"/>
        </w:rPr>
        <w:t>(38), 15–34.</w:t>
      </w:r>
    </w:p>
    <w:p w14:paraId="11D00EBC"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lastRenderedPageBreak/>
        <w:t xml:space="preserve">Pinto, A. (1970). Naturaleza e implicaciones de la heterogeneidad estructural de América Latina. </w:t>
      </w:r>
      <w:r w:rsidRPr="00377429">
        <w:rPr>
          <w:rFonts w:ascii="Times New Roman" w:eastAsia="Times New Roman" w:hAnsi="Times New Roman" w:cs="Times New Roman"/>
          <w:i/>
          <w:iCs/>
          <w:lang w:val="en-GB"/>
        </w:rPr>
        <w:t xml:space="preserve">El </w:t>
      </w:r>
      <w:proofErr w:type="spellStart"/>
      <w:r w:rsidRPr="00377429">
        <w:rPr>
          <w:rFonts w:ascii="Times New Roman" w:eastAsia="Times New Roman" w:hAnsi="Times New Roman" w:cs="Times New Roman"/>
          <w:i/>
          <w:iCs/>
          <w:lang w:val="en-GB"/>
        </w:rPr>
        <w:t>Trimestre</w:t>
      </w:r>
      <w:proofErr w:type="spellEnd"/>
      <w:r w:rsidRPr="00377429">
        <w:rPr>
          <w:rFonts w:ascii="Times New Roman" w:eastAsia="Times New Roman" w:hAnsi="Times New Roman" w:cs="Times New Roman"/>
          <w:i/>
          <w:iCs/>
          <w:lang w:val="en-GB"/>
        </w:rPr>
        <w:t xml:space="preserve"> </w:t>
      </w:r>
      <w:proofErr w:type="spellStart"/>
      <w:r w:rsidRPr="00377429">
        <w:rPr>
          <w:rFonts w:ascii="Times New Roman" w:eastAsia="Times New Roman" w:hAnsi="Times New Roman" w:cs="Times New Roman"/>
          <w:i/>
          <w:iCs/>
          <w:lang w:val="en-GB"/>
        </w:rPr>
        <w:t>Económico</w:t>
      </w:r>
      <w:proofErr w:type="spellEnd"/>
      <w:r w:rsidRPr="00377429">
        <w:rPr>
          <w:rFonts w:ascii="Times New Roman" w:eastAsia="Times New Roman" w:hAnsi="Times New Roman" w:cs="Times New Roman"/>
          <w:i/>
          <w:iCs/>
          <w:lang w:val="en-GB"/>
        </w:rPr>
        <w:t>, 37</w:t>
      </w:r>
      <w:r w:rsidRPr="00377429">
        <w:rPr>
          <w:rFonts w:ascii="Times New Roman" w:eastAsia="Times New Roman" w:hAnsi="Times New Roman" w:cs="Times New Roman"/>
          <w:lang w:val="en-GB"/>
        </w:rPr>
        <w:t>(145), 83–100.</w:t>
      </w:r>
    </w:p>
    <w:p w14:paraId="75D202F5" w14:textId="77777777" w:rsidR="0048655E" w:rsidRDefault="0048655E" w:rsidP="0048655E">
      <w:pPr>
        <w:spacing w:before="280" w:after="280" w:line="240" w:lineRule="auto"/>
        <w:ind w:left="567" w:hanging="567"/>
        <w:rPr>
          <w:rFonts w:ascii="Times New Roman" w:eastAsia="Times New Roman" w:hAnsi="Times New Roman" w:cs="Times New Roman"/>
        </w:rPr>
      </w:pPr>
      <w:r w:rsidRPr="00377429">
        <w:rPr>
          <w:rFonts w:ascii="Times New Roman" w:eastAsia="Times New Roman" w:hAnsi="Times New Roman" w:cs="Times New Roman"/>
          <w:lang w:val="en-GB"/>
        </w:rPr>
        <w:t xml:space="preserve">Prandini Assis, M., y </w:t>
      </w:r>
      <w:proofErr w:type="spellStart"/>
      <w:r w:rsidRPr="00377429">
        <w:rPr>
          <w:rFonts w:ascii="Times New Roman" w:eastAsia="Times New Roman" w:hAnsi="Times New Roman" w:cs="Times New Roman"/>
          <w:lang w:val="en-GB"/>
        </w:rPr>
        <w:t>Eslava</w:t>
      </w:r>
      <w:proofErr w:type="spellEnd"/>
      <w:r w:rsidRPr="00377429">
        <w:rPr>
          <w:rFonts w:ascii="Times New Roman" w:eastAsia="Times New Roman" w:hAnsi="Times New Roman" w:cs="Times New Roman"/>
          <w:lang w:val="en-GB"/>
        </w:rPr>
        <w:t xml:space="preserve">, L. (2025). </w:t>
      </w:r>
      <w:proofErr w:type="spellStart"/>
      <w:r w:rsidRPr="00377429">
        <w:rPr>
          <w:rFonts w:ascii="Times New Roman" w:eastAsia="Times New Roman" w:hAnsi="Times New Roman" w:cs="Times New Roman"/>
          <w:lang w:val="en-GB"/>
        </w:rPr>
        <w:t>Investigación</w:t>
      </w:r>
      <w:proofErr w:type="spellEnd"/>
      <w:r w:rsidRPr="00377429">
        <w:rPr>
          <w:rFonts w:ascii="Times New Roman" w:eastAsia="Times New Roman" w:hAnsi="Times New Roman" w:cs="Times New Roman"/>
          <w:lang w:val="en-GB"/>
        </w:rPr>
        <w:t xml:space="preserve"> </w:t>
      </w:r>
      <w:proofErr w:type="spellStart"/>
      <w:r w:rsidRPr="00377429">
        <w:rPr>
          <w:rFonts w:ascii="Times New Roman" w:eastAsia="Times New Roman" w:hAnsi="Times New Roman" w:cs="Times New Roman"/>
          <w:lang w:val="en-GB"/>
        </w:rPr>
        <w:t>militante</w:t>
      </w:r>
      <w:proofErr w:type="spellEnd"/>
      <w:r w:rsidRPr="00377429">
        <w:rPr>
          <w:rFonts w:ascii="Times New Roman" w:eastAsia="Times New Roman" w:hAnsi="Times New Roman" w:cs="Times New Roman"/>
          <w:lang w:val="en-GB"/>
        </w:rPr>
        <w:t xml:space="preserve">: Thinking–doing–living law and society in troubled times. </w:t>
      </w:r>
      <w:r>
        <w:rPr>
          <w:rFonts w:ascii="Times New Roman" w:eastAsia="Times New Roman" w:hAnsi="Times New Roman" w:cs="Times New Roman"/>
          <w:i/>
          <w:iCs/>
        </w:rPr>
        <w:t>International Journal of Law in Context, 21</w:t>
      </w:r>
      <w:r>
        <w:rPr>
          <w:rFonts w:ascii="Times New Roman" w:eastAsia="Times New Roman" w:hAnsi="Times New Roman" w:cs="Times New Roman"/>
        </w:rPr>
        <w:t xml:space="preserve">, 588–606. </w:t>
      </w:r>
    </w:p>
    <w:p w14:paraId="14C867D8"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Repetto, F. (2009). </w:t>
      </w:r>
      <w:r>
        <w:rPr>
          <w:rFonts w:ascii="Times New Roman" w:eastAsia="Times New Roman" w:hAnsi="Times New Roman" w:cs="Times New Roman"/>
          <w:i/>
          <w:iCs/>
        </w:rPr>
        <w:t>Coordinación y gestión pública integral en América Latina</w:t>
      </w:r>
      <w:r>
        <w:rPr>
          <w:rFonts w:ascii="Times New Roman" w:eastAsia="Times New Roman" w:hAnsi="Times New Roman" w:cs="Times New Roman"/>
        </w:rPr>
        <w:t>. ENAP.</w:t>
      </w:r>
    </w:p>
    <w:p w14:paraId="67448017"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RICYT. (2025). </w:t>
      </w:r>
      <w:r>
        <w:rPr>
          <w:rFonts w:ascii="Times New Roman" w:eastAsia="Times New Roman" w:hAnsi="Times New Roman" w:cs="Times New Roman"/>
          <w:i/>
          <w:iCs/>
        </w:rPr>
        <w:t>El estado de la ciencia: Principales indicadores de ciencia y tecnología</w:t>
      </w:r>
      <w:r>
        <w:rPr>
          <w:rFonts w:ascii="Times New Roman" w:eastAsia="Times New Roman" w:hAnsi="Times New Roman" w:cs="Times New Roman"/>
        </w:rPr>
        <w:t>. OEI; UNESCO.</w:t>
      </w:r>
    </w:p>
    <w:p w14:paraId="49F2DC27"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Salvia, A. (2013). Heterogeneidad estructural y desigualdad social en la Argentina. </w:t>
      </w:r>
      <w:r>
        <w:rPr>
          <w:rFonts w:ascii="Times New Roman" w:eastAsia="Times New Roman" w:hAnsi="Times New Roman" w:cs="Times New Roman"/>
          <w:i/>
          <w:iCs/>
        </w:rPr>
        <w:t>Revista de Investigación en Ciencias Sociales, 84</w:t>
      </w:r>
      <w:r>
        <w:rPr>
          <w:rFonts w:ascii="Times New Roman" w:eastAsia="Times New Roman" w:hAnsi="Times New Roman" w:cs="Times New Roman"/>
        </w:rPr>
        <w:t>, 46–55.</w:t>
      </w:r>
    </w:p>
    <w:p w14:paraId="04F4B04B"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Sánchez Macchioli, P., y Di Bello, M. (2022). Universidad, saberes y espacialidad en las interacciones entre académicos y actores locales. </w:t>
      </w:r>
      <w:r>
        <w:rPr>
          <w:rFonts w:ascii="Times New Roman" w:eastAsia="Times New Roman" w:hAnsi="Times New Roman" w:cs="Times New Roman"/>
          <w:i/>
          <w:iCs/>
        </w:rPr>
        <w:t>Revista Sudamérica, 16</w:t>
      </w:r>
      <w:r>
        <w:rPr>
          <w:rFonts w:ascii="Times New Roman" w:eastAsia="Times New Roman" w:hAnsi="Times New Roman" w:cs="Times New Roman"/>
        </w:rPr>
        <w:t>, 144–175.</w:t>
      </w:r>
    </w:p>
    <w:p w14:paraId="3A1BE4D8"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Sánchez Macchioli, P. (2024). </w:t>
      </w:r>
      <w:r>
        <w:rPr>
          <w:rFonts w:ascii="Times New Roman" w:eastAsia="Times New Roman" w:hAnsi="Times New Roman" w:cs="Times New Roman"/>
          <w:i/>
          <w:iCs/>
        </w:rPr>
        <w:t>Interacciones, saberes y espacialidad en entornos vulnerables</w:t>
      </w:r>
      <w:r>
        <w:rPr>
          <w:rFonts w:ascii="Times New Roman" w:eastAsia="Times New Roman" w:hAnsi="Times New Roman" w:cs="Times New Roman"/>
        </w:rPr>
        <w:t xml:space="preserve"> (Tesis doctoral). Universidad Nacional de Quilmes.</w:t>
      </w:r>
    </w:p>
    <w:p w14:paraId="5B2703C4"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Schofer, E., y Meyer, J. W. (2005). </w:t>
      </w:r>
      <w:r w:rsidRPr="00377429">
        <w:rPr>
          <w:rFonts w:ascii="Times New Roman" w:eastAsia="Times New Roman" w:hAnsi="Times New Roman" w:cs="Times New Roman"/>
          <w:lang w:val="en-GB"/>
        </w:rPr>
        <w:t xml:space="preserve">The worldwide expansion of higher education. </w:t>
      </w:r>
      <w:r w:rsidRPr="00377429">
        <w:rPr>
          <w:rFonts w:ascii="Times New Roman" w:eastAsia="Times New Roman" w:hAnsi="Times New Roman" w:cs="Times New Roman"/>
          <w:i/>
          <w:iCs/>
          <w:lang w:val="en-GB"/>
        </w:rPr>
        <w:t>American Sociological Review, 70</w:t>
      </w:r>
      <w:r w:rsidRPr="00377429">
        <w:rPr>
          <w:rFonts w:ascii="Times New Roman" w:eastAsia="Times New Roman" w:hAnsi="Times New Roman" w:cs="Times New Roman"/>
          <w:lang w:val="en-GB"/>
        </w:rPr>
        <w:t>(6), 898–920.</w:t>
      </w:r>
    </w:p>
    <w:p w14:paraId="02C8531E" w14:textId="77777777" w:rsidR="0048655E" w:rsidRDefault="0048655E" w:rsidP="0048655E">
      <w:pPr>
        <w:spacing w:before="280" w:after="280" w:line="240" w:lineRule="auto"/>
        <w:ind w:left="567" w:hanging="567"/>
        <w:rPr>
          <w:rFonts w:ascii="Times New Roman" w:eastAsia="Times New Roman" w:hAnsi="Times New Roman" w:cs="Times New Roman"/>
        </w:rPr>
      </w:pPr>
      <w:r w:rsidRPr="00377429">
        <w:rPr>
          <w:rFonts w:ascii="Times New Roman" w:eastAsia="Times New Roman" w:hAnsi="Times New Roman" w:cs="Times New Roman"/>
          <w:lang w:val="en-GB"/>
        </w:rPr>
        <w:t xml:space="preserve">Slaughter, S., y Rhoades, G. (2004). </w:t>
      </w:r>
      <w:r w:rsidRPr="00377429">
        <w:rPr>
          <w:rFonts w:ascii="Times New Roman" w:eastAsia="Times New Roman" w:hAnsi="Times New Roman" w:cs="Times New Roman"/>
          <w:i/>
          <w:iCs/>
          <w:lang w:val="en-GB"/>
        </w:rPr>
        <w:t>Academic capitalism and the new economy</w:t>
      </w:r>
      <w:r w:rsidRPr="00377429">
        <w:rPr>
          <w:rFonts w:ascii="Times New Roman" w:eastAsia="Times New Roman" w:hAnsi="Times New Roman" w:cs="Times New Roman"/>
          <w:lang w:val="en-GB"/>
        </w:rPr>
        <w:t xml:space="preserve">. </w:t>
      </w:r>
      <w:r>
        <w:rPr>
          <w:rFonts w:ascii="Times New Roman" w:eastAsia="Times New Roman" w:hAnsi="Times New Roman" w:cs="Times New Roman"/>
        </w:rPr>
        <w:t>Johns Hopkins University Press.</w:t>
      </w:r>
    </w:p>
    <w:p w14:paraId="5A29625D"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Spiller, P., y Tommasi, M. (2011). Un país sin rumbo. En C. Scartascini et al. (Eds.), </w:t>
      </w:r>
      <w:r>
        <w:rPr>
          <w:rFonts w:ascii="Times New Roman" w:eastAsia="Times New Roman" w:hAnsi="Times New Roman" w:cs="Times New Roman"/>
          <w:i/>
          <w:iCs/>
        </w:rPr>
        <w:t>El juego político en América Latina</w:t>
      </w:r>
      <w:r>
        <w:rPr>
          <w:rFonts w:ascii="Times New Roman" w:eastAsia="Times New Roman" w:hAnsi="Times New Roman" w:cs="Times New Roman"/>
        </w:rPr>
        <w:t xml:space="preserve"> (pp. 75–115). BID.</w:t>
      </w:r>
    </w:p>
    <w:p w14:paraId="00AF7A09" w14:textId="77777777" w:rsidR="0048655E" w:rsidRPr="00377429" w:rsidRDefault="0048655E" w:rsidP="0048655E">
      <w:pPr>
        <w:spacing w:before="280" w:after="280" w:line="240" w:lineRule="auto"/>
        <w:ind w:left="567" w:hanging="567"/>
        <w:rPr>
          <w:rFonts w:ascii="Times New Roman" w:eastAsia="Times New Roman" w:hAnsi="Times New Roman" w:cs="Times New Roman"/>
          <w:lang w:val="en-GB"/>
        </w:rPr>
      </w:pPr>
      <w:r>
        <w:rPr>
          <w:rFonts w:ascii="Times New Roman" w:eastAsia="Times New Roman" w:hAnsi="Times New Roman" w:cs="Times New Roman"/>
        </w:rPr>
        <w:t xml:space="preserve">Spiller, P. T., Stein, E. H., Tommasi, M., Scartascini, C., et al. </w:t>
      </w:r>
      <w:r w:rsidRPr="00377429">
        <w:rPr>
          <w:rFonts w:ascii="Times New Roman" w:eastAsia="Times New Roman" w:hAnsi="Times New Roman" w:cs="Times New Roman"/>
          <w:lang w:val="en-GB"/>
        </w:rPr>
        <w:t xml:space="preserve">(2011). </w:t>
      </w:r>
      <w:r w:rsidRPr="00377429">
        <w:rPr>
          <w:rFonts w:ascii="Times New Roman" w:eastAsia="Times New Roman" w:hAnsi="Times New Roman" w:cs="Times New Roman"/>
          <w:i/>
          <w:iCs/>
          <w:lang w:val="en-GB"/>
        </w:rPr>
        <w:t>Policymaking in Latin America: How politics shapes policies</w:t>
      </w:r>
      <w:r w:rsidRPr="00377429">
        <w:rPr>
          <w:rFonts w:ascii="Times New Roman" w:eastAsia="Times New Roman" w:hAnsi="Times New Roman" w:cs="Times New Roman"/>
          <w:lang w:val="en-GB"/>
        </w:rPr>
        <w:t xml:space="preserve">. </w:t>
      </w:r>
      <w:hyperlink r:id="rId6">
        <w:r w:rsidRPr="00377429">
          <w:rPr>
            <w:rFonts w:ascii="Times New Roman" w:eastAsia="Times New Roman" w:hAnsi="Times New Roman" w:cs="Times New Roman"/>
            <w:color w:val="0000FF"/>
            <w:u w:val="single"/>
            <w:lang w:val="en-GB"/>
          </w:rPr>
          <w:t>https://doi.org/10.18235/0012350</w:t>
        </w:r>
      </w:hyperlink>
    </w:p>
    <w:p w14:paraId="66E95321"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Thomas, H. E. (2024). Tecnologías para la inclusión social en América Latina. Universidad Nacional Guillermo Brown.</w:t>
      </w:r>
    </w:p>
    <w:p w14:paraId="20270B1C"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Tünnermann Bernheim, C. (2008). </w:t>
      </w:r>
      <w:r>
        <w:rPr>
          <w:rFonts w:ascii="Times New Roman" w:eastAsia="Times New Roman" w:hAnsi="Times New Roman" w:cs="Times New Roman"/>
          <w:i/>
          <w:iCs/>
        </w:rPr>
        <w:t>Noventa años de la Reforma Universitaria de Córdoba</w:t>
      </w:r>
      <w:r>
        <w:rPr>
          <w:rFonts w:ascii="Times New Roman" w:eastAsia="Times New Roman" w:hAnsi="Times New Roman" w:cs="Times New Roman"/>
        </w:rPr>
        <w:t>. CLACSO.</w:t>
      </w:r>
    </w:p>
    <w:p w14:paraId="14E1E241"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Vallaeys, F. (2014). La responsabilidad social universitaria. </w:t>
      </w:r>
      <w:r>
        <w:rPr>
          <w:rFonts w:ascii="Times New Roman" w:eastAsia="Times New Roman" w:hAnsi="Times New Roman" w:cs="Times New Roman"/>
          <w:i/>
          <w:iCs/>
        </w:rPr>
        <w:t>Revista Iberoamericana de Educación Superior, 5</w:t>
      </w:r>
      <w:r>
        <w:rPr>
          <w:rFonts w:ascii="Times New Roman" w:eastAsia="Times New Roman" w:hAnsi="Times New Roman" w:cs="Times New Roman"/>
        </w:rPr>
        <w:t>(12), 105–117.</w:t>
      </w:r>
    </w:p>
    <w:p w14:paraId="38B18A1E" w14:textId="77777777" w:rsidR="0048655E" w:rsidRDefault="0048655E" w:rsidP="0048655E">
      <w:pPr>
        <w:spacing w:before="280" w:after="28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Versino, M., Guido, L., y Di Bello, M. (2012). </w:t>
      </w:r>
      <w:r>
        <w:rPr>
          <w:rFonts w:ascii="Times New Roman" w:eastAsia="Times New Roman" w:hAnsi="Times New Roman" w:cs="Times New Roman"/>
          <w:i/>
          <w:iCs/>
        </w:rPr>
        <w:t>Universidades y sociedades</w:t>
      </w:r>
      <w:r>
        <w:rPr>
          <w:rFonts w:ascii="Times New Roman" w:eastAsia="Times New Roman" w:hAnsi="Times New Roman" w:cs="Times New Roman"/>
        </w:rPr>
        <w:t>. Universidad Nacional de General Sarmiento.</w:t>
      </w:r>
    </w:p>
    <w:p w14:paraId="0E0C64B6" w14:textId="77777777" w:rsidR="0048655E" w:rsidRDefault="0048655E" w:rsidP="0048655E">
      <w:pPr>
        <w:spacing w:line="240" w:lineRule="auto"/>
        <w:jc w:val="both"/>
        <w:rPr>
          <w:rFonts w:ascii="Times New Roman" w:eastAsia="Times New Roman" w:hAnsi="Times New Roman" w:cs="Times New Roman"/>
        </w:rPr>
      </w:pPr>
    </w:p>
    <w:p w14:paraId="6BADDAFD" w14:textId="77777777" w:rsidR="0048655E" w:rsidRPr="0048655E" w:rsidRDefault="0048655E" w:rsidP="0048655E">
      <w:pPr>
        <w:spacing w:line="240" w:lineRule="auto"/>
        <w:jc w:val="center"/>
        <w:rPr>
          <w:rFonts w:ascii="Times New Roman" w:hAnsi="Times New Roman" w:cs="Times New Roman"/>
        </w:rPr>
      </w:pPr>
    </w:p>
    <w:sectPr w:rsidR="0048655E" w:rsidRPr="0048655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7BFAF" w14:textId="77777777" w:rsidR="00E26EF4" w:rsidRPr="00BA642E" w:rsidRDefault="00E26EF4" w:rsidP="00C802F5">
      <w:pPr>
        <w:spacing w:after="0" w:line="240" w:lineRule="auto"/>
      </w:pPr>
      <w:r w:rsidRPr="00BA642E">
        <w:separator/>
      </w:r>
    </w:p>
  </w:endnote>
  <w:endnote w:type="continuationSeparator" w:id="0">
    <w:p w14:paraId="5AC8E933" w14:textId="77777777" w:rsidR="00E26EF4" w:rsidRPr="00BA642E" w:rsidRDefault="00E26EF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Footer"/>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E7D8" w14:textId="77777777" w:rsidR="00E26EF4" w:rsidRPr="00BA642E" w:rsidRDefault="00E26EF4" w:rsidP="00C802F5">
      <w:pPr>
        <w:spacing w:after="0" w:line="240" w:lineRule="auto"/>
      </w:pPr>
      <w:r w:rsidRPr="00BA642E">
        <w:separator/>
      </w:r>
    </w:p>
  </w:footnote>
  <w:footnote w:type="continuationSeparator" w:id="0">
    <w:p w14:paraId="09AE2238" w14:textId="77777777" w:rsidR="00E26EF4" w:rsidRPr="00BA642E" w:rsidRDefault="00E26EF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Header"/>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48655E"/>
    <w:rsid w:val="00550766"/>
    <w:rsid w:val="005F3B2E"/>
    <w:rsid w:val="00701F64"/>
    <w:rsid w:val="007B5B5F"/>
    <w:rsid w:val="007C37FC"/>
    <w:rsid w:val="007D233B"/>
    <w:rsid w:val="0085070B"/>
    <w:rsid w:val="00A17247"/>
    <w:rsid w:val="00BA642E"/>
    <w:rsid w:val="00BC236F"/>
    <w:rsid w:val="00C802F5"/>
    <w:rsid w:val="00C96B2C"/>
    <w:rsid w:val="00CC04C1"/>
    <w:rsid w:val="00D843EC"/>
    <w:rsid w:val="00E26EF4"/>
    <w:rsid w:val="00E41AA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styleId="UnresolvedMention">
    <w:name w:val="Unresolved Mention"/>
    <w:basedOn w:val="DefaultParagraphFont"/>
    <w:uiPriority w:val="99"/>
    <w:semiHidden/>
    <w:unhideWhenUsed/>
    <w:rsid w:val="00C802F5"/>
    <w:rPr>
      <w:color w:val="605E5C"/>
      <w:shd w:val="clear" w:color="auto" w:fill="E1DFDD"/>
    </w:rPr>
  </w:style>
  <w:style w:type="character" w:styleId="FootnoteReference">
    <w:name w:val="footnote reference"/>
    <w:basedOn w:val="DefaultParagraphFont"/>
    <w:uiPriority w:val="99"/>
    <w:semiHidden/>
    <w:unhideWhenUsed/>
    <w:rsid w:val="0048655E"/>
    <w:rPr>
      <w:vertAlign w:val="superscript"/>
    </w:rPr>
  </w:style>
  <w:style w:type="paragraph" w:styleId="NormalWeb">
    <w:name w:val="Normal (Web)"/>
    <w:basedOn w:val="Normal"/>
    <w:uiPriority w:val="99"/>
    <w:unhideWhenUsed/>
    <w:rsid w:val="0048655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8235/001235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17</Pages>
  <Words>7893</Words>
  <Characters>39703</Characters>
  <Application>Microsoft Office Word</Application>
  <DocSecurity>0</DocSecurity>
  <Lines>630</Lines>
  <Paragraphs>123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Mariana Di Bello</cp:lastModifiedBy>
  <cp:revision>6</cp:revision>
  <dcterms:created xsi:type="dcterms:W3CDTF">2026-03-14T03:50:00Z</dcterms:created>
  <dcterms:modified xsi:type="dcterms:W3CDTF">2026-06-11T15:00:00Z</dcterms:modified>
</cp:coreProperties>
</file>