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43BC5" w14:textId="77777777" w:rsidR="00140FBC" w:rsidRDefault="00140FBC">
      <w:pPr>
        <w:jc w:val="center"/>
        <w:rPr>
          <w:rFonts w:ascii="Times New Roman" w:eastAsia="Times New Roman" w:hAnsi="Times New Roman" w:cs="Times New Roman"/>
        </w:rPr>
      </w:pPr>
    </w:p>
    <w:p w14:paraId="1545C51E" w14:textId="77777777" w:rsidR="00140FBC" w:rsidRPr="00AE6419" w:rsidRDefault="00000000" w:rsidP="00AE6419">
      <w:pPr>
        <w:jc w:val="center"/>
        <w:rPr>
          <w:rFonts w:ascii="Times New Roman" w:eastAsiaTheme="minorHAnsi" w:hAnsi="Times New Roman" w:cs="Times New Roman"/>
          <w:b/>
          <w:bCs/>
          <w:kern w:val="2"/>
          <w:lang w:eastAsia="en-US"/>
          <w14:ligatures w14:val="standardContextual"/>
        </w:rPr>
      </w:pPr>
      <w:r w:rsidRPr="00AE6419">
        <w:rPr>
          <w:rFonts w:ascii="Times New Roman" w:eastAsiaTheme="minorHAnsi" w:hAnsi="Times New Roman" w:cs="Times New Roman"/>
          <w:b/>
          <w:bCs/>
          <w:kern w:val="2"/>
          <w:lang w:eastAsia="en-US"/>
          <w14:ligatures w14:val="standardContextual"/>
        </w:rPr>
        <w:t xml:space="preserve">Universidad y desarrollo territorial en el conurbano bonaerense: la experiencia de vinculación tecnológica en la UNLaM </w:t>
      </w:r>
    </w:p>
    <w:p w14:paraId="30A7CD7E" w14:textId="77777777" w:rsidR="00140FBC" w:rsidRDefault="00140FBC">
      <w:pPr>
        <w:jc w:val="center"/>
        <w:rPr>
          <w:rFonts w:ascii="Times New Roman" w:eastAsia="Times New Roman" w:hAnsi="Times New Roman" w:cs="Times New Roman"/>
        </w:rPr>
      </w:pPr>
    </w:p>
    <w:p w14:paraId="30831A17" w14:textId="77777777" w:rsidR="00140FBC"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Juárez Marcelo</w:t>
      </w:r>
    </w:p>
    <w:p w14:paraId="308CAA7D" w14:textId="77777777" w:rsidR="00140FBC"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La Matanza</w:t>
      </w:r>
    </w:p>
    <w:p w14:paraId="1F7557DA" w14:textId="77777777" w:rsidR="00140FBC" w:rsidRDefault="00140FBC">
      <w:pPr>
        <w:spacing w:after="0" w:line="240" w:lineRule="auto"/>
        <w:jc w:val="right"/>
        <w:rPr>
          <w:rFonts w:ascii="Times New Roman" w:eastAsia="Times New Roman" w:hAnsi="Times New Roman" w:cs="Times New Roman"/>
        </w:rPr>
      </w:pPr>
      <w:hyperlink r:id="rId8">
        <w:r>
          <w:rPr>
            <w:rFonts w:ascii="Times New Roman" w:eastAsia="Times New Roman" w:hAnsi="Times New Roman" w:cs="Times New Roman"/>
            <w:color w:val="1155CC"/>
            <w:u w:val="single"/>
          </w:rPr>
          <w:t>mjuarez@unlam.edu.ar</w:t>
        </w:r>
      </w:hyperlink>
    </w:p>
    <w:p w14:paraId="73B802E2" w14:textId="77777777" w:rsidR="00140FBC" w:rsidRPr="00AE6419" w:rsidRDefault="00140FBC" w:rsidP="00AE6419">
      <w:pPr>
        <w:rPr>
          <w:rFonts w:ascii="Times New Roman" w:eastAsiaTheme="minorHAnsi" w:hAnsi="Times New Roman" w:cs="Times New Roman"/>
          <w:kern w:val="2"/>
          <w:lang w:eastAsia="en-US"/>
          <w14:ligatures w14:val="standardContextual"/>
        </w:rPr>
      </w:pPr>
    </w:p>
    <w:p w14:paraId="75539D3F" w14:textId="77777777" w:rsidR="00140FBC"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Muiño Marina Victoria</w:t>
      </w:r>
    </w:p>
    <w:p w14:paraId="23C4718D" w14:textId="77777777" w:rsidR="00140FBC"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La Matanza</w:t>
      </w:r>
    </w:p>
    <w:p w14:paraId="4244E4D8" w14:textId="77777777" w:rsidR="00140FBC" w:rsidRDefault="00140FBC">
      <w:pPr>
        <w:spacing w:after="0" w:line="240" w:lineRule="auto"/>
        <w:jc w:val="right"/>
        <w:rPr>
          <w:rFonts w:ascii="Times New Roman" w:eastAsia="Times New Roman" w:hAnsi="Times New Roman" w:cs="Times New Roman"/>
        </w:rPr>
      </w:pPr>
      <w:hyperlink r:id="rId9">
        <w:r>
          <w:rPr>
            <w:rFonts w:ascii="Times New Roman" w:eastAsia="Times New Roman" w:hAnsi="Times New Roman" w:cs="Times New Roman"/>
            <w:color w:val="1155CC"/>
            <w:u w:val="single"/>
          </w:rPr>
          <w:t>mmuino@unlam.edu.ar</w:t>
        </w:r>
      </w:hyperlink>
    </w:p>
    <w:p w14:paraId="680C1C44" w14:textId="77777777" w:rsidR="00140FBC" w:rsidRDefault="00140FBC">
      <w:pPr>
        <w:spacing w:after="0" w:line="240" w:lineRule="auto"/>
        <w:jc w:val="right"/>
        <w:rPr>
          <w:rFonts w:ascii="Times New Roman" w:eastAsia="Times New Roman" w:hAnsi="Times New Roman" w:cs="Times New Roman"/>
        </w:rPr>
      </w:pPr>
    </w:p>
    <w:p w14:paraId="33A548D3" w14:textId="77777777" w:rsidR="00140FBC" w:rsidRPr="00AE6419" w:rsidRDefault="00140FBC" w:rsidP="00AE6419">
      <w:pPr>
        <w:jc w:val="center"/>
        <w:rPr>
          <w:rFonts w:ascii="Times New Roman" w:eastAsiaTheme="minorHAnsi" w:hAnsi="Times New Roman" w:cs="Times New Roman"/>
          <w:kern w:val="2"/>
          <w:lang w:eastAsia="en-US"/>
          <w14:ligatures w14:val="standardContextual"/>
        </w:rPr>
      </w:pPr>
    </w:p>
    <w:p w14:paraId="66E7A49C" w14:textId="77777777" w:rsidR="00140FBC" w:rsidRDefault="00140FBC" w:rsidP="00AE6419">
      <w:pPr>
        <w:spacing w:line="240" w:lineRule="auto"/>
        <w:jc w:val="right"/>
        <w:rPr>
          <w:rFonts w:ascii="Times New Roman" w:eastAsia="Times New Roman" w:hAnsi="Times New Roman" w:cs="Times New Roman"/>
        </w:rPr>
      </w:pPr>
    </w:p>
    <w:p w14:paraId="5FA2EC55" w14:textId="47497502" w:rsidR="00140FBC" w:rsidRPr="00647AA9" w:rsidRDefault="00000000" w:rsidP="00AE6419">
      <w:pPr>
        <w:spacing w:line="240" w:lineRule="auto"/>
        <w:jc w:val="both"/>
        <w:rPr>
          <w:rFonts w:ascii="Times New Roman" w:eastAsia="Times New Roman" w:hAnsi="Times New Roman" w:cs="Times New Roman"/>
          <w:highlight w:val="white"/>
        </w:rPr>
      </w:pPr>
      <w:r w:rsidRPr="00647AA9">
        <w:rPr>
          <w:rFonts w:ascii="Times New Roman" w:eastAsia="Times New Roman" w:hAnsi="Times New Roman" w:cs="Times New Roman"/>
          <w:b/>
          <w:bCs/>
        </w:rPr>
        <w:t xml:space="preserve">Resumen: </w:t>
      </w:r>
      <w:r w:rsidRPr="00647AA9">
        <w:rPr>
          <w:rFonts w:ascii="Times New Roman" w:eastAsia="Times New Roman" w:hAnsi="Times New Roman" w:cs="Times New Roman"/>
          <w:highlight w:val="white"/>
        </w:rPr>
        <w:t xml:space="preserve">Las universidades públicas argentinas amplían sus funciones tradicionales de docencia e investigación hacia formas más activas de articulación con actores sociales, productivos y gubernamentales, proceso que diversos enfoques analizan en el marco de la denominada tercera misión universitaria. Este movimiento adquiere relevancia en contextos sociales complejos, donde las instituciones de educación superior asumen un papel visible en la producción de conocimiento orientado a la resolución de problemas del territorio. En regiones urbanas densamente pobladas como el conurbano bonaerense, caracterizadas por la presencia de pequeñas y medianas empresas, organismos públicos locales y organizaciones sociales, las universidades pueden actuar como espacios de generación, circulación y transferencia de conocimientos. La Universidad Nacional de La Matanza (UNLaM), ubicada en uno de los municipios más poblados de la Argentina, desarrolló históricamente diversas actividades de vinculación y transferencia con actores del entorno regional. En este contexto institucional, la creación de la Unidad de Vinculación Tecnológica (UVT) constituyó un paso relevante en la formalización y organización de estas prácticas, al incorporar una estructura específica destinada a fortalecer la articulación entre las capacidades académicas de la universidad y las demandas del territorio. La UVT fue creada institucionalmente en 2021 y posteriormente habilitada bajo la Ley 23.877 que regula este tipo de mecanismo de articulación entre el sistema científico-tecnológico y el sector productivo. El presente trabajo analiza el proceso inicial de consolidación de esta unidad y las capacidades de gestión desarrolladas durante sus primeros años de funcionamiento. En particular, el estudio examina la participación de la UNLaM en las convocatorias del Fondo de Innovación Tecnológica de Buenos Aires (FITBA), instrumento provincial orientado a promover proyectos de innovación aplicada mediante la articulación entre instituciones científicas, actores productivos y organismos públicos, entre los años 2022 y 2025. A partir de la revisión de documentación institucional y administrativa se reconstruye la trayectoria de participación de la universidad en estas convocatorias, poniendo el foco en las tareas de </w:t>
      </w:r>
      <w:r w:rsidRPr="00647AA9">
        <w:rPr>
          <w:rFonts w:ascii="Times New Roman" w:eastAsia="Times New Roman" w:hAnsi="Times New Roman" w:cs="Times New Roman"/>
          <w:highlight w:val="white"/>
        </w:rPr>
        <w:lastRenderedPageBreak/>
        <w:t>formulación, acompañamiento y gestión realizadas desde la UVT. Durante este periodo la UNLaM participó en las cuatro convocatorias del programa. En la primera de ellas una propuesta obtuvo financiamiento. En 2023 se presentaron dos iniciativas que fueron admitidas, pero sin financiamiento. En 2024 se presentaron dos proyectos, ambos admitidos en la instancia de evaluación, pero sin adjudicación de aportes no reembolsables. En 2025 se presentaron otras dos propuestas de las cuales una resultó seleccionada para su financiamiento. La secuencia de estas presentaciones permite observar, progresivamente, un proceso de aprendizaje institucional vinculado con la gestión de instrumentos de política científica-tecnológica. El caso muestra cómo la incorporación de una estructura formal de vinculación tecnológica contribuye a ordenar prácticas preexistentes de interacción con el entorno y fortalece la capacidad de la universidad para participar en programas orientados al desarrollo territorial. De este modo, la experiencia analizada permite reflexionar sobre la institucionalización de la vinculación en la UNLaM y el papel que estas estructuras pueden asumir en la articulación entre agendas académicas, demandas sociales y políticas de innovación.</w:t>
      </w:r>
    </w:p>
    <w:p w14:paraId="085155CB" w14:textId="4FD77B4D" w:rsidR="00140FBC" w:rsidRPr="00647AA9" w:rsidRDefault="00000000" w:rsidP="00AE6419">
      <w:pPr>
        <w:spacing w:line="240" w:lineRule="auto"/>
        <w:jc w:val="both"/>
        <w:rPr>
          <w:rFonts w:ascii="Times New Roman" w:eastAsia="Times New Roman" w:hAnsi="Times New Roman" w:cs="Times New Roman"/>
          <w:b/>
          <w:bCs/>
        </w:rPr>
      </w:pPr>
      <w:r w:rsidRPr="00647AA9">
        <w:rPr>
          <w:rFonts w:ascii="Times New Roman" w:eastAsia="Times New Roman" w:hAnsi="Times New Roman" w:cs="Times New Roman"/>
          <w:b/>
          <w:bCs/>
        </w:rPr>
        <w:t xml:space="preserve">Palabras clave: </w:t>
      </w:r>
      <w:r w:rsidRPr="00647AA9">
        <w:rPr>
          <w:rFonts w:ascii="Times New Roman" w:eastAsia="Times New Roman" w:hAnsi="Times New Roman" w:cs="Times New Roman"/>
        </w:rPr>
        <w:t xml:space="preserve">Vinculación Tecnológica, Universidad y Territorio, </w:t>
      </w:r>
      <w:r w:rsidR="00B461B2" w:rsidRPr="00647AA9">
        <w:rPr>
          <w:rFonts w:ascii="Times New Roman" w:eastAsia="Times New Roman" w:hAnsi="Times New Roman" w:cs="Times New Roman"/>
        </w:rPr>
        <w:t xml:space="preserve">UVT, </w:t>
      </w:r>
      <w:r w:rsidRPr="00647AA9">
        <w:rPr>
          <w:rFonts w:ascii="Times New Roman" w:eastAsia="Times New Roman" w:hAnsi="Times New Roman" w:cs="Times New Roman"/>
        </w:rPr>
        <w:t xml:space="preserve">Desarrollo Regional. </w:t>
      </w:r>
    </w:p>
    <w:p w14:paraId="33550937" w14:textId="77777777" w:rsidR="00140FBC" w:rsidRPr="00647AA9" w:rsidRDefault="00000000" w:rsidP="00AE6419">
      <w:pPr>
        <w:spacing w:line="240" w:lineRule="auto"/>
        <w:rPr>
          <w:rFonts w:ascii="Times New Roman" w:eastAsia="Times New Roman" w:hAnsi="Times New Roman" w:cs="Times New Roman"/>
          <w:b/>
          <w:bCs/>
        </w:rPr>
      </w:pPr>
      <w:r w:rsidRPr="00647AA9">
        <w:rPr>
          <w:rFonts w:ascii="Times New Roman" w:eastAsia="Times New Roman" w:hAnsi="Times New Roman" w:cs="Times New Roman"/>
          <w:b/>
          <w:bCs/>
        </w:rPr>
        <w:t>Introducción</w:t>
      </w:r>
    </w:p>
    <w:p w14:paraId="604F4CDC"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La relación entre universidad pública, conocimiento y territorio ocupa un lugar cada vez más visible en las discusiones sobre ciencia, tecnología e innovación. En el caso argentino, esa relación adquiere una densidad particular porque las universidades no sólo producen saberes especializados, sino que también participan en políticas, instrumentos y proyectos que intentan responder a problemas sociales, productivos y gubernamentales situados. Esta preocupación forma parte de una discusión más amplia sobre la orientación de la investigación: qué conocimiento se produce, para quién se produce y </w:t>
      </w:r>
      <w:proofErr w:type="gramStart"/>
      <w:r w:rsidRPr="00647AA9">
        <w:rPr>
          <w:rFonts w:ascii="Times New Roman" w:eastAsia="Times New Roman" w:hAnsi="Times New Roman" w:cs="Times New Roman"/>
        </w:rPr>
        <w:t>bajo qué condiciones</w:t>
      </w:r>
      <w:proofErr w:type="gramEnd"/>
      <w:r w:rsidRPr="00647AA9">
        <w:rPr>
          <w:rFonts w:ascii="Times New Roman" w:eastAsia="Times New Roman" w:hAnsi="Times New Roman" w:cs="Times New Roman"/>
        </w:rPr>
        <w:t xml:space="preserve"> institucionales puede transformarse en una respuesta pertinente para actores concretos del entorno. La pregunta no es menor, porque desplaza el análisis desde la producción académica como fin en sí mismo hacia las condiciones que permiten orientar el conocimiento universitario a problemas sociales, demandas extraacadémicas y necesidades situadas del entorno (Senejko &amp; Versino, 2018). </w:t>
      </w:r>
    </w:p>
    <w:p w14:paraId="5D447181"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En ese campo de discusión, la vinculación tecnológica permite observar una dimensión específica de la relación universidad-entorno. No se trata sólo de establecer contactos con organismos públicos, empresas, cooperativas o municipios, sino de construir relaciones mediadas por conocimientos, capacidades técnicas, instrumentos administrativos y acuerdos institucionales. La vinculación tecnológica se considera como una práctica de interacción social articulada en torno a saberes específicos entre el sector científico-tecnológico y usuarios públicos o privados, lo que permite distinguirla de una idea más lineal de transferencia entendida como simple pasaje desde quien produce hacia quien recibe (Corvalán, 2016). Esta distinción permite analizar la experiencia de la Unidad de Vinculación Tecnológica de la Universidad Nacional de La Matanza (UVT UNLaM) sin reducirla a una oficina de trámites ni a una ventanilla de presentación de proyectos.</w:t>
      </w:r>
    </w:p>
    <w:p w14:paraId="25C35D0C"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lastRenderedPageBreak/>
        <w:t>Ahora bien, la vinculación tampoco puede idealizarse como una relación naturalmente horizontal. La participación de actores externos no garantiza, por sí misma, diálogo efectivo, construcción conjunta ni apropiación de resultados. La bidireccionalidad puede convertirse en una categoría declarativa si se la registra sólo como presencia de actores internos y externos, sin revisar la calidad de la interacción, las metodologías de trabajo y las condiciones reales de diálogo entre universidad y entorno (Araya Alarcón, 2024). Esta advertencia resulta especialmente valiosa porque permite mirar las convocatorias de innovación aplicada con un criterio analítico más exigente: la existencia de adoptantes, avales o convenios que constituyen una condición relevante para comprender la densidad de la vinculación.</w:t>
      </w:r>
    </w:p>
    <w:p w14:paraId="52D56083"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Desde esta perspectiva, las Oficinas de Transferencia Tecnológica (OTT) o Unidades de Vinculación Tecnológica (UVT) operan como mediadoras entre entornos diversos: académico, productivo, gubernamental, financiero y tecnológico. Su función no se agota en conectar actores; también supone ordenar relaciones, traducir demandas, identificar oportunidades, gestionar acuerdos y favorecer marcos de cooperación. Estas estructuras intermedian entre los componentes de un sistema de innovación, con el propósito de generar nuevas capacidades y facilitar vínculos entre actores que no siempre comparten lenguajes, tiempos ni objetivos (Codner </w:t>
      </w:r>
      <w:r w:rsidRPr="00647AA9">
        <w:rPr>
          <w:rFonts w:ascii="Times New Roman" w:eastAsia="Times New Roman" w:hAnsi="Times New Roman" w:cs="Times New Roman"/>
          <w:i/>
          <w:iCs/>
        </w:rPr>
        <w:t>et al</w:t>
      </w:r>
      <w:r w:rsidRPr="00647AA9">
        <w:rPr>
          <w:rFonts w:ascii="Times New Roman" w:eastAsia="Times New Roman" w:hAnsi="Times New Roman" w:cs="Times New Roman"/>
        </w:rPr>
        <w:t>., 2013).</w:t>
      </w:r>
    </w:p>
    <w:p w14:paraId="5EE4628C"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La gestión de estas estructuras, sin embargo, presenta tensiones persistentes. Las OTT muestran una gran heterogeneidad institucional y su relación con la industria y la producción muchas veces aparece más como aspiración que como práctica consolidada. También existe una fricción entre la cultura académica tradicional y la posibilidad de generar resultados con impacto productivo o social, además de subrayar la necesidad de profesionalizar la tarea de quienes gestionan la vinculación y la transferencia (Codner, 2022). Este punto resulta decisivo para comprender la experiencia que se quiere abordar: la consolidación de una UVT no depende únicamente de su creación formal, sino de la acumulación de capacidades de gestión, acompañamiento técnico, administración y articulación institucional. Esta dinámica desplaza la atención hacia un debate complementario: las condiciones de apropiación del conocimiento generado en ámbitos universitarios. </w:t>
      </w:r>
    </w:p>
    <w:p w14:paraId="7AA57058" w14:textId="19B77B3A"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Las universidades públicas latinoamericanas pueden generar conocimientos con potencial aplicación industrial, pero con baja probabilidad de apropiación local cuando faltan estrategias institucionales para reconocer, valorizar y orientar esos resultados. La noción de transferencia tecnológica ciega permite advertir que el conocimiento puede circular y ser utilizado por otros actores sin que la institución que lo originó logre intervenir en su uso, protección o aprovechamiento social y productivo (Codner </w:t>
      </w:r>
      <w:r w:rsidRPr="00647AA9">
        <w:rPr>
          <w:rFonts w:ascii="Times New Roman" w:eastAsia="Times New Roman" w:hAnsi="Times New Roman" w:cs="Times New Roman"/>
          <w:i/>
          <w:iCs/>
        </w:rPr>
        <w:t>et al</w:t>
      </w:r>
      <w:r w:rsidRPr="00647AA9">
        <w:rPr>
          <w:rFonts w:ascii="Times New Roman" w:eastAsia="Times New Roman" w:hAnsi="Times New Roman" w:cs="Times New Roman"/>
        </w:rPr>
        <w:t>., 2013</w:t>
      </w:r>
      <w:r w:rsidR="00AE6419" w:rsidRPr="00647AA9">
        <w:rPr>
          <w:rFonts w:ascii="Times New Roman" w:eastAsia="Times New Roman" w:hAnsi="Times New Roman" w:cs="Times New Roman"/>
        </w:rPr>
        <w:t>). Bajo</w:t>
      </w:r>
      <w:r w:rsidRPr="00647AA9">
        <w:rPr>
          <w:rFonts w:ascii="Times New Roman" w:eastAsia="Times New Roman" w:hAnsi="Times New Roman" w:cs="Times New Roman"/>
        </w:rPr>
        <w:t xml:space="preserve"> esta perspectiva dicha premisa refuerza la necesidad de estudiar las capacidades institucionales que permiten pasar de la producción de conocimiento a su gestión y eventual adopción.</w:t>
      </w:r>
    </w:p>
    <w:p w14:paraId="37D3D7DB" w14:textId="3680F0B5"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El recorte territorial también importa. La provincia de Buenos Aires concentra una porción significativa de las capacidades productivas y científico-tecnológicas del país, con universidades públicas, organismos de ciencia y tecnología, MiPyMEs, cooperativas, municipios y actores estatales que configuran un entramado amplio y desigual. La política </w:t>
      </w:r>
      <w:r w:rsidRPr="00647AA9">
        <w:rPr>
          <w:rFonts w:ascii="Times New Roman" w:eastAsia="Times New Roman" w:hAnsi="Times New Roman" w:cs="Times New Roman"/>
        </w:rPr>
        <w:lastRenderedPageBreak/>
        <w:t>provincial de ciencia, tecnología e innovación ha buscado integrar esas capacidades con demandas productivas y sociales, especialmente a través de programas orientados a fortalecer la articulación entre el sistema científico-tecnológico y el entramado productivo bonaerense. En consonancia con esta perspectiva, la tecnología se concibe en sentido amplio, como un conjunto de conocimientos científicos, técnicos y prácticos empleados en la producción, distribución y uso de bienes y servicios (</w:t>
      </w:r>
      <w:r w:rsidR="00AE6419" w:rsidRPr="00647AA9">
        <w:rPr>
          <w:rFonts w:ascii="Times New Roman" w:eastAsia="Times New Roman" w:hAnsi="Times New Roman" w:cs="Times New Roman"/>
        </w:rPr>
        <w:t>Ministerio de Producción, Ciencia e Innovación Tecnológica de la Provincia de Buenos Aires [</w:t>
      </w:r>
      <w:r w:rsidRPr="00647AA9">
        <w:rPr>
          <w:rFonts w:ascii="Times New Roman" w:eastAsia="Times New Roman" w:hAnsi="Times New Roman" w:cs="Times New Roman"/>
        </w:rPr>
        <w:t>MPCeIT-PBA</w:t>
      </w:r>
      <w:r w:rsidR="00AE6419" w:rsidRPr="00647AA9">
        <w:rPr>
          <w:rFonts w:ascii="Times New Roman" w:eastAsia="Times New Roman" w:hAnsi="Times New Roman" w:cs="Times New Roman"/>
        </w:rPr>
        <w:t>]</w:t>
      </w:r>
      <w:r w:rsidRPr="00647AA9">
        <w:rPr>
          <w:rFonts w:ascii="Times New Roman" w:eastAsia="Times New Roman" w:hAnsi="Times New Roman" w:cs="Times New Roman"/>
        </w:rPr>
        <w:t>, 2024c).</w:t>
      </w:r>
    </w:p>
    <w:p w14:paraId="550CB803"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Dentro de esa estrategia provincial, el Fondo de Innovación Tecnológica de Buenos Aires (FITBA) constituye un instrumento relevante para analizar la gestión universitaria de la vinculación. FITBA fue creado en 2022 con el propósito de fortalecer el Sistema Científico-Tecnológico Provincial mediante aportes no reembolsables (ANRs) para proyectos destinados a dar respuestas a los desafíos de los diferentes organismos sociales y productivos. Su diseño incorpora una lógica de articulación entre instituciones científicas y destinatarios de tecnología, lo que coloca a las UVT en un lugar operativo y político a la vez: deben acompañar la formulación, ordenar condiciones administrativas y sostener la relación entre capacidades académicas, demandas externas e instrumentos de financiamiento (MPCeIT-PBA, 2021a, 2021b).</w:t>
      </w:r>
    </w:p>
    <w:p w14:paraId="63FC218E"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La Universidad Nacional de La Matanza (UNLaM) se inscribe en este escenario territorial e institucional. Su ubicación en el conurbano bonaerense la vincula con el conjunto compuesto por actores productivos y sociales diversos. Sin embargo, la cercanía territorial no alcanza para explicar la existencia de procesos efectivos de vinculación tecnológica. Entre la demanda del entorno y la formulación de un proyecto financiable aparece un espacio de gestión que requiere capacidades específicas: lectura de bases y condiciones, identificación de actores adoptantes, construcción de acuerdos, acompañamiento a equipos técnicos, administración de fondos, seguimiento documental y adecuación de propuestas a criterios de evaluación.</w:t>
      </w:r>
    </w:p>
    <w:p w14:paraId="5AA035F3"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En ese recorrido, la creación de la UVT UNLaM en 2021 constituyó un paso institucional importante para ordenar prácticas de articulación con el entorno (Res. HCS N°205/2021), la cual se ubica bajo dependencia de la Secretaría de Ciencia y Tecnología (SCyT) de la UNLaM y se orienta a favorecer la relación interactiva entre la Universidad y organizaciones del entorno local o regional, a través de actividades de investigación, desarrollo, vinculación y transferencia de tecnologías útiles para la comunidad. Su posterior habilitación en 2022 por la Agencia Nacional de Promoción de la Investigación, el Desarrollo Tecnológico y la Innovación, en los términos de la Ley N.º 23.877 incorporó a la Universidad al régimen nacional que regula estos dispositivos de promoción y fomento de la innovación tecnológica (Res. N°20-2022). Este dato no funciona como simple antecedente normativo, sino como punto de partida para analizar cómo una estructura reciente empieza a construir capacidades de gestión en diálogo con instrumentos provinciales.</w:t>
      </w:r>
    </w:p>
    <w:p w14:paraId="4F42A4A9"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Este trabajo pretende dar cuenta de la gestión de la UVT UNLaM en las convocatorias FITBA desarrolladas de forma consecutiva entre 2022 y 2025. A partir de una estrategia de análisis documental, se examina la normativa institucional, bases y condiciones de las </w:t>
      </w:r>
      <w:r w:rsidRPr="00647AA9">
        <w:rPr>
          <w:rFonts w:ascii="Times New Roman" w:eastAsia="Times New Roman" w:hAnsi="Times New Roman" w:cs="Times New Roman"/>
        </w:rPr>
        <w:lastRenderedPageBreak/>
        <w:t>distintas convocatorias, documentación administrativa, informes de evaluación y registros vinculados con los proyectos presentados. Esta aproximación permite mirar la experiencia FITBA como un proceso de aprendizaje institucional antes que como una simple secuencia de adjudicaciones. En ese recorrido, la UVT UNLaM se comprende como una estructura de intermediación entre agendas académicas, demandas territoriales e instrumentos públicos de financiamiento. El eje del trabajo se ubica, precisamente, en esa mediación: comprender de qué modo la universidad puede articular capacidades científico-tecnológicas, problemas del entorno y políticas públicas para configurar proyectos de innovación aplicada con potencial de adopción territorial.</w:t>
      </w:r>
    </w:p>
    <w:p w14:paraId="4AB3CB20" w14:textId="77777777" w:rsidR="00140FBC" w:rsidRPr="00647AA9" w:rsidRDefault="00000000" w:rsidP="00AE6419">
      <w:pPr>
        <w:spacing w:line="240" w:lineRule="auto"/>
        <w:jc w:val="both"/>
        <w:rPr>
          <w:rFonts w:ascii="Times New Roman" w:eastAsia="Times New Roman" w:hAnsi="Times New Roman" w:cs="Times New Roman"/>
          <w:b/>
          <w:bCs/>
        </w:rPr>
      </w:pPr>
      <w:r w:rsidRPr="00647AA9">
        <w:rPr>
          <w:rFonts w:ascii="Times New Roman" w:eastAsia="Times New Roman" w:hAnsi="Times New Roman" w:cs="Times New Roman"/>
          <w:b/>
          <w:bCs/>
        </w:rPr>
        <w:t>Criterios de admisión y adjudicación en las convocatorias FITBA</w:t>
      </w:r>
    </w:p>
    <w:p w14:paraId="6E845B65"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El FITBA se estructura como un instrumento provincial orientado a fortalecer el sistema científico-tecnológico mediante asistencia financiera a actores con asiento en la provincia de Buenos Aires. Su diseño busca atender desafíos planteados por MiPyMEs, cooperativas, organismos públicos provinciales y municipios, además de problemáticas específicas del territorio en el cual se inscribe. En sus distintas convocatorias desde 2022, el instrumento mantiene una orientación común: promover soluciones de base científico-tecnológica que articulen capacidades del sistema de ciencia, tecnología e innovación con demandas productivas, sociales y territoriales concretas (MPCeIT-PBA, 2021a, 2024a, 2025a).</w:t>
      </w:r>
    </w:p>
    <w:p w14:paraId="66B32A8C"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Las bases de FITBA organizan la presentación de proyectos en tres líneas temáticas: Desarrollo Productivo (Línea A), Desafíos Provinciales (Línea B) y Gobiernos Locales (Línea C). En todas ellas, las universidades nacionales y provinciales con asiento en territorio bonaerense pueden constituirse como Instituciones Beneficiarias (IB), mientras que los Adoptantes aparecen definidos como destinatarios de la solución tecnológica resultante. A su vez, la UVT ocupa un lugar operativo preciso: administra el ANR adjudicado y asume responsabilidades vinculadas con la rendición técnica y contable. Esta arquitectura normativa vuelve visible una cuestión que no siempre aparece con suficiente claridad en los análisis sobre vinculación: la UVT no actúa solo como ventanilla administrativa, sino como estructura de gestión que conecta requisitos del instrumento, capacidades universitarias, demandas externas y condiciones de ejecución (MPCeIT-PBA, 2021a, 2024a, 2025b).</w:t>
      </w:r>
    </w:p>
    <w:p w14:paraId="02743C9E"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Para ordenar el recorrido institucional de la UVT UNLaM, este trabajo utiliza tres categorías: proyectos no admitidos, admitidos y adjudicados. La clasificación </w:t>
      </w:r>
      <w:r w:rsidRPr="00647AA9">
        <w:rPr>
          <w:rFonts w:ascii="Times New Roman" w:eastAsia="Times New Roman" w:hAnsi="Times New Roman" w:cs="Times New Roman"/>
          <w:i/>
          <w:iCs/>
        </w:rPr>
        <w:t>“no admitidos”</w:t>
      </w:r>
      <w:r w:rsidRPr="00647AA9">
        <w:rPr>
          <w:rFonts w:ascii="Times New Roman" w:eastAsia="Times New Roman" w:hAnsi="Times New Roman" w:cs="Times New Roman"/>
        </w:rPr>
        <w:t xml:space="preserve"> remite a propuestas que no logran superar la instancia inicial de admisibilidad. Las bases asocian esta instancia con la presentación completa de documentación, la adecuación presupuestaria a categorías y topes, el cumplimiento de requisitos por parte de las IB y el Adoptante, y, en los casos de la línea Desarrollo Productivo, la inscripción del adoptante en el Registro ActiBA (programa oficial del MPCeIT-PBA, diseñado para asistir a MiPyMEs, comercios y cooperativas). Aunque la Subsecretaría de Ciencia, Tecnología e Innovación de la Provincia de Buenos Aires (SSCTI) puede solicitar subsanaciones que no alteren la esencia del proyecto, el incumplimiento de esas condiciones deriva en la no admisión de la propuesta (MPCeIT-PBA, 2025a).</w:t>
      </w:r>
    </w:p>
    <w:p w14:paraId="40462143"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lastRenderedPageBreak/>
        <w:t xml:space="preserve">La categoría </w:t>
      </w:r>
      <w:r w:rsidRPr="00647AA9">
        <w:rPr>
          <w:rFonts w:ascii="Times New Roman" w:eastAsia="Times New Roman" w:hAnsi="Times New Roman" w:cs="Times New Roman"/>
          <w:i/>
          <w:iCs/>
        </w:rPr>
        <w:t>“admitidos”</w:t>
      </w:r>
      <w:r w:rsidRPr="00647AA9">
        <w:rPr>
          <w:rFonts w:ascii="Times New Roman" w:eastAsia="Times New Roman" w:hAnsi="Times New Roman" w:cs="Times New Roman"/>
        </w:rPr>
        <w:t xml:space="preserve"> identifica los proyectos que superan la instancia formal inicial y pasan a evaluación técnica. Esta distinción resulta necesaria porque un proyecto admitido no equivale, automáticamente, a un proyecto financiado. Entre la admisión y la adjudicación opera una evaluación sobre la consistencia de la propuesta, la claridad del problema, la factibilidad tecnológica, la intensidad innovativa, el impacto en el Adoptante, la razonabilidad económica, la transferencia de resultados y la conformación del equipo. En ese punto, la evaluación no revisa solo papeles: también examina si la propuesta expresa una solución tecnológica transferible y situada, o si apenas reviste de “proyecto de innovación” una compra de equipamiento, un estudio sin implementación o una línea de interés académico sin apropiación clara por parte del adoptante (MPCeIT-PBA, 2022).</w:t>
      </w:r>
    </w:p>
    <w:p w14:paraId="5D76D318"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Por último, la categoría </w:t>
      </w:r>
      <w:r w:rsidRPr="00647AA9">
        <w:rPr>
          <w:rFonts w:ascii="Times New Roman" w:eastAsia="Times New Roman" w:hAnsi="Times New Roman" w:cs="Times New Roman"/>
          <w:i/>
          <w:iCs/>
        </w:rPr>
        <w:t>“adjudicados”</w:t>
      </w:r>
      <w:r w:rsidRPr="00647AA9">
        <w:rPr>
          <w:rFonts w:ascii="Times New Roman" w:eastAsia="Times New Roman" w:hAnsi="Times New Roman" w:cs="Times New Roman"/>
        </w:rPr>
        <w:t xml:space="preserve"> refiere a los proyectos seleccionados con asignación de ANR. Las bases establecen que la adjudicación y los montos a financiar son definidos por la autoridad provincial competente, según la evaluación realizada y las disponibilidades presupuestarias. Los fondos pueden adjudicarse por el monto total aprobado, igual o inferior al solicitado, y se transfieren a la UVT propuesta por las IB. Por eso, la adjudicación no constituye sólo un resultado favorable de evaluación; también abre una nueva fase de gestión: convenios, desembolso, ejecución, seguimiento, informes técnicos, rendición de cuentas y cierre (MPCeIT-PBA, 2021a, 2024a, 2025a).</w:t>
      </w:r>
    </w:p>
    <w:p w14:paraId="328D22B3" w14:textId="73DD8E60"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Esta clasificación permite leer la trayectoria de la UVT UNLaM más allá de una lógica binaria de éxitos y fracasos. Desde esta perspectiva, cada grupo aporta un dato analítico diferente. Por un lado, un proyecto no admitido revela las dificultades iniciales de adecuación formal o documental. Por otro lado, las propuestas </w:t>
      </w:r>
      <w:r w:rsidR="00B461B2" w:rsidRPr="00647AA9">
        <w:rPr>
          <w:rFonts w:ascii="Times New Roman" w:eastAsia="Times New Roman" w:hAnsi="Times New Roman" w:cs="Times New Roman"/>
        </w:rPr>
        <w:t>admitidas,</w:t>
      </w:r>
      <w:r w:rsidRPr="00647AA9">
        <w:rPr>
          <w:rFonts w:ascii="Times New Roman" w:eastAsia="Times New Roman" w:hAnsi="Times New Roman" w:cs="Times New Roman"/>
        </w:rPr>
        <w:t xml:space="preserve"> pero no adjudicadas ofrecen información valiosa sobre la intensidad innovativa, los canales de transferencia y el grado de apropiación por parte del adoptante. Finalmente, un proyecto adjudicado permite evaluar la capacidad institucional para sostener la ejecución técnico-administrativa del instrumento. De este modo, las variables dejan de ser meras etiquetas de resultado para transformarse en verdaderos indicadores de aprendizaje institucional </w:t>
      </w:r>
    </w:p>
    <w:p w14:paraId="6B7904D7" w14:textId="77777777" w:rsidR="00140FBC" w:rsidRPr="00647AA9" w:rsidRDefault="00000000" w:rsidP="00AE6419">
      <w:pPr>
        <w:spacing w:line="240" w:lineRule="auto"/>
        <w:jc w:val="both"/>
        <w:rPr>
          <w:rFonts w:ascii="Times New Roman" w:eastAsia="Times New Roman" w:hAnsi="Times New Roman" w:cs="Times New Roman"/>
          <w:b/>
          <w:bCs/>
        </w:rPr>
      </w:pPr>
      <w:r w:rsidRPr="00647AA9">
        <w:rPr>
          <w:rFonts w:ascii="Times New Roman" w:eastAsia="Times New Roman" w:hAnsi="Times New Roman" w:cs="Times New Roman"/>
          <w:b/>
          <w:bCs/>
        </w:rPr>
        <w:t>Acompañamiento institucional de la UVT UNLaM en el período 2022-2025</w:t>
      </w:r>
    </w:p>
    <w:p w14:paraId="1CBBA7D1"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El acompañamiento de la UVT UNLaM en las convocatorias FITBA entre 2022 y 2025 puede comprenderse como una trayectoria institucional sostenida, no como una serie discontinua de presentaciones. Esta mirada resulta coherente con el propio enfoque de la política provincial de innovación, que entiende la tecnología en sentido amplio, como un conjunto de conocimientos científicos y técnicos aplicados a la producción, distribución y uso de bienes y servicios. Desde esa perspectiva, el financiamiento público no aparece solo como subsidio económico, sino como herramienta para promover vínculos entre actores productivos, estatales y científico-tecnológicos, con el propósito de resolver problemas locales mediante soluciones aplicadas (MPCeIT-PBA, 2024c).</w:t>
      </w:r>
    </w:p>
    <w:p w14:paraId="6621AC34"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En 2022, la UVT UNLaM acompañó un proyecto presentado en la Primera Convocatoria FITBA que resultó adjudicado con financiamiento. Este primer desafío tuvo un valor institucional particular porque permitió transitar el circuito completo del instrumento: formulación, presentación, adjudicación, ejecución, seguimiento, administración de </w:t>
      </w:r>
      <w:r w:rsidRPr="00647AA9">
        <w:rPr>
          <w:rFonts w:ascii="Times New Roman" w:eastAsia="Times New Roman" w:hAnsi="Times New Roman" w:cs="Times New Roman"/>
        </w:rPr>
        <w:lastRenderedPageBreak/>
        <w:t>fondos, articulación con el Adoptante, ajustes durante el desarrollo y cierre técnico. En términos de aprendizaje organizacional, este antecedente no debe leerse sólo como un proyecto financiado, sino como la primera experiencia integral de la UVT frente a las exigencias de un instrumento provincial que demanda articulación efectiva entre universidad, adoptante y política pública.</w:t>
      </w:r>
    </w:p>
    <w:p w14:paraId="34D83855"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Luego, en 2023, en la Segunda Convocatoria, la UVT acompañó dos proyectos del Departamento de Ingeniería e Investigaciones Tecnológicas (DIIT) que fueron admitidos, aunque no adjudicados con financiamiento (MPCeIT-PBA, 2023c). Esta instancia resulta especialmente útil para el análisis porque permite observar cómo opera la evaluación técnica una vez superada la admisión formal. Los informes disponibles sobre los proyectos FITBA2023-LACER, “Laboratorio para certificación de energía renovable”, y FITBA2023-CRIE, “Implementación y Validación de un Programa de Control Remoto Integral del Embarazo (CRIE). Estudio Piloto”, permiten reconstruir distintas dimensiones de esa evaluación.</w:t>
      </w:r>
    </w:p>
    <w:p w14:paraId="65F5EEDE" w14:textId="0012365E"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En el primer caso, el dictamen reconoce la elaboración conjunta entre el </w:t>
      </w:r>
      <w:r w:rsidR="00B461B2" w:rsidRPr="00647AA9">
        <w:rPr>
          <w:rFonts w:ascii="Times New Roman" w:eastAsia="Times New Roman" w:hAnsi="Times New Roman" w:cs="Times New Roman"/>
        </w:rPr>
        <w:t>A</w:t>
      </w:r>
      <w:r w:rsidRPr="00647AA9">
        <w:rPr>
          <w:rFonts w:ascii="Times New Roman" w:eastAsia="Times New Roman" w:hAnsi="Times New Roman" w:cs="Times New Roman"/>
        </w:rPr>
        <w:t>doptante y la Universidad, identifica capacidades previas del equipo universitario y admite que la propuesta presenta una formulación clara del problema, objetivos, beneficios, etapas y plazos. Sin embargo, la evaluación permite advertir que, para el instrumento, la consistencia formal y la capacidad técnica disponible deben estar acompañadas por una orientación precisa hacia la demanda del adoptante, una transferencia identificable y un desarrollo tecnológico que no quede concentrado en la incorporación de equipamiento. En el caso CRIE, el informe también destaca el diseño asociativo alcanzado entre la institución académica y la contraparte externa, así como la pertinencia de la problemática abordada en el campo de la salud. No obstante, la lectura del dictamen muestra que la relevancia temática de una propuesta no resulta suficiente si el componente innovativo, el desarrollo tecnológico previsto y la relación entre presupuesto, objetivos e implementación no aparecen formulados con la precisión requerida por la convocatoria (MPCeIT-PBA, 2023a, 2023b).</w:t>
      </w:r>
    </w:p>
    <w:p w14:paraId="26D99A42"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Leídos en conjunto, ambos informes permiten comprender mejor el tipo de aprendizaje que ofrecen los proyectos admitidos no adjudicados. La admisión confirma que las propuestas cumplen una base formal; la no adjudicación, en cambio, devuelve información sustantiva sobre el grado de ajuste entre cada proyecto y el instrumento. En ese pasaje, la evaluación desplaza el foco desde la existencia de capacidades académicas o la relevancia general del tema hacia la capacidad de demostrar intensidad innovativa, transferencia, apropiación por parte del adoptante y correspondencia entre la solución propuesta y una demanda específica. Allí aparece una enseñanza incómoda pero valiosa: para FITBA, una propuesta técnicamente sólida o socialmente pertinente no alcanza si no logra mostrar con claridad qué innovación se desarrolla, para quién, </w:t>
      </w:r>
      <w:proofErr w:type="gramStart"/>
      <w:r w:rsidRPr="00647AA9">
        <w:rPr>
          <w:rFonts w:ascii="Times New Roman" w:eastAsia="Times New Roman" w:hAnsi="Times New Roman" w:cs="Times New Roman"/>
        </w:rPr>
        <w:t>bajo qué condiciones</w:t>
      </w:r>
      <w:proofErr w:type="gramEnd"/>
      <w:r w:rsidRPr="00647AA9">
        <w:rPr>
          <w:rFonts w:ascii="Times New Roman" w:eastAsia="Times New Roman" w:hAnsi="Times New Roman" w:cs="Times New Roman"/>
        </w:rPr>
        <w:t xml:space="preserve"> de implementación y con qué posibilidades concretas de adopción.</w:t>
      </w:r>
    </w:p>
    <w:p w14:paraId="04FFA721"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En 2024, la UVT UNLaM acompañó dos nuevas presentaciones junto al DIIT. De acuerdo con la reconstrucción institucional aportada para este artículo, ambas propuestas no aparecen entre los proyectos adjudicados (MPCeIT-PBA, 2024b). La Tercera Convocatoria mantuvo la estructura general del instrumento, con exigencias formales de </w:t>
      </w:r>
      <w:r w:rsidRPr="00647AA9">
        <w:rPr>
          <w:rFonts w:ascii="Times New Roman" w:eastAsia="Times New Roman" w:hAnsi="Times New Roman" w:cs="Times New Roman"/>
        </w:rPr>
        <w:lastRenderedPageBreak/>
        <w:t>documentación, presupuesto, requisitos de IB y Adoptante, y adecuación a las líneas temáticas. Además, sostuvo criterios técnicos orientados a valorar claridad del problema, solución propuesta, factibilidad tecnológica, intensidad innovativa, impacto en el Adoptante, razonabilidad económica, transferencia e implementación de resultados (MPCeIT-PBA, 2024a).</w:t>
      </w:r>
    </w:p>
    <w:p w14:paraId="5EBB4599"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Para 2025, la UVT volvió a acompañar dos proyectos. Según la información reconstruida para este trabajo, uno resultó financiado y el otro no fue admitido (MPCeIT-PBA, 2025b, 2025c). Esta nueva adjudicación permite leer la trayectoria previa como acumulación y no como mera repetición de trámites. Las bases de la Cuarta Convocatoria refuerzan criterios ya presentes en llamados anteriores, en particular la necesidad de que los proyectos acrediten originalidad bonaerense, adopción y transferencia, políticas públicas inclusivas, consistencia técnica, impacto en el adoptante y factibilidad de implementación. También precisan que, tras la adjudicación, el ANR se transfiere a través de la UVT y que el inicio de la ejecución queda asociado a la transferencia de los fondos otorgados (MPCeIT-PBA, 2025a).</w:t>
      </w:r>
    </w:p>
    <w:p w14:paraId="5169E9A7" w14:textId="266B5B04"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Tal como se observa en la Tabla 1, el recorte 2022-2025 refleja la trayectoria de los siete proyectos presentados en total, con resultados diversos: una propuesta adjudicada en 2022; dos proyectos admitidos en 2023; dos iniciativas </w:t>
      </w:r>
      <w:r w:rsidR="00AE6419" w:rsidRPr="00647AA9">
        <w:rPr>
          <w:rFonts w:ascii="Times New Roman" w:eastAsia="Times New Roman" w:hAnsi="Times New Roman" w:cs="Times New Roman"/>
        </w:rPr>
        <w:t>admitidas,</w:t>
      </w:r>
      <w:r w:rsidRPr="00647AA9">
        <w:rPr>
          <w:rFonts w:ascii="Times New Roman" w:eastAsia="Times New Roman" w:hAnsi="Times New Roman" w:cs="Times New Roman"/>
        </w:rPr>
        <w:t xml:space="preserve"> pero no financiadas en 2024; y, finalmente, dos nuevas presentaciones en 2025, de las cuales una resultó adjudicada y la otra no admitida. </w:t>
      </w:r>
    </w:p>
    <w:p w14:paraId="67359B29"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Tabla 1: Proyectos presentados en las cuatro convocatorias</w:t>
      </w:r>
    </w:p>
    <w:tbl>
      <w:tblPr>
        <w:tblStyle w:val="a"/>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91"/>
        <w:gridCol w:w="1317"/>
        <w:gridCol w:w="1865"/>
        <w:gridCol w:w="1865"/>
        <w:gridCol w:w="1865"/>
      </w:tblGrid>
      <w:tr w:rsidR="00140FBC" w:rsidRPr="00647AA9" w14:paraId="237D9E95" w14:textId="77777777">
        <w:trPr>
          <w:trHeight w:val="555"/>
        </w:trPr>
        <w:tc>
          <w:tcPr>
            <w:tcW w:w="15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E8E5887"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Convocatoria</w:t>
            </w:r>
          </w:p>
        </w:tc>
        <w:tc>
          <w:tcPr>
            <w:tcW w:w="131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5E6E45A"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Año</w:t>
            </w:r>
          </w:p>
        </w:tc>
        <w:tc>
          <w:tcPr>
            <w:tcW w:w="18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5D2F1BE"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No Admisibles</w:t>
            </w:r>
          </w:p>
        </w:tc>
        <w:tc>
          <w:tcPr>
            <w:tcW w:w="18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890BD79"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Admitidos</w:t>
            </w:r>
          </w:p>
        </w:tc>
        <w:tc>
          <w:tcPr>
            <w:tcW w:w="18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3C18E52"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Adjudicados con Financiamiento</w:t>
            </w:r>
          </w:p>
        </w:tc>
      </w:tr>
      <w:tr w:rsidR="00140FBC" w:rsidRPr="00647AA9" w14:paraId="764F0148" w14:textId="77777777">
        <w:trPr>
          <w:trHeight w:val="285"/>
        </w:trPr>
        <w:tc>
          <w:tcPr>
            <w:tcW w:w="15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53975D9"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Primera</w:t>
            </w:r>
          </w:p>
        </w:tc>
        <w:tc>
          <w:tcPr>
            <w:tcW w:w="1316" w:type="dxa"/>
            <w:tcBorders>
              <w:top w:val="nil"/>
              <w:left w:val="nil"/>
              <w:bottom w:val="single" w:sz="6" w:space="0" w:color="000000"/>
              <w:right w:val="single" w:sz="6" w:space="0" w:color="000000"/>
            </w:tcBorders>
            <w:tcMar>
              <w:top w:w="0" w:type="dxa"/>
              <w:left w:w="100" w:type="dxa"/>
              <w:bottom w:w="0" w:type="dxa"/>
              <w:right w:w="100" w:type="dxa"/>
            </w:tcMar>
          </w:tcPr>
          <w:p w14:paraId="286AD6C2"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2022</w:t>
            </w:r>
          </w:p>
        </w:tc>
        <w:tc>
          <w:tcPr>
            <w:tcW w:w="1865" w:type="dxa"/>
            <w:tcBorders>
              <w:top w:val="nil"/>
              <w:left w:val="nil"/>
              <w:bottom w:val="single" w:sz="6" w:space="0" w:color="000000"/>
              <w:right w:val="single" w:sz="6" w:space="0" w:color="000000"/>
            </w:tcBorders>
            <w:tcMar>
              <w:top w:w="0" w:type="dxa"/>
              <w:left w:w="100" w:type="dxa"/>
              <w:bottom w:w="0" w:type="dxa"/>
              <w:right w:w="100" w:type="dxa"/>
            </w:tcMar>
          </w:tcPr>
          <w:p w14:paraId="25BD8A8C"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 xml:space="preserve"> </w:t>
            </w:r>
          </w:p>
        </w:tc>
        <w:tc>
          <w:tcPr>
            <w:tcW w:w="1865" w:type="dxa"/>
            <w:tcBorders>
              <w:top w:val="nil"/>
              <w:left w:val="nil"/>
              <w:bottom w:val="single" w:sz="6" w:space="0" w:color="000000"/>
              <w:right w:val="single" w:sz="6" w:space="0" w:color="000000"/>
            </w:tcBorders>
            <w:tcMar>
              <w:top w:w="0" w:type="dxa"/>
              <w:left w:w="100" w:type="dxa"/>
              <w:bottom w:w="0" w:type="dxa"/>
              <w:right w:w="100" w:type="dxa"/>
            </w:tcMar>
          </w:tcPr>
          <w:p w14:paraId="7378EDEE"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 xml:space="preserve"> </w:t>
            </w:r>
          </w:p>
        </w:tc>
        <w:tc>
          <w:tcPr>
            <w:tcW w:w="1865" w:type="dxa"/>
            <w:tcBorders>
              <w:top w:val="nil"/>
              <w:left w:val="nil"/>
              <w:bottom w:val="single" w:sz="6" w:space="0" w:color="000000"/>
              <w:right w:val="single" w:sz="6" w:space="0" w:color="000000"/>
            </w:tcBorders>
            <w:tcMar>
              <w:top w:w="0" w:type="dxa"/>
              <w:left w:w="100" w:type="dxa"/>
              <w:bottom w:w="0" w:type="dxa"/>
              <w:right w:w="100" w:type="dxa"/>
            </w:tcMar>
          </w:tcPr>
          <w:p w14:paraId="014CB1D6"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1</w:t>
            </w:r>
          </w:p>
        </w:tc>
      </w:tr>
      <w:tr w:rsidR="00140FBC" w:rsidRPr="00647AA9" w14:paraId="63E13BA1" w14:textId="77777777">
        <w:trPr>
          <w:trHeight w:val="285"/>
        </w:trPr>
        <w:tc>
          <w:tcPr>
            <w:tcW w:w="15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FF11D3E"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Segunda</w:t>
            </w:r>
          </w:p>
        </w:tc>
        <w:tc>
          <w:tcPr>
            <w:tcW w:w="1316" w:type="dxa"/>
            <w:tcBorders>
              <w:top w:val="nil"/>
              <w:left w:val="nil"/>
              <w:bottom w:val="single" w:sz="6" w:space="0" w:color="000000"/>
              <w:right w:val="single" w:sz="6" w:space="0" w:color="000000"/>
            </w:tcBorders>
            <w:tcMar>
              <w:top w:w="0" w:type="dxa"/>
              <w:left w:w="100" w:type="dxa"/>
              <w:bottom w:w="0" w:type="dxa"/>
              <w:right w:w="100" w:type="dxa"/>
            </w:tcMar>
          </w:tcPr>
          <w:p w14:paraId="6FFBC317"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2023</w:t>
            </w:r>
          </w:p>
        </w:tc>
        <w:tc>
          <w:tcPr>
            <w:tcW w:w="1865" w:type="dxa"/>
            <w:tcBorders>
              <w:top w:val="nil"/>
              <w:left w:val="nil"/>
              <w:bottom w:val="single" w:sz="6" w:space="0" w:color="000000"/>
              <w:right w:val="single" w:sz="6" w:space="0" w:color="000000"/>
            </w:tcBorders>
            <w:tcMar>
              <w:top w:w="0" w:type="dxa"/>
              <w:left w:w="100" w:type="dxa"/>
              <w:bottom w:w="0" w:type="dxa"/>
              <w:right w:w="100" w:type="dxa"/>
            </w:tcMar>
          </w:tcPr>
          <w:p w14:paraId="287834F4"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 xml:space="preserve"> </w:t>
            </w:r>
          </w:p>
        </w:tc>
        <w:tc>
          <w:tcPr>
            <w:tcW w:w="1865" w:type="dxa"/>
            <w:tcBorders>
              <w:top w:val="nil"/>
              <w:left w:val="nil"/>
              <w:bottom w:val="single" w:sz="6" w:space="0" w:color="000000"/>
              <w:right w:val="single" w:sz="6" w:space="0" w:color="000000"/>
            </w:tcBorders>
            <w:tcMar>
              <w:top w:w="0" w:type="dxa"/>
              <w:left w:w="100" w:type="dxa"/>
              <w:bottom w:w="0" w:type="dxa"/>
              <w:right w:w="100" w:type="dxa"/>
            </w:tcMar>
          </w:tcPr>
          <w:p w14:paraId="26944830"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2</w:t>
            </w:r>
          </w:p>
        </w:tc>
        <w:tc>
          <w:tcPr>
            <w:tcW w:w="1865" w:type="dxa"/>
            <w:tcBorders>
              <w:top w:val="nil"/>
              <w:left w:val="nil"/>
              <w:bottom w:val="single" w:sz="6" w:space="0" w:color="000000"/>
              <w:right w:val="single" w:sz="6" w:space="0" w:color="000000"/>
            </w:tcBorders>
            <w:tcMar>
              <w:top w:w="0" w:type="dxa"/>
              <w:left w:w="100" w:type="dxa"/>
              <w:bottom w:w="0" w:type="dxa"/>
              <w:right w:w="100" w:type="dxa"/>
            </w:tcMar>
          </w:tcPr>
          <w:p w14:paraId="21A22139"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 xml:space="preserve"> </w:t>
            </w:r>
          </w:p>
        </w:tc>
      </w:tr>
      <w:tr w:rsidR="00140FBC" w:rsidRPr="00647AA9" w14:paraId="02CF80C4" w14:textId="77777777">
        <w:trPr>
          <w:trHeight w:val="285"/>
        </w:trPr>
        <w:tc>
          <w:tcPr>
            <w:tcW w:w="15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2B98AF8"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Tercera</w:t>
            </w:r>
          </w:p>
        </w:tc>
        <w:tc>
          <w:tcPr>
            <w:tcW w:w="1316" w:type="dxa"/>
            <w:tcBorders>
              <w:top w:val="nil"/>
              <w:left w:val="nil"/>
              <w:bottom w:val="single" w:sz="6" w:space="0" w:color="000000"/>
              <w:right w:val="single" w:sz="6" w:space="0" w:color="000000"/>
            </w:tcBorders>
            <w:tcMar>
              <w:top w:w="0" w:type="dxa"/>
              <w:left w:w="100" w:type="dxa"/>
              <w:bottom w:w="0" w:type="dxa"/>
              <w:right w:w="100" w:type="dxa"/>
            </w:tcMar>
          </w:tcPr>
          <w:p w14:paraId="3315331F"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2024</w:t>
            </w:r>
          </w:p>
        </w:tc>
        <w:tc>
          <w:tcPr>
            <w:tcW w:w="1865" w:type="dxa"/>
            <w:tcBorders>
              <w:top w:val="nil"/>
              <w:left w:val="nil"/>
              <w:bottom w:val="single" w:sz="6" w:space="0" w:color="000000"/>
              <w:right w:val="single" w:sz="6" w:space="0" w:color="000000"/>
            </w:tcBorders>
            <w:tcMar>
              <w:top w:w="0" w:type="dxa"/>
              <w:left w:w="100" w:type="dxa"/>
              <w:bottom w:w="0" w:type="dxa"/>
              <w:right w:w="100" w:type="dxa"/>
            </w:tcMar>
          </w:tcPr>
          <w:p w14:paraId="4F56FCBC"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 xml:space="preserve"> </w:t>
            </w:r>
          </w:p>
        </w:tc>
        <w:tc>
          <w:tcPr>
            <w:tcW w:w="1865" w:type="dxa"/>
            <w:tcBorders>
              <w:top w:val="nil"/>
              <w:left w:val="nil"/>
              <w:bottom w:val="single" w:sz="6" w:space="0" w:color="000000"/>
              <w:right w:val="single" w:sz="6" w:space="0" w:color="000000"/>
            </w:tcBorders>
            <w:tcMar>
              <w:top w:w="0" w:type="dxa"/>
              <w:left w:w="100" w:type="dxa"/>
              <w:bottom w:w="0" w:type="dxa"/>
              <w:right w:w="100" w:type="dxa"/>
            </w:tcMar>
          </w:tcPr>
          <w:p w14:paraId="572A9548"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2</w:t>
            </w:r>
          </w:p>
        </w:tc>
        <w:tc>
          <w:tcPr>
            <w:tcW w:w="1865" w:type="dxa"/>
            <w:tcBorders>
              <w:top w:val="nil"/>
              <w:left w:val="nil"/>
              <w:bottom w:val="single" w:sz="6" w:space="0" w:color="000000"/>
              <w:right w:val="single" w:sz="6" w:space="0" w:color="000000"/>
            </w:tcBorders>
            <w:tcMar>
              <w:top w:w="0" w:type="dxa"/>
              <w:left w:w="100" w:type="dxa"/>
              <w:bottom w:w="0" w:type="dxa"/>
              <w:right w:w="100" w:type="dxa"/>
            </w:tcMar>
          </w:tcPr>
          <w:p w14:paraId="17ADD4F5"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 xml:space="preserve"> </w:t>
            </w:r>
          </w:p>
        </w:tc>
      </w:tr>
      <w:tr w:rsidR="00140FBC" w:rsidRPr="00647AA9" w14:paraId="2A0B1632" w14:textId="77777777">
        <w:trPr>
          <w:trHeight w:val="285"/>
        </w:trPr>
        <w:tc>
          <w:tcPr>
            <w:tcW w:w="159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D8B96CC"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Cuarta</w:t>
            </w:r>
          </w:p>
        </w:tc>
        <w:tc>
          <w:tcPr>
            <w:tcW w:w="1316" w:type="dxa"/>
            <w:tcBorders>
              <w:top w:val="nil"/>
              <w:left w:val="nil"/>
              <w:bottom w:val="single" w:sz="6" w:space="0" w:color="000000"/>
              <w:right w:val="single" w:sz="6" w:space="0" w:color="000000"/>
            </w:tcBorders>
            <w:tcMar>
              <w:top w:w="0" w:type="dxa"/>
              <w:left w:w="100" w:type="dxa"/>
              <w:bottom w:w="0" w:type="dxa"/>
              <w:right w:w="100" w:type="dxa"/>
            </w:tcMar>
          </w:tcPr>
          <w:p w14:paraId="1F2507C6"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2025</w:t>
            </w:r>
          </w:p>
        </w:tc>
        <w:tc>
          <w:tcPr>
            <w:tcW w:w="1865" w:type="dxa"/>
            <w:tcBorders>
              <w:top w:val="nil"/>
              <w:left w:val="nil"/>
              <w:bottom w:val="single" w:sz="6" w:space="0" w:color="000000"/>
              <w:right w:val="single" w:sz="6" w:space="0" w:color="000000"/>
            </w:tcBorders>
            <w:tcMar>
              <w:top w:w="0" w:type="dxa"/>
              <w:left w:w="100" w:type="dxa"/>
              <w:bottom w:w="0" w:type="dxa"/>
              <w:right w:w="100" w:type="dxa"/>
            </w:tcMar>
          </w:tcPr>
          <w:p w14:paraId="6AA8047A"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1</w:t>
            </w:r>
          </w:p>
        </w:tc>
        <w:tc>
          <w:tcPr>
            <w:tcW w:w="1865" w:type="dxa"/>
            <w:tcBorders>
              <w:top w:val="nil"/>
              <w:left w:val="nil"/>
              <w:bottom w:val="single" w:sz="6" w:space="0" w:color="000000"/>
              <w:right w:val="single" w:sz="6" w:space="0" w:color="000000"/>
            </w:tcBorders>
            <w:tcMar>
              <w:top w:w="0" w:type="dxa"/>
              <w:left w:w="100" w:type="dxa"/>
              <w:bottom w:w="0" w:type="dxa"/>
              <w:right w:w="100" w:type="dxa"/>
            </w:tcMar>
          </w:tcPr>
          <w:p w14:paraId="4AC0BC73"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 xml:space="preserve"> </w:t>
            </w:r>
          </w:p>
        </w:tc>
        <w:tc>
          <w:tcPr>
            <w:tcW w:w="1865" w:type="dxa"/>
            <w:tcBorders>
              <w:top w:val="nil"/>
              <w:left w:val="nil"/>
              <w:bottom w:val="single" w:sz="6" w:space="0" w:color="000000"/>
              <w:right w:val="single" w:sz="6" w:space="0" w:color="000000"/>
            </w:tcBorders>
            <w:tcMar>
              <w:top w:w="0" w:type="dxa"/>
              <w:left w:w="100" w:type="dxa"/>
              <w:bottom w:w="0" w:type="dxa"/>
              <w:right w:w="100" w:type="dxa"/>
            </w:tcMar>
          </w:tcPr>
          <w:p w14:paraId="5F0A527B"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1</w:t>
            </w:r>
          </w:p>
        </w:tc>
      </w:tr>
    </w:tbl>
    <w:p w14:paraId="065F4A05" w14:textId="77777777" w:rsidR="00140FBC" w:rsidRPr="00647AA9" w:rsidRDefault="00000000" w:rsidP="00AE6419">
      <w:pPr>
        <w:spacing w:line="240" w:lineRule="auto"/>
        <w:jc w:val="center"/>
        <w:rPr>
          <w:rFonts w:ascii="Times New Roman" w:eastAsia="Times New Roman" w:hAnsi="Times New Roman" w:cs="Times New Roman"/>
        </w:rPr>
      </w:pPr>
      <w:r w:rsidRPr="00647AA9">
        <w:rPr>
          <w:rFonts w:ascii="Times New Roman" w:eastAsia="Times New Roman" w:hAnsi="Times New Roman" w:cs="Times New Roman"/>
        </w:rPr>
        <w:t>Fuente: Elaboración propia.</w:t>
      </w:r>
    </w:p>
    <w:p w14:paraId="10A74ABB"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La secuencia no expresa una evolución lineal ni puramente ascendente. Más bien evidencia un proceso institucional de prueba, lectura de criterios, reformulación y ajuste. Cada convocatoria obligó a revisar la construcción de la demanda, la consistencia entre problema y solución, la participación del Adoptante, la elegibilidad de los gastos, la propiedad de los bienes, el alcance de la transferencia y la pertinencia del resultado esperado.</w:t>
      </w:r>
    </w:p>
    <w:p w14:paraId="7CEAA226" w14:textId="28D29AA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Desde esta perspectiva, el acompañamiento de la UVT UNLaM puede analizarse como una práctica de intermediación institucional. La </w:t>
      </w:r>
      <w:r w:rsidR="00177B16" w:rsidRPr="00647AA9">
        <w:rPr>
          <w:rFonts w:ascii="Times New Roman" w:eastAsia="Times New Roman" w:hAnsi="Times New Roman" w:cs="Times New Roman"/>
        </w:rPr>
        <w:t>UVT</w:t>
      </w:r>
      <w:r w:rsidRPr="00647AA9">
        <w:rPr>
          <w:rFonts w:ascii="Times New Roman" w:eastAsia="Times New Roman" w:hAnsi="Times New Roman" w:cs="Times New Roman"/>
        </w:rPr>
        <w:t xml:space="preserve"> traduce reglas del instrumento hacia los equipos de investigación, ordena documentación, acompaña la relación con Adoptantes, colabora en la adecuación presupuestaria y sostiene los requerimientos </w:t>
      </w:r>
      <w:r w:rsidRPr="00647AA9">
        <w:rPr>
          <w:rFonts w:ascii="Times New Roman" w:eastAsia="Times New Roman" w:hAnsi="Times New Roman" w:cs="Times New Roman"/>
        </w:rPr>
        <w:lastRenderedPageBreak/>
        <w:t xml:space="preserve">posteriores a la adjudicación. Además, la experiencia acumulada permite advertir que la presentación de proyectos no depende solo de contar con capacidades técnicas dentro de la universidad, sino de articular esas capacidades con una demanda externa clara, una solución transferible y un esquema de ejecución administrativamente viable. Este aspecto será retomado a partir del caso financiado en 2022, donde la gestión del proyecto permite observar con mayor precisión las tensiones, ajustes y aprendizajes que atraviesan la implementación efectiva de una convocatoria de innovación aplicada. </w:t>
      </w:r>
    </w:p>
    <w:p w14:paraId="505B912D" w14:textId="77777777" w:rsidR="00140FBC" w:rsidRPr="00647AA9" w:rsidRDefault="00000000" w:rsidP="00AE6419">
      <w:pPr>
        <w:spacing w:line="240" w:lineRule="auto"/>
        <w:jc w:val="both"/>
        <w:rPr>
          <w:rFonts w:ascii="Times New Roman" w:eastAsia="Times New Roman" w:hAnsi="Times New Roman" w:cs="Times New Roman"/>
          <w:b/>
          <w:bCs/>
        </w:rPr>
      </w:pPr>
      <w:r w:rsidRPr="00647AA9">
        <w:rPr>
          <w:rFonts w:ascii="Times New Roman" w:eastAsia="Times New Roman" w:hAnsi="Times New Roman" w:cs="Times New Roman"/>
          <w:b/>
          <w:bCs/>
        </w:rPr>
        <w:t>El proyecto adjudicado en 2022: gestión, readecuaciones y cierre técnico</w:t>
      </w:r>
    </w:p>
    <w:p w14:paraId="63DD5179"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La experiencia en la Primera Convocatoria FITBA permite observar, con mayor detalle, qué implica gestionar una iniciativa de innovación aplicada una vez superada la instancia de formulación. A diferencia de los proyectos que sólo alcanzan la admisión o quedan fuera del financiamiento, este caso permitió transitar el ciclo completo previsto por el instrumento: adjudicación, firma de la documentación correspondiente, desembolso, ejecución, seguimiento, rendición y cierre. Por esa razón, su análisis no se centra en la descripción técnica de la solución desarrollada ni en la identificación del Adoptante, sino en las condiciones institucionales que hicieron posible sostener el proyecto hasta su finalización. Esta decisión resulta consistente con una mirada centrada en los procesos de intercambio de conocimiento entre grupos de investigación y actores no académicos, especialmente cuando la vinculación busca acercar capacidades universitarias a problemas concretos de la sociedad y la producción (Waiter, 2025).</w:t>
      </w:r>
    </w:p>
    <w:p w14:paraId="3C8B7EE7"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El proyecto se desarrolló junto a un municipio bonaerense, en el marco de la línea orientada a Gobiernos Locales.  Esta condición resulta significativa porque colocó a la universidad frente a una demanda territorial formulada por un actor estatal con necesidades, tiempos y lógicas de gestión propias. La propuesta no se agotaba en la generación de un resultado técnico, sino que requería articular capacidades universitarias, requisitos del financiamiento provincial y expectativas de uso por parte del Adoptante. En este punto, la convocatoria funcionó como un marco de ordenamiento: estableció condiciones de elegibilidad, rubros financiables, responsabilidades de las partes, plazos de ejecución y obligaciones de rendición que debieron ser traducidas en una dinámica concreta de trabajo (MPCeIT-PBA, 2021).</w:t>
      </w:r>
    </w:p>
    <w:p w14:paraId="4E9025A1"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La gestión del proyecto mostró que la adjudicación no representa un punto de llegada, sino la apertura de una etapa de ejecución con exigencias propias. Una vez obtenido el financiamiento, la UVT debió acompañar decisiones administrativas, presupuestarias y documentales que incidieron directamente sobre el desarrollo de la propuesta. Las compras, la adecuación de gastos a los rubros permitidos, la justificación de modificaciones, la organización de respaldos, el seguimiento de avances y la preparación de informes exigieron una coordinación constante entre el equipo técnico, el Adoptante y el organismo financiador. En ese tramo, la experiencia permitió advertir que la gestión de la vinculación no se limita a presentar proyectos: también supone sostener condiciones de ejecución cuando aparecen demoras, ajustes, observaciones o interpretaciones diferentes sobre lo previsto originalmente.</w:t>
      </w:r>
    </w:p>
    <w:p w14:paraId="0B0076CB"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lastRenderedPageBreak/>
        <w:t>Esa coordinación tuvo una dimensión especialmente relevante: la necesidad de traducir entre registros institucionales distintos. El equipo técnico requería condiciones para avanzar con el desarrollo previsto; el Adoptante esperaba una solución aplicable a su problemática; el organismo financiador exigía trazabilidad, documentación y adecuación a las reglas del instrumento; y la universidad debía resguardar la correcta administración de los fondos públicos. La UVT operó, entonces, en un espacio de articulación donde las decisiones técnicas debían expresarse también como decisiones administrativamente justificables. Esta función de intermediación resulta central en los procesos de colaboración entre universidades y sectores externos, porque permite vincular actores con capacidades, regulaciones, lenguajes y dinámicas institucionales diferentes (</w:t>
      </w:r>
      <w:proofErr w:type="spellStart"/>
      <w:r w:rsidRPr="00647AA9">
        <w:rPr>
          <w:rFonts w:ascii="Times New Roman" w:eastAsia="Times New Roman" w:hAnsi="Times New Roman" w:cs="Times New Roman"/>
        </w:rPr>
        <w:t>Casalet</w:t>
      </w:r>
      <w:proofErr w:type="spellEnd"/>
      <w:r w:rsidRPr="00647AA9">
        <w:rPr>
          <w:rFonts w:ascii="Times New Roman" w:eastAsia="Times New Roman" w:hAnsi="Times New Roman" w:cs="Times New Roman"/>
        </w:rPr>
        <w:t>, 2012).</w:t>
      </w:r>
    </w:p>
    <w:p w14:paraId="2BDA1367"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Desde una perspectiva analítica, la utilidad social del conocimiento no emerge como una propiedad automática del desarrollo científico, sino como una construcción situada (Vaccarezza &amp; Zabala, 2002) que requiere un proceso continuo de interacción, ajuste y validación frente a las demandas reales del Adoptante. En la experiencia de la UNLaM, esta dinámica implicó que la solución tecnológica debiera reconfigurarse en el territorio, adaptando los marcos teóricos de los investigadores a las capacidades operativas de la contraparte. Así, la relevancia de la ciencia se consolida mediante estrategias institucionales de vinculación que transforman el saber académico en una herramienta de apropiación concreta, efectiva y útil para el entorno local. </w:t>
      </w:r>
    </w:p>
    <w:p w14:paraId="68271F19"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El informe técnico final registró el cumplimiento completo de las actividades previstas y permitió cerrar satisfactoriamente el proceso. Ese resultado, lejos de quedar reducido a un dato administrativo, permite observar la densidad del trabajo realizado durante la implementación. La experiencia incluyó readecuaciones durante el desarrollo, revisión de documentación respaldatoria, seguimiento de observaciones y decisiones orientadas a compatibilizar el avance técnico con los requerimientos administrativos del instrumento. En este punto, el cierre técnico no sólo confirma la finalización formal del proyecto, sino que permite reconstruir el conjunto de capacidades de acompañamiento que debieron sostenerse durante la ejecución: seguimiento, documentación, comunicación entre actores y adecuación permanente a las condiciones del financiamiento público.</w:t>
      </w:r>
    </w:p>
    <w:p w14:paraId="3FE0E344"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En conjunto, el caso permite observar una dimensión concreta de la gestión universitaria de la vinculación tecnológica: la capacidad de acompañar un proyecto más allá de su aprobación inicial. La ejecución de una iniciativa adjudicada exige sostener una relación activa entre formulación, desarrollo técnico, administración, rendición y apropiación posible por parte del Adoptante. Esta dimensión resulta especialmente relevante para analizar el proceso inicial de consolidación de la UVT UNLaM, ya que permite ver cómo una estructura institucional reciente comenzó a construir criterios propios de intervención frente a instrumentos públicos de innovación aplicada.</w:t>
      </w:r>
    </w:p>
    <w:p w14:paraId="317B71BC" w14:textId="77777777" w:rsidR="00140FBC" w:rsidRPr="00647AA9" w:rsidRDefault="00000000" w:rsidP="00AE6419">
      <w:pPr>
        <w:spacing w:line="240" w:lineRule="auto"/>
        <w:rPr>
          <w:rFonts w:ascii="Times New Roman" w:eastAsia="Times New Roman" w:hAnsi="Times New Roman" w:cs="Times New Roman"/>
          <w:b/>
          <w:bCs/>
        </w:rPr>
      </w:pPr>
      <w:r w:rsidRPr="00647AA9">
        <w:rPr>
          <w:rFonts w:ascii="Times New Roman" w:eastAsia="Times New Roman" w:hAnsi="Times New Roman" w:cs="Times New Roman"/>
          <w:b/>
          <w:bCs/>
        </w:rPr>
        <w:t>Conclusiones</w:t>
      </w:r>
    </w:p>
    <w:p w14:paraId="67C6FE74"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El análisis de la participación de la UNLaM en las convocatorias FITBA entre 2022 y 2025 permite observar que la vinculación tecnológica no se construye únicamente a partir de la existencia de capacidades académicas ni de la disponibilidad de instrumentos de </w:t>
      </w:r>
      <w:r w:rsidRPr="00647AA9">
        <w:rPr>
          <w:rFonts w:ascii="Times New Roman" w:eastAsia="Times New Roman" w:hAnsi="Times New Roman" w:cs="Times New Roman"/>
        </w:rPr>
        <w:lastRenderedPageBreak/>
        <w:t>financiamiento. Entre ambos elementos se despliega un espacio de gestión que resulta decisivo para transformar una idea, una demanda o una capacidad técnica en un proyecto formulado, evaluable, ejecutable y eventualmente adoptable. Es precisamente en este denso espacio de interfaz donde cobra verdadero sentido estratégico el trabajo técnico y de mediación que realiza la UVT como puente entre la academia y el medio socio-productivo.</w:t>
      </w:r>
    </w:p>
    <w:p w14:paraId="581C9B14" w14:textId="3A3B96D5"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La trayectoria reconstruida muestra una secuencia diversa: proyectos adjudicados, proyectos admitidos sin financiamiento y propuestas no admitidas. Esa diversidad no debe interpretarse como una simple alternancia de resultados favorables y desfavorables, sino como parte de un proceso de aprendizaje institucional. Cada convocatoria permitió revisar criterios, ajustar formas de presentación, fortalecer la lectura de bases y condiciones, precisar la relación con los </w:t>
      </w:r>
      <w:r w:rsidR="00177B16" w:rsidRPr="00647AA9">
        <w:rPr>
          <w:rFonts w:ascii="Times New Roman" w:eastAsia="Times New Roman" w:hAnsi="Times New Roman" w:cs="Times New Roman"/>
        </w:rPr>
        <w:t>a</w:t>
      </w:r>
      <w:r w:rsidRPr="00647AA9">
        <w:rPr>
          <w:rFonts w:ascii="Times New Roman" w:eastAsia="Times New Roman" w:hAnsi="Times New Roman" w:cs="Times New Roman"/>
        </w:rPr>
        <w:t>doptantes y mejorar la adecuación entre problema, solución tecnológica, presupuesto y posibilidad real de implementación.</w:t>
      </w:r>
    </w:p>
    <w:p w14:paraId="5C764088"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En este recorrido, la experiencia adjudicada en 2022 ocupó un lugar relevante porque permitió transitar por primera vez el ciclo completo del instrumento. La ejecución, el seguimiento, las readecuaciones y el cierre técnico mostraron que la adjudicación no clausura el trabajo de la UVT, sino que abre una etapa de mayor complejidad. La formulación inicial resulta importante, pero el sostenimiento del proyecto exige capacidades administrativas, técnicas y documentales que acompañan el desarrollo hasta su finalización. La gestión de compras, la organización de respaldos, la adecuación de gastos, la respuesta a observaciones, la comunicación con los equipos y la rendición de fondos constituyen tareas menos visibles, pero indispensables para que el proyecto pueda efectivamente concretarse.</w:t>
      </w:r>
    </w:p>
    <w:p w14:paraId="3F967B52"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Ese trabajo suele quedar en un segundo plano frente al resultado técnico o frente al dato de la adjudicación. Sin embargo, la experiencia analizada muestra que la UVT cumple una función silenciosa pero necesaria: ordenar condiciones, anticipar dificultades, traducir requerimientos, articular actores y sostener la continuidad administrativa de proyectos que involucran tiempos, lenguajes y responsabilidades diferentes. Sin esa mediación, la vinculación corre el riesgo de quedar reducida a una intención formal, a una carta de aval o a una presentación aislada sin condiciones suficientes para su implementación.</w:t>
      </w:r>
    </w:p>
    <w:p w14:paraId="0B05D16F"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La gestión de la UVT también permitió advertir que la adopción territorial de una solución tecnológica no depende sólo de que la universidad produce conocimiento pertinente. Para que ese conocimiento pueda aplicarse en el territorio se requieren instrumentos de política científica y tecnológica capaces de orientar, financiar y acompañar procesos de articulación entre universidades, gobiernos locales, organismos públicos, empresas, cooperativas y otros actores del entorno. En ese sentido, FITBA operó como una política pública que no sólo asignó recursos, sino que estableció reglas, criterios metodológicos de evaluación y condiciones operativas rigurosas para promover proyectos de innovación aplicada con un verdadero potencial de transferencia e impacto territorial real.</w:t>
      </w:r>
    </w:p>
    <w:p w14:paraId="79403E3A"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Desde esta perspectiva, las políticas científicas cumplen un papel central: permiten que la producción de conocimiento no quede encerrada en los límites internos de la institución </w:t>
      </w:r>
      <w:r w:rsidRPr="00647AA9">
        <w:rPr>
          <w:rFonts w:ascii="Times New Roman" w:eastAsia="Times New Roman" w:hAnsi="Times New Roman" w:cs="Times New Roman"/>
        </w:rPr>
        <w:lastRenderedPageBreak/>
        <w:t>universitaria y pueda ponerse en relación con problemas concretos del territorio. Pero esa relación no ocurre de manera automática. Requiere estructuras institucionales que gestionan el vínculo, acompañan a los equipos, comprendan los instrumentos, construyan acuerdos con adoptantes y sostengan la ejecución bajo reglas públicas de financiamiento. La experiencia de la UVT UNLaM muestra, precisamente, que la política científica necesita capacidades de gestión situadas para transformarse en proyectos concretos.</w:t>
      </w:r>
    </w:p>
    <w:p w14:paraId="30A02C09"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El caso permite concluir que la consolidación de una UVT reciente no se mide sólo por la cantidad de proyectos presentados o adjudicados, sino también por la acumulación de saberes prácticos que fortalecen su intervención institucional. La lectura de evaluaciones, las observaciones recibidas, las readecuaciones realizadas y los cierres alcanzados fueron configurando criterios de trabajo que luego pudieron recuperarse en nuevas convocatorias. Así, la gestión de la vinculación tecnológica aparece como una función institucional en construcción, que se nutre de la experiencia, de los resultados obtenidos y también de aquello que no logró financiamiento.</w:t>
      </w:r>
    </w:p>
    <w:p w14:paraId="0BC61D94"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En definitiva, la experiencia analizada permite reconocer que la universidad pública puede desempeñar un papel relevante en el desarrollo territorial cuando cuenta con políticas de incentivo, instrumentos específicos y estructuras internas capaces de articular conocimiento, gestión y demanda social. La UVT UNLaM emerge en este proceso como una instancia clave para organizar esa articulación. Su tarea no reemplaza la producción académica ni define por sí sola la pertinencia de los proyectos, pero crea condiciones para que las capacidades universitarias puedan vincularse con problemas del entorno y avanzar hacia formas concretas de aplicación, transferencia y adopción territorial, dejando abierta para futuras líneas de investigación la necesidad de evaluar el impacto social y productivo a largo plazo que estos desarrollos tecnológicos generan efectivamente en el entramado regional.</w:t>
      </w:r>
    </w:p>
    <w:p w14:paraId="4A69751B" w14:textId="77777777" w:rsidR="00140FBC" w:rsidRPr="00647AA9" w:rsidRDefault="00000000" w:rsidP="00AE6419">
      <w:pPr>
        <w:spacing w:line="240" w:lineRule="auto"/>
        <w:rPr>
          <w:rFonts w:ascii="Times New Roman" w:eastAsia="Times New Roman" w:hAnsi="Times New Roman" w:cs="Times New Roman"/>
          <w:b/>
          <w:bCs/>
        </w:rPr>
      </w:pPr>
      <w:r w:rsidRPr="00647AA9">
        <w:rPr>
          <w:rFonts w:ascii="Times New Roman" w:eastAsia="Times New Roman" w:hAnsi="Times New Roman" w:cs="Times New Roman"/>
          <w:b/>
          <w:bCs/>
        </w:rPr>
        <w:t>Referencias Bibliográficas</w:t>
      </w:r>
    </w:p>
    <w:p w14:paraId="4ABE6B71" w14:textId="77777777" w:rsidR="00140FBC" w:rsidRPr="00647AA9" w:rsidRDefault="00000000" w:rsidP="00AE6419">
      <w:pPr>
        <w:spacing w:line="240" w:lineRule="auto"/>
        <w:jc w:val="both"/>
        <w:rPr>
          <w:rFonts w:ascii="Times New Roman" w:eastAsia="Times New Roman" w:hAnsi="Times New Roman" w:cs="Times New Roman"/>
          <w:i/>
          <w:iCs/>
        </w:rPr>
      </w:pPr>
      <w:r w:rsidRPr="00647AA9">
        <w:rPr>
          <w:rFonts w:ascii="Times New Roman" w:eastAsia="Times New Roman" w:hAnsi="Times New Roman" w:cs="Times New Roman"/>
        </w:rPr>
        <w:t xml:space="preserve">Agencia Nacional de Promoción de la Investigación, el Desarrollo Tecnológico y la Innovación. (2022). Resolución RESOL-2022-20-APN-DANPIDTYI#ANPIDTYI. </w:t>
      </w:r>
      <w:r w:rsidRPr="00647AA9">
        <w:rPr>
          <w:rFonts w:ascii="Times New Roman" w:eastAsia="Times New Roman" w:hAnsi="Times New Roman" w:cs="Times New Roman"/>
          <w:i/>
          <w:iCs/>
        </w:rPr>
        <w:t>Habilitación de la Universidad Nacional de La Matanza como Unidad de Vinculación Tecnológica.</w:t>
      </w:r>
    </w:p>
    <w:p w14:paraId="062CB7B4"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Araya Alarcón, R. (2024). </w:t>
      </w:r>
      <w:r w:rsidRPr="00647AA9">
        <w:rPr>
          <w:rFonts w:ascii="Times New Roman" w:eastAsia="Times New Roman" w:hAnsi="Times New Roman" w:cs="Times New Roman"/>
          <w:i/>
          <w:iCs/>
        </w:rPr>
        <w:t>Bidireccionalidad: ¿Qué están entendiendo las instituciones de educación superior técnico profesionales en Chile? Masquedós. Revista de Extensión Universitaria</w:t>
      </w:r>
      <w:r w:rsidRPr="00647AA9">
        <w:rPr>
          <w:rFonts w:ascii="Times New Roman" w:eastAsia="Times New Roman" w:hAnsi="Times New Roman" w:cs="Times New Roman"/>
        </w:rPr>
        <w:t>, 9(12), 16.</w:t>
      </w:r>
    </w:p>
    <w:p w14:paraId="7C902C35" w14:textId="77777777" w:rsidR="00140FBC" w:rsidRPr="00647AA9" w:rsidRDefault="00000000" w:rsidP="00AE6419">
      <w:pPr>
        <w:spacing w:line="240" w:lineRule="auto"/>
        <w:jc w:val="both"/>
        <w:rPr>
          <w:rFonts w:ascii="Times New Roman" w:eastAsia="Times New Roman" w:hAnsi="Times New Roman" w:cs="Times New Roman"/>
        </w:rPr>
      </w:pPr>
      <w:proofErr w:type="spellStart"/>
      <w:r w:rsidRPr="00647AA9">
        <w:rPr>
          <w:rFonts w:ascii="Times New Roman" w:eastAsia="Times New Roman" w:hAnsi="Times New Roman" w:cs="Times New Roman"/>
        </w:rPr>
        <w:t>Casalet</w:t>
      </w:r>
      <w:proofErr w:type="spellEnd"/>
      <w:r w:rsidRPr="00647AA9">
        <w:rPr>
          <w:rFonts w:ascii="Times New Roman" w:eastAsia="Times New Roman" w:hAnsi="Times New Roman" w:cs="Times New Roman"/>
        </w:rPr>
        <w:t xml:space="preserve">, M. (2012). </w:t>
      </w:r>
      <w:r w:rsidRPr="00647AA9">
        <w:rPr>
          <w:rFonts w:ascii="Times New Roman" w:eastAsia="Times New Roman" w:hAnsi="Times New Roman" w:cs="Times New Roman"/>
          <w:i/>
          <w:iCs/>
        </w:rPr>
        <w:t>Las relaciones de colaboración entre la universidad y los sectores productivos: una oportunidad a construir en la política de innovación</w:t>
      </w:r>
      <w:r w:rsidRPr="00647AA9">
        <w:rPr>
          <w:rFonts w:ascii="Times New Roman" w:eastAsia="Times New Roman" w:hAnsi="Times New Roman" w:cs="Times New Roman"/>
        </w:rPr>
        <w:t xml:space="preserve">. En A. Hualde, D. Villavicencio &amp; J. Carrillo (Eds.), Dilemas de la innovación en México: Dinámicas sectoriales, territoriales. </w:t>
      </w:r>
    </w:p>
    <w:p w14:paraId="41FCF9D2" w14:textId="77777777" w:rsidR="00140FBC" w:rsidRPr="00647AA9" w:rsidRDefault="00000000" w:rsidP="00177B16">
      <w:pPr>
        <w:spacing w:after="0"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Codner, D. G. (2022). </w:t>
      </w:r>
      <w:r w:rsidRPr="00647AA9">
        <w:rPr>
          <w:rFonts w:ascii="Times New Roman" w:eastAsia="Times New Roman" w:hAnsi="Times New Roman" w:cs="Times New Roman"/>
          <w:i/>
          <w:iCs/>
        </w:rPr>
        <w:t>Gestión de la vinculación y transferencia tecnológica en las universidades argentinas</w:t>
      </w:r>
      <w:r w:rsidRPr="00647AA9">
        <w:rPr>
          <w:rFonts w:ascii="Times New Roman" w:eastAsia="Times New Roman" w:hAnsi="Times New Roman" w:cs="Times New Roman"/>
        </w:rPr>
        <w:t>. Ciencia, Tecnología y Política, 5(8).</w:t>
      </w:r>
    </w:p>
    <w:p w14:paraId="2108BDD7" w14:textId="77777777" w:rsidR="00140FBC" w:rsidRPr="00647AA9" w:rsidRDefault="00140FBC" w:rsidP="00AE6419">
      <w:pPr>
        <w:spacing w:line="240" w:lineRule="auto"/>
        <w:jc w:val="both"/>
        <w:rPr>
          <w:rFonts w:ascii="Times New Roman" w:eastAsia="Times New Roman" w:hAnsi="Times New Roman" w:cs="Times New Roman"/>
          <w:color w:val="1155CC"/>
          <w:u w:val="single"/>
        </w:rPr>
      </w:pPr>
      <w:hyperlink r:id="rId10">
        <w:r w:rsidRPr="00647AA9">
          <w:rPr>
            <w:rFonts w:ascii="Times New Roman" w:eastAsia="Times New Roman" w:hAnsi="Times New Roman" w:cs="Times New Roman"/>
            <w:color w:val="1155CC"/>
            <w:u w:val="single"/>
          </w:rPr>
          <w:t>https://doi.org/10.24215/26183188e073</w:t>
        </w:r>
      </w:hyperlink>
      <w:r w:rsidR="00000000" w:rsidRPr="00647AA9">
        <w:rPr>
          <w:rFonts w:ascii="Times New Roman" w:eastAsia="Times New Roman" w:hAnsi="Times New Roman" w:cs="Times New Roman"/>
          <w:color w:val="1155CC"/>
          <w:u w:val="single"/>
        </w:rPr>
        <w:t xml:space="preserve"> </w:t>
      </w:r>
    </w:p>
    <w:p w14:paraId="67679EB2"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lastRenderedPageBreak/>
        <w:t xml:space="preserve">Codner, D., Baudry, G., &amp; Becerra, P. (2013). </w:t>
      </w:r>
      <w:r w:rsidRPr="00647AA9">
        <w:rPr>
          <w:rFonts w:ascii="Times New Roman" w:eastAsia="Times New Roman" w:hAnsi="Times New Roman" w:cs="Times New Roman"/>
          <w:i/>
          <w:iCs/>
        </w:rPr>
        <w:t>Las oficinas de transferencia de conocimiento como instrumento de las universidades para su interacción con el entorno</w:t>
      </w:r>
      <w:r w:rsidRPr="00647AA9">
        <w:rPr>
          <w:rFonts w:ascii="Times New Roman" w:eastAsia="Times New Roman" w:hAnsi="Times New Roman" w:cs="Times New Roman"/>
        </w:rPr>
        <w:t>. Universidades, 63(58).</w:t>
      </w:r>
    </w:p>
    <w:p w14:paraId="0D3FF858" w14:textId="77777777" w:rsidR="00140FBC" w:rsidRPr="00647AA9" w:rsidRDefault="00000000" w:rsidP="00177B16">
      <w:pPr>
        <w:spacing w:after="0"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Corvalán, R. E. (2016). Vinculación y transferencia tecnológica, su significado y alcances. </w:t>
      </w:r>
      <w:r w:rsidRPr="00647AA9">
        <w:rPr>
          <w:rFonts w:ascii="Times New Roman" w:eastAsia="Times New Roman" w:hAnsi="Times New Roman" w:cs="Times New Roman"/>
          <w:i/>
          <w:iCs/>
        </w:rPr>
        <w:t>Extensionismo, Innovación y Transferencia Tecnológica</w:t>
      </w:r>
      <w:r w:rsidRPr="00647AA9">
        <w:rPr>
          <w:rFonts w:ascii="Times New Roman" w:eastAsia="Times New Roman" w:hAnsi="Times New Roman" w:cs="Times New Roman"/>
        </w:rPr>
        <w:t xml:space="preserve">, 3, 28–34. </w:t>
      </w:r>
    </w:p>
    <w:p w14:paraId="6A270E19" w14:textId="77777777" w:rsidR="00140FBC" w:rsidRPr="00647AA9" w:rsidRDefault="00000000" w:rsidP="00AE6419">
      <w:pPr>
        <w:spacing w:line="240" w:lineRule="auto"/>
        <w:jc w:val="both"/>
        <w:rPr>
          <w:rFonts w:ascii="Times New Roman" w:eastAsia="Times New Roman" w:hAnsi="Times New Roman" w:cs="Times New Roman"/>
          <w:color w:val="1155CC"/>
          <w:u w:val="single"/>
        </w:rPr>
      </w:pPr>
      <w:r w:rsidRPr="00647AA9">
        <w:rPr>
          <w:rFonts w:ascii="Times New Roman" w:eastAsia="Times New Roman" w:hAnsi="Times New Roman" w:cs="Times New Roman"/>
          <w:color w:val="1155CC"/>
          <w:u w:val="single"/>
        </w:rPr>
        <w:t>DOI: 10.30972/eitt.302771</w:t>
      </w:r>
    </w:p>
    <w:p w14:paraId="7754D5E1"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Ministerio de Producción, Ciencia e Innovación Tecnológica de la Provincia de Buenos Aires. (2021a). </w:t>
      </w:r>
      <w:r w:rsidRPr="00647AA9">
        <w:rPr>
          <w:rFonts w:ascii="Times New Roman" w:eastAsia="Times New Roman" w:hAnsi="Times New Roman" w:cs="Times New Roman"/>
          <w:i/>
          <w:iCs/>
        </w:rPr>
        <w:t xml:space="preserve">FITBA. Primera convocatoria: Bases y condiciones generales </w:t>
      </w:r>
      <w:r w:rsidRPr="00647AA9">
        <w:rPr>
          <w:rFonts w:ascii="Times New Roman" w:eastAsia="Times New Roman" w:hAnsi="Times New Roman" w:cs="Times New Roman"/>
        </w:rPr>
        <w:t>(IF-2021-32146578-GDEBA-SSCTIMPCEITGP).</w:t>
      </w:r>
    </w:p>
    <w:p w14:paraId="0C9E2229"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Ministerio de Producción, Ciencia e Innovación Tecnológica de la Provincia de Buenos Aires. (2021b). </w:t>
      </w:r>
      <w:r w:rsidRPr="00647AA9">
        <w:rPr>
          <w:rFonts w:ascii="Times New Roman" w:eastAsia="Times New Roman" w:hAnsi="Times New Roman" w:cs="Times New Roman"/>
          <w:i/>
          <w:iCs/>
        </w:rPr>
        <w:t xml:space="preserve">FITBA. Primera Convocatoria. Reglamento Operativo.  </w:t>
      </w:r>
      <w:r w:rsidRPr="00647AA9">
        <w:rPr>
          <w:rFonts w:ascii="Times New Roman" w:eastAsia="Times New Roman" w:hAnsi="Times New Roman" w:cs="Times New Roman"/>
        </w:rPr>
        <w:t xml:space="preserve"> (IF-2021-32146580-GDEBA-SSCTIMPCEITGP).</w:t>
      </w:r>
    </w:p>
    <w:p w14:paraId="29913778"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Ministerio de Producción, Ciencia e Innovación Tecnológica de la Provincia de Buenos Aires. (2022). </w:t>
      </w:r>
      <w:r w:rsidRPr="00647AA9">
        <w:rPr>
          <w:rFonts w:ascii="Times New Roman" w:eastAsia="Times New Roman" w:hAnsi="Times New Roman" w:cs="Times New Roman"/>
          <w:i/>
          <w:iCs/>
        </w:rPr>
        <w:t xml:space="preserve">FITBA. Primera Convocatoria: Proyectos Admitidos </w:t>
      </w:r>
      <w:r w:rsidRPr="00647AA9">
        <w:rPr>
          <w:rFonts w:ascii="Times New Roman" w:eastAsia="Times New Roman" w:hAnsi="Times New Roman" w:cs="Times New Roman"/>
        </w:rPr>
        <w:t>(Anexo II IF-2022-29211203-GDEBA-SSCTIMPCEITGP)</w:t>
      </w:r>
    </w:p>
    <w:p w14:paraId="4309AF64"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Ministerio de Producción, Ciencia e Innovación Tecnológica de la Provincia de Buenos Aires. (2023a). </w:t>
      </w:r>
      <w:r w:rsidRPr="00647AA9">
        <w:rPr>
          <w:rFonts w:ascii="Times New Roman" w:eastAsia="Times New Roman" w:hAnsi="Times New Roman" w:cs="Times New Roman"/>
          <w:i/>
          <w:iCs/>
        </w:rPr>
        <w:t>FITBA, Segunda Convocatoria: Informe de Evaluación. FITBA 2023-CRIE</w:t>
      </w:r>
      <w:r w:rsidRPr="00647AA9">
        <w:rPr>
          <w:rFonts w:ascii="Times New Roman" w:eastAsia="Times New Roman" w:hAnsi="Times New Roman" w:cs="Times New Roman"/>
        </w:rPr>
        <w:t>. (IF-2023-25893011-GDEBA-DPPESIMPCEITGP).</w:t>
      </w:r>
    </w:p>
    <w:p w14:paraId="659A5D07"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Ministerio de Producción, Ciencia e Innovación Tecnológica de la Provincia de Buenos Aires. (2023b). </w:t>
      </w:r>
      <w:r w:rsidRPr="00647AA9">
        <w:rPr>
          <w:rFonts w:ascii="Times New Roman" w:eastAsia="Times New Roman" w:hAnsi="Times New Roman" w:cs="Times New Roman"/>
          <w:i/>
          <w:iCs/>
        </w:rPr>
        <w:t>FITBA. Segunda Convocatoria: Informe de Evaluación.</w:t>
      </w:r>
      <w:r w:rsidRPr="00647AA9">
        <w:rPr>
          <w:rFonts w:ascii="Times New Roman" w:eastAsia="Times New Roman" w:hAnsi="Times New Roman" w:cs="Times New Roman"/>
        </w:rPr>
        <w:t xml:space="preserve"> </w:t>
      </w:r>
      <w:r w:rsidRPr="00647AA9">
        <w:rPr>
          <w:rFonts w:ascii="Times New Roman" w:eastAsia="Times New Roman" w:hAnsi="Times New Roman" w:cs="Times New Roman"/>
          <w:i/>
          <w:iCs/>
        </w:rPr>
        <w:t>FITBA 2023</w:t>
      </w:r>
      <w:r w:rsidRPr="00647AA9">
        <w:rPr>
          <w:rFonts w:ascii="Times New Roman" w:eastAsia="Times New Roman" w:hAnsi="Times New Roman" w:cs="Times New Roman"/>
        </w:rPr>
        <w:t>-</w:t>
      </w:r>
      <w:r w:rsidRPr="00647AA9">
        <w:rPr>
          <w:rFonts w:ascii="Times New Roman" w:eastAsia="Times New Roman" w:hAnsi="Times New Roman" w:cs="Times New Roman"/>
          <w:i/>
          <w:iCs/>
        </w:rPr>
        <w:t>LACER</w:t>
      </w:r>
      <w:r w:rsidRPr="00647AA9">
        <w:rPr>
          <w:rFonts w:ascii="Times New Roman" w:eastAsia="Times New Roman" w:hAnsi="Times New Roman" w:cs="Times New Roman"/>
        </w:rPr>
        <w:t>. (IF-2023-25896200-GDEBA-DPPESIMPCEITGP).</w:t>
      </w:r>
    </w:p>
    <w:p w14:paraId="6DEFBD3E"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Ministerio de Producción, Ciencia e Innovación Tecnológica de la Provincia de Buenos Aires. (2023c). </w:t>
      </w:r>
      <w:r w:rsidRPr="00647AA9">
        <w:rPr>
          <w:rFonts w:ascii="Times New Roman" w:eastAsia="Times New Roman" w:hAnsi="Times New Roman" w:cs="Times New Roman"/>
          <w:i/>
          <w:iCs/>
        </w:rPr>
        <w:t xml:space="preserve">FITBA. Segunda Convocatoria: Proyectos Admitidos </w:t>
      </w:r>
      <w:r w:rsidRPr="00647AA9">
        <w:rPr>
          <w:rFonts w:ascii="Times New Roman" w:eastAsia="Times New Roman" w:hAnsi="Times New Roman" w:cs="Times New Roman"/>
        </w:rPr>
        <w:t>(ANEXO II IF-2023-26517428-GDEBA-SSCTIMPCEITGP).</w:t>
      </w:r>
    </w:p>
    <w:p w14:paraId="213BDC5A"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Ministerio de Producción, Ciencia e Innovación Tecnológica de la Provincia de Buenos Aires. (2024a). </w:t>
      </w:r>
      <w:r w:rsidRPr="00647AA9">
        <w:rPr>
          <w:rFonts w:ascii="Times New Roman" w:eastAsia="Times New Roman" w:hAnsi="Times New Roman" w:cs="Times New Roman"/>
          <w:i/>
          <w:iCs/>
        </w:rPr>
        <w:t>FITBA. Tercera Convocatoria: Bases y Condiciones Generales</w:t>
      </w:r>
      <w:r w:rsidRPr="00647AA9">
        <w:rPr>
          <w:rFonts w:ascii="Times New Roman" w:eastAsia="Times New Roman" w:hAnsi="Times New Roman" w:cs="Times New Roman"/>
        </w:rPr>
        <w:t xml:space="preserve"> (IF-2024-27649407-GDEBA-SSCTIMPCEITGP).</w:t>
      </w:r>
    </w:p>
    <w:p w14:paraId="108120AC" w14:textId="77777777" w:rsidR="00140FBC" w:rsidRPr="00647AA9" w:rsidRDefault="00000000" w:rsidP="00177B16">
      <w:pPr>
        <w:spacing w:after="0"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Ministerio de Producción, Ciencia e Innovación Tecnológica de la Provincia de Buenos Aires. (2024b). </w:t>
      </w:r>
      <w:r w:rsidRPr="00647AA9">
        <w:rPr>
          <w:rFonts w:ascii="Times New Roman" w:eastAsia="Times New Roman" w:hAnsi="Times New Roman" w:cs="Times New Roman"/>
          <w:i/>
          <w:iCs/>
        </w:rPr>
        <w:t>FITBA. Tercera Convocatoria: Proyectos Adjudicados</w:t>
      </w:r>
      <w:r w:rsidRPr="00647AA9">
        <w:rPr>
          <w:rFonts w:ascii="Times New Roman" w:eastAsia="Times New Roman" w:hAnsi="Times New Roman" w:cs="Times New Roman"/>
        </w:rPr>
        <w:t>.</w:t>
      </w:r>
    </w:p>
    <w:p w14:paraId="44CF0DE6" w14:textId="77777777" w:rsidR="00140FBC" w:rsidRPr="00647AA9" w:rsidRDefault="00140FBC" w:rsidP="00AE6419">
      <w:pPr>
        <w:spacing w:line="240" w:lineRule="auto"/>
        <w:jc w:val="both"/>
        <w:rPr>
          <w:rFonts w:ascii="Times New Roman" w:eastAsia="Times New Roman" w:hAnsi="Times New Roman" w:cs="Times New Roman"/>
        </w:rPr>
      </w:pPr>
      <w:hyperlink r:id="rId11" w:anchor="pdfviewer">
        <w:r w:rsidRPr="00647AA9">
          <w:rPr>
            <w:rFonts w:ascii="Times New Roman" w:eastAsia="Times New Roman" w:hAnsi="Times New Roman" w:cs="Times New Roman"/>
            <w:color w:val="1155CC"/>
            <w:u w:val="single"/>
          </w:rPr>
          <w:t>https://nube.mcti.gba.gov.ar/index.php/s/LAcEx8tyTajsNRm#pdfviewer</w:t>
        </w:r>
      </w:hyperlink>
      <w:r w:rsidR="00000000" w:rsidRPr="00647AA9">
        <w:rPr>
          <w:rFonts w:ascii="Times New Roman" w:eastAsia="Times New Roman" w:hAnsi="Times New Roman" w:cs="Times New Roman"/>
        </w:rPr>
        <w:t xml:space="preserve"> </w:t>
      </w:r>
    </w:p>
    <w:p w14:paraId="5654F8DC" w14:textId="77777777" w:rsidR="00140FBC" w:rsidRPr="00647AA9" w:rsidRDefault="00000000" w:rsidP="00177B16">
      <w:pPr>
        <w:spacing w:after="0"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Ministerio de Producción, Ciencia e Innovación Tecnológica de la Provincia de Buenos Aires. (2024c). </w:t>
      </w:r>
      <w:r w:rsidRPr="00647AA9">
        <w:rPr>
          <w:rFonts w:ascii="Times New Roman" w:eastAsia="Times New Roman" w:hAnsi="Times New Roman" w:cs="Times New Roman"/>
          <w:i/>
          <w:iCs/>
        </w:rPr>
        <w:t>Innovación bonaerense. Soluciones tecnológicas originales a problemáticas locales: Casos de articulación entre el Estado, el sector productivo y el científico-tecnológico en la provincia de Buenos Aires</w:t>
      </w:r>
      <w:r w:rsidRPr="00647AA9">
        <w:rPr>
          <w:rFonts w:ascii="Times New Roman" w:eastAsia="Times New Roman" w:hAnsi="Times New Roman" w:cs="Times New Roman"/>
        </w:rPr>
        <w:t>. Observatorio Regional Bonaerense de Innovación Tecnológica; Subsecretaría de Ciencia, Tecnología e Innovación. Documento de Trabajo. Buenos Aires, junio 2024.</w:t>
      </w:r>
    </w:p>
    <w:p w14:paraId="14DBF4A1" w14:textId="77777777" w:rsidR="00140FBC" w:rsidRPr="00647AA9" w:rsidRDefault="00140FBC" w:rsidP="00AE6419">
      <w:pPr>
        <w:spacing w:line="240" w:lineRule="auto"/>
        <w:jc w:val="both"/>
        <w:rPr>
          <w:rFonts w:ascii="Times New Roman" w:eastAsia="Times New Roman" w:hAnsi="Times New Roman" w:cs="Times New Roman"/>
          <w:color w:val="1155CC"/>
          <w:u w:val="single"/>
        </w:rPr>
      </w:pPr>
      <w:hyperlink r:id="rId12" w:anchor="pdfviewer">
        <w:r w:rsidRPr="00647AA9">
          <w:rPr>
            <w:rFonts w:ascii="Times New Roman" w:eastAsia="Times New Roman" w:hAnsi="Times New Roman" w:cs="Times New Roman"/>
            <w:color w:val="1155CC"/>
            <w:u w:val="single"/>
          </w:rPr>
          <w:t>https://nube.mcti.gba.gov.ar/index.php/s/l2P0lmwfKmaJs5K#pdfviewer</w:t>
        </w:r>
      </w:hyperlink>
    </w:p>
    <w:p w14:paraId="55447CC2"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lastRenderedPageBreak/>
        <w:t xml:space="preserve">Ministerio de Producción, Ciencia e Innovación Tecnológica de la Provincia de Buenos Aires. (2025a). </w:t>
      </w:r>
      <w:r w:rsidRPr="00647AA9">
        <w:rPr>
          <w:rFonts w:ascii="Times New Roman" w:eastAsia="Times New Roman" w:hAnsi="Times New Roman" w:cs="Times New Roman"/>
          <w:i/>
          <w:iCs/>
        </w:rPr>
        <w:t>FITBA. Cuarta Convocatoria: Bases y Condiciones Generales</w:t>
      </w:r>
      <w:r w:rsidRPr="00647AA9">
        <w:rPr>
          <w:rFonts w:ascii="Times New Roman" w:eastAsia="Times New Roman" w:hAnsi="Times New Roman" w:cs="Times New Roman"/>
        </w:rPr>
        <w:t xml:space="preserve"> (IF-2025-14252661-GDEBA-SSCTIMPCEITGP).</w:t>
      </w:r>
    </w:p>
    <w:p w14:paraId="3F730820"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Ministerio de Producción, Ciencia e Innovación Tecnológica de la Provincia de Buenos Aires. (2025b). </w:t>
      </w:r>
      <w:r w:rsidRPr="00647AA9">
        <w:rPr>
          <w:rFonts w:ascii="Times New Roman" w:eastAsia="Times New Roman" w:hAnsi="Times New Roman" w:cs="Times New Roman"/>
          <w:i/>
          <w:iCs/>
        </w:rPr>
        <w:t xml:space="preserve">FITBA. Cuarta Convocatoria: Proyectos No Admitidos (Anexo I - </w:t>
      </w:r>
      <w:r w:rsidRPr="00647AA9">
        <w:rPr>
          <w:rFonts w:ascii="Times New Roman" w:eastAsia="Times New Roman" w:hAnsi="Times New Roman" w:cs="Times New Roman"/>
        </w:rPr>
        <w:t>IF-2025-38299549-GDEBA-SSCTIMPCEITGP).</w:t>
      </w:r>
    </w:p>
    <w:p w14:paraId="3B0B91CF" w14:textId="5F492CBB" w:rsidR="00140FBC" w:rsidRPr="00647AA9" w:rsidRDefault="00000000" w:rsidP="00AE6419">
      <w:pPr>
        <w:pBdr>
          <w:top w:val="nil"/>
          <w:left w:val="nil"/>
          <w:bottom w:val="nil"/>
          <w:right w:val="nil"/>
          <w:between w:val="nil"/>
        </w:pBd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Ministerio de Producción, Ciencia e Innovación Tecnológica de la Provincia de Buenos Aires. (2025c). </w:t>
      </w:r>
      <w:r w:rsidRPr="00647AA9">
        <w:rPr>
          <w:rFonts w:ascii="Times New Roman" w:eastAsia="Times New Roman" w:hAnsi="Times New Roman" w:cs="Times New Roman"/>
          <w:i/>
          <w:iCs/>
        </w:rPr>
        <w:t>FITBA. Cuarta Convocatoria: Proyectos adjudicados.</w:t>
      </w:r>
      <w:r w:rsidRPr="00647AA9">
        <w:rPr>
          <w:rFonts w:ascii="Times New Roman" w:eastAsia="Times New Roman" w:hAnsi="Times New Roman" w:cs="Times New Roman"/>
        </w:rPr>
        <w:t xml:space="preserve"> (Anexo III -IF-2025-38390010-GDEBA-SSCTIMPCEITGP). </w:t>
      </w:r>
    </w:p>
    <w:p w14:paraId="45E59867" w14:textId="77777777" w:rsidR="00140FBC" w:rsidRPr="00647AA9" w:rsidRDefault="00000000" w:rsidP="00AE6419">
      <w:pPr>
        <w:spacing w:line="240" w:lineRule="auto"/>
        <w:jc w:val="both"/>
        <w:rPr>
          <w:rFonts w:ascii="Times New Roman" w:eastAsia="Times New Roman" w:hAnsi="Times New Roman" w:cs="Times New Roman"/>
          <w:i/>
          <w:iCs/>
        </w:rPr>
      </w:pPr>
      <w:r w:rsidRPr="00647AA9">
        <w:rPr>
          <w:rFonts w:ascii="Times New Roman" w:eastAsia="Times New Roman" w:hAnsi="Times New Roman" w:cs="Times New Roman"/>
        </w:rPr>
        <w:t xml:space="preserve">Universidad Nacional de La Matanza. (2021). </w:t>
      </w:r>
      <w:r w:rsidRPr="00647AA9">
        <w:rPr>
          <w:rFonts w:ascii="Times New Roman" w:eastAsia="Times New Roman" w:hAnsi="Times New Roman" w:cs="Times New Roman"/>
          <w:i/>
          <w:iCs/>
        </w:rPr>
        <w:t>Resolución HCS N.º 205/2021. Creación de la Unidad de Vinculación Tecnológica de la Universidad Nacional de La Matanza.</w:t>
      </w:r>
    </w:p>
    <w:p w14:paraId="141477F8"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lang w:val="it-IT"/>
        </w:rPr>
        <w:t xml:space="preserve">Senejko, M. P., &amp; Versino, M. (2018). </w:t>
      </w:r>
      <w:r w:rsidRPr="00647AA9">
        <w:rPr>
          <w:rFonts w:ascii="Times New Roman" w:eastAsia="Times New Roman" w:hAnsi="Times New Roman" w:cs="Times New Roman"/>
          <w:i/>
          <w:iCs/>
        </w:rPr>
        <w:t>La producción de conocimientos y la resolución de problemas sociales: Análisis de las convocatorias a proyectos de investigación orientados en la UBA (2003-2015)</w:t>
      </w:r>
      <w:r w:rsidRPr="00647AA9">
        <w:rPr>
          <w:rFonts w:ascii="Times New Roman" w:eastAsia="Times New Roman" w:hAnsi="Times New Roman" w:cs="Times New Roman"/>
        </w:rPr>
        <w:t xml:space="preserve">. Horizontes Sociológicos, 5, 13–26. </w:t>
      </w:r>
    </w:p>
    <w:p w14:paraId="704B22AF" w14:textId="77777777"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Vaccarezza, L. S., &amp; Zabala, J. P. (2002).</w:t>
      </w:r>
      <w:r w:rsidRPr="00647AA9">
        <w:rPr>
          <w:rFonts w:ascii="Times New Roman" w:eastAsia="Times New Roman" w:hAnsi="Times New Roman" w:cs="Times New Roman"/>
          <w:i/>
          <w:iCs/>
        </w:rPr>
        <w:t xml:space="preserve"> La construcción de la utilidad social de la ciencia: Investigadores en biotecnología frente al mercado.</w:t>
      </w:r>
      <w:r w:rsidRPr="00647AA9">
        <w:rPr>
          <w:rFonts w:ascii="Times New Roman" w:eastAsia="Times New Roman" w:hAnsi="Times New Roman" w:cs="Times New Roman"/>
        </w:rPr>
        <w:t xml:space="preserve"> Universidad Nacional de Quilmes. </w:t>
      </w:r>
    </w:p>
    <w:p w14:paraId="7CDE1898" w14:textId="506C99BE" w:rsidR="00140FBC" w:rsidRPr="00647AA9" w:rsidRDefault="00000000" w:rsidP="00AE6419">
      <w:pPr>
        <w:spacing w:line="240" w:lineRule="auto"/>
        <w:jc w:val="both"/>
        <w:rPr>
          <w:rFonts w:ascii="Times New Roman" w:eastAsia="Times New Roman" w:hAnsi="Times New Roman" w:cs="Times New Roman"/>
        </w:rPr>
      </w:pPr>
      <w:r w:rsidRPr="00647AA9">
        <w:rPr>
          <w:rFonts w:ascii="Times New Roman" w:eastAsia="Times New Roman" w:hAnsi="Times New Roman" w:cs="Times New Roman"/>
        </w:rPr>
        <w:t xml:space="preserve">Waiter, A. (2025). </w:t>
      </w:r>
      <w:r w:rsidRPr="00647AA9">
        <w:rPr>
          <w:rFonts w:ascii="Times New Roman" w:eastAsia="Times New Roman" w:hAnsi="Times New Roman" w:cs="Times New Roman"/>
          <w:i/>
          <w:iCs/>
        </w:rPr>
        <w:t>Los desafíos de la vinculación entre la universidad y el sector productivo: Una mirada desde el sur.</w:t>
      </w:r>
      <w:r w:rsidRPr="00647AA9">
        <w:rPr>
          <w:rFonts w:ascii="Times New Roman" w:eastAsia="Times New Roman" w:hAnsi="Times New Roman" w:cs="Times New Roman"/>
        </w:rPr>
        <w:t xml:space="preserve"> Revista CTS, 20(59), 179–201.</w:t>
      </w:r>
      <w:hyperlink r:id="rId13">
        <w:r w:rsidR="00140FBC" w:rsidRPr="00647AA9">
          <w:rPr>
            <w:rFonts w:ascii="Times New Roman" w:eastAsia="Times New Roman" w:hAnsi="Times New Roman" w:cs="Times New Roman"/>
          </w:rPr>
          <w:t xml:space="preserve"> </w:t>
        </w:r>
      </w:hyperlink>
      <w:hyperlink r:id="rId14">
        <w:r w:rsidR="00140FBC" w:rsidRPr="00647AA9">
          <w:rPr>
            <w:rFonts w:ascii="Times New Roman" w:eastAsia="Times New Roman" w:hAnsi="Times New Roman" w:cs="Times New Roman"/>
            <w:color w:val="1155CC"/>
            <w:u w:val="single"/>
          </w:rPr>
          <w:t>https://doi.org/10.52712/issn.1850-0013-545</w:t>
        </w:r>
      </w:hyperlink>
    </w:p>
    <w:sectPr w:rsidR="00140FBC" w:rsidRPr="00647AA9">
      <w:headerReference w:type="default" r:id="rId15"/>
      <w:footerReference w:type="default" r:id="rId16"/>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2B9B0" w14:textId="77777777" w:rsidR="004B41FB" w:rsidRDefault="004B41FB">
      <w:pPr>
        <w:spacing w:after="0" w:line="240" w:lineRule="auto"/>
      </w:pPr>
      <w:r>
        <w:separator/>
      </w:r>
    </w:p>
  </w:endnote>
  <w:endnote w:type="continuationSeparator" w:id="0">
    <w:p w14:paraId="7673F869" w14:textId="77777777" w:rsidR="004B41FB" w:rsidRDefault="004B4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A899257-56CF-49CD-AA47-DE3FC325B88D}"/>
    <w:embedItalic r:id="rId2" w:fontKey="{F81E19D5-F158-4479-B8EC-8F9AEE4D9CB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110F8DF2-22A7-4F79-A0E3-A49738DCDD4A}"/>
    <w:embedBold r:id="rId4" w:fontKey="{045A697F-EDB8-4188-AD3B-8A12D8B642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7D198" w14:textId="77777777" w:rsidR="00140FBC" w:rsidRDefault="00000000">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4744DBD7" wp14:editId="37B28FDD">
          <wp:extent cx="5400040" cy="4286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37905BB5" w14:textId="77777777" w:rsidR="00140FBC" w:rsidRDefault="00140FBC">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F7B5F" w14:textId="77777777" w:rsidR="004B41FB" w:rsidRDefault="004B41FB">
      <w:pPr>
        <w:spacing w:after="0" w:line="240" w:lineRule="auto"/>
      </w:pPr>
      <w:r>
        <w:separator/>
      </w:r>
    </w:p>
  </w:footnote>
  <w:footnote w:type="continuationSeparator" w:id="0">
    <w:p w14:paraId="02329C32" w14:textId="77777777" w:rsidR="004B41FB" w:rsidRDefault="004B4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15044" w14:textId="77777777" w:rsidR="00140FBC"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7D0631A1" wp14:editId="71AAF9FA">
          <wp:extent cx="2617939" cy="10913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FBC"/>
    <w:rsid w:val="00111093"/>
    <w:rsid w:val="00140FBC"/>
    <w:rsid w:val="00177B16"/>
    <w:rsid w:val="004B41FB"/>
    <w:rsid w:val="00647AA9"/>
    <w:rsid w:val="008307FB"/>
    <w:rsid w:val="00AE6419"/>
    <w:rsid w:val="00B461B2"/>
    <w:rsid w:val="00D85D4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F45D0"/>
  <w15:docId w15:val="{380E0E7B-0473-4D26-941B-43EF47F75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419" w:eastAsia="es-A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juarez@unlam.edu.ar" TargetMode="External"/><Relationship Id="rId13" Type="http://schemas.openxmlformats.org/officeDocument/2006/relationships/hyperlink" Target="https://doi.org/10.52712/issn.1850-0013-54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ube.mcti.gba.gov.ar/index.php/s/l2P0lmwfKmaJs5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ube.mcti.gba.gov.ar/index.php/s/LAcEx8tyTajsNR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24215/26183188e073" TargetMode="External"/><Relationship Id="rId4" Type="http://schemas.openxmlformats.org/officeDocument/2006/relationships/settings" Target="settings.xml"/><Relationship Id="rId9" Type="http://schemas.openxmlformats.org/officeDocument/2006/relationships/hyperlink" Target="mailto:mmuino@unlam.edu.ar" TargetMode="External"/><Relationship Id="rId14" Type="http://schemas.openxmlformats.org/officeDocument/2006/relationships/hyperlink" Target="https://doi.org/10.52712/issn.1850-0013-545"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nyRk6alV80pSZPMcopl0u9rVoQ==">CgMxLjA4AHIhMTNPOElaTkxlaFoya3BNS0REaWRjNnhQN1lDZ2Y0UzJa</go:docsCustomData>
</go:gDocsCustomXmlDataStorage>
</file>

<file path=customXml/itemProps1.xml><?xml version="1.0" encoding="utf-8"?>
<ds:datastoreItem xmlns:ds="http://schemas.openxmlformats.org/officeDocument/2006/customXml" ds:itemID="{8673B7BA-9516-40AF-90EC-936AE4DE45E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14</Pages>
  <Words>5919</Words>
  <Characters>37412</Characters>
  <Application>Microsoft Office Word</Application>
  <DocSecurity>0</DocSecurity>
  <Lines>584</Lines>
  <Paragraphs>120</Paragraphs>
  <ScaleCrop>false</ScaleCrop>
  <HeadingPairs>
    <vt:vector size="2" baseType="variant">
      <vt:variant>
        <vt:lpstr>Título</vt:lpstr>
      </vt:variant>
      <vt:variant>
        <vt:i4>1</vt:i4>
      </vt:variant>
    </vt:vector>
  </HeadingPairs>
  <TitlesOfParts>
    <vt:vector size="1" baseType="lpstr">
      <vt:lpstr/>
    </vt:vector>
  </TitlesOfParts>
  <Company>Grupo Capsa</Company>
  <LinksUpToDate>false</LinksUpToDate>
  <CharactersWithSpaces>43211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Marcelo Juarez</cp:lastModifiedBy>
  <cp:revision>4</cp:revision>
  <dcterms:created xsi:type="dcterms:W3CDTF">2026-06-30T18:18:00Z</dcterms:created>
  <dcterms:modified xsi:type="dcterms:W3CDTF">2026-07-01T15:35:00Z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0d964e-7237-4746-b913-b3a317fe4b90_Enabled">
    <vt:lpwstr>true</vt:lpwstr>
  </property>
  <property fmtid="{D5CDD505-2E9C-101B-9397-08002B2CF9AE}" pid="3" name="MSIP_Label_b80d964e-7237-4746-b913-b3a317fe4b90_SetDate">
    <vt:lpwstr>2026-06-30T18:25:34Z</vt:lpwstr>
  </property>
  <property fmtid="{D5CDD505-2E9C-101B-9397-08002B2CF9AE}" pid="4" name="MSIP_Label_b80d964e-7237-4746-b913-b3a317fe4b90_Method">
    <vt:lpwstr>Standard</vt:lpwstr>
  </property>
  <property fmtid="{D5CDD505-2E9C-101B-9397-08002B2CF9AE}" pid="5" name="MSIP_Label_b80d964e-7237-4746-b913-b3a317fe4b90_Name">
    <vt:lpwstr>informacion restringida de seguridad informatica</vt:lpwstr>
  </property>
  <property fmtid="{D5CDD505-2E9C-101B-9397-08002B2CF9AE}" pid="6" name="MSIP_Label_b80d964e-7237-4746-b913-b3a317fe4b90_SiteId">
    <vt:lpwstr>a5b83bcd-8fbc-4e2c-9ea5-86aa438e80e8</vt:lpwstr>
  </property>
  <property fmtid="{D5CDD505-2E9C-101B-9397-08002B2CF9AE}" pid="7" name="MSIP_Label_b80d964e-7237-4746-b913-b3a317fe4b90_ActionId">
    <vt:lpwstr>870dcdf9-7beb-4a96-a3a7-8ccba4cf11e6</vt:lpwstr>
  </property>
  <property fmtid="{D5CDD505-2E9C-101B-9397-08002B2CF9AE}" pid="8" name="MSIP_Label_b80d964e-7237-4746-b913-b3a317fe4b90_ContentBits">
    <vt:lpwstr>0</vt:lpwstr>
  </property>
  <property fmtid="{D5CDD505-2E9C-101B-9397-08002B2CF9AE}" pid="9" name="MSIP_Label_b80d964e-7237-4746-b913-b3a317fe4b90_Tag">
    <vt:lpwstr>10, 3, 0, 1</vt:lpwstr>
  </property>
</Properties>
</file>