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BC5" w:rsidRDefault="00FB5F94">
      <w:pPr>
        <w:spacing w:after="0" w:line="240" w:lineRule="auto"/>
        <w:jc w:val="center"/>
      </w:pPr>
      <w:r>
        <w:rPr>
          <w:rFonts w:ascii="Times New Roman" w:eastAsia="Times New Roman" w:hAnsi="Times New Roman" w:cs="Times New Roman"/>
          <w:b/>
          <w:bCs/>
        </w:rPr>
        <w:t>Extensión Crítica y Aprendizaje-Servicio: análisis reflexivo de un proyecto en Psicomotricidad</w:t>
      </w:r>
    </w:p>
    <w:p w:rsidR="009E7BC5" w:rsidRDefault="009E7BC5">
      <w:pPr>
        <w:spacing w:after="0" w:line="240" w:lineRule="auto"/>
        <w:jc w:val="both"/>
      </w:pPr>
    </w:p>
    <w:p w:rsidR="009E7BC5" w:rsidRDefault="00FB5F94">
      <w:pPr>
        <w:spacing w:after="0" w:line="240" w:lineRule="auto"/>
        <w:jc w:val="right"/>
      </w:pPr>
      <w:r>
        <w:rPr>
          <w:rFonts w:ascii="Times New Roman" w:eastAsia="Times New Roman" w:hAnsi="Times New Roman" w:cs="Times New Roman"/>
        </w:rPr>
        <w:t>Caggiano, Noelia</w:t>
      </w:r>
    </w:p>
    <w:p w:rsidR="009E7BC5" w:rsidRDefault="00FB5F94">
      <w:pPr>
        <w:spacing w:after="0" w:line="240" w:lineRule="auto"/>
        <w:jc w:val="right"/>
      </w:pPr>
      <w:r>
        <w:rPr>
          <w:rFonts w:ascii="Times New Roman" w:eastAsia="Times New Roman" w:hAnsi="Times New Roman" w:cs="Times New Roman"/>
        </w:rPr>
        <w:t>Universidad Nacional de Tres de Febrero (UNTREF)</w:t>
      </w:r>
    </w:p>
    <w:p w:rsidR="009E7BC5" w:rsidRDefault="00FB5F94">
      <w:pPr>
        <w:spacing w:after="0" w:line="240" w:lineRule="auto"/>
        <w:jc w:val="right"/>
      </w:pPr>
      <w:r>
        <w:rPr>
          <w:rFonts w:ascii="Times New Roman" w:eastAsia="Times New Roman" w:hAnsi="Times New Roman" w:cs="Times New Roman"/>
        </w:rPr>
        <w:t>ncaggiano@untref.edu.ar</w:t>
      </w:r>
    </w:p>
    <w:p w:rsidR="009E7BC5" w:rsidRDefault="009E7BC5">
      <w:pPr>
        <w:spacing w:after="0" w:line="240" w:lineRule="auto"/>
        <w:jc w:val="both"/>
      </w:pPr>
    </w:p>
    <w:p w:rsidR="00B166B0" w:rsidRDefault="00B166B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rsidR="009E7BC5" w:rsidRDefault="00FB5F94">
      <w:pPr>
        <w:spacing w:after="0" w:line="240" w:lineRule="auto"/>
        <w:jc w:val="both"/>
      </w:pPr>
      <w:r>
        <w:rPr>
          <w:rFonts w:ascii="Times New Roman" w:eastAsia="Times New Roman" w:hAnsi="Times New Roman" w:cs="Times New Roman"/>
        </w:rPr>
        <w:t>En el marco de los debates actuales sobre la curricularización de la extensión universitaria, resulta necesario revisar las formas en que la universidad se vincula con los territorios y con los saberes de las comunidades. Durante mucho tiempo, la extensión fue concebida como una transferencia de conocimientos desde la universidad hacia la sociedad, reflejando una lógica asistencialista que actualmente es objeto de revisión. Frente a este modelo, diversas perspectivas proponen avanzar hacia una extensión crítica basada en el diálogo horizontal, la interacción recíproca y el reconocimiento de los saberes comunitarios como motores de transformación mutua. En este contexto, el Aprendizaje-Servicio (ApS) se presenta como una estrategia pedagógica que articula la formación académica con la intervención en problemáticas reales del territorio, promoviendo experiencias formativas que integran aprendizaje disciplinar, compromiso social y reflexión crítica. En este marco, el presente trabajo analiza la experiencia del Proyecto de Voluntariado Universitario (PVU) “Infancias Barriales”, de la Licenciatura en Psicomotricidad de la UNTREF, implementado en el barrio Cildañez de la Comuna 9. El objetivo es realizar una lectura reflexiva sobre esta práctica mediante una rúbrica de autoevaluación que organiza el análisis en dinamismos básicos, pedagógicos y organizativos, con el fin de identificar posibles mejoras. A partir de este análisis, se identificó que el proyecto logró una articulación curricular significativa al relacionar las actividades desarrolladas en el territorio con los contenidos de la carrera y al sostener un trabajo colaborativo sólido entre los estudiantes. Asimismo, se destaca que la identificación de las necesidades sociales avanzó hacia un descubrimiento activo de la realidad barrial durante la implementación, mientras que el reconocimiento por parte de instituciones locales validó el impacto social de los talleres de juego realizados. No obstante, la evaluación crítica permitió identificar áreas de mejora vinculadas con la participación de la comunidad en el diseño inicial del proyecto y con la formalización sistemática de los aprendizajes derivados de la experiencia. Finalmente, estas reflexiones iniciales subrayan la importancia de profundizar la curricularización de la extensión, proponiendo que estas experiencias sean reconocidas como prácticas pre-profesionales que garanticen la formalización de los saberes construidos.</w:t>
      </w:r>
    </w:p>
    <w:p w:rsidR="009E7BC5" w:rsidRDefault="009E7BC5">
      <w:pPr>
        <w:spacing w:after="0" w:line="240" w:lineRule="auto"/>
        <w:jc w:val="both"/>
      </w:pPr>
    </w:p>
    <w:p w:rsidR="009E7BC5" w:rsidRDefault="00FB5F94">
      <w:pPr>
        <w:spacing w:after="0" w:line="240" w:lineRule="auto"/>
        <w:jc w:val="both"/>
      </w:pPr>
      <w:r w:rsidRPr="00905556">
        <w:rPr>
          <w:rFonts w:ascii="Times New Roman" w:eastAsia="Times New Roman" w:hAnsi="Times New Roman" w:cs="Times New Roman"/>
          <w:bCs/>
        </w:rPr>
        <w:t>Palabras clave:</w:t>
      </w:r>
      <w:r>
        <w:rPr>
          <w:rFonts w:ascii="Times New Roman" w:eastAsia="Times New Roman" w:hAnsi="Times New Roman" w:cs="Times New Roman"/>
          <w:b/>
          <w:bCs/>
        </w:rPr>
        <w:t xml:space="preserve"> </w:t>
      </w:r>
      <w:r>
        <w:rPr>
          <w:rFonts w:ascii="Times New Roman" w:eastAsia="Times New Roman" w:hAnsi="Times New Roman" w:cs="Times New Roman"/>
        </w:rPr>
        <w:t>EXTENSIÓN CRÍTICA, APRENDIZAJE-SERVICIO, PSICOMOTRICIDAD.</w:t>
      </w:r>
    </w:p>
    <w:p w:rsidR="009E7BC5" w:rsidRDefault="009E7BC5">
      <w:pPr>
        <w:spacing w:after="0" w:line="240" w:lineRule="auto"/>
        <w:jc w:val="both"/>
      </w:pPr>
    </w:p>
    <w:p w:rsidR="009E7BC5" w:rsidRDefault="00FB5F94">
      <w:pPr>
        <w:spacing w:before="240" w:after="80" w:line="240" w:lineRule="auto"/>
        <w:jc w:val="both"/>
      </w:pPr>
      <w:r>
        <w:rPr>
          <w:rFonts w:ascii="Times New Roman" w:eastAsia="Times New Roman" w:hAnsi="Times New Roman" w:cs="Times New Roman"/>
          <w:b/>
          <w:bCs/>
        </w:rPr>
        <w:t>Introducción</w:t>
      </w:r>
    </w:p>
    <w:p w:rsidR="009E7BC5" w:rsidRDefault="00FB5F94">
      <w:pPr>
        <w:spacing w:after="0" w:line="240" w:lineRule="auto"/>
        <w:jc w:val="both"/>
      </w:pPr>
      <w:r>
        <w:rPr>
          <w:rFonts w:ascii="Times New Roman" w:eastAsia="Times New Roman" w:hAnsi="Times New Roman" w:cs="Times New Roman"/>
        </w:rPr>
        <w:t xml:space="preserve">Las funciones principales de la Universidad son la docencia, la investigación y la extensión (Buchbinder, 2022). Respecto a esta última, fue a partir de la Reforma del ’18 que las prácticas extensionistas cobraron fuerza, al promover la apertura y el vínculo de la universidad con el exterior (Kandel, 2018), lo que otorgó relevancia a la función </w:t>
      </w:r>
      <w:r>
        <w:rPr>
          <w:rFonts w:ascii="Times New Roman" w:eastAsia="Times New Roman" w:hAnsi="Times New Roman" w:cs="Times New Roman"/>
        </w:rPr>
        <w:lastRenderedPageBreak/>
        <w:t>social de la universidad (Tünnermann Bernheim, 2000). No obstante, en sus inicios, la extensión estuvo más vinculada a la idea de transferencia de saber hacia la sociedad, reflejando una concepción de la universidad como centro intelectual y clasista, adoptando así un rasgo más asistencialista que mantenía y reproducía las asimetrías. En este sentido, Tünnermann Bernheim (2000) sostiene que:</w:t>
      </w:r>
    </w:p>
    <w:p w:rsidR="009E7BC5" w:rsidRDefault="009E7BC5">
      <w:pPr>
        <w:spacing w:after="0" w:line="240" w:lineRule="auto"/>
        <w:jc w:val="both"/>
      </w:pPr>
    </w:p>
    <w:p w:rsidR="009E7BC5" w:rsidRDefault="00FB5F94">
      <w:pPr>
        <w:spacing w:before="80" w:after="80" w:line="240" w:lineRule="auto"/>
        <w:ind w:left="720"/>
        <w:jc w:val="both"/>
      </w:pPr>
      <w:r>
        <w:rPr>
          <w:rFonts w:ascii="Times New Roman" w:eastAsia="Times New Roman" w:hAnsi="Times New Roman" w:cs="Times New Roman"/>
        </w:rPr>
        <w:t>la extensión y difusión se realizan así mediante un canal de una sola vía, que va de la Universidad, depositaria del saber y la cultura, al pueblo, simple destinatario de esa proyección y al cual se supone incapaz de aportar nada valioso. (s/n)</w:t>
      </w:r>
    </w:p>
    <w:p w:rsidR="009E7BC5" w:rsidRDefault="009E7BC5">
      <w:pPr>
        <w:spacing w:after="0" w:line="240" w:lineRule="auto"/>
        <w:jc w:val="both"/>
      </w:pPr>
    </w:p>
    <w:p w:rsidR="009E7BC5" w:rsidRPr="007055F8" w:rsidRDefault="00AF18CC">
      <w:pPr>
        <w:spacing w:after="0" w:line="240" w:lineRule="auto"/>
        <w:jc w:val="both"/>
      </w:pPr>
      <w:r w:rsidRPr="00A50AAE">
        <w:rPr>
          <w:rFonts w:ascii="Times New Roman" w:eastAsia="Times New Roman" w:hAnsi="Times New Roman" w:cs="Times New Roman"/>
          <w:bCs/>
          <w:lang w:val="es-ES"/>
        </w:rPr>
        <w:t>Esta concepción de la extensión</w:t>
      </w:r>
      <w:r w:rsidRPr="00A50AAE">
        <w:rPr>
          <w:rFonts w:ascii="Times New Roman" w:eastAsia="Times New Roman" w:hAnsi="Times New Roman" w:cs="Times New Roman"/>
          <w:lang w:val="es-ES"/>
        </w:rPr>
        <w:t xml:space="preserve">, entendida como transmisión, entrega y donación, </w:t>
      </w:r>
      <w:r w:rsidRPr="00A50AAE">
        <w:rPr>
          <w:rFonts w:ascii="Times New Roman" w:eastAsia="Times New Roman" w:hAnsi="Times New Roman" w:cs="Times New Roman"/>
          <w:bCs/>
          <w:lang w:val="es-ES"/>
        </w:rPr>
        <w:t>remite a una visión antidialógica y unidireccional</w:t>
      </w:r>
      <w:r w:rsidRPr="00A50AAE">
        <w:rPr>
          <w:rFonts w:ascii="Times New Roman" w:eastAsia="Times New Roman" w:hAnsi="Times New Roman" w:cs="Times New Roman"/>
          <w:lang w:val="es-ES"/>
        </w:rPr>
        <w:t xml:space="preserve"> (Tünnermann Bernheim, 2000), que </w:t>
      </w:r>
      <w:r w:rsidRPr="00A50AAE">
        <w:rPr>
          <w:rFonts w:ascii="Times New Roman" w:eastAsia="Times New Roman" w:hAnsi="Times New Roman" w:cs="Times New Roman"/>
          <w:bCs/>
          <w:lang w:val="es-ES"/>
        </w:rPr>
        <w:t>comienza a ser cuestionada</w:t>
      </w:r>
      <w:r w:rsidRPr="00A50AAE">
        <w:rPr>
          <w:rFonts w:ascii="Times New Roman" w:eastAsia="Times New Roman" w:hAnsi="Times New Roman" w:cs="Times New Roman"/>
          <w:lang w:val="es-ES"/>
        </w:rPr>
        <w:t xml:space="preserve">. </w:t>
      </w:r>
      <w:r w:rsidR="00FB5F94">
        <w:rPr>
          <w:rFonts w:ascii="Times New Roman" w:eastAsia="Times New Roman" w:hAnsi="Times New Roman" w:cs="Times New Roman"/>
        </w:rPr>
        <w:t>Fue recién en 1972, en la Segunda Conferencia Latinoamericana de Extensión Universitaria, que ese modelo fue formalmente cuestionado y redefinido: la extensión pasó a concebirse como “la interacción entre la universidad y los demás componentes del cuerpo social, a través de la cual ésta asume y cumple su compromiso de participación en el proceso social de creación de la cultura y de liberación y transformación radical de la comunidad nacional” (Tünnermann Bernheim, 2000, s/n). Este giro supuso reconocer un saber propio en la comunidad y reemplazar la lógica de entrega por un proceso de interacción recíproca. La idea de universidad que subyace es la de un agente de transformación comprometido con su colectividad, que forma profesionales críticos y comprometidos con las problemáticas sociales (Kandel, 2018; Tünnermann Bernheim, 2000). De este modo, la nueva concepción de la extensión no solo busca generar un impacto en la sociedad y en el territorio, sino que también promueve la construcción de aprendizajes y el desarrollo de valores en los estudiantes (CLAYSS, 2016).</w:t>
      </w:r>
    </w:p>
    <w:p w:rsidR="009E7BC5" w:rsidRDefault="009E7BC5">
      <w:pPr>
        <w:spacing w:after="0" w:line="240" w:lineRule="auto"/>
        <w:jc w:val="both"/>
      </w:pPr>
    </w:p>
    <w:p w:rsidR="009E7BC5" w:rsidRPr="005F55CB" w:rsidRDefault="00FB5F94">
      <w:pPr>
        <w:spacing w:after="0" w:line="240" w:lineRule="auto"/>
        <w:jc w:val="both"/>
      </w:pPr>
      <w:r>
        <w:rPr>
          <w:rFonts w:ascii="Times New Roman" w:eastAsia="Times New Roman" w:hAnsi="Times New Roman" w:cs="Times New Roman"/>
        </w:rPr>
        <w:t xml:space="preserve">Esta transición desde la extensión asistencialista hacia una extensión crítica encuentra en el pensamiento de Paulo Freire uno de sus sustentos más potentes. Las pedagogías latinoamericanas herederas de Freire rechazaron el modelo de transmisión unidireccional del saber y construyeron en su lugar una concepción educativa centrada en el diálogo, el pensamiento crítico y el compromiso social (Abal de Hevia, 2016). </w:t>
      </w:r>
      <w:r w:rsidRPr="00C020AC">
        <w:rPr>
          <w:rFonts w:ascii="Times New Roman" w:eastAsia="Times New Roman" w:hAnsi="Times New Roman" w:cs="Times New Roman"/>
        </w:rPr>
        <w:t xml:space="preserve">Desde esta perspectiva, la comunidad no es destinataria pasiva sino productora de saberes, y la universidad </w:t>
      </w:r>
      <w:r w:rsidR="00C020AC" w:rsidRPr="00C020AC">
        <w:rPr>
          <w:rFonts w:ascii="Times New Roman" w:eastAsia="Times New Roman" w:hAnsi="Times New Roman" w:cs="Times New Roman"/>
        </w:rPr>
        <w:t xml:space="preserve">podría contribuir a transformar la realidad en la medida en que asume esa </w:t>
      </w:r>
      <w:r w:rsidRPr="00C020AC">
        <w:rPr>
          <w:rFonts w:ascii="Times New Roman" w:eastAsia="Times New Roman" w:hAnsi="Times New Roman" w:cs="Times New Roman"/>
        </w:rPr>
        <w:t>reciprocidad. Es en ese marco donde el Aprendizaje-Servicio (ApS) cobra sentido como propuesta pedagógica: no como una actividad solidaria añadida a la formación, sino como una forma concreta de hacer de la extensión crítica una experiencia formativa.</w:t>
      </w:r>
    </w:p>
    <w:p w:rsidR="009E7BC5" w:rsidRPr="005F55CB"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Una de las formas de extensión crítica es el Aprendizaje-Servicio (ApS), el cual según Puig, Martín y Rubio (2017) es comprendido como “una propuesta educativa que combina procesos de aprendizaje y de servicio a la comunidad […] se inspira en una ciudadanía participativa, en una concepción del aprendizaje basada en la búsqueda activa, y en una propuesta de educación moral” (pp. 123-125). Además, se caracteriza por tratarse de:</w:t>
      </w:r>
    </w:p>
    <w:p w:rsidR="009E7BC5" w:rsidRDefault="009E7BC5">
      <w:pPr>
        <w:spacing w:after="0" w:line="240" w:lineRule="auto"/>
        <w:jc w:val="both"/>
      </w:pPr>
    </w:p>
    <w:p w:rsidR="009E7BC5" w:rsidRDefault="00FB5F94">
      <w:pPr>
        <w:spacing w:before="80" w:after="80" w:line="240" w:lineRule="auto"/>
        <w:ind w:left="720"/>
        <w:jc w:val="both"/>
      </w:pPr>
      <w:r>
        <w:rPr>
          <w:rFonts w:ascii="Times New Roman" w:eastAsia="Times New Roman" w:hAnsi="Times New Roman" w:cs="Times New Roman"/>
        </w:rPr>
        <w:lastRenderedPageBreak/>
        <w:t>[…] un servicio solidario destinado a atender necesidades reales y sentidas de una comunidad, protagonizado por los estudiantes, planificado en forma integrada con los contenidos curriculares de aprendizaje y la investigación. (CLAYSS, 2016, p. 8)</w:t>
      </w:r>
    </w:p>
    <w:p w:rsidR="009E7BC5" w:rsidRDefault="009E7BC5">
      <w:pPr>
        <w:spacing w:after="0" w:line="240" w:lineRule="auto"/>
        <w:jc w:val="both"/>
      </w:pPr>
    </w:p>
    <w:p w:rsidR="00D53B16" w:rsidRPr="00D53B16" w:rsidRDefault="00D53B16" w:rsidP="00362D5B">
      <w:pPr>
        <w:spacing w:after="240"/>
        <w:jc w:val="both"/>
        <w:rPr>
          <w:rFonts w:ascii="Times New Roman" w:hAnsi="Times New Roman" w:cs="Times New Roman"/>
        </w:rPr>
      </w:pPr>
      <w:r w:rsidRPr="00D53B16">
        <w:rPr>
          <w:rFonts w:ascii="Times New Roman" w:hAnsi="Times New Roman" w:cs="Times New Roman"/>
        </w:rPr>
        <w:t>En el caso particular de la formación del psicomotricista, la articulación entre aprendizaje y servicio en el territorio adquiere una relevancia que excede la de una estrategia pedagógica general. El modo de concebir al cuerpo desde la perspectiva psicomotriz marca un posicionamiento que orienta la práctica profesional, sus intervenciones y sus alcances. El objeto de estudio de la psicomotricidad es el cuerpo del sujeto, entendido como una construcción que se lleva a cabo en relación con otro, en el entrecruzamiento de los aspectos neurobiológicos y psicológicos (González, 2009).</w:t>
      </w:r>
      <w:r w:rsidR="00D32933">
        <w:rPr>
          <w:rFonts w:ascii="Times New Roman" w:hAnsi="Times New Roman" w:cs="Times New Roman"/>
        </w:rPr>
        <w:t xml:space="preserve"> </w:t>
      </w:r>
      <w:r w:rsidR="00D32933" w:rsidRPr="00D32933">
        <w:rPr>
          <w:rFonts w:ascii="Times New Roman" w:hAnsi="Times New Roman" w:cs="Times New Roman"/>
        </w:rPr>
        <w:t>En este sentido, "la psicomotricidad se ocupa del cuerpo de un sujeto que se va formando y constituyendo a lo largo de la vida en continua interacción con otro" (Saal, 2020, p. 31).</w:t>
      </w:r>
      <w:r w:rsidR="00D32933">
        <w:t xml:space="preserve"> </w:t>
      </w:r>
      <w:r w:rsidRPr="00D53B16">
        <w:rPr>
          <w:rFonts w:ascii="Times New Roman" w:hAnsi="Times New Roman" w:cs="Times New Roman"/>
        </w:rPr>
        <w:t xml:space="preserve"> El cuerpo no es un atributo ni algo dado: se construye, y esa construcción es siempre relacional. Esta definición disciplinar tiene consecuencias directas para la formación profesional: si el cuerpo se construye en relación, si el vínculo es condición y no accesorio de la práctica psicomotriz, entonces la formación del psicomotricista no puede circunscribirse exclusivamente al aula. La práctica en territorio no es un complemento de la formación sino una dimensión constitutiva de ell</w:t>
      </w:r>
      <w:r>
        <w:rPr>
          <w:rFonts w:ascii="Times New Roman" w:hAnsi="Times New Roman" w:cs="Times New Roman"/>
        </w:rPr>
        <w:t>a.</w:t>
      </w:r>
    </w:p>
    <w:p w:rsidR="009E7BC5" w:rsidRPr="00646B9B" w:rsidRDefault="00646B9B">
      <w:pPr>
        <w:spacing w:after="0" w:line="240" w:lineRule="auto"/>
        <w:jc w:val="both"/>
        <w:rPr>
          <w:rFonts w:ascii="Times New Roman" w:eastAsia="Times New Roman" w:hAnsi="Times New Roman" w:cs="Times New Roman"/>
        </w:rPr>
      </w:pPr>
      <w:r w:rsidRPr="00646B9B">
        <w:rPr>
          <w:rFonts w:ascii="Times New Roman" w:hAnsi="Times New Roman" w:cs="Times New Roman"/>
        </w:rPr>
        <w:t>La práctica psicomotriz demanda una presencia y una implicación singulares: exige construir lazos, sostener redes, intercambiar con otros profesionales y con otras organizaciones. En los estudiantes, esa presencia y esa implicación están en proceso de construcción: el territorio es el espacio donde se va configurando el posicionamiento profesional. Demanda también una mirada y una escucha sensibles y respetuosas sobre el padecimiento y las necesidades del otro, para poder llevar adelante intervenciones contextualizadas y situadas.</w:t>
      </w:r>
      <w:r>
        <w:rPr>
          <w:rFonts w:ascii="Times New Roman" w:eastAsia="Times New Roman" w:hAnsi="Times New Roman" w:cs="Times New Roman"/>
        </w:rPr>
        <w:t xml:space="preserve"> </w:t>
      </w:r>
      <w:r w:rsidR="00FB5F94">
        <w:rPr>
          <w:rFonts w:ascii="Times New Roman" w:eastAsia="Times New Roman" w:hAnsi="Times New Roman" w:cs="Times New Roman"/>
        </w:rPr>
        <w:t>Es en este sentido que el ApS encuentra en la formación del psicomotricista un terreno especialmente fértil: permitiría articular aprendizajes curriculares con una práctica situada y habilitaría al estudiante a construir su posicionamiento como futuro profesional.</w:t>
      </w:r>
    </w:p>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En este trabajo me propongo retomar la experiencia del Proyecto de Voluntariado Universitario (PVU) “Infancias Barriales” perteneciente a la Licenciatura en Psicomotricidad de la UNTREF, con la finalidad de realizar una lectura reflexiva y crítica considerando los fundamentos del ApS y la rúbrica de autoevaluación (Puig, Martín y Rubio, 2017). Respecto de la rúbrica, la misma se encuentra organizada en dinamismos agrupados en tres apartados: básicos, pedagógicos y organizativos. Cada dinamismo presenta diferentes niveles en función del grado de desarrollo pedagógico alcanzado (Puig, Martín y Rubio, 2017). A partir de este análisis, me propongo identificar mejoras que, a futuro, puedan enriquecer los proyectos que se desarrollan actualmente en la carrera.</w:t>
      </w:r>
    </w:p>
    <w:p w:rsidR="009E7BC5" w:rsidRDefault="009E7BC5">
      <w:pPr>
        <w:spacing w:after="0" w:line="240" w:lineRule="auto"/>
        <w:jc w:val="both"/>
      </w:pPr>
    </w:p>
    <w:p w:rsidR="009E7BC5" w:rsidRPr="005F55CB" w:rsidRDefault="00FB5F94">
      <w:pPr>
        <w:spacing w:after="0" w:line="240" w:lineRule="auto"/>
        <w:jc w:val="both"/>
      </w:pPr>
      <w:r>
        <w:rPr>
          <w:rFonts w:ascii="Times New Roman" w:eastAsia="Times New Roman" w:hAnsi="Times New Roman" w:cs="Times New Roman"/>
        </w:rPr>
        <w:t xml:space="preserve">Es necesario aclarar una decisión metodológica de este trabajo: el PVU “Infancias Barriales” no fue concebido originalmente como un proyecto de ApS en sentido estricto, </w:t>
      </w:r>
      <w:r>
        <w:rPr>
          <w:rFonts w:ascii="Times New Roman" w:eastAsia="Times New Roman" w:hAnsi="Times New Roman" w:cs="Times New Roman"/>
        </w:rPr>
        <w:lastRenderedPageBreak/>
        <w:t xml:space="preserve">sino como un voluntariado universitario con su propia lógica y marco normativo. </w:t>
      </w:r>
      <w:r w:rsidR="00A70E3A" w:rsidRPr="000306AE">
        <w:rPr>
          <w:rFonts w:ascii="Times New Roman" w:eastAsia="Times New Roman" w:hAnsi="Times New Roman" w:cs="Times New Roman"/>
        </w:rPr>
        <w:t>En</w:t>
      </w:r>
      <w:r w:rsidR="000306AE" w:rsidRPr="000306AE">
        <w:rPr>
          <w:rFonts w:ascii="Times New Roman" w:eastAsia="Times New Roman" w:hAnsi="Times New Roman" w:cs="Times New Roman"/>
        </w:rPr>
        <w:t>tonces</w:t>
      </w:r>
      <w:r w:rsidR="00A70E3A" w:rsidRPr="000306AE">
        <w:rPr>
          <w:rFonts w:ascii="Times New Roman" w:eastAsia="Times New Roman" w:hAnsi="Times New Roman" w:cs="Times New Roman"/>
        </w:rPr>
        <w:t>, l</w:t>
      </w:r>
      <w:r w:rsidRPr="000306AE">
        <w:rPr>
          <w:rFonts w:ascii="Times New Roman" w:eastAsia="Times New Roman" w:hAnsi="Times New Roman" w:cs="Times New Roman"/>
        </w:rPr>
        <w:t>a rúbrica de autoevaluación no se aplica aquí como instrumento de evaluació</w:t>
      </w:r>
      <w:r>
        <w:rPr>
          <w:rFonts w:ascii="Times New Roman" w:eastAsia="Times New Roman" w:hAnsi="Times New Roman" w:cs="Times New Roman"/>
        </w:rPr>
        <w:t xml:space="preserve">n de un proyecto ApS, sino como lente analítico que permite leer en qué medida esta experiencia contiene elementos propios del ApS y qué condiciones serían necesarias para profundizarlos. Esta operación tiene una doble intención: por un lado, visibilizar el potencial formativo de lo que ya se hizo; por otro, fundamentar la propuesta de curricularizar estas prácticas </w:t>
      </w:r>
      <w:r w:rsidRPr="000306AE">
        <w:rPr>
          <w:rFonts w:ascii="Times New Roman" w:eastAsia="Times New Roman" w:hAnsi="Times New Roman" w:cs="Times New Roman"/>
        </w:rPr>
        <w:t xml:space="preserve">como </w:t>
      </w:r>
      <w:r w:rsidR="000306AE" w:rsidRPr="000306AE">
        <w:rPr>
          <w:rFonts w:ascii="Times New Roman" w:eastAsia="Times New Roman" w:hAnsi="Times New Roman" w:cs="Times New Roman"/>
        </w:rPr>
        <w:t>parte del plan de estudios</w:t>
      </w:r>
      <w:r w:rsidRPr="000306AE">
        <w:rPr>
          <w:rFonts w:ascii="Times New Roman" w:eastAsia="Times New Roman" w:hAnsi="Times New Roman" w:cs="Times New Roman"/>
        </w:rPr>
        <w:t xml:space="preserve"> de la Licenciatura.</w:t>
      </w:r>
    </w:p>
    <w:p w:rsidR="009E7BC5" w:rsidRDefault="009E7BC5">
      <w:pPr>
        <w:spacing w:after="0" w:line="240" w:lineRule="auto"/>
        <w:jc w:val="both"/>
      </w:pPr>
    </w:p>
    <w:p w:rsidR="009E7BC5" w:rsidRDefault="00FB5F94">
      <w:pPr>
        <w:spacing w:before="240" w:after="80" w:line="240" w:lineRule="auto"/>
        <w:jc w:val="both"/>
      </w:pPr>
      <w:r>
        <w:rPr>
          <w:rFonts w:ascii="Times New Roman" w:eastAsia="Times New Roman" w:hAnsi="Times New Roman" w:cs="Times New Roman"/>
          <w:b/>
          <w:bCs/>
        </w:rPr>
        <w:t>Desarrollo</w:t>
      </w:r>
    </w:p>
    <w:p w:rsidR="009E7BC5" w:rsidRDefault="00FB5F94">
      <w:pPr>
        <w:spacing w:before="160" w:after="60" w:line="240" w:lineRule="auto"/>
        <w:jc w:val="both"/>
      </w:pPr>
      <w:r>
        <w:rPr>
          <w:rFonts w:ascii="Times New Roman" w:eastAsia="Times New Roman" w:hAnsi="Times New Roman" w:cs="Times New Roman"/>
          <w:b/>
          <w:bCs/>
        </w:rPr>
        <w:t>El Proyecto de Voluntariado Universitario "Infancias Barriales"</w:t>
      </w:r>
    </w:p>
    <w:p w:rsidR="009E7BC5" w:rsidRPr="005F55CB" w:rsidRDefault="00FB5F94">
      <w:pPr>
        <w:spacing w:after="0" w:line="240" w:lineRule="auto"/>
        <w:jc w:val="both"/>
      </w:pPr>
      <w:r>
        <w:rPr>
          <w:rFonts w:ascii="Times New Roman" w:eastAsia="Times New Roman" w:hAnsi="Times New Roman" w:cs="Times New Roman"/>
        </w:rPr>
        <w:t>La experiencia que se analiza en este trabajo se desarrolló en el CPI “La Tortuga Manuelita”, perteneciente a la Asociación Civil Centro de Madres Cildañez, ubicado en el Barrio Cildañez de la Comuna 9 de la Ciudad de Buenos Aires. Si bien el PVU “Infancias Barriales” abarcó dos convocatorias sucesivas —2016 y 2017—, el presente análisis se centra en la segunda de ellas, denominada “Infancias Barriales. Ampliación”, implementada durante el año 2018 (Caggiano, 2025).</w:t>
      </w:r>
    </w:p>
    <w:p w:rsidR="009E7BC5" w:rsidRDefault="009E7BC5">
      <w:pPr>
        <w:spacing w:after="0" w:line="240" w:lineRule="auto"/>
        <w:jc w:val="both"/>
      </w:pPr>
    </w:p>
    <w:p w:rsidR="009E7BC5" w:rsidRPr="005F55CB" w:rsidRDefault="00FB5F94">
      <w:pPr>
        <w:spacing w:before="160" w:after="60" w:line="240" w:lineRule="auto"/>
        <w:jc w:val="both"/>
      </w:pPr>
      <w:r>
        <w:rPr>
          <w:rFonts w:ascii="Times New Roman" w:eastAsia="Times New Roman" w:hAnsi="Times New Roman" w:cs="Times New Roman"/>
          <w:b/>
          <w:bCs/>
        </w:rPr>
        <w:t>Contexto, destinatarios y propósitos del proyecto</w:t>
      </w:r>
    </w:p>
    <w:p w:rsidR="009E7BC5" w:rsidRPr="005F55CB" w:rsidRDefault="00FB5F94">
      <w:pPr>
        <w:spacing w:after="0" w:line="240" w:lineRule="auto"/>
        <w:jc w:val="both"/>
        <w:rPr>
          <w:highlight w:val="green"/>
        </w:rPr>
      </w:pPr>
      <w:r>
        <w:rPr>
          <w:rFonts w:ascii="Times New Roman" w:eastAsia="Times New Roman" w:hAnsi="Times New Roman" w:cs="Times New Roman"/>
        </w:rPr>
        <w:t>El contexto en el que se desarrolló el PVU “Infancias Barriales. Ampliación” presenta una situación de vulnerabilidad social e inequidad que atraviesa a la Comuna 9 de la Ciudad de Buenos Aires. En ese marco, las familias del Barrio Cildañez y de la comuna en general enfrentan dificultades concretas para acceder a las ofertas públicas de salud y educación, ya que una gran parte de la población nuclea “en los hospitales públicos, Centros de Salud, escuelas públicas y Centros de Primera Infancia la atención, los controles médicos, la educación, la estimulación y los cuidados de sus hijos” (Caggiano, 2017, p. 2). A partir de ese diagnóstico, el proyecto definió como destinatarios principales a los niños y familias del CPI y extendió su alcance potencial al resto de la Comuna 9 (Caggiano, 2025).</w:t>
      </w:r>
    </w:p>
    <w:p w:rsidR="008A2CB6" w:rsidRPr="005F55CB" w:rsidRDefault="008A2CB6">
      <w:pPr>
        <w:spacing w:after="0" w:line="240" w:lineRule="auto"/>
        <w:jc w:val="both"/>
      </w:pPr>
    </w:p>
    <w:p w:rsidR="008A2CB6" w:rsidRPr="005F55CB" w:rsidRDefault="00783394">
      <w:pPr>
        <w:spacing w:after="0" w:line="240" w:lineRule="auto"/>
        <w:jc w:val="both"/>
      </w:pPr>
      <w:r>
        <w:rPr>
          <w:rFonts w:ascii="Times New Roman" w:eastAsia="Times New Roman" w:hAnsi="Times New Roman" w:cs="Times New Roman"/>
        </w:rPr>
        <w:t>Los propósitos del proyecto se organizaron en torno a tres ejes: sostener los talleres de juego para los niños que asistían al CPI y sus familias; realizar un relevamiento de las instituciones del territorio vinculadas a la primera infancia; y articular actividades con cátedras de la Licenciatura en Psicomotricidad de la UNTREF, buscando integrar la práctica territorial con los contenidos curriculares de la formación (Caggiano, 2025).</w:t>
      </w:r>
    </w:p>
    <w:p w:rsidR="009E7BC5" w:rsidRDefault="009E7BC5">
      <w:pPr>
        <w:spacing w:after="0" w:line="240" w:lineRule="auto"/>
        <w:jc w:val="both"/>
      </w:pPr>
    </w:p>
    <w:p w:rsidR="005F55CB" w:rsidRPr="007055F8" w:rsidRDefault="00FB5F94" w:rsidP="005F55CB">
      <w:pPr>
        <w:spacing w:after="0" w:line="240" w:lineRule="auto"/>
        <w:jc w:val="both"/>
      </w:pPr>
      <w:r>
        <w:rPr>
          <w:rFonts w:ascii="Times New Roman" w:eastAsia="Times New Roman" w:hAnsi="Times New Roman" w:cs="Times New Roman"/>
        </w:rPr>
        <w:t xml:space="preserve">Al considerar la rúbrica de autoevaluación se pueden identificar en este apartado los dinamismos de Necesidades y Aprendizajes. Respecto al dinamismo de Necesidades, definido como las “carencias o dificultades que la realidad presenta y que, tras ser detectadas, invitan a realizar acciones encaminadas a mejorar la situación” (Puig, Martín y Rubio, 2017, p. 126), se observa que en el PVU las necesidades y los destinatarios fueron identificados y determinados por el propio proyecto, sin que ello resultara de una decisión conjunta con los estudiantes o la comunidad. Por lo tanto, la forma en que el PVU abordó la definición de estas necesidades se alinea con el nivel “Presentadas” de la rúbrica, lo que implica que fueron decididas sin consultar a los </w:t>
      </w:r>
      <w:r>
        <w:rPr>
          <w:rFonts w:ascii="Times New Roman" w:eastAsia="Times New Roman" w:hAnsi="Times New Roman" w:cs="Times New Roman"/>
        </w:rPr>
        <w:lastRenderedPageBreak/>
        <w:t>participantes.</w:t>
      </w:r>
      <w:r>
        <w:rPr>
          <w:rFonts w:ascii="Times New Roman" w:eastAsia="Times New Roman" w:hAnsi="Times New Roman" w:cs="Times New Roman"/>
          <w:color w:val="1F5EA8"/>
        </w:rPr>
        <w:t xml:space="preserve"> </w:t>
      </w:r>
      <w:r>
        <w:rPr>
          <w:rFonts w:ascii="Times New Roman" w:eastAsia="Times New Roman" w:hAnsi="Times New Roman" w:cs="Times New Roman"/>
        </w:rPr>
        <w:t xml:space="preserve">Esta modalidad también se denomina diagnóstico no participativo dado que las necesidades son definidas desde afuera de la comunidad y presentadas como punto de partida, sin que medie un proceso previo de consulta o de diagnóstico compartido (CLAYSS, 2016). Avanzar hacia un nivel de necesidades “Descubiertas” o “Construidas” requeriría incorporar instancias de diagnóstico participativo previas al diseño del proyecto, en las que la comunidad tenga voz activa e identifique y jerarquice sus necesidades, lo que no solo mejoraría la pertinencia de las acciones sino que constituiría en sí mismo una experiencia formativa para los estudiantes (CLAYSS, 2016). </w:t>
      </w:r>
    </w:p>
    <w:p w:rsidR="0081504A" w:rsidRDefault="0081504A">
      <w:pPr>
        <w:spacing w:after="0" w:line="240" w:lineRule="auto"/>
        <w:jc w:val="both"/>
        <w:rPr>
          <w:rFonts w:ascii="Times New Roman" w:eastAsia="Times New Roman" w:hAnsi="Times New Roman" w:cs="Times New Roman"/>
        </w:rPr>
      </w:pPr>
    </w:p>
    <w:p w:rsidR="0081504A" w:rsidRPr="007055F8"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raíz de esto, también puede considerarse el dinamismo de la Participación, que se refiere a la “intervención que llevan a cabo los implicados en una actividad con la intención de contribuir, junto con otros actores, a su diseño, aplicación y evaluación” (Puig, Martín y Rubio, 2017, p. 126). Por lo expresado en el PVU, la identificación de las problemáticas y los destinatarios no se describe como un proceso colaborativo. La participación de los destinatarios no es un complemento deseable sino una condición de calidad del ApS: “los ‘destinatarios’ deben tener una participación activa” (CLAYSS, 2016, p. 8) en el desarrollo del proyecto, en tanto son concebidos como co-protagonistas y no como beneficiarios pasivos. En el PVU analizado, la participación de la comunidad se limitó a la recepción del servicio, lo que ubica este dinamismo en un nivel incipiente según la rúbrica.</w:t>
      </w:r>
    </w:p>
    <w:p w:rsidR="009E7BC5" w:rsidRPr="007055F8" w:rsidRDefault="00FB5F94">
      <w:pPr>
        <w:spacing w:after="0" w:line="240" w:lineRule="auto"/>
        <w:jc w:val="both"/>
      </w:pPr>
      <w:r>
        <w:rPr>
          <w:rFonts w:ascii="Times New Roman" w:eastAsia="Times New Roman" w:hAnsi="Times New Roman" w:cs="Times New Roman"/>
        </w:rPr>
        <w:t xml:space="preserve"> </w:t>
      </w:r>
    </w:p>
    <w:p w:rsidR="009E7BC5" w:rsidRPr="007055F8" w:rsidRDefault="00FB5F94">
      <w:pPr>
        <w:spacing w:after="0" w:line="240" w:lineRule="auto"/>
        <w:jc w:val="both"/>
      </w:pPr>
      <w:r>
        <w:rPr>
          <w:rFonts w:ascii="Times New Roman" w:eastAsia="Times New Roman" w:hAnsi="Times New Roman" w:cs="Times New Roman"/>
        </w:rPr>
        <w:t>En cuanto al dinamismo de Aprendizajes, que se refiere a la “adquisición espontánea o promovida por los educadores de conocimientos, competencias, conductas y valores” (Puig, Martín y Rubio, 2017, p. 126), puede identificarse una intención de programar los aprendizajes al proponer la articulación de las actividades del PVU con los contenidos curriculares del plan de estudios de la Licenciatura. Esta forma de pensar previamente los aprendizajes se corresponde con el nivel “Planificados” de la rúbrica.</w:t>
      </w:r>
      <w:r>
        <w:rPr>
          <w:rFonts w:ascii="Times New Roman" w:eastAsia="Times New Roman" w:hAnsi="Times New Roman" w:cs="Times New Roman"/>
          <w:color w:val="1F5EA8"/>
        </w:rPr>
        <w:t xml:space="preserve"> </w:t>
      </w:r>
      <w:r>
        <w:rPr>
          <w:rFonts w:ascii="Times New Roman" w:eastAsia="Times New Roman" w:hAnsi="Times New Roman" w:cs="Times New Roman"/>
        </w:rPr>
        <w:t xml:space="preserve">En este nivel, los aprendizajes son pensados con anticipación por los docentes y vinculados intencionalmente con los contenidos curriculares, lo que ya representa una diferencia significativa respecto de </w:t>
      </w:r>
      <w:r w:rsidR="00B97465" w:rsidRPr="00B97465">
        <w:rPr>
          <w:rFonts w:ascii="Times New Roman" w:hAnsi="Times New Roman" w:cs="Times New Roman"/>
        </w:rPr>
        <w:t>experiencias solidarias no planificadas</w:t>
      </w:r>
      <w:r w:rsidR="00B97465">
        <w:t xml:space="preserve"> </w:t>
      </w:r>
      <w:r w:rsidR="00B97465" w:rsidRPr="00B97465">
        <w:rPr>
          <w:rFonts w:ascii="Times New Roman" w:hAnsi="Times New Roman" w:cs="Times New Roman"/>
        </w:rPr>
        <w:t>pedagógicamente</w:t>
      </w:r>
      <w:r w:rsidRPr="00B97465">
        <w:rPr>
          <w:rFonts w:ascii="Times New Roman" w:eastAsia="Times New Roman" w:hAnsi="Times New Roman" w:cs="Times New Roman"/>
        </w:rPr>
        <w:t>.</w:t>
      </w:r>
      <w:r>
        <w:rPr>
          <w:rFonts w:ascii="Times New Roman" w:eastAsia="Times New Roman" w:hAnsi="Times New Roman" w:cs="Times New Roman"/>
        </w:rPr>
        <w:t xml:space="preserve"> Sin embargo, según CLAYSS (2016), la calidad del aprendizaje en un proyecto de ApS se profundiza cuando la actividad solidaria y el diálogo con la comunidad “[…] retroalimentan los conocimientos previos y suscitan nuevos aprendizajes, nuevas investigaciones y nuevos desarrollos personales y grupales” (p. 20). En este sentido, el nivel “Planificados” supone un punto de partida sólido, pero todavía limitado en términos de la doble intencionalidad que define al ApS en su sentido pleno. </w:t>
      </w:r>
    </w:p>
    <w:p w:rsidR="009E7BC5" w:rsidRPr="0081504A" w:rsidRDefault="00FB5F94">
      <w:pPr>
        <w:spacing w:before="160" w:after="60" w:line="240" w:lineRule="auto"/>
        <w:jc w:val="both"/>
      </w:pPr>
      <w:r>
        <w:rPr>
          <w:rFonts w:ascii="Times New Roman" w:eastAsia="Times New Roman" w:hAnsi="Times New Roman" w:cs="Times New Roman"/>
          <w:b/>
          <w:bCs/>
        </w:rPr>
        <w:t>Desarrollo y vicisitudes de la experiencia en el territorio</w:t>
      </w:r>
    </w:p>
    <w:p w:rsidR="009E7BC5" w:rsidRPr="0081504A" w:rsidRDefault="00FB5F94">
      <w:pPr>
        <w:spacing w:after="0" w:line="240" w:lineRule="auto"/>
        <w:jc w:val="both"/>
        <w:rPr>
          <w:highlight w:val="green"/>
        </w:rPr>
      </w:pPr>
      <w:r>
        <w:rPr>
          <w:rFonts w:ascii="Times New Roman" w:eastAsia="Times New Roman" w:hAnsi="Times New Roman" w:cs="Times New Roman"/>
        </w:rPr>
        <w:t>De los dieciséis estudiantes inscriptos en el PVU, siete sostuvieron su participación a lo largo del año, junto a una graduada que se sumó al equipo. La mayoría cursaba los primeros años de la carrera y se acercó al proyecto con un fuerte compromiso, aunque con escasa experiencia previa en contextos comunitarios. Los primeros meses estuvieron dedicados a construir conocimiento situado: conocer a los actores institucionales del CPI, comprender las particularidades de la comunidad del Barrio Cildañez y familiarizarse con las características del desarrollo psicomotor de los niños de la institución (Caggiano, 2025).</w:t>
      </w:r>
    </w:p>
    <w:p w:rsidR="008A2CB6" w:rsidRPr="0081504A" w:rsidRDefault="008A2CB6">
      <w:pPr>
        <w:spacing w:after="0" w:line="240" w:lineRule="auto"/>
        <w:jc w:val="both"/>
      </w:pPr>
    </w:p>
    <w:p w:rsidR="008A2CB6" w:rsidRPr="0081504A" w:rsidRDefault="00783394">
      <w:pPr>
        <w:spacing w:after="0" w:line="240" w:lineRule="auto"/>
        <w:jc w:val="both"/>
      </w:pPr>
      <w:r>
        <w:rPr>
          <w:rFonts w:ascii="Times New Roman" w:eastAsia="Times New Roman" w:hAnsi="Times New Roman" w:cs="Times New Roman"/>
        </w:rPr>
        <w:t>En paralelo, el equipo avanzó en el relevamiento propuesto: se recabó información sobre instituciones y programas de atención a la primera infancia en la Ciudad de Buenos Aires y se diseñó una encuesta para conocer la oferta específica de la Comuna 9. Uno de los primeros desafíos que debió afrontarse fue la modificación del rango etario de los niños del CPI —que pasó a la franja de 45 días a 3 años con posterioridad a la presentación del proyecto—, lo que requirió revisar y replantear las actividades planificadas para la sala de 4 años, que había dejado de funcionar (Caggiano, 2025).</w:t>
      </w:r>
    </w:p>
    <w:p w:rsidR="008A2CB6" w:rsidRPr="0081504A" w:rsidRDefault="008A2CB6">
      <w:pPr>
        <w:spacing w:after="0" w:line="240" w:lineRule="auto"/>
        <w:jc w:val="both"/>
      </w:pPr>
    </w:p>
    <w:p w:rsidR="008A2CB6" w:rsidRDefault="007833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trayectoria del PVU anterior facilitó que el equipo contara con el reconocimiento y el respaldo de los directivos y docentes del CPI desde el inicio de esta nueva etapa. Ese vínculo consolidado se tradujo en una solicitud de los propios directivos: extender los talleres a todas las salas de la institución. Asumir esa demanda implicó un nuevo ajuste en la planificación, por lo que los talleres quedaron circunscriptos a los niños del CPI y no pudieron ampliarse a las familias del barrio como estaba previsto (Caggiano, 2025).</w:t>
      </w:r>
    </w:p>
    <w:p w:rsidR="0081504A" w:rsidRPr="0081504A" w:rsidRDefault="0081504A">
      <w:pPr>
        <w:spacing w:after="0" w:line="240" w:lineRule="auto"/>
        <w:jc w:val="both"/>
      </w:pPr>
    </w:p>
    <w:p w:rsidR="009E7BC5" w:rsidRPr="007055F8"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Al considerar la rúbrica de autoevaluación para analizar la implementación del PVU pueden identificarse los dinamismos de Partenariado, Trabajo en Grupo, Reflexión y Reconocimiento. En cuanto al dinamismo de Partenariado, que alude a la “colaboración entre dos o más instituciones sociales independientes orientada a la realización conjunta de una actividad” (Puig, Martín y Rubio, 2017, p. 126), se observaron acuerdos entre el CPI y la Universidad respecto de las condiciones de aplicación del proyecto. No obstante, dado que el diseño fue realizado solo por una de las partes, se corresponde al nivel “Pactado” de la rúbrica.</w:t>
      </w:r>
      <w:r>
        <w:rPr>
          <w:rFonts w:ascii="Times New Roman" w:eastAsia="Times New Roman" w:hAnsi="Times New Roman" w:cs="Times New Roman"/>
          <w:color w:val="1F5EA8"/>
        </w:rPr>
        <w:t xml:space="preserve">  </w:t>
      </w:r>
      <w:r>
        <w:rPr>
          <w:rFonts w:ascii="Times New Roman" w:eastAsia="Times New Roman" w:hAnsi="Times New Roman" w:cs="Times New Roman"/>
        </w:rPr>
        <w:t xml:space="preserve">El establecimiento de alianzas institucionales es una de las claves del éxito de un programa de ApS, ya que permite generar vínculos más eficaces con la comunidad y ampliar las posibilidades de incidencia en el territorio (CLAYSS, 2016). Un partenariado más consolidado —que avanzara del nivel “Pactado” a un nivel co-diseñado— implicaría que la institución participara no solo como espacio receptor sino como actor del proyecto, con voz en la definición de objetivos y actividades (CLAYSS, 2016). </w:t>
      </w:r>
    </w:p>
    <w:p w:rsidR="0081504A" w:rsidRDefault="0081504A">
      <w:pPr>
        <w:spacing w:after="0" w:line="240" w:lineRule="auto"/>
        <w:jc w:val="both"/>
      </w:pPr>
    </w:p>
    <w:p w:rsidR="0081504A" w:rsidRPr="00CD4A2D"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Respecto del dinamismo de Trabajo en Grupo, que alude al “proceso de ayuda entre iguales que se dirige a la preparación y desarrollo de una actividad que se realiza conjuntamente” (Puig, Martín y Rubio, 2017, p. 126), puede identificarse un claro trabajo en grupo por parte de los estudiantes tanto en la ejecución de los talleres como en la realización del relevamiento de manera conjunta. Esto se alinea con el nivel “Colaborativo”, donde los participantes contribuyen a un proyecto colectivo.</w:t>
      </w:r>
      <w:r>
        <w:rPr>
          <w:rFonts w:ascii="Times New Roman" w:eastAsia="Times New Roman" w:hAnsi="Times New Roman" w:cs="Times New Roman"/>
          <w:color w:val="1F5EA8"/>
        </w:rPr>
        <w:t xml:space="preserve"> </w:t>
      </w:r>
      <w:r>
        <w:rPr>
          <w:rFonts w:ascii="Times New Roman" w:eastAsia="Times New Roman" w:hAnsi="Times New Roman" w:cs="Times New Roman"/>
        </w:rPr>
        <w:t xml:space="preserve">Este nivel es especialmente relevante en la formación del psicomotricista, ya que la intervención en territorio raramente es individual: supone coordinar con otros profesionales, acordar criterios de observación y sostener una mirada compartida </w:t>
      </w:r>
      <w:r w:rsidR="00A70E3A" w:rsidRPr="003E6B58">
        <w:rPr>
          <w:rFonts w:ascii="Times New Roman" w:eastAsia="Times New Roman" w:hAnsi="Times New Roman" w:cs="Times New Roman"/>
        </w:rPr>
        <w:t>acerca de</w:t>
      </w:r>
      <w:r w:rsidRPr="003E6B58">
        <w:rPr>
          <w:rFonts w:ascii="Times New Roman" w:eastAsia="Times New Roman" w:hAnsi="Times New Roman" w:cs="Times New Roman"/>
        </w:rPr>
        <w:t xml:space="preserve"> </w:t>
      </w:r>
      <w:r>
        <w:rPr>
          <w:rFonts w:ascii="Times New Roman" w:eastAsia="Times New Roman" w:hAnsi="Times New Roman" w:cs="Times New Roman"/>
        </w:rPr>
        <w:t xml:space="preserve">los niños y las familias. CLAYSS (2016) subraya que el protagonismo de los estudiantes no solo es deseable desde el punto de vista pedagógico, sino que es condición necesaria para que el impacto en los aprendizajes sea genuino: “si los estudiantes no se involucran, no se apropian del proyecto, el impacto en los aprendizajes no es el mismo” (p. 8). </w:t>
      </w:r>
    </w:p>
    <w:p w:rsidR="0081504A" w:rsidRDefault="0081504A">
      <w:pPr>
        <w:spacing w:after="0" w:line="240" w:lineRule="auto"/>
        <w:jc w:val="both"/>
        <w:rPr>
          <w:rFonts w:ascii="Times New Roman" w:eastAsia="Times New Roman" w:hAnsi="Times New Roman" w:cs="Times New Roman"/>
          <w:color w:val="1A7A1A"/>
        </w:rPr>
      </w:pPr>
    </w:p>
    <w:p w:rsidR="009E7BC5" w:rsidRDefault="00FB5F94">
      <w:pPr>
        <w:spacing w:after="0" w:line="240" w:lineRule="auto"/>
        <w:jc w:val="both"/>
        <w:rPr>
          <w:rFonts w:ascii="Times New Roman" w:eastAsia="Times New Roman" w:hAnsi="Times New Roman" w:cs="Times New Roman"/>
          <w:color w:val="1A7A1A"/>
        </w:rPr>
      </w:pPr>
      <w:r>
        <w:rPr>
          <w:rFonts w:ascii="Times New Roman" w:eastAsia="Times New Roman" w:hAnsi="Times New Roman" w:cs="Times New Roman"/>
        </w:rPr>
        <w:t xml:space="preserve">En cuanto al dinamismo de Reflexión, que se refiere al “mecanismo de optimización del aprendizaje, basado en la consideración de la experiencia vivida para darle sentido y lograr nuevos conocimientos” (Puig, Martín y Rubio, 2017, p. 126), puede observarse </w:t>
      </w:r>
      <w:r>
        <w:rPr>
          <w:rFonts w:ascii="Times New Roman" w:eastAsia="Times New Roman" w:hAnsi="Times New Roman" w:cs="Times New Roman"/>
        </w:rPr>
        <w:lastRenderedPageBreak/>
        <w:t>en la posibilidad de revisión y ajuste de los talleres ante el cambio del rango etario de los destinatarios. La capacidad de ajuste se puede ubicar en el nivel “Puntual” que plantea la rúbrica.</w:t>
      </w:r>
      <w:r>
        <w:rPr>
          <w:rFonts w:ascii="Times New Roman" w:eastAsia="Times New Roman" w:hAnsi="Times New Roman" w:cs="Times New Roman"/>
          <w:color w:val="1F5EA8"/>
        </w:rPr>
        <w:t xml:space="preserve"> </w:t>
      </w:r>
      <w:r>
        <w:rPr>
          <w:rFonts w:ascii="Times New Roman" w:eastAsia="Times New Roman" w:hAnsi="Times New Roman" w:cs="Times New Roman"/>
        </w:rPr>
        <w:t>Esto implica que la reflexión quedó reservada a un momento de crisis o ajuste cuando tendría que convertirse en un proceso transversal y sistemático que acompañe cada etapa del proyecto. En este sentido, CLAYSS (2016) recupera una idea central del campo: la reflexión sistemática es lo que transforma una experiencia comprometida en algo que afecta decisivamente el aprendizaje y el desarrollo de los estudiantes. La distancia entre el nivel “Puntual” alcanzado y un nivel sistemático es significativa: en el primero, la reflexión surge de las dificultades; en el segundo, es parte del diseño pedagógico desde el inicio</w:t>
      </w:r>
      <w:r>
        <w:rPr>
          <w:rFonts w:ascii="Times New Roman" w:eastAsia="Times New Roman" w:hAnsi="Times New Roman" w:cs="Times New Roman"/>
          <w:color w:val="1F5EA8"/>
        </w:rPr>
        <w:t>.</w:t>
      </w:r>
    </w:p>
    <w:p w:rsidR="00AE0A4A" w:rsidRDefault="00AE0A4A">
      <w:pPr>
        <w:spacing w:after="0" w:line="240" w:lineRule="auto"/>
        <w:jc w:val="both"/>
      </w:pPr>
    </w:p>
    <w:p w:rsidR="009E7BC5" w:rsidRPr="00CD4A2D"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relación al dinamismo de Reconocimiento, que hace referencia al “conjunto de acciones destinadas a comunicar a los protagonistas de la actividad que la han realizado correctamente” (Puig, Martín y Rubio, 2017, p. 126), puede observarse en la acción de los directivos y docentes del CPI al apoyar el proyecto y solicitar su extensión. Esto se alinea con el nivel “Recíproco” expresado en la rúbrica.</w:t>
      </w:r>
      <w:r>
        <w:rPr>
          <w:rFonts w:ascii="Times New Roman" w:eastAsia="Times New Roman" w:hAnsi="Times New Roman" w:cs="Times New Roman"/>
          <w:color w:val="1F5EA8"/>
        </w:rPr>
        <w:t xml:space="preserve"> </w:t>
      </w:r>
      <w:r>
        <w:rPr>
          <w:rFonts w:ascii="Times New Roman" w:eastAsia="Times New Roman" w:hAnsi="Times New Roman" w:cs="Times New Roman"/>
        </w:rPr>
        <w:t xml:space="preserve">El reconocimiento recíproco es uno de los indicadores más relevantes de la calidad del vínculo entre la universidad y la comunidad: implica que el servicio prestado tuvo impacto real y que los destinatarios lo valoran. Que la solicitud de ampliación proviniera de los propios directivos del CPI es un indicador elocuente de ese impacto. Según CLAYSS (2016), el reconocimiento fortalece la autoestima personal y grupal de los protagonistas y da visibilidad al trabajo realizado —algo que </w:t>
      </w:r>
      <w:r w:rsidR="00A70E3A">
        <w:rPr>
          <w:rFonts w:ascii="Times New Roman" w:eastAsia="Times New Roman" w:hAnsi="Times New Roman" w:cs="Times New Roman"/>
        </w:rPr>
        <w:t xml:space="preserve"> </w:t>
      </w:r>
      <w:r w:rsidR="00A70E3A" w:rsidRPr="003E6B58">
        <w:rPr>
          <w:rFonts w:ascii="Times New Roman" w:eastAsia="Times New Roman" w:hAnsi="Times New Roman" w:cs="Times New Roman"/>
        </w:rPr>
        <w:t>al curricularizar este tipo de experiencias</w:t>
      </w:r>
      <w:r w:rsidRPr="003E6B58">
        <w:rPr>
          <w:rFonts w:ascii="Times New Roman" w:eastAsia="Times New Roman" w:hAnsi="Times New Roman" w:cs="Times New Roman"/>
        </w:rPr>
        <w:t xml:space="preserve"> po</w:t>
      </w:r>
      <w:r>
        <w:rPr>
          <w:rFonts w:ascii="Times New Roman" w:eastAsia="Times New Roman" w:hAnsi="Times New Roman" w:cs="Times New Roman"/>
        </w:rPr>
        <w:t>dría formalizarse en instancias de devolución a la comunidad al finalizar cada ciclo.</w:t>
      </w:r>
    </w:p>
    <w:p w:rsidR="00AE0A4A" w:rsidRDefault="00AE0A4A">
      <w:pPr>
        <w:spacing w:after="0" w:line="240" w:lineRule="auto"/>
        <w:jc w:val="both"/>
      </w:pPr>
    </w:p>
    <w:p w:rsidR="009E7BC5" w:rsidRPr="00CD4A2D"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último, también pueden identificarse los dinamismos de Necesidades y Aprendizajes con otro nivel de profundización que el planteado en el apartado anterior. Se observa una aproximación más activa a la comprensión de las necesidades al realizar el relevamiento de instituciones y programas vinculados a la primera infancia. Esta actividad, que busca una comprensión más profunda de la realidad, se alinea con el nivel “Descubiertas” de la rúbrica. Respecto al dinamismo de los Aprendizajes, es posible identificar una mayor profundización en su alcance: el tiempo dedicado por los estudiantes a conocer a los actores institucionales, las particularidades de la comunidad y las características del desarrollo psicomotor de los niños está vinculado al servicio y al contexto real, y se corresponde con el nivel “Útil” de la rúbrica.</w:t>
      </w:r>
      <w:r>
        <w:rPr>
          <w:rFonts w:ascii="Times New Roman" w:eastAsia="Times New Roman" w:hAnsi="Times New Roman" w:cs="Times New Roman"/>
          <w:color w:val="1F5EA8"/>
        </w:rPr>
        <w:t xml:space="preserve"> </w:t>
      </w:r>
      <w:r w:rsidRPr="003E6B58">
        <w:rPr>
          <w:rFonts w:ascii="Times New Roman" w:eastAsia="Times New Roman" w:hAnsi="Times New Roman" w:cs="Times New Roman"/>
        </w:rPr>
        <w:t>Este nivel “Útil” representa un avance significativo respecto del nivel “Planificados” identificado en el diseño inicial</w:t>
      </w:r>
      <w:r w:rsidR="003E6B58" w:rsidRPr="003E6B58">
        <w:rPr>
          <w:rFonts w:ascii="Times New Roman" w:eastAsia="Times New Roman" w:hAnsi="Times New Roman" w:cs="Times New Roman"/>
        </w:rPr>
        <w:t xml:space="preserve">. </w:t>
      </w:r>
      <w:r w:rsidRPr="003E6B58">
        <w:rPr>
          <w:rFonts w:ascii="Times New Roman" w:eastAsia="Times New Roman" w:hAnsi="Times New Roman" w:cs="Times New Roman"/>
        </w:rPr>
        <w:t>Esto coincide con lo que CLAYSS (2016) denomina el “círculo virtuoso” del ApS: la acción solidaria demanda mejores conocimientos, y esos conocimientos producidos en el territorio enriquecen a su vez la formación académica. El paso siguiente en este dinamismo —el nivel “Transformador”— implicaría que los aprendizajes construidos en el territorio modifiquen no solo a los estudiantes sino también los contenidos y las prácticas de la propia carrera.</w:t>
      </w:r>
      <w:r>
        <w:rPr>
          <w:rFonts w:ascii="Times New Roman" w:eastAsia="Times New Roman" w:hAnsi="Times New Roman" w:cs="Times New Roman"/>
        </w:rPr>
        <w:t xml:space="preserve"> </w:t>
      </w:r>
    </w:p>
    <w:p w:rsidR="00AE0A4A" w:rsidRDefault="00AE0A4A">
      <w:pPr>
        <w:spacing w:after="0" w:line="240" w:lineRule="auto"/>
        <w:jc w:val="both"/>
      </w:pPr>
    </w:p>
    <w:p w:rsidR="009E7BC5" w:rsidRPr="00AE0A4A" w:rsidRDefault="00FB5F94">
      <w:pPr>
        <w:spacing w:after="0" w:line="240" w:lineRule="auto"/>
        <w:jc w:val="both"/>
      </w:pPr>
      <w:r>
        <w:rPr>
          <w:rFonts w:ascii="Times New Roman" w:eastAsia="Times New Roman" w:hAnsi="Times New Roman" w:cs="Times New Roman"/>
        </w:rPr>
        <w:t>A continuación se presenta una tabla que sintetiza los niveles alcanzados en cada dinamismo. Lejos de constituir un juicio de valor sobre el proyecto, la tabla funciona como punto de partida para identificar qué condiciones serían necesarias para profundizar el desarrollo de cada dinamismo en futuros proyectos.</w:t>
      </w:r>
    </w:p>
    <w:p w:rsidR="009E7BC5" w:rsidRDefault="009E7BC5">
      <w:pPr>
        <w:spacing w:after="0" w:line="240" w:lineRule="auto"/>
        <w:jc w:val="both"/>
      </w:pPr>
    </w:p>
    <w:p w:rsidR="009E7BC5" w:rsidRDefault="00FB5F94">
      <w:pPr>
        <w:spacing w:before="160" w:after="60" w:line="240" w:lineRule="auto"/>
        <w:jc w:val="both"/>
      </w:pPr>
      <w:r>
        <w:rPr>
          <w:rFonts w:ascii="Times New Roman" w:eastAsia="Times New Roman" w:hAnsi="Times New Roman" w:cs="Times New Roman"/>
          <w:b/>
          <w:bCs/>
        </w:rPr>
        <w:lastRenderedPageBreak/>
        <w:t>Síntesis del análisis: rúbrica de autoevaluación aplicada al PVU "Infancias Barriales" (2018)</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2080"/>
        <w:gridCol w:w="1687"/>
        <w:gridCol w:w="3751"/>
      </w:tblGrid>
      <w:tr w:rsidR="009E7BC5">
        <w:tc>
          <w:tcPr>
            <w:tcW w:w="1400" w:type="dxa"/>
            <w:tcBorders>
              <w:top w:val="single" w:sz="6" w:space="0" w:color="2E74B5"/>
              <w:left w:val="single" w:sz="6" w:space="0" w:color="2E74B5"/>
              <w:bottom w:val="single" w:sz="6" w:space="0" w:color="2E74B5"/>
              <w:right w:val="single" w:sz="6" w:space="0" w:color="2E74B5"/>
            </w:tcBorders>
            <w:shd w:val="clear" w:color="auto" w:fill="2E74B5"/>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b/>
                <w:bCs/>
                <w:color w:val="FFFFFF"/>
              </w:rPr>
              <w:t>Grupo de Dinamismos</w:t>
            </w:r>
          </w:p>
        </w:tc>
        <w:tc>
          <w:tcPr>
            <w:tcW w:w="2100" w:type="dxa"/>
            <w:tcBorders>
              <w:top w:val="single" w:sz="6" w:space="0" w:color="2E74B5"/>
              <w:left w:val="single" w:sz="6" w:space="0" w:color="2E74B5"/>
              <w:bottom w:val="single" w:sz="6" w:space="0" w:color="2E74B5"/>
              <w:right w:val="single" w:sz="6" w:space="0" w:color="2E74B5"/>
            </w:tcBorders>
            <w:shd w:val="clear" w:color="auto" w:fill="2E74B5"/>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b/>
                <w:bCs/>
                <w:color w:val="FFFFFF"/>
              </w:rPr>
              <w:t>Dinamismo</w:t>
            </w:r>
          </w:p>
        </w:tc>
        <w:tc>
          <w:tcPr>
            <w:tcW w:w="1700" w:type="dxa"/>
            <w:tcBorders>
              <w:top w:val="single" w:sz="6" w:space="0" w:color="2E74B5"/>
              <w:left w:val="single" w:sz="6" w:space="0" w:color="2E74B5"/>
              <w:bottom w:val="single" w:sz="6" w:space="0" w:color="2E74B5"/>
              <w:right w:val="single" w:sz="6" w:space="0" w:color="2E74B5"/>
            </w:tcBorders>
            <w:shd w:val="clear" w:color="auto" w:fill="2E74B5"/>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b/>
                <w:bCs/>
                <w:color w:val="FFFFFF"/>
              </w:rPr>
              <w:t>Nivel alcanzado</w:t>
            </w:r>
          </w:p>
        </w:tc>
        <w:tc>
          <w:tcPr>
            <w:tcW w:w="3900" w:type="dxa"/>
            <w:tcBorders>
              <w:top w:val="single" w:sz="6" w:space="0" w:color="2E74B5"/>
              <w:left w:val="single" w:sz="6" w:space="0" w:color="2E74B5"/>
              <w:bottom w:val="single" w:sz="6" w:space="0" w:color="2E74B5"/>
              <w:right w:val="single" w:sz="6" w:space="0" w:color="2E74B5"/>
            </w:tcBorders>
            <w:shd w:val="clear" w:color="auto" w:fill="2E74B5"/>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b/>
                <w:bCs/>
                <w:color w:val="FFFFFF"/>
              </w:rPr>
              <w:t>Análisis en el PVU "Infancias Barriales" (2018)</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Básicos</w:t>
            </w:r>
          </w:p>
        </w:tc>
        <w:tc>
          <w:tcPr>
            <w:tcW w:w="21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Necesidades</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Presentadas → Descubiertas</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Inicialmente definidas por el proyecto sin consulta a estudiantes ni comunidad. Durante la implementación avanzaron hacia un descubrimiento activo mediante el relevamiento de instituciones de la primera infancia en el territorio.</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Básicos</w:t>
            </w:r>
          </w:p>
        </w:tc>
        <w:tc>
          <w:tcPr>
            <w:tcW w:w="21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Aprendizajes</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Planificados → Útil</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El diseño expresaba intención de articulación curricular (nivel Planificados). Durante la implementación los aprendizajes se vincularon al servicio real y al contexto comunitario (nivel Útil).</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Pedagógicos</w:t>
            </w:r>
          </w:p>
        </w:tc>
        <w:tc>
          <w:tcPr>
            <w:tcW w:w="2100" w:type="dxa"/>
            <w:tcBorders>
              <w:top w:val="single" w:sz="6" w:space="0" w:color="2E74B5"/>
              <w:left w:val="single" w:sz="6" w:space="0" w:color="2E74B5"/>
              <w:bottom w:val="single" w:sz="6" w:space="0" w:color="2E74B5"/>
              <w:right w:val="single" w:sz="6" w:space="0" w:color="2E74B5"/>
            </w:tcBorders>
            <w:shd w:val="clear" w:color="auto" w:fill="FFF9F0"/>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Participación</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Limitada</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La identificación de problemáticas y destinatarios no resultó de un proceso colaborativo. Fue definida por el equipo responsable del proyecto sin consulta previa a los participantes.</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Pedagógicos</w:t>
            </w:r>
          </w:p>
        </w:tc>
        <w:tc>
          <w:tcPr>
            <w:tcW w:w="2100" w:type="dxa"/>
            <w:tcBorders>
              <w:top w:val="single" w:sz="6" w:space="0" w:color="2E74B5"/>
              <w:left w:val="single" w:sz="6" w:space="0" w:color="2E74B5"/>
              <w:bottom w:val="single" w:sz="6" w:space="0" w:color="2E74B5"/>
              <w:right w:val="single" w:sz="6" w:space="0" w:color="2E74B5"/>
            </w:tcBorders>
            <w:shd w:val="clear" w:color="auto" w:fill="FFF9F0"/>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Trabajo en grupo</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Colaborativo</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Los estudiantes sostuvieron trabajo conjunto tanto en la ejecución de los talleres como en el relevamiento de instituciones, contribuyendo a un proyecto colectivo.</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Pedagógicos</w:t>
            </w:r>
          </w:p>
        </w:tc>
        <w:tc>
          <w:tcPr>
            <w:tcW w:w="2100" w:type="dxa"/>
            <w:tcBorders>
              <w:top w:val="single" w:sz="6" w:space="0" w:color="2E74B5"/>
              <w:left w:val="single" w:sz="6" w:space="0" w:color="2E74B5"/>
              <w:bottom w:val="single" w:sz="6" w:space="0" w:color="2E74B5"/>
              <w:right w:val="single" w:sz="6" w:space="0" w:color="2E74B5"/>
            </w:tcBorders>
            <w:shd w:val="clear" w:color="auto" w:fill="FFF9F0"/>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Reflexión</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Puntual</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La revisión y ajuste de actividades ante el cambio de rango etario de los destinatarios implicó un proceso reflexivo situado, aunque no sistemático ni continuo.</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Pedagógicos</w:t>
            </w:r>
          </w:p>
        </w:tc>
        <w:tc>
          <w:tcPr>
            <w:tcW w:w="2100" w:type="dxa"/>
            <w:tcBorders>
              <w:top w:val="single" w:sz="6" w:space="0" w:color="2E74B5"/>
              <w:left w:val="single" w:sz="6" w:space="0" w:color="2E74B5"/>
              <w:bottom w:val="single" w:sz="6" w:space="0" w:color="2E74B5"/>
              <w:right w:val="single" w:sz="6" w:space="0" w:color="2E74B5"/>
            </w:tcBorders>
            <w:shd w:val="clear" w:color="auto" w:fill="FFF9F0"/>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Reconocimiento</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Recíproco</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Los directivos del CPI apoyaron el proyecto y solicitaron su extensión a todas las salas, validando el impacto social de la experiencia.</w:t>
            </w:r>
          </w:p>
        </w:tc>
      </w:tr>
      <w:tr w:rsidR="009E7BC5">
        <w:tc>
          <w:tcPr>
            <w:tcW w:w="1400" w:type="dxa"/>
            <w:tcBorders>
              <w:top w:val="single" w:sz="6" w:space="0" w:color="2E74B5"/>
              <w:left w:val="single" w:sz="6" w:space="0" w:color="2E74B5"/>
              <w:bottom w:val="single" w:sz="6" w:space="0" w:color="2E74B5"/>
              <w:right w:val="single" w:sz="6" w:space="0" w:color="2E74B5"/>
            </w:tcBorders>
            <w:shd w:val="clear" w:color="auto" w:fill="EBF3FA"/>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Organizativos</w:t>
            </w:r>
          </w:p>
        </w:tc>
        <w:tc>
          <w:tcPr>
            <w:tcW w:w="21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rPr>
              <w:t>Partenariado</w:t>
            </w:r>
          </w:p>
        </w:tc>
        <w:tc>
          <w:tcPr>
            <w:tcW w:w="1700" w:type="dxa"/>
            <w:tcBorders>
              <w:top w:val="single" w:sz="6" w:space="0" w:color="2E74B5"/>
              <w:left w:val="single" w:sz="6" w:space="0" w:color="2E74B5"/>
              <w:bottom w:val="single" w:sz="6" w:space="0" w:color="2E74B5"/>
              <w:right w:val="single" w:sz="6" w:space="0" w:color="2E74B5"/>
            </w:tcBorders>
            <w:shd w:val="clear" w:color="auto" w:fill="FFF2CC"/>
            <w:tcMar>
              <w:top w:w="80" w:type="dxa"/>
              <w:left w:w="120" w:type="dxa"/>
              <w:bottom w:w="80" w:type="dxa"/>
              <w:right w:w="120" w:type="dxa"/>
            </w:tcMar>
            <w:vAlign w:val="center"/>
          </w:tcPr>
          <w:p w:rsidR="009E7BC5" w:rsidRDefault="00FB5F94">
            <w:pPr>
              <w:spacing w:after="0" w:line="240" w:lineRule="auto"/>
              <w:jc w:val="center"/>
            </w:pPr>
            <w:r>
              <w:rPr>
                <w:rFonts w:ascii="Times New Roman" w:eastAsia="Times New Roman" w:hAnsi="Times New Roman" w:cs="Times New Roman"/>
                <w:i/>
                <w:iCs/>
              </w:rPr>
              <w:t>Pactado</w:t>
            </w:r>
          </w:p>
        </w:tc>
        <w:tc>
          <w:tcPr>
            <w:tcW w:w="3900" w:type="dxa"/>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tcPr>
          <w:p w:rsidR="009E7BC5" w:rsidRDefault="00FB5F94">
            <w:pPr>
              <w:spacing w:after="0" w:line="240" w:lineRule="auto"/>
              <w:jc w:val="both"/>
            </w:pPr>
            <w:r>
              <w:rPr>
                <w:rFonts w:ascii="Times New Roman" w:eastAsia="Times New Roman" w:hAnsi="Times New Roman" w:cs="Times New Roman"/>
              </w:rPr>
              <w:t>Existieron acuerdos entre el CPI y la Universidad sobre las condiciones de aplicación del proyecto. No obstante, el diseño fue realizado únicamente por el equipo universitario.</w:t>
            </w:r>
          </w:p>
        </w:tc>
      </w:tr>
    </w:tbl>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i/>
          <w:iCs/>
        </w:rPr>
        <w:t>Fuente: elaboración propia a partir de Puig, Martín y Rubio (2017).</w:t>
      </w:r>
    </w:p>
    <w:p w:rsidR="009E7BC5" w:rsidRDefault="009E7BC5">
      <w:pPr>
        <w:spacing w:after="0" w:line="240" w:lineRule="auto"/>
        <w:jc w:val="both"/>
      </w:pPr>
    </w:p>
    <w:p w:rsidR="009E7BC5" w:rsidRDefault="00FB5F94">
      <w:pPr>
        <w:spacing w:before="240" w:after="80" w:line="240" w:lineRule="auto"/>
        <w:jc w:val="both"/>
      </w:pPr>
      <w:r>
        <w:rPr>
          <w:rFonts w:ascii="Times New Roman" w:eastAsia="Times New Roman" w:hAnsi="Times New Roman" w:cs="Times New Roman"/>
          <w:b/>
          <w:bCs/>
        </w:rPr>
        <w:t>Conclusiones</w:t>
      </w:r>
    </w:p>
    <w:p w:rsidR="009E7BC5" w:rsidRPr="009338A4" w:rsidRDefault="00FB5F94">
      <w:pPr>
        <w:spacing w:after="0" w:line="240" w:lineRule="auto"/>
        <w:jc w:val="both"/>
      </w:pPr>
      <w:r>
        <w:rPr>
          <w:rFonts w:ascii="Times New Roman" w:eastAsia="Times New Roman" w:hAnsi="Times New Roman" w:cs="Times New Roman"/>
        </w:rPr>
        <w:t>La formación del psicomotricista en la UNTREF se fundamenta en la premisa de que la educación de los estudiantes trasciende los límites del aula y busca formar profesionales críticos y socialmente comprometidos. Si bien el PVU “Infancias Barriales” (Ampliación) abrazó estos principios en su propósito y espíritu, el análisis que aquí presento —efectuado desde la perspectiva de la extensión crítica y considerando los fundamentos del Aprendizaje-Servicio y su rúbrica de autoevaluación— me permitió identificar diversos aspectos a mejorar.</w:t>
      </w:r>
    </w:p>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En primer lugar, en cuanto a los aprendizajes y su vinculación con los contenidos curriculares, a pesar de que los objetivos del PVU expresaban una articulación con diversas materias de la Licenciatura, esta instancia no se concretó de manera sistemática ni consciente. A futuro, una posibilidad sería homologar la experiencia de los estudiantes en el PVU como práctica pre-profesional, lo que garantizaría la formalización e integración de los aprendizajes significativos derivados del servicio y contribuiría a la curricularización de la extensión.</w:t>
      </w:r>
    </w:p>
    <w:p w:rsidR="009E7BC5" w:rsidRDefault="009E7BC5">
      <w:pPr>
        <w:spacing w:after="0" w:line="240" w:lineRule="auto"/>
        <w:jc w:val="both"/>
      </w:pPr>
    </w:p>
    <w:p w:rsidR="001543B3"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propuesta no es ajena a los debates que atraviesan actualmente al sistema universitario argentino. Como señala Kandel (2018), diversas universidades públicas han avanzado en la incorporación de prácticas sociales educativas a sus planes de estudios, reconociendo que la vinculación con el territorio debe ser un componente formativo explícito y no una iniciativa individual o voluntaria. La tensión entre lo obligatorio y lo voluntario es inherente a este proceso: lo que nace como voluntariado corre el riesgo de quedar siempre en los márgenes del currículo, dependiendo de la iniciativa de docentes o estudiantes comprometidos, sin generar las condiciones institucionales que garanticen su continuidad y su impacto formativo. </w:t>
      </w:r>
    </w:p>
    <w:p w:rsidR="001543B3"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realizado confirma esta tensión: dinamismos como la Participación, la Reflexión y el Partenariado presentaron los niveles más incipientes precisamente porque el formato de voluntariado no genera las condiciones estructurales para sostenerlos. Son exactamente esas condiciones las que una práctica pre-profesional curricularizada podría garantizar. Formalizar la experiencia del PVU como práctica pre-profesional implicaría, en el caso de la Licenciatura en Psicomotricidad de la UNTREF, reconocer explícitamente en el plan de estudios que la intervención en el territorio es parte constitutiva de la formación del psicomotricista </w:t>
      </w:r>
      <w:r w:rsidRPr="00AA2813">
        <w:rPr>
          <w:rFonts w:ascii="Times New Roman" w:eastAsia="Times New Roman" w:hAnsi="Times New Roman" w:cs="Times New Roman"/>
        </w:rPr>
        <w:t xml:space="preserve">y no una actividad accesoria. </w:t>
      </w:r>
      <w:r w:rsidRPr="001543B3">
        <w:rPr>
          <w:rFonts w:ascii="Times New Roman" w:eastAsia="Times New Roman" w:hAnsi="Times New Roman" w:cs="Times New Roman"/>
        </w:rPr>
        <w:t>Esto supone definir criterios de supervisión, evaluación y acreditación de esas experiencias, articular los aprendizajes construidos en el territorio con los contenidos de las materias correspondientes, y generar instancias</w:t>
      </w:r>
      <w:r>
        <w:rPr>
          <w:rFonts w:ascii="Times New Roman" w:eastAsia="Times New Roman" w:hAnsi="Times New Roman" w:cs="Times New Roman"/>
        </w:rPr>
        <w:t xml:space="preserve"> de sistematización que permitan que el saber producido en el PVU retroalimente la formación académica. </w:t>
      </w:r>
    </w:p>
    <w:p w:rsidR="009E7BC5" w:rsidRPr="00AE0A4A" w:rsidRDefault="001543B3">
      <w:pPr>
        <w:spacing w:after="0" w:line="240" w:lineRule="auto"/>
        <w:jc w:val="both"/>
      </w:pPr>
      <w:r w:rsidRPr="001543B3">
        <w:rPr>
          <w:rFonts w:ascii="Times New Roman" w:eastAsia="Times New Roman" w:hAnsi="Times New Roman" w:cs="Times New Roman"/>
        </w:rPr>
        <w:t>Si bien la curricularización es una vía posible, no es una garantía en sí misma. Como decisión de política académica podría transformar el punto de partida de futuros proyectos.</w:t>
      </w:r>
      <w:r>
        <w:rPr>
          <w:rFonts w:ascii="Times New Roman" w:eastAsia="Times New Roman" w:hAnsi="Times New Roman" w:cs="Times New Roman"/>
        </w:rPr>
        <w:t xml:space="preserve"> </w:t>
      </w:r>
      <w:r w:rsidR="00FB5F94">
        <w:rPr>
          <w:rFonts w:ascii="Times New Roman" w:eastAsia="Times New Roman" w:hAnsi="Times New Roman" w:cs="Times New Roman"/>
        </w:rPr>
        <w:t xml:space="preserve">En ese sentido, el camino hacia la curricularización de la extensión no solo fortalece el ApS como estrategia pedagógica: profundiza la identidad disciplinar de la carrera y reafirma su compromiso con una formación profesional que </w:t>
      </w:r>
      <w:r w:rsidR="00AA2813">
        <w:rPr>
          <w:rFonts w:ascii="Times New Roman" w:eastAsia="Times New Roman" w:hAnsi="Times New Roman" w:cs="Times New Roman"/>
        </w:rPr>
        <w:t>aspira</w:t>
      </w:r>
      <w:r w:rsidR="00FB5F94">
        <w:rPr>
          <w:rFonts w:ascii="Times New Roman" w:eastAsia="Times New Roman" w:hAnsi="Times New Roman" w:cs="Times New Roman"/>
        </w:rPr>
        <w:t xml:space="preserve"> a formar psicomotricistas capaces de leer críticamente la realidad en la que intervienen.</w:t>
      </w:r>
    </w:p>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En segundo lugar, este recorrido analítico pone de manifiesto la necesidad de profundizar en la participación activa de la comunidad y de los estudiantes en la elaboración del proyecto. El trabajo conjunto de todos los actores en el diseño, implementación y evaluación es fundamental para la implicación en la tarea y para avanzar hacia los niveles más altos de la rúbrica en los dinamismos de Necesidades y Participación.</w:t>
      </w:r>
    </w:p>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 xml:space="preserve">Finalmente, la experiencia me permite señalar la construcción de ciudadanía como un objetivo primordial a potenciar en futuros proyectos. Las instancias de participación en el territorio promueven que los estudiantes se formen no solo como profesionales sino también como ciudadanos solidarios y sensibles ante las problemáticas reales de la sociedad. En este sentido, la formación del psicomotricista como profesional crítico y comprometido </w:t>
      </w:r>
      <w:r w:rsidR="00005EE5">
        <w:rPr>
          <w:rFonts w:ascii="Times New Roman" w:eastAsia="Times New Roman" w:hAnsi="Times New Roman" w:cs="Times New Roman"/>
        </w:rPr>
        <w:t>requiere trascender</w:t>
      </w:r>
      <w:r>
        <w:rPr>
          <w:rFonts w:ascii="Times New Roman" w:eastAsia="Times New Roman" w:hAnsi="Times New Roman" w:cs="Times New Roman"/>
        </w:rPr>
        <w:t xml:space="preserve"> los límites físicos del aula, permitiendo que la participación directa en el territorio sensibilice a los futuros profesionales frente a las problemáticas reales y a las desigualdades estructurales presentes en la sociedad contemporánea.</w:t>
      </w:r>
    </w:p>
    <w:p w:rsidR="00005EE5" w:rsidRDefault="00005EE5">
      <w:pPr>
        <w:spacing w:after="0" w:line="240" w:lineRule="auto"/>
        <w:jc w:val="both"/>
      </w:pPr>
    </w:p>
    <w:p w:rsidR="00634843" w:rsidRPr="00634843"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una perspectiva disciplinar, esta sensibilización </w:t>
      </w:r>
      <w:r w:rsidR="00005EE5">
        <w:rPr>
          <w:rFonts w:ascii="Times New Roman" w:eastAsia="Times New Roman" w:hAnsi="Times New Roman" w:cs="Times New Roman"/>
        </w:rPr>
        <w:t>implica</w:t>
      </w:r>
      <w:r>
        <w:rPr>
          <w:rFonts w:ascii="Times New Roman" w:eastAsia="Times New Roman" w:hAnsi="Times New Roman" w:cs="Times New Roman"/>
        </w:rPr>
        <w:t xml:space="preserve"> la experiencia directa en el territorio, el contacto real con otros, la presencia corporal situada. </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La práctica psicomotriz en el territorio interpela al estudiante en su disponibilidad corporal, en su capacidad de presencia y escucha, en su modo de habitar los espacios y de establecer vínculos con otros — con </w:t>
      </w:r>
      <w:r w:rsidR="003C32CA">
        <w:rPr>
          <w:rFonts w:ascii="Times New Roman" w:eastAsia="Times New Roman" w:hAnsi="Times New Roman" w:cs="Times New Roman"/>
        </w:rPr>
        <w:t xml:space="preserve">los </w:t>
      </w:r>
      <w:r>
        <w:rPr>
          <w:rFonts w:ascii="Times New Roman" w:eastAsia="Times New Roman" w:hAnsi="Times New Roman" w:cs="Times New Roman"/>
        </w:rPr>
        <w:t xml:space="preserve">niños, con </w:t>
      </w:r>
      <w:r w:rsidR="003C32CA">
        <w:rPr>
          <w:rFonts w:ascii="Times New Roman" w:eastAsia="Times New Roman" w:hAnsi="Times New Roman" w:cs="Times New Roman"/>
        </w:rPr>
        <w:t xml:space="preserve">las </w:t>
      </w:r>
      <w:r>
        <w:rPr>
          <w:rFonts w:ascii="Times New Roman" w:eastAsia="Times New Roman" w:hAnsi="Times New Roman" w:cs="Times New Roman"/>
        </w:rPr>
        <w:t xml:space="preserve">familias, con </w:t>
      </w:r>
      <w:r w:rsidR="003C32CA">
        <w:rPr>
          <w:rFonts w:ascii="Times New Roman" w:eastAsia="Times New Roman" w:hAnsi="Times New Roman" w:cs="Times New Roman"/>
        </w:rPr>
        <w:t xml:space="preserve">las </w:t>
      </w:r>
      <w:r>
        <w:rPr>
          <w:rFonts w:ascii="Times New Roman" w:eastAsia="Times New Roman" w:hAnsi="Times New Roman" w:cs="Times New Roman"/>
        </w:rPr>
        <w:t xml:space="preserve">comunidades atravesadas por la desigualdad. </w:t>
      </w:r>
      <w:r w:rsidR="00634843" w:rsidRPr="00634843">
        <w:rPr>
          <w:rFonts w:ascii="Times New Roman" w:hAnsi="Times New Roman" w:cs="Times New Roman"/>
        </w:rPr>
        <w:t>La experiencia en el territorio y su integración con los aprendizajes provoca un movimiento de ida y vuelta: lo más formativo no es la salida sino el regreso, cuando la realidad vivida transforma e impacta el modo de comprender la práctica. En psicomotricidad ese impacto es particularmente significativo porque la intervención se construye desde el cuerpo y en el encuentro con otros.</w:t>
      </w:r>
    </w:p>
    <w:p w:rsidR="00634843" w:rsidRDefault="00634843">
      <w:pPr>
        <w:spacing w:after="0" w:line="240" w:lineRule="auto"/>
        <w:jc w:val="both"/>
        <w:rPr>
          <w:rFonts w:ascii="Times New Roman" w:eastAsia="Times New Roman" w:hAnsi="Times New Roman" w:cs="Times New Roman"/>
        </w:rPr>
      </w:pPr>
    </w:p>
    <w:p w:rsidR="009E7BC5" w:rsidRDefault="00FB5F94">
      <w:pPr>
        <w:spacing w:after="0" w:line="240" w:lineRule="auto"/>
        <w:jc w:val="both"/>
      </w:pPr>
      <w:r>
        <w:rPr>
          <w:rFonts w:ascii="Times New Roman" w:eastAsia="Times New Roman" w:hAnsi="Times New Roman" w:cs="Times New Roman"/>
        </w:rPr>
        <w:t>El análisis realizado permite identificar que algunos dinamismos presentan niveles de desarrollo más incipientes —particularmente Participación, Reflexión y Partenariado—. Sin embargo, es importante contextualizar esa lectura: el PVU “Infancias Barriales” nació con la lógica propia del voluntariado universitario, un formato que tiene sus propios tiempos y sus propias condiciones de posibilidad. Ciertas condiciones —como el co-diseño con la comunidad, la reflexión sistemática o un partenariado más simétrico— son difíciles de sostener cuando el formato de origen no las contempla estructuralmente.</w:t>
      </w:r>
    </w:p>
    <w:p w:rsidR="009E7BC5" w:rsidRDefault="009E7BC5">
      <w:pPr>
        <w:spacing w:after="0" w:line="240" w:lineRule="auto"/>
        <w:jc w:val="both"/>
      </w:pPr>
    </w:p>
    <w:p w:rsidR="003B42D8"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Este trabajo constituye una primera aproximación al análisis de proyectos de extensión en psicomotricidad desde la perspectiva del ApS y su rúbrica de autoevaluación.</w:t>
      </w:r>
      <w:r w:rsidR="003B42D8" w:rsidRPr="003B42D8">
        <w:t xml:space="preserve"> </w:t>
      </w:r>
      <w:r w:rsidR="003B42D8" w:rsidRPr="003B42D8">
        <w:rPr>
          <w:rFonts w:ascii="Times New Roman" w:hAnsi="Times New Roman" w:cs="Times New Roman"/>
        </w:rPr>
        <w:t>Las reflexiones aquí presentadas no pretenden ser conclusiones cerradas: la rúbrica funciona como una herramienta que permite ver con mayor precisión qué está pasando en un proyecto y qué podría mejorar, y no solo como instrumento de evaluación.</w:t>
      </w:r>
      <w:r w:rsidRPr="003B42D8">
        <w:rPr>
          <w:rFonts w:ascii="Times New Roman" w:eastAsia="Times New Roman" w:hAnsi="Times New Roman" w:cs="Times New Roman"/>
        </w:rPr>
        <w:t xml:space="preserve"> </w:t>
      </w:r>
    </w:p>
    <w:p w:rsidR="009E7BC5" w:rsidRDefault="00FB5F94">
      <w:pPr>
        <w:spacing w:after="0" w:line="240" w:lineRule="auto"/>
        <w:jc w:val="both"/>
      </w:pPr>
      <w:r>
        <w:rPr>
          <w:rFonts w:ascii="Times New Roman" w:eastAsia="Times New Roman" w:hAnsi="Times New Roman" w:cs="Times New Roman"/>
        </w:rPr>
        <w:t xml:space="preserve">Si bien el PVU “Infancias Barriales” ya no está en curso, la Licenciatura en Psicomotricidad de la UNTREF sostiene actualmente cinco proyectos de extensión que podrían ser analizados con este mismo marco. En ese sentido, los hallazgos de este trabajo invitan a continuar indagando —con otros proyectos, con otros actores y con </w:t>
      </w:r>
      <w:r>
        <w:rPr>
          <w:rFonts w:ascii="Times New Roman" w:eastAsia="Times New Roman" w:hAnsi="Times New Roman" w:cs="Times New Roman"/>
        </w:rPr>
        <w:lastRenderedPageBreak/>
        <w:t>mayor profundidad— en las condiciones que hacen posible una extensión universitaria que sea genuinamente formativa y transformadora.</w:t>
      </w:r>
    </w:p>
    <w:p w:rsidR="009E7BC5" w:rsidRDefault="009E7BC5">
      <w:pPr>
        <w:spacing w:after="0" w:line="240" w:lineRule="auto"/>
        <w:jc w:val="both"/>
      </w:pPr>
    </w:p>
    <w:p w:rsidR="009E7BC5" w:rsidRDefault="00DE48DC">
      <w:pPr>
        <w:spacing w:after="0" w:line="240" w:lineRule="auto"/>
        <w:jc w:val="both"/>
        <w:rPr>
          <w:rFonts w:ascii="Times New Roman" w:eastAsia="Times New Roman" w:hAnsi="Times New Roman" w:cs="Times New Roman"/>
        </w:rPr>
      </w:pPr>
      <w:r w:rsidRPr="00DE48DC">
        <w:rPr>
          <w:rFonts w:ascii="Times New Roman" w:eastAsia="Times New Roman" w:hAnsi="Times New Roman" w:cs="Times New Roman"/>
        </w:rPr>
        <w:t>En la formación del psicomotricista, la curricularización de la extensión adquiere un sentido disciplinar: la experiencia directa en el territorio no puede ser simulada en el aula ni aprehendida ex</w:t>
      </w:r>
      <w:r w:rsidR="006C09B5">
        <w:rPr>
          <w:rFonts w:ascii="Times New Roman" w:eastAsia="Times New Roman" w:hAnsi="Times New Roman" w:cs="Times New Roman"/>
        </w:rPr>
        <w:t>clusivamente a través de textos.</w:t>
      </w:r>
      <w:r w:rsidR="003C32CA">
        <w:rPr>
          <w:rFonts w:ascii="Times New Roman" w:eastAsia="Times New Roman" w:hAnsi="Times New Roman" w:cs="Times New Roman"/>
        </w:rPr>
        <w:t xml:space="preserve"> </w:t>
      </w:r>
      <w:r w:rsidR="006C09B5">
        <w:rPr>
          <w:rFonts w:ascii="Times New Roman" w:eastAsia="Times New Roman" w:hAnsi="Times New Roman" w:cs="Times New Roman"/>
        </w:rPr>
        <w:t>E</w:t>
      </w:r>
      <w:r w:rsidRPr="00DE48DC">
        <w:rPr>
          <w:rFonts w:ascii="Times New Roman" w:eastAsia="Times New Roman" w:hAnsi="Times New Roman" w:cs="Times New Roman"/>
        </w:rPr>
        <w:t>s condición de posibilidad de esa formación. Reconocer la práctica situada como parte constitutiva implica crear las condiciones para que los saberes que ponen al cuerpo en escena, que se construyen en el vínculo y en la presencia en el territorio, ingresen formalmente al plan de estudios y retroalimente</w:t>
      </w:r>
      <w:r w:rsidR="006C09B5">
        <w:rPr>
          <w:rFonts w:ascii="Times New Roman" w:eastAsia="Times New Roman" w:hAnsi="Times New Roman" w:cs="Times New Roman"/>
        </w:rPr>
        <w:t>n los contenidos de la carrera.</w:t>
      </w:r>
    </w:p>
    <w:p w:rsidR="00DE48DC" w:rsidRPr="00AA2813" w:rsidRDefault="00DE48DC">
      <w:pPr>
        <w:spacing w:after="0" w:line="240" w:lineRule="auto"/>
        <w:jc w:val="both"/>
      </w:pPr>
    </w:p>
    <w:p w:rsidR="009E7BC5" w:rsidRPr="00AA2813" w:rsidRDefault="009E7BC5">
      <w:pPr>
        <w:spacing w:after="0" w:line="240" w:lineRule="auto"/>
        <w:jc w:val="both"/>
      </w:pPr>
    </w:p>
    <w:p w:rsidR="009E7BC5" w:rsidRDefault="00FB5F94">
      <w:pPr>
        <w:spacing w:before="240" w:after="80" w:line="240" w:lineRule="auto"/>
        <w:jc w:val="both"/>
      </w:pPr>
      <w:r>
        <w:rPr>
          <w:rFonts w:ascii="Times New Roman" w:eastAsia="Times New Roman" w:hAnsi="Times New Roman" w:cs="Times New Roman"/>
          <w:b/>
          <w:bCs/>
        </w:rPr>
        <w:t>Referencias bibliográficas</w:t>
      </w:r>
    </w:p>
    <w:p w:rsidR="009E7BC5" w:rsidRPr="00CD4A2D" w:rsidRDefault="00FB5F94">
      <w:pPr>
        <w:spacing w:after="0" w:line="240" w:lineRule="auto"/>
        <w:jc w:val="both"/>
      </w:pPr>
      <w:r>
        <w:rPr>
          <w:rFonts w:ascii="Times New Roman" w:eastAsia="Times New Roman" w:hAnsi="Times New Roman" w:cs="Times New Roman"/>
        </w:rPr>
        <w:t xml:space="preserve">Abal de Hevia, I. (2016). Aprendizaje servicio solidario: una propuesta pedagógica innovadora. </w:t>
      </w:r>
      <w:r>
        <w:rPr>
          <w:rFonts w:ascii="Times New Roman" w:eastAsia="Times New Roman" w:hAnsi="Times New Roman" w:cs="Times New Roman"/>
          <w:i/>
          <w:iCs/>
        </w:rPr>
        <w:t>RIDAS, Revista Iberoamericana de Aprendizaje y Servicio, 2</w:t>
      </w:r>
      <w:r>
        <w:rPr>
          <w:rFonts w:ascii="Times New Roman" w:eastAsia="Times New Roman" w:hAnsi="Times New Roman" w:cs="Times New Roman"/>
        </w:rPr>
        <w:t>, 3-32. https://doi.org/10.1344/RIDAS2016.2.2</w:t>
      </w:r>
    </w:p>
    <w:p w:rsidR="009E7BC5" w:rsidRDefault="009E7BC5">
      <w:pPr>
        <w:spacing w:after="0" w:line="240" w:lineRule="auto"/>
        <w:jc w:val="both"/>
      </w:pPr>
    </w:p>
    <w:p w:rsidR="009E7BC5"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Buchbinder, P. G. (2022). Aportes para el estudio de los orígenes de la extensión universitaria en la Argentina. </w:t>
      </w:r>
      <w:r>
        <w:rPr>
          <w:rFonts w:ascii="Times New Roman" w:eastAsia="Times New Roman" w:hAnsi="Times New Roman" w:cs="Times New Roman"/>
          <w:i/>
          <w:iCs/>
        </w:rPr>
        <w:t>Historia de la Educación, 41</w:t>
      </w:r>
      <w:r>
        <w:rPr>
          <w:rFonts w:ascii="Times New Roman" w:eastAsia="Times New Roman" w:hAnsi="Times New Roman" w:cs="Times New Roman"/>
        </w:rPr>
        <w:t>(1), 341-360. https://doi.org/10.14201/hedu2022341360</w:t>
      </w:r>
    </w:p>
    <w:p w:rsidR="00AF18CC" w:rsidRDefault="00AF18CC">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 xml:space="preserve">Caggiano, N. (2017). </w:t>
      </w:r>
      <w:r>
        <w:rPr>
          <w:rFonts w:ascii="Times New Roman" w:eastAsia="Times New Roman" w:hAnsi="Times New Roman" w:cs="Times New Roman"/>
          <w:i/>
          <w:iCs/>
        </w:rPr>
        <w:t>Infancias Barriales (Ampliación)</w:t>
      </w:r>
      <w:r>
        <w:rPr>
          <w:rFonts w:ascii="Times New Roman" w:eastAsia="Times New Roman" w:hAnsi="Times New Roman" w:cs="Times New Roman"/>
        </w:rPr>
        <w:t xml:space="preserve"> [Proyecto de Compromiso Social Universitario]. UNTREF; Ministerio de Educación.</w:t>
      </w:r>
    </w:p>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 xml:space="preserve">Caggiano, N. (2025). Infancias Barriales. Experiencia de intervención psicomotriz en el Barrio Cildañez. En González, L. y Kuschnir, A. (Coords.), </w:t>
      </w:r>
      <w:r>
        <w:rPr>
          <w:rFonts w:ascii="Times New Roman" w:eastAsia="Times New Roman" w:hAnsi="Times New Roman" w:cs="Times New Roman"/>
          <w:i/>
          <w:iCs/>
        </w:rPr>
        <w:t>Relatos desde el territorio. Experiencias de voluntariado universitario e intervención comunitaria en psicomotricidad</w:t>
      </w:r>
      <w:r>
        <w:rPr>
          <w:rFonts w:ascii="Times New Roman" w:eastAsia="Times New Roman" w:hAnsi="Times New Roman" w:cs="Times New Roman"/>
        </w:rPr>
        <w:t>. Eduntref.</w:t>
      </w:r>
    </w:p>
    <w:p w:rsidR="009E7BC5" w:rsidRDefault="009E7BC5">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 xml:space="preserve">CLAYSS. (2016). </w:t>
      </w:r>
      <w:r>
        <w:rPr>
          <w:rFonts w:ascii="Times New Roman" w:eastAsia="Times New Roman" w:hAnsi="Times New Roman" w:cs="Times New Roman"/>
          <w:i/>
          <w:iCs/>
        </w:rPr>
        <w:t>Manual para estudiantes y docentes solidarios</w:t>
      </w:r>
      <w:r>
        <w:rPr>
          <w:rFonts w:ascii="Times New Roman" w:eastAsia="Times New Roman" w:hAnsi="Times New Roman" w:cs="Times New Roman"/>
        </w:rPr>
        <w:t>. http://www.clayss.org.ar/04_publicaciones/manual_docentes_LATAM.pdf</w:t>
      </w:r>
    </w:p>
    <w:p w:rsidR="009E7BC5" w:rsidRDefault="009E7BC5">
      <w:pPr>
        <w:spacing w:after="0" w:line="240" w:lineRule="auto"/>
        <w:jc w:val="both"/>
      </w:pPr>
    </w:p>
    <w:p w:rsidR="00E21350" w:rsidRPr="00E21350" w:rsidRDefault="00E21350">
      <w:pPr>
        <w:spacing w:after="0" w:line="240" w:lineRule="auto"/>
        <w:jc w:val="both"/>
        <w:rPr>
          <w:rFonts w:ascii="Times New Roman" w:hAnsi="Times New Roman" w:cs="Times New Roman"/>
        </w:rPr>
      </w:pPr>
      <w:r w:rsidRPr="00E21350">
        <w:rPr>
          <w:rFonts w:ascii="Times New Roman" w:hAnsi="Times New Roman" w:cs="Times New Roman"/>
        </w:rPr>
        <w:t xml:space="preserve">González, L. (2009). </w:t>
      </w:r>
      <w:r w:rsidRPr="00E21350">
        <w:rPr>
          <w:rStyle w:val="nfasis"/>
          <w:rFonts w:ascii="Times New Roman" w:hAnsi="Times New Roman" w:cs="Times New Roman"/>
        </w:rPr>
        <w:t>Pensar lo psicomotor. La constructividad corporal y otros textos</w:t>
      </w:r>
      <w:r w:rsidRPr="00E21350">
        <w:rPr>
          <w:rFonts w:ascii="Times New Roman" w:hAnsi="Times New Roman" w:cs="Times New Roman"/>
        </w:rPr>
        <w:t>. Eduntref.</w:t>
      </w:r>
    </w:p>
    <w:p w:rsidR="00E21350" w:rsidRDefault="00E21350">
      <w:pPr>
        <w:spacing w:after="0" w:line="240" w:lineRule="auto"/>
        <w:jc w:val="both"/>
      </w:pPr>
    </w:p>
    <w:p w:rsidR="009E7BC5" w:rsidRDefault="00FB5F94">
      <w:pPr>
        <w:spacing w:after="0" w:line="240" w:lineRule="auto"/>
        <w:jc w:val="both"/>
      </w:pPr>
      <w:r>
        <w:rPr>
          <w:rFonts w:ascii="Times New Roman" w:eastAsia="Times New Roman" w:hAnsi="Times New Roman" w:cs="Times New Roman"/>
        </w:rPr>
        <w:t xml:space="preserve">Kandel, V. N. (2018). La universidad en un mundo con otros. De la extensión universitaria a las prácticas sociales educativas. </w:t>
      </w:r>
      <w:r>
        <w:rPr>
          <w:rFonts w:ascii="Times New Roman" w:eastAsia="Times New Roman" w:hAnsi="Times New Roman" w:cs="Times New Roman"/>
          <w:i/>
          <w:iCs/>
        </w:rPr>
        <w:t>Revista del IICE, 44</w:t>
      </w:r>
      <w:r>
        <w:rPr>
          <w:rFonts w:ascii="Times New Roman" w:eastAsia="Times New Roman" w:hAnsi="Times New Roman" w:cs="Times New Roman"/>
        </w:rPr>
        <w:t>, 25-36. http://revistascientificas.filo.uba.ar/index.php/iice/issue/view/504</w:t>
      </w:r>
    </w:p>
    <w:p w:rsidR="009E7BC5" w:rsidRDefault="009E7BC5">
      <w:pPr>
        <w:spacing w:after="0" w:line="240" w:lineRule="auto"/>
        <w:jc w:val="both"/>
      </w:pPr>
    </w:p>
    <w:p w:rsidR="00E21350" w:rsidRDefault="00FB5F9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Puig, J., Martín, X. y Rubio, L. (2017). ¿Cómo evaluar proyectos de aprendizaje servicio? </w:t>
      </w:r>
      <w:r>
        <w:rPr>
          <w:rFonts w:ascii="Times New Roman" w:eastAsia="Times New Roman" w:hAnsi="Times New Roman" w:cs="Times New Roman"/>
          <w:i/>
          <w:iCs/>
        </w:rPr>
        <w:t>Voces de la Educación, 2</w:t>
      </w:r>
      <w:r>
        <w:rPr>
          <w:rFonts w:ascii="Times New Roman" w:eastAsia="Times New Roman" w:hAnsi="Times New Roman" w:cs="Times New Roman"/>
        </w:rPr>
        <w:t>(2), 122-132.</w:t>
      </w:r>
    </w:p>
    <w:p w:rsidR="00E21350" w:rsidRPr="00E21350" w:rsidRDefault="00E21350" w:rsidP="00E21350">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proofErr w:type="spellStart"/>
      <w:r w:rsidRPr="00E21350">
        <w:rPr>
          <w:rFonts w:ascii="Times New Roman" w:eastAsia="Times New Roman" w:hAnsi="Times New Roman" w:cs="Times New Roman"/>
          <w:kern w:val="0"/>
          <w:lang w:val="es-AR" w:eastAsia="es-AR"/>
          <w14:ligatures w14:val="none"/>
        </w:rPr>
        <w:t>Saal</w:t>
      </w:r>
      <w:proofErr w:type="spellEnd"/>
      <w:r w:rsidRPr="00E21350">
        <w:rPr>
          <w:rFonts w:ascii="Times New Roman" w:eastAsia="Times New Roman" w:hAnsi="Times New Roman" w:cs="Times New Roman"/>
          <w:kern w:val="0"/>
          <w:lang w:val="es-AR" w:eastAsia="es-AR"/>
          <w14:ligatures w14:val="none"/>
        </w:rPr>
        <w:t xml:space="preserve">, S. (2020). </w:t>
      </w:r>
      <w:r w:rsidRPr="00E21350">
        <w:rPr>
          <w:rFonts w:ascii="Times New Roman" w:eastAsia="Times New Roman" w:hAnsi="Times New Roman" w:cs="Times New Roman"/>
          <w:i/>
          <w:iCs/>
          <w:kern w:val="0"/>
          <w:lang w:val="es-AR" w:eastAsia="es-AR"/>
          <w14:ligatures w14:val="none"/>
        </w:rPr>
        <w:t>¿Alguien se preguntó cómo me siento? Inhibición psicomotriz. Conceptualización, clasificación e intervención clínica</w:t>
      </w:r>
      <w:r w:rsidR="00905556">
        <w:rPr>
          <w:rFonts w:ascii="Times New Roman" w:eastAsia="Times New Roman" w:hAnsi="Times New Roman" w:cs="Times New Roman"/>
          <w:kern w:val="0"/>
          <w:lang w:val="es-AR" w:eastAsia="es-AR"/>
          <w14:ligatures w14:val="none"/>
        </w:rPr>
        <w:t xml:space="preserve">. </w:t>
      </w:r>
      <w:bookmarkStart w:id="0" w:name="_GoBack"/>
      <w:bookmarkEnd w:id="0"/>
      <w:r w:rsidRPr="00E21350">
        <w:rPr>
          <w:rFonts w:ascii="Times New Roman" w:eastAsia="Times New Roman" w:hAnsi="Times New Roman" w:cs="Times New Roman"/>
          <w:kern w:val="0"/>
          <w:lang w:val="es-AR" w:eastAsia="es-AR"/>
          <w14:ligatures w14:val="none"/>
        </w:rPr>
        <w:t>Corpora Ediciones.</w:t>
      </w:r>
    </w:p>
    <w:p w:rsidR="009E7BC5" w:rsidRDefault="00FB5F94">
      <w:pPr>
        <w:spacing w:after="0" w:line="240" w:lineRule="auto"/>
        <w:jc w:val="both"/>
      </w:pPr>
      <w:r>
        <w:rPr>
          <w:rFonts w:ascii="Times New Roman" w:eastAsia="Times New Roman" w:hAnsi="Times New Roman" w:cs="Times New Roman"/>
        </w:rPr>
        <w:lastRenderedPageBreak/>
        <w:t xml:space="preserve">Tünnermann Bernheim, C. (2000). </w:t>
      </w:r>
      <w:r>
        <w:rPr>
          <w:rFonts w:ascii="Times New Roman" w:eastAsia="Times New Roman" w:hAnsi="Times New Roman" w:cs="Times New Roman"/>
          <w:i/>
          <w:iCs/>
        </w:rPr>
        <w:t>El nuevo concepto de la extensión universitaria</w:t>
      </w:r>
      <w:r>
        <w:rPr>
          <w:rFonts w:ascii="Times New Roman" w:eastAsia="Times New Roman" w:hAnsi="Times New Roman" w:cs="Times New Roman"/>
        </w:rPr>
        <w:t>. Universidad Michoacana de San Nicolás de Hidalgo. https://aduba.org.ar/wp-content/uploads/2016/07/NuevoConceptoExtensionUniversitaria-CarlosTunnermann.pdf</w:t>
      </w:r>
    </w:p>
    <w:p w:rsidR="009E7BC5" w:rsidRDefault="009E7BC5">
      <w:pPr>
        <w:spacing w:after="0" w:line="240" w:lineRule="auto"/>
        <w:jc w:val="both"/>
      </w:pPr>
    </w:p>
    <w:sectPr w:rsidR="009E7BC5" w:rsidSect="00DA5D56">
      <w:headerReference w:type="default" r:id="rId8"/>
      <w:footerReference w:type="default" r:id="rId9"/>
      <w:pgSz w:w="11906" w:h="16838" w:code="9"/>
      <w:pgMar w:top="1418" w:right="1701" w:bottom="1418"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7C7" w:rsidRPr="00BA642E" w:rsidRDefault="00FD67C7" w:rsidP="00C802F5">
      <w:pPr>
        <w:spacing w:after="0" w:line="240" w:lineRule="auto"/>
      </w:pPr>
      <w:r w:rsidRPr="00BA642E">
        <w:separator/>
      </w:r>
    </w:p>
  </w:endnote>
  <w:endnote w:type="continuationSeparator" w:id="0">
    <w:p w:rsidR="00FD67C7" w:rsidRPr="00BA642E" w:rsidRDefault="00FD67C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64" w:rsidRPr="00BA642E" w:rsidRDefault="00BA642E">
    <w:pPr>
      <w:pStyle w:val="Piedepgina"/>
    </w:pPr>
    <w:r w:rsidRPr="00BA642E">
      <w:rPr>
        <w:noProof/>
        <w:lang w:val="es-AR" w:eastAsia="es-AR"/>
      </w:rPr>
      <w:drawing>
        <wp:inline distT="0" distB="0" distL="0" distR="0" wp14:anchorId="44F1FA99" wp14:editId="12279561">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7C7" w:rsidRPr="00BA642E" w:rsidRDefault="00FD67C7" w:rsidP="00C802F5">
      <w:pPr>
        <w:spacing w:after="0" w:line="240" w:lineRule="auto"/>
      </w:pPr>
      <w:r w:rsidRPr="00BA642E">
        <w:separator/>
      </w:r>
    </w:p>
  </w:footnote>
  <w:footnote w:type="continuationSeparator" w:id="0">
    <w:p w:rsidR="00FD67C7" w:rsidRPr="00BA642E" w:rsidRDefault="00FD67C7"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F5" w:rsidRPr="00BA642E" w:rsidRDefault="00C802F5" w:rsidP="00C802F5">
    <w:pPr>
      <w:pStyle w:val="Encabezado"/>
      <w:jc w:val="center"/>
    </w:pPr>
    <w:r w:rsidRPr="00BA642E">
      <w:rPr>
        <w:noProof/>
        <w:lang w:val="es-AR" w:eastAsia="es-AR"/>
      </w:rPr>
      <w:drawing>
        <wp:inline distT="0" distB="0" distL="0" distR="0" wp14:anchorId="39203817" wp14:editId="24149702">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05EE5"/>
    <w:rsid w:val="000306AE"/>
    <w:rsid w:val="00115EEA"/>
    <w:rsid w:val="001543B3"/>
    <w:rsid w:val="001816D6"/>
    <w:rsid w:val="00185F5E"/>
    <w:rsid w:val="001923DC"/>
    <w:rsid w:val="001A4BDC"/>
    <w:rsid w:val="001A7247"/>
    <w:rsid w:val="002327C3"/>
    <w:rsid w:val="002414E4"/>
    <w:rsid w:val="00312392"/>
    <w:rsid w:val="00362D5B"/>
    <w:rsid w:val="00363196"/>
    <w:rsid w:val="00382B11"/>
    <w:rsid w:val="003A12D8"/>
    <w:rsid w:val="003B42D8"/>
    <w:rsid w:val="003C32CA"/>
    <w:rsid w:val="003E61F1"/>
    <w:rsid w:val="003E6B58"/>
    <w:rsid w:val="004040C0"/>
    <w:rsid w:val="00437E9C"/>
    <w:rsid w:val="00550766"/>
    <w:rsid w:val="005F3B2E"/>
    <w:rsid w:val="005F55CB"/>
    <w:rsid w:val="0062454A"/>
    <w:rsid w:val="00634843"/>
    <w:rsid w:val="00646B9B"/>
    <w:rsid w:val="006C09B5"/>
    <w:rsid w:val="00701F64"/>
    <w:rsid w:val="007055F8"/>
    <w:rsid w:val="00783394"/>
    <w:rsid w:val="00790DCA"/>
    <w:rsid w:val="007B37A7"/>
    <w:rsid w:val="007B5B5F"/>
    <w:rsid w:val="007D233B"/>
    <w:rsid w:val="008110D5"/>
    <w:rsid w:val="0081504A"/>
    <w:rsid w:val="00816427"/>
    <w:rsid w:val="0085070B"/>
    <w:rsid w:val="008A2CB6"/>
    <w:rsid w:val="00905556"/>
    <w:rsid w:val="009337E2"/>
    <w:rsid w:val="009338A4"/>
    <w:rsid w:val="009D6FEB"/>
    <w:rsid w:val="009E6B49"/>
    <w:rsid w:val="009E7BC5"/>
    <w:rsid w:val="00A17247"/>
    <w:rsid w:val="00A50AAE"/>
    <w:rsid w:val="00A70E3A"/>
    <w:rsid w:val="00AA2813"/>
    <w:rsid w:val="00AE0A4A"/>
    <w:rsid w:val="00AF18CC"/>
    <w:rsid w:val="00B055F8"/>
    <w:rsid w:val="00B166B0"/>
    <w:rsid w:val="00B97465"/>
    <w:rsid w:val="00BA642E"/>
    <w:rsid w:val="00BC236F"/>
    <w:rsid w:val="00C020AC"/>
    <w:rsid w:val="00C40C5D"/>
    <w:rsid w:val="00C74833"/>
    <w:rsid w:val="00C802F5"/>
    <w:rsid w:val="00C92A67"/>
    <w:rsid w:val="00C96B2C"/>
    <w:rsid w:val="00CC04C1"/>
    <w:rsid w:val="00CD4A2D"/>
    <w:rsid w:val="00D32933"/>
    <w:rsid w:val="00D53B16"/>
    <w:rsid w:val="00D843EC"/>
    <w:rsid w:val="00DA5D56"/>
    <w:rsid w:val="00DE48DC"/>
    <w:rsid w:val="00DE5E5C"/>
    <w:rsid w:val="00E11D0F"/>
    <w:rsid w:val="00E21350"/>
    <w:rsid w:val="00E40356"/>
    <w:rsid w:val="00F517CA"/>
    <w:rsid w:val="00FB5F94"/>
    <w:rsid w:val="00FD67C7"/>
    <w:rsid w:val="00FF55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DE5E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5E5C"/>
    <w:rPr>
      <w:rFonts w:ascii="Tahoma" w:hAnsi="Tahoma" w:cs="Tahoma"/>
      <w:sz w:val="16"/>
      <w:szCs w:val="16"/>
      <w:lang w:val="es-419"/>
    </w:rPr>
  </w:style>
  <w:style w:type="character" w:styleId="nfasis">
    <w:name w:val="Emphasis"/>
    <w:basedOn w:val="Fuentedeprrafopredeter"/>
    <w:uiPriority w:val="20"/>
    <w:qFormat/>
    <w:rsid w:val="00E21350"/>
    <w:rPr>
      <w:i/>
      <w:iCs/>
    </w:rPr>
  </w:style>
  <w:style w:type="paragraph" w:customStyle="1" w:styleId="font-claude-response-body">
    <w:name w:val="font-claude-response-body"/>
    <w:basedOn w:val="Normal"/>
    <w:rsid w:val="00E21350"/>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customStyle="1" w:styleId="absolute">
    <w:name w:val="absolute"/>
    <w:basedOn w:val="Fuentedeprrafopredeter"/>
    <w:rsid w:val="00E21350"/>
  </w:style>
  <w:style w:type="character" w:customStyle="1" w:styleId="inline-flex">
    <w:name w:val="inline-flex"/>
    <w:basedOn w:val="Fuentedeprrafopredeter"/>
    <w:rsid w:val="00E21350"/>
  </w:style>
  <w:style w:type="character" w:customStyle="1" w:styleId="transition-all">
    <w:name w:val="transition-all"/>
    <w:basedOn w:val="Fuentedeprrafopredeter"/>
    <w:rsid w:val="00E213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DE5E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5E5C"/>
    <w:rPr>
      <w:rFonts w:ascii="Tahoma" w:hAnsi="Tahoma" w:cs="Tahoma"/>
      <w:sz w:val="16"/>
      <w:szCs w:val="16"/>
      <w:lang w:val="es-419"/>
    </w:rPr>
  </w:style>
  <w:style w:type="character" w:styleId="nfasis">
    <w:name w:val="Emphasis"/>
    <w:basedOn w:val="Fuentedeprrafopredeter"/>
    <w:uiPriority w:val="20"/>
    <w:qFormat/>
    <w:rsid w:val="00E21350"/>
    <w:rPr>
      <w:i/>
      <w:iCs/>
    </w:rPr>
  </w:style>
  <w:style w:type="paragraph" w:customStyle="1" w:styleId="font-claude-response-body">
    <w:name w:val="font-claude-response-body"/>
    <w:basedOn w:val="Normal"/>
    <w:rsid w:val="00E21350"/>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customStyle="1" w:styleId="absolute">
    <w:name w:val="absolute"/>
    <w:basedOn w:val="Fuentedeprrafopredeter"/>
    <w:rsid w:val="00E21350"/>
  </w:style>
  <w:style w:type="character" w:customStyle="1" w:styleId="inline-flex">
    <w:name w:val="inline-flex"/>
    <w:basedOn w:val="Fuentedeprrafopredeter"/>
    <w:rsid w:val="00E21350"/>
  </w:style>
  <w:style w:type="character" w:customStyle="1" w:styleId="transition-all">
    <w:name w:val="transition-all"/>
    <w:basedOn w:val="Fuentedeprrafopredeter"/>
    <w:rsid w:val="00E21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078020">
      <w:bodyDiv w:val="1"/>
      <w:marLeft w:val="0"/>
      <w:marRight w:val="0"/>
      <w:marTop w:val="0"/>
      <w:marBottom w:val="0"/>
      <w:divBdr>
        <w:top w:val="none" w:sz="0" w:space="0" w:color="auto"/>
        <w:left w:val="none" w:sz="0" w:space="0" w:color="auto"/>
        <w:bottom w:val="none" w:sz="0" w:space="0" w:color="auto"/>
        <w:right w:val="none" w:sz="0" w:space="0" w:color="auto"/>
      </w:divBdr>
      <w:divsChild>
        <w:div w:id="118375685">
          <w:marLeft w:val="0"/>
          <w:marRight w:val="0"/>
          <w:marTop w:val="0"/>
          <w:marBottom w:val="0"/>
          <w:divBdr>
            <w:top w:val="none" w:sz="0" w:space="0" w:color="auto"/>
            <w:left w:val="none" w:sz="0" w:space="0" w:color="auto"/>
            <w:bottom w:val="none" w:sz="0" w:space="0" w:color="auto"/>
            <w:right w:val="none" w:sz="0" w:space="0" w:color="auto"/>
          </w:divBdr>
          <w:divsChild>
            <w:div w:id="2102944855">
              <w:marLeft w:val="0"/>
              <w:marRight w:val="0"/>
              <w:marTop w:val="0"/>
              <w:marBottom w:val="0"/>
              <w:divBdr>
                <w:top w:val="none" w:sz="0" w:space="0" w:color="auto"/>
                <w:left w:val="none" w:sz="0" w:space="0" w:color="auto"/>
                <w:bottom w:val="none" w:sz="0" w:space="0" w:color="auto"/>
                <w:right w:val="none" w:sz="0" w:space="0" w:color="auto"/>
              </w:divBdr>
              <w:divsChild>
                <w:div w:id="80182214">
                  <w:marLeft w:val="0"/>
                  <w:marRight w:val="0"/>
                  <w:marTop w:val="0"/>
                  <w:marBottom w:val="0"/>
                  <w:divBdr>
                    <w:top w:val="none" w:sz="0" w:space="0" w:color="auto"/>
                    <w:left w:val="none" w:sz="0" w:space="0" w:color="auto"/>
                    <w:bottom w:val="none" w:sz="0" w:space="0" w:color="auto"/>
                    <w:right w:val="none" w:sz="0" w:space="0" w:color="auto"/>
                  </w:divBdr>
                  <w:divsChild>
                    <w:div w:id="1914773056">
                      <w:marLeft w:val="0"/>
                      <w:marRight w:val="0"/>
                      <w:marTop w:val="0"/>
                      <w:marBottom w:val="0"/>
                      <w:divBdr>
                        <w:top w:val="none" w:sz="0" w:space="0" w:color="auto"/>
                        <w:left w:val="none" w:sz="0" w:space="0" w:color="auto"/>
                        <w:bottom w:val="none" w:sz="0" w:space="0" w:color="auto"/>
                        <w:right w:val="none" w:sz="0" w:space="0" w:color="auto"/>
                      </w:divBdr>
                      <w:divsChild>
                        <w:div w:id="1313873705">
                          <w:marLeft w:val="0"/>
                          <w:marRight w:val="0"/>
                          <w:marTop w:val="0"/>
                          <w:marBottom w:val="0"/>
                          <w:divBdr>
                            <w:top w:val="none" w:sz="0" w:space="0" w:color="auto"/>
                            <w:left w:val="none" w:sz="0" w:space="0" w:color="auto"/>
                            <w:bottom w:val="none" w:sz="0" w:space="0" w:color="auto"/>
                            <w:right w:val="none" w:sz="0" w:space="0" w:color="auto"/>
                          </w:divBdr>
                          <w:divsChild>
                            <w:div w:id="462583228">
                              <w:marLeft w:val="0"/>
                              <w:marRight w:val="0"/>
                              <w:marTop w:val="0"/>
                              <w:marBottom w:val="0"/>
                              <w:divBdr>
                                <w:top w:val="none" w:sz="0" w:space="0" w:color="auto"/>
                                <w:left w:val="none" w:sz="0" w:space="0" w:color="auto"/>
                                <w:bottom w:val="none" w:sz="0" w:space="0" w:color="auto"/>
                                <w:right w:val="none" w:sz="0" w:space="0" w:color="auto"/>
                              </w:divBdr>
                              <w:divsChild>
                                <w:div w:id="1997225819">
                                  <w:marLeft w:val="0"/>
                                  <w:marRight w:val="0"/>
                                  <w:marTop w:val="0"/>
                                  <w:marBottom w:val="0"/>
                                  <w:divBdr>
                                    <w:top w:val="none" w:sz="0" w:space="0" w:color="auto"/>
                                    <w:left w:val="none" w:sz="0" w:space="0" w:color="auto"/>
                                    <w:bottom w:val="none" w:sz="0" w:space="0" w:color="auto"/>
                                    <w:right w:val="none" w:sz="0" w:space="0" w:color="auto"/>
                                  </w:divBdr>
                                  <w:divsChild>
                                    <w:div w:id="5176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9976">
                      <w:marLeft w:val="0"/>
                      <w:marRight w:val="0"/>
                      <w:marTop w:val="0"/>
                      <w:marBottom w:val="0"/>
                      <w:divBdr>
                        <w:top w:val="none" w:sz="0" w:space="0" w:color="auto"/>
                        <w:left w:val="none" w:sz="0" w:space="0" w:color="auto"/>
                        <w:bottom w:val="none" w:sz="0" w:space="0" w:color="auto"/>
                        <w:right w:val="none" w:sz="0" w:space="0" w:color="auto"/>
                      </w:divBdr>
                      <w:divsChild>
                        <w:div w:id="745996645">
                          <w:marLeft w:val="0"/>
                          <w:marRight w:val="0"/>
                          <w:marTop w:val="0"/>
                          <w:marBottom w:val="0"/>
                          <w:divBdr>
                            <w:top w:val="none" w:sz="0" w:space="0" w:color="auto"/>
                            <w:left w:val="none" w:sz="0" w:space="0" w:color="auto"/>
                            <w:bottom w:val="none" w:sz="0" w:space="0" w:color="auto"/>
                            <w:right w:val="none" w:sz="0" w:space="0" w:color="auto"/>
                          </w:divBdr>
                          <w:divsChild>
                            <w:div w:id="1692141630">
                              <w:marLeft w:val="0"/>
                              <w:marRight w:val="0"/>
                              <w:marTop w:val="0"/>
                              <w:marBottom w:val="0"/>
                              <w:divBdr>
                                <w:top w:val="none" w:sz="0" w:space="0" w:color="auto"/>
                                <w:left w:val="none" w:sz="0" w:space="0" w:color="auto"/>
                                <w:bottom w:val="none" w:sz="0" w:space="0" w:color="auto"/>
                                <w:right w:val="none" w:sz="0" w:space="0" w:color="auto"/>
                              </w:divBdr>
                              <w:divsChild>
                                <w:div w:id="49364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C4A3C-5B3C-4D1C-A579-4ADB7248A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12</Pages>
  <Words>5069</Words>
  <Characters>29299</Characters>
  <Application>Microsoft Office Word</Application>
  <DocSecurity>0</DocSecurity>
  <Lines>542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Noelia Caggiano</dc:creator>
  <cp:lastModifiedBy>autor</cp:lastModifiedBy>
  <cp:revision>24</cp:revision>
  <cp:lastPrinted>2026-06-30T22:17:00Z</cp:lastPrinted>
  <dcterms:created xsi:type="dcterms:W3CDTF">2026-06-28T04:15:00Z</dcterms:created>
  <dcterms:modified xsi:type="dcterms:W3CDTF">2026-07-01T03:40:00Z</dcterms:modified>
</cp:coreProperties>
</file>