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271838" cy="1361136"/>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271838" cy="136113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center" w:leader="none" w:pos="4252"/>
          <w:tab w:val="right" w:leader="none" w:pos="8504"/>
        </w:tabs>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tabs>
          <w:tab w:val="center" w:leader="none" w:pos="4252"/>
          <w:tab w:val="right" w:leader="none" w:pos="8504"/>
        </w:tabs>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after="160" w:line="278.0000000000000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Estrategias de vinculación entre el Instituto Universitario CEMIC y el terreno social. </w:t>
      </w:r>
    </w:p>
    <w:p w:rsidR="00000000" w:rsidDel="00000000" w:rsidP="00000000" w:rsidRDefault="00000000" w:rsidRPr="00000000" w14:paraId="00000005">
      <w:pPr>
        <w:spacing w:after="160" w:line="278.0000000000000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Análisis de experiencias en salud.</w:t>
      </w:r>
      <w:r w:rsidDel="00000000" w:rsidR="00000000" w:rsidRPr="00000000">
        <w:rPr>
          <w:rtl w:val="0"/>
        </w:rPr>
      </w:r>
    </w:p>
    <w:p w:rsidR="00000000" w:rsidDel="00000000" w:rsidP="00000000" w:rsidRDefault="00000000" w:rsidRPr="00000000" w14:paraId="00000006">
      <w:pPr>
        <w:spacing w:after="160" w:line="278.0000000000000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Carrasco Mercedes</w:t>
      </w:r>
    </w:p>
    <w:p w:rsidR="00000000" w:rsidDel="00000000" w:rsidP="00000000" w:rsidRDefault="00000000" w:rsidRPr="00000000" w14:paraId="00000008">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UNR/IUC/USI/ISALUD/UCA                                              mcarrasco@iuc.edu.ar</w:t>
      </w:r>
    </w:p>
    <w:p w:rsidR="00000000" w:rsidDel="00000000" w:rsidP="00000000" w:rsidRDefault="00000000" w:rsidRPr="00000000" w14:paraId="00000009">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Miguel Maria Fernanda</w:t>
      </w:r>
    </w:p>
    <w:p w:rsidR="00000000" w:rsidDel="00000000" w:rsidP="00000000" w:rsidRDefault="00000000" w:rsidRPr="00000000" w14:paraId="0000000B">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IUC/UBA/UNTREF/ISALUD</w:t>
      </w:r>
    </w:p>
    <w:p w:rsidR="00000000" w:rsidDel="00000000" w:rsidP="00000000" w:rsidRDefault="00000000" w:rsidRPr="00000000" w14:paraId="0000000C">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maria.miguel@iuc.edu.ar</w:t>
      </w:r>
    </w:p>
    <w:p w:rsidR="00000000" w:rsidDel="00000000" w:rsidP="00000000" w:rsidRDefault="00000000" w:rsidRPr="00000000" w14:paraId="0000000D">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tabs>
          <w:tab w:val="center" w:leader="none" w:pos="4252"/>
          <w:tab w:val="right" w:leader="none" w:pos="8504"/>
        </w:tabs>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Torcoletti Alina</w:t>
      </w:r>
    </w:p>
    <w:p w:rsidR="00000000" w:rsidDel="00000000" w:rsidP="00000000" w:rsidRDefault="00000000" w:rsidRPr="00000000" w14:paraId="0000000F">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IUC/USAL</w:t>
      </w:r>
    </w:p>
    <w:p w:rsidR="00000000" w:rsidDel="00000000" w:rsidP="00000000" w:rsidRDefault="00000000" w:rsidRPr="00000000" w14:paraId="00000010">
      <w:pPr>
        <w:spacing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alina.torcoletti@iuc.edu.ar</w:t>
      </w:r>
      <w:r w:rsidDel="00000000" w:rsidR="00000000" w:rsidRPr="00000000">
        <w:rPr>
          <w:rtl w:val="0"/>
        </w:rPr>
      </w:r>
    </w:p>
    <w:p w:rsidR="00000000" w:rsidDel="00000000" w:rsidP="00000000" w:rsidRDefault="00000000" w:rsidRPr="00000000" w14:paraId="00000011">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Resumen: </w:t>
      </w:r>
      <w:r w:rsidDel="00000000" w:rsidR="00000000" w:rsidRPr="00000000">
        <w:rPr>
          <w:rtl w:val="0"/>
        </w:rPr>
      </w:r>
    </w:p>
    <w:p w:rsidR="00000000" w:rsidDel="00000000" w:rsidP="00000000" w:rsidRDefault="00000000" w:rsidRPr="00000000" w14:paraId="00000012">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vinculación de la universidad con el entorno social ha estado presente en el sistema universitario argentino desde la Reforma Universitaria de 1918. En el marco de las funciones clásicas de la universidad: formación, investigación y extensión, esta última ha concentrado de manera más explícita dichas articulaciones. En esta ponencia se realiza, en primer lugar, un breve recorrido teórico sobre la vinculación universitaria con el entorno y sus aportes a la formación de los y las estudiantes, identificando diferentes enfoques relacionados con la denominada “extensión universitaria”. En segundo lugar, se presentan experiencias de vinculación impulsadas principalmente por docentes a cargo de materias humanísticas de carreras de Ciencias de la Salud del Instituto Universitario CEMIC, incluyendo experiencias </w:t>
      </w:r>
      <w:r w:rsidDel="00000000" w:rsidR="00000000" w:rsidRPr="00000000">
        <w:rPr>
          <w:rFonts w:ascii="Times New Roman" w:cs="Times New Roman" w:eastAsia="Times New Roman" w:hAnsi="Times New Roman"/>
          <w:sz w:val="24"/>
          <w:szCs w:val="24"/>
          <w:rtl w:val="0"/>
        </w:rPr>
        <w:t xml:space="preserve">curricularizadas</w:t>
      </w:r>
      <w:r w:rsidDel="00000000" w:rsidR="00000000" w:rsidRPr="00000000">
        <w:rPr>
          <w:rFonts w:ascii="Times New Roman" w:cs="Times New Roman" w:eastAsia="Times New Roman" w:hAnsi="Times New Roman"/>
          <w:sz w:val="24"/>
          <w:szCs w:val="24"/>
          <w:rtl w:val="0"/>
        </w:rPr>
        <w:t xml:space="preserve"> y no </w:t>
      </w:r>
      <w:r w:rsidDel="00000000" w:rsidR="00000000" w:rsidRPr="00000000">
        <w:rPr>
          <w:rFonts w:ascii="Times New Roman" w:cs="Times New Roman" w:eastAsia="Times New Roman" w:hAnsi="Times New Roman"/>
          <w:sz w:val="24"/>
          <w:szCs w:val="24"/>
          <w:rtl w:val="0"/>
        </w:rPr>
        <w:t xml:space="preserve">curricularizadas</w:t>
      </w:r>
      <w:r w:rsidDel="00000000" w:rsidR="00000000" w:rsidRPr="00000000">
        <w:rPr>
          <w:rFonts w:ascii="Times New Roman" w:cs="Times New Roman" w:eastAsia="Times New Roman" w:hAnsi="Times New Roman"/>
          <w:sz w:val="24"/>
          <w:szCs w:val="24"/>
          <w:rtl w:val="0"/>
        </w:rPr>
        <w:t xml:space="preserve">. Entre estas experiencias, se destaca la articulación con el Hospital Neuropsiquiátrico Braulio Moyano, así como con distintos dispositivos de barrios populares vulnerados -a los que los estudiantes concurren desde materias con extensión curricular, en una de las cuales utilizan el arte como recurso didáctico-, y la iniciativa “Construyendo Salud: Curso de Salud Comunitaria en los Barrios”, centrada en ofrecer herramientas de autocuidado de la salud a vecinos y vecinas de la Comuna 12. Estas iniciativas tienen el denominador común de convocar a estudiantes de Ciencias de la Salud a espacios que resultan novedosos para sus trayectorias vitales y formativas. En este sentido, se proponen como escenarios donde las y los estudiantes pueden desplegar un conjunto de habilidades ligadas a la educación, la comunicación, la empatía y el trabajo interdisciplinario, generalmente relegados a las propuestas de las asignaturas de corte humanista. Consideramos que estas iniciativas no solo generan impacto en los territorios e instituciones donde se </w:t>
      </w:r>
      <w:r w:rsidDel="00000000" w:rsidR="00000000" w:rsidRPr="00000000">
        <w:rPr>
          <w:rFonts w:ascii="Times New Roman" w:cs="Times New Roman" w:eastAsia="Times New Roman" w:hAnsi="Times New Roman"/>
          <w:sz w:val="24"/>
          <w:szCs w:val="24"/>
          <w:rtl w:val="0"/>
        </w:rPr>
        <w:t xml:space="preserve">fortalecen</w:t>
      </w:r>
      <w:r w:rsidDel="00000000" w:rsidR="00000000" w:rsidRPr="00000000">
        <w:rPr>
          <w:rFonts w:ascii="Times New Roman" w:cs="Times New Roman" w:eastAsia="Times New Roman" w:hAnsi="Times New Roman"/>
          <w:sz w:val="24"/>
          <w:szCs w:val="24"/>
          <w:rtl w:val="0"/>
        </w:rPr>
        <w:t xml:space="preserve"> estas habilidades sino que también transforman las trayectorias de aprendizaje de los estudiantes, al permitirles comprender el proceso salud- enfermedad-atención y cuidado desde una perspectiva más amplia, que incluye los determinantes sociales, culturales y económicos. Asimismo, estas prácticas contribuyen a cuestionar el modelo biomédico hegemónico, centrado exclusivamente en la enfermedad, para avanzar hacia un enfoque integral acorde con el proceso mencionado.  No obstante, se observan desafíos en relación con la institucionalización de estas prácticas en el ámbito de las universidades privadas, dado que la extensión aún ocupa un lugar aún no equiparado frente a la formación clínica y la investigación, lo que limita su desarrollo y sostenibilidad. Por ello, planteamos que resulta necesario aumentar su reconocimiento académico, promover su integración curricular y generar dispositivos de evaluación que permitan visibilizar su impacto.</w:t>
      </w:r>
    </w:p>
    <w:p w:rsidR="00000000" w:rsidDel="00000000" w:rsidP="00000000" w:rsidRDefault="00000000" w:rsidRPr="00000000" w14:paraId="00000013">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Palabras clave: </w:t>
      </w:r>
      <w:r w:rsidDel="00000000" w:rsidR="00000000" w:rsidRPr="00000000">
        <w:rPr>
          <w:rFonts w:ascii="Times New Roman" w:cs="Times New Roman" w:eastAsia="Times New Roman" w:hAnsi="Times New Roman"/>
          <w:sz w:val="24"/>
          <w:szCs w:val="24"/>
          <w:rtl w:val="0"/>
        </w:rPr>
        <w:t xml:space="preserve">EXTENSIÓN UNIVERSITARIA, VINCULACIÓN TERRITORIAL, SALUD COMUNITARIA </w:t>
      </w:r>
    </w:p>
    <w:p w:rsidR="00000000" w:rsidDel="00000000" w:rsidP="00000000" w:rsidRDefault="00000000" w:rsidRPr="00000000" w14:paraId="00000014">
      <w:pPr>
        <w:spacing w:after="16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Introducción</w:t>
      </w:r>
    </w:p>
    <w:p w:rsidR="00000000" w:rsidDel="00000000" w:rsidP="00000000" w:rsidRDefault="00000000" w:rsidRPr="00000000" w14:paraId="00000015">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nuestro país, la vinculación entre la universidad y la sociedad ha estado pautada por los lineamientos presentados por la Reforma Universitaria de 1918, la cual consolidó a la extensión como una de las funciones clásicas de la universidad junto con la formación y la investigación. </w:t>
      </w:r>
    </w:p>
    <w:p w:rsidR="00000000" w:rsidDel="00000000" w:rsidP="00000000" w:rsidRDefault="00000000" w:rsidRPr="00000000" w14:paraId="00000016">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 embargo, llevar a cabo estrategias de vinculación en el ámbito privado en una institución dedicada exclusivamente a las Ciencias de la Salud, implica sentidos y tensiones particulares. Una pregunta que se plantea es ¿Qué desafíos plantea la institucionalización de prácticas de extensión en una universidad privada especializada en esa área? De allí que el presente trabajo se centra en indagar las tensiones, desafíos y aciertos, especialmente pedagógicos que emergen al diseñar e implementar prácticas de vinculación territorial desde el Instituto Universitario CEMIC </w:t>
      </w:r>
    </w:p>
    <w:p w:rsidR="00000000" w:rsidDel="00000000" w:rsidP="00000000" w:rsidRDefault="00000000" w:rsidRPr="00000000" w14:paraId="00000017">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dar cuenta de este proceso, en primer lugar, realizamos un breve recorrido teórico sobre la vinculación universitaria con el entorno y sus aportes a la formación de los y las estudiantes, identificando enfoques de la denominada “extensión universitaria” así como el marco normativo que la rige. Se plantean además algunas particularidades institucionales específicas que se tienen en cuenta para desplegar proyectos de extensión y en tercer lugar, se presentan experiencias de vinculación impulsadas principalmente por docentes a cargo de materias humanísticas de carreras de Ciencias de la Salud del Instituto Universitario CEMIC, incluyendo experiencias </w:t>
      </w:r>
      <w:r w:rsidDel="00000000" w:rsidR="00000000" w:rsidRPr="00000000">
        <w:rPr>
          <w:rFonts w:ascii="Times New Roman" w:cs="Times New Roman" w:eastAsia="Times New Roman" w:hAnsi="Times New Roman"/>
          <w:sz w:val="24"/>
          <w:szCs w:val="24"/>
          <w:rtl w:val="0"/>
        </w:rPr>
        <w:t xml:space="preserve">curricularizadas</w:t>
      </w:r>
      <w:r w:rsidDel="00000000" w:rsidR="00000000" w:rsidRPr="00000000">
        <w:rPr>
          <w:rFonts w:ascii="Times New Roman" w:cs="Times New Roman" w:eastAsia="Times New Roman" w:hAnsi="Times New Roman"/>
          <w:sz w:val="24"/>
          <w:szCs w:val="24"/>
          <w:rtl w:val="0"/>
        </w:rPr>
        <w:t xml:space="preserve">, no </w:t>
      </w:r>
      <w:r w:rsidDel="00000000" w:rsidR="00000000" w:rsidRPr="00000000">
        <w:rPr>
          <w:rFonts w:ascii="Times New Roman" w:cs="Times New Roman" w:eastAsia="Times New Roman" w:hAnsi="Times New Roman"/>
          <w:sz w:val="24"/>
          <w:szCs w:val="24"/>
          <w:rtl w:val="0"/>
        </w:rPr>
        <w:t xml:space="preserve">curricularizadas</w:t>
      </w:r>
      <w:r w:rsidDel="00000000" w:rsidR="00000000" w:rsidRPr="00000000">
        <w:rPr>
          <w:rFonts w:ascii="Times New Roman" w:cs="Times New Roman" w:eastAsia="Times New Roman" w:hAnsi="Times New Roman"/>
          <w:sz w:val="24"/>
          <w:szCs w:val="24"/>
          <w:rtl w:val="0"/>
        </w:rPr>
        <w:t xml:space="preserve"> y en proceso de gestación. Estas experiencias incluyen relatos de experiencias y evaluaciones de estudiantes al finalizar las actividades desarrolladas. </w:t>
      </w:r>
    </w:p>
    <w:p w:rsidR="00000000" w:rsidDel="00000000" w:rsidP="00000000" w:rsidRDefault="00000000" w:rsidRPr="00000000" w14:paraId="00000018">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la reflexión </w:t>
      </w:r>
      <w:r w:rsidDel="00000000" w:rsidR="00000000" w:rsidRPr="00000000">
        <w:rPr>
          <w:rFonts w:ascii="Times New Roman" w:cs="Times New Roman" w:eastAsia="Times New Roman" w:hAnsi="Times New Roman"/>
          <w:sz w:val="24"/>
          <w:szCs w:val="24"/>
          <w:rtl w:val="0"/>
        </w:rPr>
        <w:t xml:space="preserve">crítica</w:t>
      </w:r>
      <w:r w:rsidDel="00000000" w:rsidR="00000000" w:rsidRPr="00000000">
        <w:rPr>
          <w:rFonts w:ascii="Times New Roman" w:cs="Times New Roman" w:eastAsia="Times New Roman" w:hAnsi="Times New Roman"/>
          <w:sz w:val="24"/>
          <w:szCs w:val="24"/>
          <w:rtl w:val="0"/>
        </w:rPr>
        <w:t xml:space="preserve"> sobre la articulación de la institución con el Hospital Neuropsiquiátrico Braulio Moyano, las intervenciones con distintos dispositivos en barrios populares vulnerados y la iniciativa en proceso de un proyecto de salud comunitaria en la Comuna 12, buscamos problematizar a la </w:t>
      </w:r>
      <w:r w:rsidDel="00000000" w:rsidR="00000000" w:rsidRPr="00000000">
        <w:rPr>
          <w:rFonts w:ascii="Times New Roman" w:cs="Times New Roman" w:eastAsia="Times New Roman" w:hAnsi="Times New Roman"/>
          <w:sz w:val="24"/>
          <w:szCs w:val="24"/>
          <w:rtl w:val="0"/>
        </w:rPr>
        <w:t xml:space="preserve">extensión</w:t>
      </w:r>
      <w:r w:rsidDel="00000000" w:rsidR="00000000" w:rsidRPr="00000000">
        <w:rPr>
          <w:rFonts w:ascii="Times New Roman" w:cs="Times New Roman" w:eastAsia="Times New Roman" w:hAnsi="Times New Roman"/>
          <w:sz w:val="24"/>
          <w:szCs w:val="24"/>
          <w:rtl w:val="0"/>
        </w:rPr>
        <w:t xml:space="preserve"> universitaria como una práctica </w:t>
      </w:r>
      <w:r w:rsidDel="00000000" w:rsidR="00000000" w:rsidRPr="00000000">
        <w:rPr>
          <w:rFonts w:ascii="Times New Roman" w:cs="Times New Roman" w:eastAsia="Times New Roman" w:hAnsi="Times New Roman"/>
          <w:sz w:val="24"/>
          <w:szCs w:val="24"/>
          <w:rtl w:val="0"/>
        </w:rPr>
        <w:t xml:space="preserve">político</w:t>
      </w:r>
      <w:r w:rsidDel="00000000" w:rsidR="00000000" w:rsidRPr="00000000">
        <w:rPr>
          <w:rFonts w:ascii="Times New Roman" w:cs="Times New Roman" w:eastAsia="Times New Roman" w:hAnsi="Times New Roman"/>
          <w:sz w:val="24"/>
          <w:szCs w:val="24"/>
          <w:rtl w:val="0"/>
        </w:rPr>
        <w:t xml:space="preserve">-pedagógica que trasciende los postulados de la Reforma de 1918 para sostener un espacio de transformación social mutua.</w:t>
      </w:r>
    </w:p>
    <w:p w:rsidR="00000000" w:rsidDel="00000000" w:rsidP="00000000" w:rsidRDefault="00000000" w:rsidRPr="00000000" w14:paraId="00000019">
      <w:pPr>
        <w:spacing w:after="16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16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Extensión como política universitaria. Algunas aproximaciones teóricas y normativas</w:t>
      </w:r>
      <w:r w:rsidDel="00000000" w:rsidR="00000000" w:rsidRPr="00000000">
        <w:rPr>
          <w:rtl w:val="0"/>
        </w:rPr>
      </w:r>
    </w:p>
    <w:p w:rsidR="00000000" w:rsidDel="00000000" w:rsidP="00000000" w:rsidRDefault="00000000" w:rsidRPr="00000000" w14:paraId="0000001B">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vinculación de la universidad con el entorno social ha estado presente en el sistema universitario argentino desde la Reforma Universitaria de 1918. En el marco de las funciones clásicas de la universidad: formación, investigación y extensión, esta última ha concentrado de manera más explícita dichas articulaciones.</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una visión tradicional, la e</w:t>
      </w:r>
      <w:r w:rsidDel="00000000" w:rsidR="00000000" w:rsidRPr="00000000">
        <w:rPr>
          <w:rFonts w:ascii="Times New Roman" w:cs="Times New Roman" w:eastAsia="Times New Roman" w:hAnsi="Times New Roman"/>
          <w:sz w:val="24"/>
          <w:szCs w:val="24"/>
          <w:rtl w:val="0"/>
        </w:rPr>
        <w:t xml:space="preserve">xtensión </w:t>
      </w:r>
      <w:r w:rsidDel="00000000" w:rsidR="00000000" w:rsidRPr="00000000">
        <w:rPr>
          <w:rFonts w:ascii="Times New Roman" w:cs="Times New Roman" w:eastAsia="Times New Roman" w:hAnsi="Times New Roman"/>
          <w:sz w:val="24"/>
          <w:szCs w:val="24"/>
          <w:rtl w:val="0"/>
        </w:rPr>
        <w:t xml:space="preserve">puede derivarse de extender, tender hacia afuera. Al considerarse el claustro universitario como un espacio interior -en tanto conjunto de catedráticos que cerca el patio de un edificio- predomina una idea de reclusión, de encierro defensivo, de protección de un bien o de un conocimiento que debe conservarse intacto. Sin embargo, entrado el siglo XX aparecerá la impronta extensiva en las instituciones y la universidad empieza a visualizar de otro modo a la sociedad, al mismo tiempo que la sociedad empieza a percibir de otra manera a la universidad. A partir de este cambio, emergen nuevas visiones sobre la extensión que la entienden como un espacio de “prácticas sociales compartidas y colaborativas para la construcción de propuestas alternativas” </w:t>
      </w:r>
      <w:r w:rsidDel="00000000" w:rsidR="00000000" w:rsidRPr="00000000">
        <w:rPr>
          <w:rFonts w:ascii="Times New Roman" w:cs="Times New Roman" w:eastAsia="Times New Roman" w:hAnsi="Times New Roman"/>
          <w:sz w:val="24"/>
          <w:szCs w:val="24"/>
          <w:rtl w:val="0"/>
        </w:rPr>
        <w:t xml:space="preserve">(Rafaghelli, 2013, p. 23)</w:t>
      </w:r>
      <w:r w:rsidDel="00000000" w:rsidR="00000000" w:rsidRPr="00000000">
        <w:rPr>
          <w:rFonts w:ascii="Times New Roman" w:cs="Times New Roman" w:eastAsia="Times New Roman" w:hAnsi="Times New Roman"/>
          <w:sz w:val="24"/>
          <w:szCs w:val="24"/>
          <w:rtl w:val="0"/>
        </w:rPr>
        <w:t xml:space="preserve">. Estas prácticas se consolidan mediante acciones conjuntas en escenarios sociales, culturales e históricos con el propósito de comprenderlos e intervenir sobre ellos de manera creativa e innovadora (Rafaghelli, 2013). La idea de intervenir está presente en varios autores; para Rafaghelli, se trata de intervenir concretamente en situaciones identificadas como problemas sociales en escenarios de encuentro entre distintos actores sociales donde prima el compromiso con los sectores más desfavorecidos del entorno local y regional. En este mismo sentido, a la lógica de intervención se le agrega la dimensión espacial, dado que toda acción de extensión implica una intervención en un espacio determinado, en un territorio específico y en un entramado de relaciones particulares, donde se ponen en juego conocimientos, saberes y representaciones que los actores han ido construyendo en torno al mismo. Se trata de una intervención social formal y organizada, que responde a necesidades sociales sentidas desplegando estrategias en un contexto histórico, social y político, para producir un impacto colectivo.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prácticas de extensión son una oportunidad para el reconocimiento del “otro” como sujeto portador de historicidad, de saberes, de cultura, de lazos sociales. No obstante, para algunos autores la idea tradicional de la extensión como expansión sigue indicando la persistente centralidad de la universidad que debe ser interpelada (Kessler, 2013).</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Frente a estas disyuntivas, vale la pena preguntarnos, ¿qué le aporta la extensión a la formación? Retomando a Rafaghelli, la extensión es aquello que le va a dar “pertinencia social a lo que enseña” dado que las prácticas implican estar en contexto con los problemas sociales en entornos reales. Para los y las estudiantes, en línea con una concepción constructivista del aprendizaje, la inclusión de la extensión en la formación promueve la participación en tanto constructora de sentido y ciudadanía cuando se da en entornos amigables de respeto, </w:t>
      </w:r>
      <w:r w:rsidDel="00000000" w:rsidR="00000000" w:rsidRPr="00000000">
        <w:rPr>
          <w:rFonts w:ascii="Times New Roman" w:cs="Times New Roman" w:eastAsia="Times New Roman" w:hAnsi="Times New Roman"/>
          <w:sz w:val="24"/>
          <w:szCs w:val="24"/>
          <w:rtl w:val="0"/>
        </w:rPr>
        <w:t xml:space="preserve">diálogo y escucha. Las prácticas de extensión tienen sentido cuando se permite a los que intervienen en los proyectos, expresar sus inquietudes, opiniones y modos de entender las cosas; se escuchan las ideas y los cambios que se proponen y se posibilita tomar decisiones y proponer nuevas acciones.</w:t>
      </w:r>
      <w:r w:rsidDel="00000000" w:rsidR="00000000" w:rsidRPr="00000000">
        <w:rPr>
          <w:rFonts w:ascii="Times New Roman" w:cs="Times New Roman" w:eastAsia="Times New Roman" w:hAnsi="Times New Roman"/>
          <w:sz w:val="24"/>
          <w:szCs w:val="24"/>
          <w:rtl w:val="0"/>
        </w:rPr>
        <w:t xml:space="preserve"> (Rafaghelli, 2013). De allí la importancia de que sean espacios interdisciplinarios formados por futuros profesionales de diferentes carreras que dialoguen para comprender la manifestación de problemáticas sociales dentro de la universidad y poder resolverlas con creatividad. Y en este sentido, relaciones forjadas desde la solidaridad y no sobre la base de la posesión, la invasión o la dominación (Rafaghelli, 2013).</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extensión curricular tiene un potencial educativo sobre los aprendizajes al intervenir desde la educación formal en prácticas sociales concretas, específicamente en el medio social abordando problemas concretos. En este marco, acontece lo que Camillioni (2013) denomina aprendizaje en servicio como una forma de aprendizaje experiencial en la que los estudiantes se involucran en actividades que atienden necesidades humanas y comunitarias. Se planifican actividades estructuradas e intencionalmente diseñadas para promover el aprendizaje de los estudiantes, reciprocidad, reflexión y el desarrollo de ciudadanos críticos. </w:t>
      </w:r>
      <w:r w:rsidDel="00000000" w:rsidR="00000000" w:rsidRPr="00000000">
        <w:rPr>
          <w:rFonts w:ascii="Times New Roman" w:cs="Times New Roman" w:eastAsia="Times New Roman" w:hAnsi="Times New Roman"/>
          <w:sz w:val="24"/>
          <w:szCs w:val="24"/>
          <w:rtl w:val="0"/>
        </w:rPr>
        <w:t xml:space="preserve">(Menéndez, 2013)</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que la extensión trascienda su rol periférico, es necesario que sea valorada en pie de igualdad junto a la docencia y la investigación y que incluso sea asumida por instancias medias de la universidad (cátedras, carreras, áreas o proyectos) y no solamente por la superestructura institucional. </w:t>
      </w:r>
      <w:r w:rsidDel="00000000" w:rsidR="00000000" w:rsidRPr="00000000">
        <w:rPr>
          <w:rFonts w:ascii="Times New Roman" w:cs="Times New Roman" w:eastAsia="Times New Roman" w:hAnsi="Times New Roman"/>
          <w:sz w:val="24"/>
          <w:szCs w:val="24"/>
          <w:rtl w:val="0"/>
        </w:rPr>
        <w:t xml:space="preserve">Es la propia institución la que debe otorgar legitimidad interna a estas prácticas, las cuales funcionan -a su vez- como </w:t>
      </w:r>
      <w:r w:rsidDel="00000000" w:rsidR="00000000" w:rsidRPr="00000000">
        <w:rPr>
          <w:rFonts w:ascii="Times New Roman" w:cs="Times New Roman" w:eastAsia="Times New Roman" w:hAnsi="Times New Roman"/>
          <w:sz w:val="24"/>
          <w:szCs w:val="24"/>
          <w:rtl w:val="0"/>
        </w:rPr>
        <w:t xml:space="preserve">una estrategia de legitimación social de las universidades frente a la sociedad (Fuentes, 2016). </w:t>
      </w:r>
      <w:r w:rsidDel="00000000" w:rsidR="00000000" w:rsidRPr="00000000">
        <w:rPr>
          <w:rFonts w:ascii="Times New Roman" w:cs="Times New Roman" w:eastAsia="Times New Roman" w:hAnsi="Times New Roman"/>
          <w:sz w:val="24"/>
          <w:szCs w:val="24"/>
          <w:rtl w:val="0"/>
        </w:rPr>
        <w:t xml:space="preserve">En este sentido, cuando esta legitimidad no está lo suficientemente consolidada puertas adentro, pueden surgir tensiones como las que se mencionan en una investigación realizada por Sancho et al. (2011) en España, acerca de cómo las exigencias de compaginar docencia con investigación y tareas de gestión (triple función laboral) por parte de las universidades en un contexto de alta demanda van impactando en experiencias concretas. Observa, por ejemplo, como la vocación se transforma generando encuentros, desencuentros y tensiones (intraindividuales, interindividuales e institucionales) entre el mundo de la investigación y el de la docencia. Si bien algunos perciben que la investigación puede ayudar a la docencia, los docentes que provienen de uno u otro mundo perciben o bien la investigación como una carga o la docencia como una carga en el que ésta última se percibe desjerarquizada frente a la primera. A esta tensión entre dos mundos se le puede sumar el mundo de la gestión. Actividad necesaria para el despliegue de acciones de extensión. Los docentes perciben que las tareas de gestión y administración resultan poco valoradas, quitan tiempo y pocas veces resultan asociadas a la realización profesional o personal dentro de la universidad. Algunos experimentan una sensación de estancamiento o perciben que las tareas en la gestión implican una lógica de mercado con la que no están de acuerdo (Sancho et al. 2011).</w:t>
      </w:r>
    </w:p>
    <w:p w:rsidR="00000000" w:rsidDel="00000000" w:rsidP="00000000" w:rsidRDefault="00000000" w:rsidRPr="00000000" w14:paraId="00000021">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Argentina, este complejo entramado </w:t>
      </w:r>
      <w:r w:rsidDel="00000000" w:rsidR="00000000" w:rsidRPr="00000000">
        <w:rPr>
          <w:rFonts w:ascii="Times New Roman" w:cs="Times New Roman" w:eastAsia="Times New Roman" w:hAnsi="Times New Roman"/>
          <w:sz w:val="24"/>
          <w:szCs w:val="24"/>
          <w:rtl w:val="0"/>
        </w:rPr>
        <w:t xml:space="preserve">encuentra</w:t>
      </w:r>
      <w:r w:rsidDel="00000000" w:rsidR="00000000" w:rsidRPr="00000000">
        <w:rPr>
          <w:rFonts w:ascii="Times New Roman" w:cs="Times New Roman" w:eastAsia="Times New Roman" w:hAnsi="Times New Roman"/>
          <w:sz w:val="24"/>
          <w:szCs w:val="24"/>
          <w:rtl w:val="0"/>
        </w:rPr>
        <w:t xml:space="preserve"> su regulación en la Ley de Educación Superior N.º 24.521 (1995) , la cual reconoce a la extensión como una función de las instituciones universitarias. El inciso e) del </w:t>
      </w:r>
      <w:r w:rsidDel="00000000" w:rsidR="00000000" w:rsidRPr="00000000">
        <w:rPr>
          <w:rFonts w:ascii="Times New Roman" w:cs="Times New Roman" w:eastAsia="Times New Roman" w:hAnsi="Times New Roman"/>
          <w:sz w:val="24"/>
          <w:szCs w:val="24"/>
          <w:rtl w:val="0"/>
        </w:rPr>
        <w:t xml:space="preserve">artículo</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establece</w:t>
      </w:r>
      <w:r w:rsidDel="00000000" w:rsidR="00000000" w:rsidRPr="00000000">
        <w:rPr>
          <w:rFonts w:ascii="Times New Roman" w:cs="Times New Roman" w:eastAsia="Times New Roman" w:hAnsi="Times New Roman"/>
          <w:sz w:val="24"/>
          <w:szCs w:val="24"/>
          <w:rtl w:val="0"/>
        </w:rPr>
        <w:t xml:space="preserve"> que las instituciones de </w:t>
      </w:r>
      <w:r w:rsidDel="00000000" w:rsidR="00000000" w:rsidRPr="00000000">
        <w:rPr>
          <w:rFonts w:ascii="Times New Roman" w:cs="Times New Roman" w:eastAsia="Times New Roman" w:hAnsi="Times New Roman"/>
          <w:sz w:val="24"/>
          <w:szCs w:val="24"/>
          <w:rtl w:val="0"/>
        </w:rPr>
        <w:t xml:space="preserve">educación</w:t>
      </w:r>
      <w:r w:rsidDel="00000000" w:rsidR="00000000" w:rsidRPr="00000000">
        <w:rPr>
          <w:rFonts w:ascii="Times New Roman" w:cs="Times New Roman" w:eastAsia="Times New Roman" w:hAnsi="Times New Roman"/>
          <w:sz w:val="24"/>
          <w:szCs w:val="24"/>
          <w:rtl w:val="0"/>
        </w:rPr>
        <w:t xml:space="preserve"> superior tienen la </w:t>
      </w:r>
      <w:r w:rsidDel="00000000" w:rsidR="00000000" w:rsidRPr="00000000">
        <w:rPr>
          <w:rFonts w:ascii="Times New Roman" w:cs="Times New Roman" w:eastAsia="Times New Roman" w:hAnsi="Times New Roman"/>
          <w:sz w:val="24"/>
          <w:szCs w:val="24"/>
          <w:rtl w:val="0"/>
        </w:rPr>
        <w:t xml:space="preserve">atribución</w:t>
      </w:r>
      <w:r w:rsidDel="00000000" w:rsidR="00000000" w:rsidRPr="00000000">
        <w:rPr>
          <w:rFonts w:ascii="Times New Roman" w:cs="Times New Roman" w:eastAsia="Times New Roman" w:hAnsi="Times New Roman"/>
          <w:sz w:val="24"/>
          <w:szCs w:val="24"/>
          <w:rtl w:val="0"/>
        </w:rPr>
        <w:t xml:space="preserve"> d</w:t>
      </w:r>
      <w:r w:rsidDel="00000000" w:rsidR="00000000" w:rsidRPr="00000000">
        <w:rPr>
          <w:rFonts w:ascii="Times New Roman" w:cs="Times New Roman" w:eastAsia="Times New Roman" w:hAnsi="Times New Roman"/>
          <w:sz w:val="24"/>
          <w:szCs w:val="24"/>
          <w:rtl w:val="0"/>
        </w:rPr>
        <w:t xml:space="preserve">e “f</w:t>
      </w:r>
      <w:r w:rsidDel="00000000" w:rsidR="00000000" w:rsidRPr="00000000">
        <w:rPr>
          <w:rFonts w:ascii="Times New Roman" w:cs="Times New Roman" w:eastAsia="Times New Roman" w:hAnsi="Times New Roman"/>
          <w:sz w:val="24"/>
          <w:szCs w:val="24"/>
          <w:rtl w:val="0"/>
        </w:rPr>
        <w:t xml:space="preserve">ormular y desarrollar planes de estudio, de investigación científica y de extensión y servicios a la comunidad incluyendo la enseñanza de la ética profesional y la formación y capacitación sobre la problemática de la discapacidad”</w:t>
      </w:r>
      <w:r w:rsidDel="00000000" w:rsidR="00000000" w:rsidRPr="00000000">
        <w:rPr>
          <w:rFonts w:ascii="Times New Roman" w:cs="Times New Roman" w:eastAsia="Times New Roman" w:hAnsi="Times New Roman"/>
          <w:sz w:val="24"/>
          <w:szCs w:val="24"/>
          <w:rtl w:val="0"/>
        </w:rPr>
        <w:t xml:space="preserve"> (Art. 2) . </w:t>
      </w:r>
    </w:p>
    <w:p w:rsidR="00000000" w:rsidDel="00000000" w:rsidP="00000000" w:rsidRDefault="00000000" w:rsidRPr="00000000" w14:paraId="00000022">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mismo tiempo esta misma ley establece las condiciones de la evaluación y acreditación universitaria que comprende acciones internas y externas cada 6 años. Estas evaluaciones </w:t>
      </w:r>
    </w:p>
    <w:p w:rsidR="00000000" w:rsidDel="00000000" w:rsidP="00000000" w:rsidRDefault="00000000" w:rsidRPr="00000000" w14:paraId="00000023">
      <w:pPr>
        <w:spacing w:after="16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Abarcarán</w:t>
      </w:r>
      <w:r w:rsidDel="00000000" w:rsidR="00000000" w:rsidRPr="00000000">
        <w:rPr>
          <w:rFonts w:ascii="Times New Roman" w:cs="Times New Roman" w:eastAsia="Times New Roman" w:hAnsi="Times New Roman"/>
          <w:sz w:val="24"/>
          <w:szCs w:val="24"/>
          <w:rtl w:val="0"/>
        </w:rPr>
        <w:t xml:space="preserve"> las funciones de docencia, investigación y extensión, y en el caso de las instituciones universitarias nacionales incluye la gestión institucional. Las evaluaciones externas estarán a cargo de la Comisión Nacional de Evaluación y Acreditación Universitaria o de entidades privadas constituidas con ese fin, conforme se prevé en el artículo 45, en ambos casos con la participación de pares académicos de reconocida competencia. Las recomendaciones para el mejoramiento institucional que surjan de las evaluaciones tendrán carácter público. (Art. 44)</w:t>
      </w:r>
      <w:r w:rsidDel="00000000" w:rsidR="00000000" w:rsidRPr="00000000">
        <w:rPr>
          <w:rtl w:val="0"/>
        </w:rPr>
      </w:r>
    </w:p>
    <w:p w:rsidR="00000000" w:rsidDel="00000000" w:rsidP="00000000" w:rsidRDefault="00000000" w:rsidRPr="00000000" w14:paraId="00000024">
      <w:pPr>
        <w:spacing w:after="16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sz w:val="24"/>
          <w:szCs w:val="24"/>
          <w:rtl w:val="0"/>
        </w:rPr>
        <w:t xml:space="preserve">En lo que refiere a instituciones universitarias privadas, en su artículo 63, la ley establece que la CONEAU debe considerar los medios económicos, el equipamiento y la infraestructura para posibilitar el cumplimiento de sus funciones de docencia, investigación y extensión. </w:t>
      </w:r>
      <w:r w:rsidDel="00000000" w:rsidR="00000000" w:rsidRPr="00000000">
        <w:rPr>
          <w:rtl w:val="0"/>
        </w:rPr>
      </w:r>
    </w:p>
    <w:p w:rsidR="00000000" w:rsidDel="00000000" w:rsidP="00000000" w:rsidRDefault="00000000" w:rsidRPr="00000000" w14:paraId="00000025">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cuando se trate de carreras vinculadas al ejercicio profesional en el campo de la salud, la ley establece algunos criterios específicos: </w:t>
      </w:r>
    </w:p>
    <w:p w:rsidR="00000000" w:rsidDel="00000000" w:rsidP="00000000" w:rsidRDefault="00000000" w:rsidRPr="00000000" w14:paraId="00000026">
      <w:pPr>
        <w:spacing w:after="16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títulos correspondientes a profesiones reguladas por el Estado, cuyo ejercicio pudiera comprometer el interés público poniendo en riesgo de modo directo la salud, la seguridad, los derechos, los bienes o la formación de los habitantes, se requerirá que se respeten, además de la carga horaria a la que hace referencia el artículo anterior, los siguientes requisitos: </w:t>
      </w:r>
    </w:p>
    <w:p w:rsidR="00000000" w:rsidDel="00000000" w:rsidP="00000000" w:rsidRDefault="00000000" w:rsidRPr="00000000" w14:paraId="00000027">
      <w:pPr>
        <w:spacing w:after="16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Los planes de estudio deberán tener en cuenta los contenidos curriculares básicos y los criterios sobre intensidad de la formación práctica que establezca el Ministerio de Cultura y Educación, en acuerdo con el Consejo de Universidades: </w:t>
      </w:r>
    </w:p>
    <w:p w:rsidR="00000000" w:rsidDel="00000000" w:rsidP="00000000" w:rsidRDefault="00000000" w:rsidRPr="00000000" w14:paraId="00000028">
      <w:pPr>
        <w:spacing w:after="16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Las carreras respectivas deberán ser acreditadas periódicamente por la Comisión Nacional de Evaluación y Acreditación Universitaria o por entidades privadas constituidas con ese fin debidamente reconocidas. </w:t>
      </w:r>
    </w:p>
    <w:p w:rsidR="00000000" w:rsidDel="00000000" w:rsidP="00000000" w:rsidRDefault="00000000" w:rsidRPr="00000000" w14:paraId="00000029">
      <w:pPr>
        <w:spacing w:after="16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Ministerio de Cultura y Educación determinará con criterio restrictivo, en acuerdo con el Consejo de Universidades, la nómina de tales títulos, así como las actividades profesionales reservadas exclusivamente para ellos. (Art. 43)</w:t>
      </w:r>
    </w:p>
    <w:p w:rsidR="00000000" w:rsidDel="00000000" w:rsidP="00000000" w:rsidRDefault="00000000" w:rsidRPr="00000000" w14:paraId="0000002A">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sentido, </w:t>
      </w:r>
      <w:r w:rsidDel="00000000" w:rsidR="00000000" w:rsidRPr="00000000">
        <w:rPr>
          <w:rFonts w:ascii="Times New Roman" w:cs="Times New Roman" w:eastAsia="Times New Roman" w:hAnsi="Times New Roman"/>
          <w:sz w:val="24"/>
          <w:szCs w:val="24"/>
          <w:rtl w:val="0"/>
        </w:rPr>
        <w:t xml:space="preserve">l</w:t>
      </w:r>
      <w:r w:rsidDel="00000000" w:rsidR="00000000" w:rsidRPr="00000000">
        <w:rPr>
          <w:rFonts w:ascii="Times New Roman" w:cs="Times New Roman" w:eastAsia="Times New Roman" w:hAnsi="Times New Roman"/>
          <w:sz w:val="24"/>
          <w:szCs w:val="24"/>
          <w:rtl w:val="0"/>
        </w:rPr>
        <w:t xml:space="preserve">a CONEAU considera que para estas carreras, la extensión adquiere especial relevancia porque favorece la vinculación de la formación con las necesidades de la comunidad y del sistema de salud. En los estándares de acreditación para carreras de Medicina, Enfermería, Odontología, Farmacia, Bioquímica y otras profesiones de la salud, la CONEAU no suele exigir una determinada cantidad de horas de extensión, pero sí evalúa que la carrera desarrolle actividades de vinculación con el medio y de extensión universitaria; promueve la participación de estudiantes y docentes en proyectos comunitarios; integre las actividades de extensión con la enseñanza y, cuando sea posible, con la investigación; favorezca experiencias de aprendizaje en escenarios reales, especialmente en el primer nivel de atención y en instituciones de salud y organizaciones comunitarias; demuestre que estas actividades contribuyen a la formación en compromiso social, ética profesional, promoción de la salud y prevención de enfermedades. La extensión no se entiende como una actividad asistencial aislada o un servicio unidireccional, sino como un proceso de interacción entre la universidad y la sociedad, donde se construyen conocimientos de manera conjunta y se busca responder a problemáticas sociales y sanitarias concretas.</w:t>
      </w:r>
      <w:r w:rsidDel="00000000" w:rsidR="00000000" w:rsidRPr="00000000">
        <w:rPr>
          <w:rtl w:val="0"/>
        </w:rPr>
      </w:r>
    </w:p>
    <w:p w:rsidR="00000000" w:rsidDel="00000000" w:rsidP="00000000" w:rsidRDefault="00000000" w:rsidRPr="00000000" w14:paraId="0000002B">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estudio sobre las recomendaciones de la CONEAU basado en los informes elaborados por la institución de 2000 a 2015 señala que la función de extensión universitaria representa apenas el 10% del total de las recomendaciones emitidas, lo que evidencia que históricamente ha sido un área relegada en el quehacer universitario. En el caso de las instituciones de gestión privada, las sugerencias de la CONEAU son diez veces más frecuentes que en el sector estatal y se concentran en estructurar el área desde sus cimientos. Además, se les exige definir formalmente el concepto institucional de "extensión" y diseñar una política integral para el área. Al carecer muchas de ellas de un área formal, se les aconseja conformar un espacio de gestión regulado y reglamentado. En relación con las vinculación necesaria para desarrollar estas actividades, es considerablemente alta la tasa de recomendación (83%) para incrementar la firma de convenios con organismos públicos e instituciones educativas. Esto refleja que el sistema público cuenta con una tradición extensionista mucho más desarrollada (Gómez &amp; Negro, 2016) lo cual nos permite -en el siguiente apartado- profundizar en la </w:t>
      </w:r>
      <w:r w:rsidDel="00000000" w:rsidR="00000000" w:rsidRPr="00000000">
        <w:rPr>
          <w:rFonts w:ascii="Times New Roman" w:cs="Times New Roman" w:eastAsia="Times New Roman" w:hAnsi="Times New Roman"/>
          <w:sz w:val="24"/>
          <w:szCs w:val="24"/>
          <w:rtl w:val="0"/>
        </w:rPr>
        <w:t xml:space="preserve">reflexión</w:t>
      </w:r>
      <w:r w:rsidDel="00000000" w:rsidR="00000000" w:rsidRPr="00000000">
        <w:rPr>
          <w:rFonts w:ascii="Times New Roman" w:cs="Times New Roman" w:eastAsia="Times New Roman" w:hAnsi="Times New Roman"/>
          <w:sz w:val="24"/>
          <w:szCs w:val="24"/>
          <w:rtl w:val="0"/>
        </w:rPr>
        <w:t xml:space="preserve"> sobre la </w:t>
      </w:r>
      <w:r w:rsidDel="00000000" w:rsidR="00000000" w:rsidRPr="00000000">
        <w:rPr>
          <w:rFonts w:ascii="Times New Roman" w:cs="Times New Roman" w:eastAsia="Times New Roman" w:hAnsi="Times New Roman"/>
          <w:sz w:val="24"/>
          <w:szCs w:val="24"/>
          <w:rtl w:val="0"/>
        </w:rPr>
        <w:t xml:space="preserve">institucionalización</w:t>
      </w:r>
      <w:r w:rsidDel="00000000" w:rsidR="00000000" w:rsidRPr="00000000">
        <w:rPr>
          <w:rFonts w:ascii="Times New Roman" w:cs="Times New Roman" w:eastAsia="Times New Roman" w:hAnsi="Times New Roman"/>
          <w:sz w:val="24"/>
          <w:szCs w:val="24"/>
          <w:rtl w:val="0"/>
        </w:rPr>
        <w:t xml:space="preserve"> de estas prácticas en el contexto de las universidades privadas. </w:t>
      </w:r>
    </w:p>
    <w:p w:rsidR="00000000" w:rsidDel="00000000" w:rsidP="00000000" w:rsidRDefault="00000000" w:rsidRPr="00000000" w14:paraId="0000002C">
      <w:pPr>
        <w:spacing w:after="16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16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Experiencias de extensión en el Instituto Universitario CEMIC (IUC)</w:t>
      </w:r>
    </w:p>
    <w:p w:rsidR="00000000" w:rsidDel="00000000" w:rsidP="00000000" w:rsidRDefault="00000000" w:rsidRPr="00000000" w14:paraId="0000002E">
      <w:pPr>
        <w:spacing w:after="16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En este apartado presentaremos algunas experiencias de vinculación impulsadas principalmente por docentes a cargo de materias humanísticas de carreras de Ciencias de la Salud del Instituto Universitario CEMIC, incluyendo experiencias </w:t>
      </w:r>
      <w:r w:rsidDel="00000000" w:rsidR="00000000" w:rsidRPr="00000000">
        <w:rPr>
          <w:rFonts w:ascii="Times New Roman" w:cs="Times New Roman" w:eastAsia="Times New Roman" w:hAnsi="Times New Roman"/>
          <w:sz w:val="24"/>
          <w:szCs w:val="24"/>
          <w:rtl w:val="0"/>
        </w:rPr>
        <w:t xml:space="preserve">curricularizadas</w:t>
      </w:r>
      <w:r w:rsidDel="00000000" w:rsidR="00000000" w:rsidRPr="00000000">
        <w:rPr>
          <w:rFonts w:ascii="Times New Roman" w:cs="Times New Roman" w:eastAsia="Times New Roman" w:hAnsi="Times New Roman"/>
          <w:sz w:val="24"/>
          <w:szCs w:val="24"/>
          <w:rtl w:val="0"/>
        </w:rPr>
        <w:t xml:space="preserve"> y no </w:t>
      </w:r>
      <w:r w:rsidDel="00000000" w:rsidR="00000000" w:rsidRPr="00000000">
        <w:rPr>
          <w:rFonts w:ascii="Times New Roman" w:cs="Times New Roman" w:eastAsia="Times New Roman" w:hAnsi="Times New Roman"/>
          <w:sz w:val="24"/>
          <w:szCs w:val="24"/>
          <w:rtl w:val="0"/>
        </w:rPr>
        <w:t xml:space="preserve">curricularizadas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No obstante, previamente</w:t>
      </w:r>
      <w:r w:rsidDel="00000000" w:rsidR="00000000" w:rsidRPr="00000000">
        <w:rPr>
          <w:rFonts w:ascii="Times New Roman" w:cs="Times New Roman" w:eastAsia="Times New Roman" w:hAnsi="Times New Roman"/>
          <w:sz w:val="24"/>
          <w:szCs w:val="24"/>
          <w:rtl w:val="0"/>
        </w:rPr>
        <w:t xml:space="preserve"> resulta pertinente puntualizar en algunas </w:t>
      </w:r>
      <w:r w:rsidDel="00000000" w:rsidR="00000000" w:rsidRPr="00000000">
        <w:rPr>
          <w:rFonts w:ascii="Times New Roman" w:cs="Times New Roman" w:eastAsia="Times New Roman" w:hAnsi="Times New Roman"/>
          <w:sz w:val="24"/>
          <w:szCs w:val="24"/>
          <w:rtl w:val="0"/>
        </w:rPr>
        <w:t xml:space="preserve">características</w:t>
      </w:r>
      <w:r w:rsidDel="00000000" w:rsidR="00000000" w:rsidRPr="00000000">
        <w:rPr>
          <w:rFonts w:ascii="Times New Roman" w:cs="Times New Roman" w:eastAsia="Times New Roman" w:hAnsi="Times New Roman"/>
          <w:sz w:val="24"/>
          <w:szCs w:val="24"/>
          <w:rtl w:val="0"/>
        </w:rPr>
        <w:t xml:space="preserve"> institucionales del IUC y del perfil de los y las estudiantes que le </w:t>
      </w:r>
      <w:r w:rsidDel="00000000" w:rsidR="00000000" w:rsidRPr="00000000">
        <w:rPr>
          <w:rFonts w:ascii="Times New Roman" w:cs="Times New Roman" w:eastAsia="Times New Roman" w:hAnsi="Times New Roman"/>
          <w:sz w:val="24"/>
          <w:szCs w:val="24"/>
          <w:rtl w:val="0"/>
        </w:rPr>
        <w:t xml:space="preserve">darán</w:t>
      </w:r>
      <w:r w:rsidDel="00000000" w:rsidR="00000000" w:rsidRPr="00000000">
        <w:rPr>
          <w:rFonts w:ascii="Times New Roman" w:cs="Times New Roman" w:eastAsia="Times New Roman" w:hAnsi="Times New Roman"/>
          <w:sz w:val="24"/>
          <w:szCs w:val="24"/>
          <w:rtl w:val="0"/>
        </w:rPr>
        <w:t xml:space="preserve"> marco a las experiencias identificadas.</w:t>
      </w:r>
      <w:r w:rsidDel="00000000" w:rsidR="00000000" w:rsidRPr="00000000">
        <w:rPr>
          <w:rtl w:val="0"/>
        </w:rPr>
      </w:r>
    </w:p>
    <w:p w:rsidR="00000000" w:rsidDel="00000000" w:rsidP="00000000" w:rsidRDefault="00000000" w:rsidRPr="00000000" w14:paraId="0000002F">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Instituto Universitario CEMIC es una institución de educación superior dedicada de forma exclusiva a la formación en Ciencias de la Salud y la investigación. El IUC surge en 1997 con el respaldo de la trayectoria del Centro de Educación Médica e Investigaciones Clínicas “Norberto Quirno”, fundado en 1958. El instituto se destaca en el panorama académico por la integración de sus tres pilares estratégicos: la docencia de grado y posgrado, la investigación científica avanzada y la práctica asistencial de alta complejidad. Esta sinergia se materializa a través de sus propios hospitales universitarios y de su Unidad Ejecutora asociada en convenio con el Consejo Nacional de Investigaciones Científicas y Técnicas (CONICET), garantizando un entorno de producción de conocimiento anclado en la medicina basada en la evidencia y la traslación clínica.</w:t>
      </w:r>
    </w:p>
    <w:p w:rsidR="00000000" w:rsidDel="00000000" w:rsidP="00000000" w:rsidRDefault="00000000" w:rsidRPr="00000000" w14:paraId="00000030">
      <w:pPr>
        <w:spacing w:after="160" w:line="240" w:lineRule="auto"/>
        <w:jc w:val="both"/>
        <w:rPr>
          <w:sz w:val="26"/>
          <w:szCs w:val="26"/>
        </w:rPr>
      </w:pPr>
      <w:r w:rsidDel="00000000" w:rsidR="00000000" w:rsidRPr="00000000">
        <w:rPr>
          <w:rFonts w:ascii="Times New Roman" w:cs="Times New Roman" w:eastAsia="Times New Roman" w:hAnsi="Times New Roman"/>
          <w:sz w:val="24"/>
          <w:szCs w:val="24"/>
          <w:rtl w:val="0"/>
        </w:rPr>
        <w:t xml:space="preserve">Más allá de su infraestructura tecnológica y su rigor metodológico, el IUC se define por un modelo educativo de matriz profundamente humanista. Este enfoque no se plantea como un complemento teórico, sino como el eje rector que atraviesa la formación de sus profesionales. Entre los principios presentes en su estatuto se destacan, por un lado, </w:t>
      </w:r>
      <w:r w:rsidDel="00000000" w:rsidR="00000000" w:rsidRPr="00000000">
        <w:rPr>
          <w:rFonts w:ascii="Times New Roman" w:cs="Times New Roman" w:eastAsia="Times New Roman" w:hAnsi="Times New Roman"/>
          <w:sz w:val="24"/>
          <w:szCs w:val="24"/>
          <w:rtl w:val="0"/>
        </w:rPr>
        <w:t xml:space="preserve">la </w:t>
      </w:r>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sz w:val="24"/>
          <w:szCs w:val="24"/>
          <w:rtl w:val="0"/>
        </w:rPr>
        <w:t xml:space="preserve">ormación integral de profesores</w:t>
      </w:r>
      <w:r w:rsidDel="00000000" w:rsidR="00000000" w:rsidRPr="00000000">
        <w:rPr>
          <w:rFonts w:ascii="Times New Roman" w:cs="Times New Roman" w:eastAsia="Times New Roman" w:hAnsi="Times New Roman"/>
          <w:sz w:val="24"/>
          <w:szCs w:val="24"/>
          <w:rtl w:val="0"/>
        </w:rPr>
        <w:t xml:space="preserve"> y alumnos, promoviendo valores y actitudes vitales que hacen </w:t>
      </w:r>
      <w:r w:rsidDel="00000000" w:rsidR="00000000" w:rsidRPr="00000000">
        <w:rPr>
          <w:rFonts w:ascii="Times New Roman" w:cs="Times New Roman" w:eastAsia="Times New Roman" w:hAnsi="Times New Roman"/>
          <w:sz w:val="24"/>
          <w:szCs w:val="24"/>
          <w:rtl w:val="0"/>
        </w:rPr>
        <w:t xml:space="preserve">a la tradición humanística de la cultura universal y, por el otro, la </w:t>
      </w:r>
      <w:r w:rsidDel="00000000" w:rsidR="00000000" w:rsidRPr="00000000">
        <w:rPr>
          <w:rFonts w:ascii="Times New Roman" w:cs="Times New Roman" w:eastAsia="Times New Roman" w:hAnsi="Times New Roman"/>
          <w:sz w:val="24"/>
          <w:szCs w:val="24"/>
          <w:rtl w:val="0"/>
        </w:rPr>
        <w:t xml:space="preserve">promoción</w:t>
      </w:r>
      <w:r w:rsidDel="00000000" w:rsidR="00000000" w:rsidRPr="00000000">
        <w:rPr>
          <w:rFonts w:ascii="Times New Roman" w:cs="Times New Roman" w:eastAsia="Times New Roman" w:hAnsi="Times New Roman"/>
          <w:sz w:val="24"/>
          <w:szCs w:val="24"/>
          <w:rtl w:val="0"/>
        </w:rPr>
        <w:t xml:space="preserve"> de un a</w:t>
      </w:r>
      <w:r w:rsidDel="00000000" w:rsidR="00000000" w:rsidRPr="00000000">
        <w:rPr>
          <w:rFonts w:ascii="Times New Roman" w:cs="Times New Roman" w:eastAsia="Times New Roman" w:hAnsi="Times New Roman"/>
          <w:sz w:val="24"/>
          <w:szCs w:val="24"/>
          <w:rtl w:val="0"/>
        </w:rPr>
        <w:t xml:space="preserve">mbiente válido que estimule la búsqueda de enfoq</w:t>
      </w:r>
      <w:r w:rsidDel="00000000" w:rsidR="00000000" w:rsidRPr="00000000">
        <w:rPr>
          <w:rFonts w:ascii="Times New Roman" w:cs="Times New Roman" w:eastAsia="Times New Roman" w:hAnsi="Times New Roman"/>
          <w:sz w:val="24"/>
          <w:szCs w:val="24"/>
          <w:rtl w:val="0"/>
        </w:rPr>
        <w:t xml:space="preserve">ues integradores partiendo de la diversidad y del pluralismo (</w:t>
      </w:r>
      <w:r w:rsidDel="00000000" w:rsidR="00000000" w:rsidRPr="00000000">
        <w:rPr>
          <w:rFonts w:ascii="Times New Roman" w:cs="Times New Roman" w:eastAsia="Times New Roman" w:hAnsi="Times New Roman"/>
          <w:sz w:val="24"/>
          <w:szCs w:val="24"/>
          <w:rtl w:val="0"/>
        </w:rPr>
        <w:t xml:space="preserve">Ministerio de Cultura y Educación, 1998)</w:t>
      </w:r>
      <w:r w:rsidDel="00000000" w:rsidR="00000000" w:rsidRPr="00000000">
        <w:rPr>
          <w:sz w:val="26"/>
          <w:szCs w:val="26"/>
          <w:rtl w:val="0"/>
        </w:rPr>
        <w:t xml:space="preserve">.</w:t>
      </w:r>
    </w:p>
    <w:p w:rsidR="00000000" w:rsidDel="00000000" w:rsidP="00000000" w:rsidRDefault="00000000" w:rsidRPr="00000000" w14:paraId="00000031">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este modo, los valores institucionales hallan su máxima expresión en la práctica clínica y en el fortalecimiento del humanismo médico. Promover esta mirada integradora implica formar profesionales de la salud que no solo traten la enfermedad, sino que reconozcan la singularidad de cada paciente, validando sus narrativas, su cultura y sus propios valores. La medicina, entendida desde esta perspectiva, se consolida tanto como una ciencia rigurosa y como un arte del cuidado y de la responsabilidad individual y comunitaria. En este punto, la medicina de hoy exige un cambio de paradigma en el que el IUC viene trabajando arduamente desde su creación con notables resultados.</w:t>
      </w:r>
    </w:p>
    <w:p w:rsidR="00000000" w:rsidDel="00000000" w:rsidP="00000000" w:rsidRDefault="00000000" w:rsidRPr="00000000" w14:paraId="00000032">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potencial de los valores es aún desconocido por la mayoría de las personas, pues no son constructos morales sobre los cuales se debate, sino estados de presencia no falsificables que la trayectoria institucional viene validando y sosteniendo mediante dispositivos pedagógicos situados. Lejos de quedar reducidos a abstracciones, estos valores se legitiman en las aulas y en las prácticas clínicas como realidades tangibles, consolidando un modelo educativo donde el saber hacer y el saber ser confluyen de manera indisoluble. Es precisamente en las prácticas de extensión universitaria donde este modelo cobra su mayor vitalidad, constituyéndose en el puente indispensable entre la rigurosidad científica del aula y la realidad social.</w:t>
      </w:r>
    </w:p>
    <w:p w:rsidR="00000000" w:rsidDel="00000000" w:rsidP="00000000" w:rsidRDefault="00000000" w:rsidRPr="00000000" w14:paraId="00000033">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informes de la Tercera Autoevaluación Institucional presentados ante la </w:t>
      </w:r>
      <w:r w:rsidDel="00000000" w:rsidR="00000000" w:rsidRPr="00000000">
        <w:rPr>
          <w:rFonts w:ascii="Times New Roman" w:cs="Times New Roman" w:eastAsia="Times New Roman" w:hAnsi="Times New Roman"/>
          <w:sz w:val="24"/>
          <w:szCs w:val="24"/>
          <w:rtl w:val="0"/>
        </w:rPr>
        <w:t xml:space="preserve">CONEAU </w:t>
      </w:r>
      <w:r w:rsidDel="00000000" w:rsidR="00000000" w:rsidRPr="00000000">
        <w:rPr>
          <w:rFonts w:ascii="Times New Roman" w:cs="Times New Roman" w:eastAsia="Times New Roman" w:hAnsi="Times New Roman"/>
          <w:sz w:val="24"/>
          <w:szCs w:val="24"/>
          <w:rtl w:val="0"/>
        </w:rPr>
        <w:t xml:space="preserve">reconocen que la extensión es uno de los ejes centrales de la entidad (Instituto Universitario CEMIC, 2022). Además, la normativa y las políticas la definen como un vínculo con el entorno que busca establecer un lazo directo entre el instituto universitario y la comunidad para dar respuesta a problemáticas locales. Algunas formas que toma la extensión son talleres, controles médicos, charlas abiertas, prevención, diagnóstico, tratamiento y rastreo de enfermedades prevalentes. Se trata de actividades posibles a través de convenios, </w:t>
      </w:r>
      <w:r w:rsidDel="00000000" w:rsidR="00000000" w:rsidRPr="00000000">
        <w:rPr>
          <w:rFonts w:ascii="Times New Roman" w:cs="Times New Roman" w:eastAsia="Times New Roman" w:hAnsi="Times New Roman"/>
          <w:sz w:val="24"/>
          <w:szCs w:val="24"/>
          <w:rtl w:val="0"/>
        </w:rPr>
        <w:t xml:space="preserve">coordinadas por oferta académica </w:t>
      </w:r>
      <w:r w:rsidDel="00000000" w:rsidR="00000000" w:rsidRPr="00000000">
        <w:rPr>
          <w:rFonts w:ascii="Times New Roman" w:cs="Times New Roman" w:eastAsia="Times New Roman" w:hAnsi="Times New Roman"/>
          <w:sz w:val="24"/>
          <w:szCs w:val="24"/>
          <w:rtl w:val="0"/>
        </w:rPr>
        <w:t xml:space="preserve">de las carreras y llevadas a cabo de forma conjunta por docentes y estudiantes de la institución. En este marco, el Consejo Superior tiene la competencia formal de concretar la firma de los convenios necesarios para el desarrollo de las actividades de extensión y transferencia, así como de reglamentar dicho procedimiento. Por su parte, la Dirección de Extensión Universitaria y Bienestar Estudiantil es el área del organigrama que cuenta con una dirección específica encargada de coordinar estas acciones. </w:t>
      </w:r>
    </w:p>
    <w:p w:rsidR="00000000" w:rsidDel="00000000" w:rsidP="00000000" w:rsidRDefault="00000000" w:rsidRPr="00000000" w14:paraId="00000034">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bien existen resortes institucionales para realizar tareas de extensión, el IUC no está exento de las recomendaciones que históricamente ha realizado la CONEAU, específicamente en las universidades privadas. Si bien existen grandes esfuerzos por parte de las carreras y docentes para impulsar actividades de extensión, estas aún no cuentan con un reconocimiento concreto en las trayectorias estudiantiles, sino que mayormente forman parte de instancias optativas dentro de la currícula de cada carrera. </w:t>
      </w:r>
    </w:p>
    <w:p w:rsidR="00000000" w:rsidDel="00000000" w:rsidP="00000000" w:rsidRDefault="00000000" w:rsidRPr="00000000" w14:paraId="00000035">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Sumado a ello, es necesario tener en cuenta el perfil sociodemográfico de los y las estudiantes del IUC, el cual -particularmente en la carrera de Medicina- se caracteriza por estratos socioeconómicos de ingresos medios-altos y altos. La estructura arancelaria de la institución implica que el financiamiento de los estudios proviene, en su gran mayoría, del sostén económico familiar directo. Esta solvencia financiera exime a los estudiantes de la necesidad de insertarse en el mercado laboral de manera temprana, facilitando y garantizando una dedicación horaria a tiempo completo (o exclusiva) exigida por el rigor de la currícula. </w:t>
      </w:r>
    </w:p>
    <w:p w:rsidR="00000000" w:rsidDel="00000000" w:rsidP="00000000" w:rsidRDefault="00000000" w:rsidRPr="00000000" w14:paraId="00000036">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perfil da cuenta de trayectorias escolares previas marcadas por experiencias en las cuales generalmente </w:t>
      </w:r>
      <w:r w:rsidDel="00000000" w:rsidR="00000000" w:rsidRPr="00000000">
        <w:rPr>
          <w:rFonts w:ascii="Times New Roman" w:cs="Times New Roman" w:eastAsia="Times New Roman" w:hAnsi="Times New Roman"/>
          <w:sz w:val="24"/>
          <w:szCs w:val="24"/>
          <w:rtl w:val="0"/>
        </w:rPr>
        <w:t xml:space="preserve">solo</w:t>
      </w:r>
      <w:r w:rsidDel="00000000" w:rsidR="00000000" w:rsidRPr="00000000">
        <w:rPr>
          <w:rFonts w:ascii="Times New Roman" w:cs="Times New Roman" w:eastAsia="Times New Roman" w:hAnsi="Times New Roman"/>
          <w:sz w:val="24"/>
          <w:szCs w:val="24"/>
          <w:rtl w:val="0"/>
        </w:rPr>
        <w:t xml:space="preserve"> interactuaron con pares de su mismo nivel socioeconómico. Históricamente, la escuela pública argentina nacía bajo la promesa de igualar a los ciudadanos a través de una experiencia común y un capital simbólico compartido. Por el contrario la fragmentación consolidó una escuela que tiende a reproducir e incomunicar las formas de vida de cada sector social, limitando los horizontes de interacción y acentuando las desigualdades de origen de las y los jóvenes.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Kessler (2002) explica que la fragmentación educativa implica la existencia de mundos aislados e incomparables. El sistema educativo se quiebra en múltiples "fragmentos" que no se comunican entre sí. Cada grupo sociocultural queda encerrado en su propio espacio escolar, compartiendo sus propios saberes, prejuicios, códigos lingüísticos y redes de relaciones. Los estudiantes de sectores medios-altos experimentan la escuela con "comodidad". Dominan las reglas institucionales, tienen alta capacidad de elegir y demandar en el mercado educativo privado, y sus escuelas mantienen el foco en el rendimiento académico. En cambio, en las escuelas donde asisten los sectores bajos y vulnerables el objetivo central pasa a ser la retención escolar y la contención social, dejando la preocupación por el conocimiento académico en un plano secundario. Estos estudiantes que al mismo tiempo, tienen mayormente cobertura privada de salud, conforman buena parte de la matrícula del IUC, algo que constituye un desafío al momento de proponer actividades en las cuales se ponga el juego la interacción con otros sectores sociales, tanto en espacios de la sociedad civil como establecimientos públicos de salud. A excepción de las prácticas que se han desarrollado en el Hospital de San Fernando, Eva Perón de San Martín (Terapia Física) o en algunas centros de atención privada de Vicente López, las prácticas y rotaciones que desarrollan los y las estudiantes del IUC se desarrollan mayormente en las sedes de atención del CEMIC (Saavedra, Pombo, Caballito, San Isidro, Talcahuano) en cuyos espacios  también asisten mayormente sectores medios y altos. </w:t>
      </w:r>
    </w:p>
    <w:p w:rsidR="00000000" w:rsidDel="00000000" w:rsidP="00000000" w:rsidRDefault="00000000" w:rsidRPr="00000000" w14:paraId="00000037">
      <w:pPr>
        <w:spacing w:after="16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 continuación presentaremos las experiencias de articulación con el Hospital Neuropsiquiátrico Braulio Moyano de la Ciudad Autónoma de Buenos Aires, así como con distintos dispositivos de barrios populares en situación de vulnerabilidad -a los que los estudiantes concurren desde materias con extensión curricular y en una de las cuales utilizan el arte como recurso didáctico- también de la CABA y del Partido de La Matanza, y la iniciativa “Acción Saludable: Curso de Salud Comunitaria en los Barrios”, centrada en ofrecer herramientas de autocuidado de la salud a vecinos y vecinas de la Comuna 12.</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8">
      <w:pPr>
        <w:spacing w:after="160" w:line="240" w:lineRule="auto"/>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Experiencia de extensión </w:t>
      </w:r>
      <w:r w:rsidDel="00000000" w:rsidR="00000000" w:rsidRPr="00000000">
        <w:rPr>
          <w:rFonts w:ascii="Times New Roman" w:cs="Times New Roman" w:eastAsia="Times New Roman" w:hAnsi="Times New Roman"/>
          <w:b w:val="1"/>
          <w:bCs w:val="1"/>
          <w:i w:val="1"/>
          <w:iCs w:val="1"/>
          <w:sz w:val="24"/>
          <w:szCs w:val="24"/>
          <w:rtl w:val="0"/>
        </w:rPr>
        <w:t xml:space="preserve">curricularizada</w:t>
      </w:r>
      <w:r w:rsidDel="00000000" w:rsidR="00000000" w:rsidRPr="00000000">
        <w:rPr>
          <w:rFonts w:ascii="Times New Roman" w:cs="Times New Roman" w:eastAsia="Times New Roman" w:hAnsi="Times New Roman"/>
          <w:b w:val="1"/>
          <w:bCs w:val="1"/>
          <w:i w:val="1"/>
          <w:iCs w:val="1"/>
          <w:sz w:val="24"/>
          <w:szCs w:val="24"/>
          <w:rtl w:val="0"/>
        </w:rPr>
        <w:t xml:space="preserve">: Estudiantes de la Licenciatura en Terapia física en el Hospital Neuropsiquiátrico Braulio Moyano</w:t>
      </w:r>
    </w:p>
    <w:p w:rsidR="00000000" w:rsidDel="00000000" w:rsidP="00000000" w:rsidRDefault="00000000" w:rsidRPr="00000000" w14:paraId="0000003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w:t>
      </w:r>
      <w:r w:rsidDel="00000000" w:rsidR="00000000" w:rsidRPr="00000000">
        <w:rPr>
          <w:rFonts w:ascii="Times New Roman" w:cs="Times New Roman" w:eastAsia="Times New Roman" w:hAnsi="Times New Roman"/>
          <w:sz w:val="24"/>
          <w:szCs w:val="24"/>
          <w:rtl w:val="0"/>
        </w:rPr>
        <w:t xml:space="preserve">2025 estudiantes de Terapia Fisica de 4to año del Instituto Universitario CEMIC desarrollan prácticas de extensión </w:t>
      </w:r>
      <w:r w:rsidDel="00000000" w:rsidR="00000000" w:rsidRPr="00000000">
        <w:rPr>
          <w:rFonts w:ascii="Times New Roman" w:cs="Times New Roman" w:eastAsia="Times New Roman" w:hAnsi="Times New Roman"/>
          <w:sz w:val="24"/>
          <w:szCs w:val="24"/>
          <w:rtl w:val="0"/>
        </w:rPr>
        <w:t xml:space="preserve">curricularizada</w:t>
      </w:r>
      <w:r w:rsidDel="00000000" w:rsidR="00000000" w:rsidRPr="00000000">
        <w:rPr>
          <w:rFonts w:ascii="Times New Roman" w:cs="Times New Roman" w:eastAsia="Times New Roman" w:hAnsi="Times New Roman"/>
          <w:sz w:val="24"/>
          <w:szCs w:val="24"/>
          <w:rtl w:val="0"/>
        </w:rPr>
        <w:t xml:space="preserve"> en el Hospital Neuropsiquiátrico Braulio Moyano. Dichas prácticas se desarrollaron en dos materias: Sociología e Introducción a la Metodología de la Investigación. </w:t>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diagnóstico inicial institucional de esta carrera del IUC era la poca carga horaria de extensión en la carrera. Por el lado de la institución neuropsiquiátrica, informantes claves reportaron la necesidad de actividades que puedan movilizar a las pacientes internadas dado que la institucionalización prolongada genera deterioro motor (sarcopenia, pérdida de equilibrio, somnolencia, desconexión con el exterior, descoordinación, etc.) y deterioro cognitivo (apatía, despersonalización, alteración de la conducta y conciencia, falta de motivación y voluntad, etc). Al mismo tiempo, el servicio de kinesiología del Hospital está abocado al abordaje de traumatismos con días y horarios acotados de atención. Excede sus posibilidades realizar acciones de movimiento y prevención con las pacientes que anclen en una perspectiva más preventiva de salud. </w:t>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40" w:lineRule="auto"/>
        <w:jc w:val="both"/>
        <w:rPr>
          <w:highlight w:val="white"/>
        </w:rPr>
      </w:pPr>
      <w:r w:rsidDel="00000000" w:rsidR="00000000" w:rsidRPr="00000000">
        <w:rPr>
          <w:rFonts w:ascii="Times New Roman" w:cs="Times New Roman" w:eastAsia="Times New Roman" w:hAnsi="Times New Roman"/>
          <w:sz w:val="24"/>
          <w:szCs w:val="24"/>
          <w:rtl w:val="0"/>
        </w:rPr>
        <w:t xml:space="preserve">De allí que en diálogo con las autoridades de la carrera y un grupo de docentes se optó por una primera aproximación al Hospital que pudiera brindar información necesaria para plantear acciones a mediano y largo plazo. En una primera instancia se planificó una visita con un grupo de 11 estudiantes para la que se planificó una distribución de tareas tendientes a promover algunas actividades de movimiento entre las pacientes internadas y además poder desplegar en la institución la aplicación de una serie de técnicas de recolección de datos como encuestas, entrevistas y observaciones participantes (contenidos específicos de Introducción a la Metodología de la Investigación). La información recolectada permitió la elaboración colectiva de un documento denominado </w:t>
      </w:r>
      <w:r w:rsidDel="00000000" w:rsidR="00000000" w:rsidRPr="00000000">
        <w:rPr>
          <w:rFonts w:ascii="Times New Roman" w:cs="Times New Roman" w:eastAsia="Times New Roman" w:hAnsi="Times New Roman"/>
          <w:i w:val="1"/>
          <w:iCs w:val="1"/>
          <w:sz w:val="24"/>
          <w:szCs w:val="24"/>
          <w:rtl w:val="0"/>
        </w:rPr>
        <w:t xml:space="preserve">Diagnóstico inicial para el desarrollo de prácticas de Extensión Universitaria en el Servicio San Juan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del Hospital Neuropsiquiátrico Braulio Moyano, </w:t>
      </w:r>
      <w:r w:rsidDel="00000000" w:rsidR="00000000" w:rsidRPr="00000000">
        <w:rPr>
          <w:rFonts w:ascii="Times New Roman" w:cs="Times New Roman" w:eastAsia="Times New Roman" w:hAnsi="Times New Roman"/>
          <w:sz w:val="24"/>
          <w:szCs w:val="24"/>
          <w:rtl w:val="0"/>
        </w:rPr>
        <w:t xml:space="preserve">la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que también se plasmó en un póster presentado en las Jornadas de Estudiantes de la misma institución. Como parte de una instancia de evaluación de la materia Sociología, se documentó la aplicación de categorías conceptuales presentes en la materia y que apelan al reconocimiento de desigualdades de género, clase, etarias, discapacidad, entre otras y su articulación en un grupo de pacientes internadas en una </w:t>
      </w:r>
      <w:r w:rsidDel="00000000" w:rsidR="00000000" w:rsidRPr="00000000">
        <w:rPr>
          <w:rFonts w:ascii="Times New Roman" w:cs="Times New Roman" w:eastAsia="Times New Roman" w:hAnsi="Times New Roman"/>
          <w:i w:val="1"/>
          <w:iCs w:val="1"/>
          <w:sz w:val="24"/>
          <w:szCs w:val="24"/>
          <w:rtl w:val="0"/>
        </w:rPr>
        <w:t xml:space="preserve">institución total</w:t>
      </w:r>
      <w:r w:rsidDel="00000000" w:rsidR="00000000" w:rsidRPr="00000000">
        <w:rPr>
          <w:rFonts w:ascii="Times New Roman" w:cs="Times New Roman" w:eastAsia="Times New Roman" w:hAnsi="Times New Roman"/>
          <w:sz w:val="24"/>
          <w:szCs w:val="24"/>
          <w:rtl w:val="0"/>
        </w:rPr>
        <w:t xml:space="preserve"> (Goffman, 2001)</w:t>
      </w: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40" w:lineRule="auto"/>
        <w:jc w:val="both"/>
        <w:rPr>
          <w:highlight w:val="white"/>
        </w:rPr>
      </w:pPr>
      <w:r w:rsidDel="00000000" w:rsidR="00000000" w:rsidRPr="00000000">
        <w:rPr>
          <w:rFonts w:ascii="Times New Roman" w:cs="Times New Roman" w:eastAsia="Times New Roman" w:hAnsi="Times New Roman"/>
          <w:sz w:val="24"/>
          <w:szCs w:val="24"/>
          <w:rtl w:val="0"/>
        </w:rPr>
        <w:t xml:space="preserve">Este proyecto de acción continua propone intervenir desde la Terapia Física entendiendo el cuerpo no solo como una estructura biológica si no como un territorio atravesado por determinantes sociales de la salud (vulnerabilidad económica, desigualdad de género, deterioro de redes familiares, entre otras).</w:t>
      </w: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estos antecedentes, en 2026 se propuso continuar con las prácticas en el marco de estas dos materias transformando los objetivos de aprendizaje, esperando como parte de la evaluación un producto en forma de recomendaciones y promoviendo activamente la participación y articulación con otras asignaturas de la carrera. Al mismo tiempo, se realizaron algunas modificaciones metodológicas. Los estudiantes se dividieron en 3 grupos que asistieron una vez por mes en un momento reconocido por la carrera de práctica o rotación en servicios. Las actividades en la institución mantuvieron la recolección de datos y el taller, la evaluación individual de algunas de las pacientes internadas y la producción de materiales de comunicación para dejar en el Servicio en donde se plasmen recomendaciones por parte de los y las estudiantes de Terapia Física para otros trabajadores del servicio. Esta experiencia permite recuperar la noción de pertinencia social de la enseñanza desarrollada por Rafaghelli (2013), en tanto el aprendizaje deja de producirse exclusivamente en el aula para construirse en escenarios reales donde los problemas sociales constituyen el punto de partida de la formación profesional. Al mismo tiempo, el encuentro con pacientes institucionalizadas permite retomar la noción de aprendizaje experiencial propuesta por Camilloni (2013), en la medida un escenario real es el puntapié para integrar conocimientos provenientes de distintas asignaturas, tomar decisiones, proponer soluciones contextualizadas y reflexionar sobre la práctica. </w:t>
      </w:r>
    </w:p>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experiencia que se desarrolló a lo largo de estos dos años, además, nos dejó algunos aprendizajes y desafíos. En primer lugar la pertinencia de acciones en el ámbito público que permiten el encuentro entre estudiantes que vienen con trayectorias escolares alejadas de lo público y que al insertarse en las prácticas ofrecidas por la carrera encuentran escasos espacios de inserción en espacios de atención públicos. En segundo lugar, la relevancia de una propuesta en la que no solo puedan aplicar contenidos y habilidades de dos asignaturas en un espacio de prácticas sino también contenidos de otras asignaturas de la carrera como práctica clínica, psiquiatría, neurología o farmacología. En tercer lugar reconocemos algunos desafíos: la inserción profesional en espacios alejados a las expectativas iniciales de los alumnos. Es frecuente que los y las estudiantes tengan de manera predominante expectativas de formación vinculados al ámbito del </w:t>
      </w:r>
      <w:r w:rsidDel="00000000" w:rsidR="00000000" w:rsidRPr="00000000">
        <w:rPr>
          <w:rFonts w:ascii="Times New Roman" w:cs="Times New Roman" w:eastAsia="Times New Roman" w:hAnsi="Times New Roman"/>
          <w:i w:val="1"/>
          <w:iCs w:val="1"/>
          <w:sz w:val="24"/>
          <w:szCs w:val="24"/>
          <w:rtl w:val="0"/>
        </w:rPr>
        <w:t xml:space="preserve">fitness,</w:t>
      </w:r>
      <w:r w:rsidDel="00000000" w:rsidR="00000000" w:rsidRPr="00000000">
        <w:rPr>
          <w:rFonts w:ascii="Times New Roman" w:cs="Times New Roman" w:eastAsia="Times New Roman" w:hAnsi="Times New Roman"/>
          <w:sz w:val="24"/>
          <w:szCs w:val="24"/>
          <w:rtl w:val="0"/>
        </w:rPr>
        <w:t xml:space="preserve"> la </w:t>
      </w:r>
      <w:r w:rsidDel="00000000" w:rsidR="00000000" w:rsidRPr="00000000">
        <w:rPr>
          <w:rFonts w:ascii="Times New Roman" w:cs="Times New Roman" w:eastAsia="Times New Roman" w:hAnsi="Times New Roman"/>
          <w:sz w:val="24"/>
          <w:szCs w:val="24"/>
          <w:rtl w:val="0"/>
        </w:rPr>
        <w:t xml:space="preserve">deportología</w:t>
      </w:r>
      <w:r w:rsidDel="00000000" w:rsidR="00000000" w:rsidRPr="00000000">
        <w:rPr>
          <w:rFonts w:ascii="Times New Roman" w:cs="Times New Roman" w:eastAsia="Times New Roman" w:hAnsi="Times New Roman"/>
          <w:sz w:val="24"/>
          <w:szCs w:val="24"/>
          <w:rtl w:val="0"/>
        </w:rPr>
        <w:t xml:space="preserve"> o la atención en el sector privado. Esto muchas veces actúa como una barrera al momento de proponer a los estudiantes prácticas en el sector público. Esto coincide con lo planteado por Kessler (2002) respecto de la fragmentación educativa. Para estudiantes cuyas trayectorias escolares transcurrieron en espacios socialmente homogéneos, las prácticas de extensión constituyen uno de los pocos ámbitos de encuentro con otros grupos sociales y con problemáticas habitualmente ausentes de sus recorridos educativos. Otro desafío presentado es la persistencia de la creencia de que estas prácticas de extensión son una actividad vinculada a la caridad y no espacios donde desplegar habilidades propias de su profesión. Finalmente se han detectado pocos contenidos curriculares previos relacionados con educación </w:t>
      </w:r>
      <w:r w:rsidDel="00000000" w:rsidR="00000000" w:rsidRPr="00000000">
        <w:rPr>
          <w:rFonts w:ascii="Times New Roman" w:cs="Times New Roman" w:eastAsia="Times New Roman" w:hAnsi="Times New Roman"/>
          <w:sz w:val="24"/>
          <w:szCs w:val="24"/>
          <w:rtl w:val="0"/>
        </w:rPr>
        <w:t xml:space="preserve">en </w:t>
      </w:r>
      <w:r w:rsidDel="00000000" w:rsidR="00000000" w:rsidRPr="00000000">
        <w:rPr>
          <w:rFonts w:ascii="Times New Roman" w:cs="Times New Roman" w:eastAsia="Times New Roman" w:hAnsi="Times New Roman"/>
          <w:sz w:val="24"/>
          <w:szCs w:val="24"/>
          <w:rtl w:val="0"/>
        </w:rPr>
        <w:t xml:space="preserve">Terapia Física los que podrían permitir  mejores planificaciones, más adecuadas o el despliegue de habilidades propias de la docencia: manejo de grupos, uso de voz, entre otras.</w:t>
      </w:r>
    </w:p>
    <w:p w:rsidR="00000000" w:rsidDel="00000000" w:rsidP="00000000" w:rsidRDefault="00000000" w:rsidRPr="00000000" w14:paraId="00000044">
      <w:pPr>
        <w:spacing w:after="16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60" w:line="240" w:lineRule="auto"/>
        <w:jc w:val="left"/>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Experiencia de extensión </w:t>
      </w:r>
      <w:r w:rsidDel="00000000" w:rsidR="00000000" w:rsidRPr="00000000">
        <w:rPr>
          <w:rFonts w:ascii="Times New Roman" w:cs="Times New Roman" w:eastAsia="Times New Roman" w:hAnsi="Times New Roman"/>
          <w:b w:val="1"/>
          <w:bCs w:val="1"/>
          <w:i w:val="1"/>
          <w:iCs w:val="1"/>
          <w:sz w:val="24"/>
          <w:szCs w:val="24"/>
          <w:rtl w:val="0"/>
        </w:rPr>
        <w:t xml:space="preserve">curricularizada</w:t>
      </w:r>
      <w:r w:rsidDel="00000000" w:rsidR="00000000" w:rsidRPr="00000000">
        <w:rPr>
          <w:rFonts w:ascii="Times New Roman" w:cs="Times New Roman" w:eastAsia="Times New Roman" w:hAnsi="Times New Roman"/>
          <w:b w:val="1"/>
          <w:bCs w:val="1"/>
          <w:i w:val="1"/>
          <w:iCs w:val="1"/>
          <w:sz w:val="24"/>
          <w:szCs w:val="24"/>
          <w:rtl w:val="0"/>
        </w:rPr>
        <w:t xml:space="preserve"> en un espacio comunitario. Asignaturas Electivas: Determinantes Sociales de la Salud y el arte en la formación del profesional de la salud</w:t>
      </w:r>
    </w:p>
    <w:p w:rsidR="00000000" w:rsidDel="00000000" w:rsidP="00000000" w:rsidRDefault="00000000" w:rsidRPr="00000000" w14:paraId="000000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enfoque integral del ser humano que promueve el Instituto Universitario CEMIC, requiere que las/os estudiantes de medicina aprendan a reconocer las categorías relacionadas con la dimensión social que estructura la vida de las personas en la comunidad y que intervienen en el proceso salud-enfermedad-atención-cuidado y muerte. En este sentido, el propósito de la asignatura electiva </w:t>
      </w:r>
      <w:r w:rsidDel="00000000" w:rsidR="00000000" w:rsidRPr="00000000">
        <w:rPr>
          <w:rFonts w:ascii="Times New Roman" w:cs="Times New Roman" w:eastAsia="Times New Roman" w:hAnsi="Times New Roman"/>
          <w:i w:val="1"/>
          <w:iCs w:val="1"/>
          <w:sz w:val="24"/>
          <w:szCs w:val="24"/>
          <w:rtl w:val="0"/>
        </w:rPr>
        <w:t xml:space="preserve">“Determinantes sociales de la salud y la enfermedad”</w:t>
      </w:r>
      <w:r w:rsidDel="00000000" w:rsidR="00000000" w:rsidRPr="00000000">
        <w:rPr>
          <w:rFonts w:ascii="Times New Roman" w:cs="Times New Roman" w:eastAsia="Times New Roman" w:hAnsi="Times New Roman"/>
          <w:sz w:val="24"/>
          <w:szCs w:val="24"/>
          <w:rtl w:val="0"/>
        </w:rPr>
        <w:t xml:space="preserve"> es transmitir experiencias en el territorio, en las que se identifiquen los conceptos teóricos que las definen, con el propósito de que las/os alumnas/os puedan profundizar su comprensión y problematizar los aprendizajes conceptuales aprendidos en el aula universitaria, para transferirlos a las prácticas en salud. Asimismo, la asignatura habilita la participación activa de las/os estudiantes, capacitando en RCP a distintas poblaciones vulneradas, sumándose así, al área de Extensión Universitaria desde 2023.</w:t>
      </w:r>
    </w:p>
    <w:p w:rsidR="00000000" w:rsidDel="00000000" w:rsidP="00000000" w:rsidRDefault="00000000" w:rsidRPr="00000000" w14:paraId="00000047">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both"/>
        <w:rPr>
          <w:rFonts w:ascii="Times New Roman" w:cs="Times New Roman" w:eastAsia="Times New Roman" w:hAnsi="Times New Roman"/>
          <w:color w:val="000000"/>
          <w:sz w:val="24"/>
          <w:szCs w:val="24"/>
        </w:rPr>
      </w:pPr>
      <w:bookmarkStart w:colFirst="0" w:colLast="0" w:name="_4dsxy4hlzvw4" w:id="0"/>
      <w:bookmarkEnd w:id="0"/>
      <w:r w:rsidDel="00000000" w:rsidR="00000000" w:rsidRPr="00000000">
        <w:rPr>
          <w:rFonts w:ascii="Times New Roman" w:cs="Times New Roman" w:eastAsia="Times New Roman" w:hAnsi="Times New Roman"/>
          <w:color w:val="000000"/>
          <w:sz w:val="24"/>
          <w:szCs w:val="24"/>
          <w:rtl w:val="0"/>
        </w:rPr>
        <w:t xml:space="preserve">Los </w:t>
      </w:r>
      <w:r w:rsidDel="00000000" w:rsidR="00000000" w:rsidRPr="00000000">
        <w:rPr>
          <w:rFonts w:ascii="Times New Roman" w:cs="Times New Roman" w:eastAsia="Times New Roman" w:hAnsi="Times New Roman"/>
          <w:color w:val="000000"/>
          <w:sz w:val="24"/>
          <w:szCs w:val="24"/>
          <w:rtl w:val="0"/>
        </w:rPr>
        <w:t xml:space="preserve">objetivos generales son que los estudiantes </w:t>
      </w:r>
      <w:r w:rsidDel="00000000" w:rsidR="00000000" w:rsidRPr="00000000">
        <w:rPr>
          <w:rFonts w:ascii="Times New Roman" w:cs="Times New Roman" w:eastAsia="Times New Roman" w:hAnsi="Times New Roman"/>
          <w:color w:val="000000"/>
          <w:sz w:val="24"/>
          <w:szCs w:val="24"/>
          <w:rtl w:val="0"/>
        </w:rPr>
        <w:t xml:space="preserve">logren reconocer los determinantes sociales de la salud y la enfermedad de su comunidad, comprender que la salud es una construcción colectiva que compromete la responsabilidad social y la ética de los equipos sanitarios y de la sociedad civil, conocer la respuesta del sistema de salud en territorios vulnerados, ejercitar su sensibilidad social ante las condiciones materiales de existencia de población vulnerada y transferir sus aprendizajes al territorio realizando actividades de extensión universitaria. Con este propósito, y en grupo de 12 estudiantes, ofrecen la mencionada actividad de extensión a los vecinos de un centro de salud del 2do. cordón de la provincia de Buenos Aires, y a dispositivos a los que concurren habitantes de la Villa Zavaleta y 21-24 como una casa de medio camino para mujeres transgénero, otro espacio de reinserción socio-sanitaria para jóvenes externados de la cárcel y en libertad condicional, y  un dispensario de la misma que asiste a jóvenes con tuberculosis y HIV.  La actividad de extensión propuesta es muy bien recibida y valorada por las distintas poblaciones, habilitando un intercambio fluido con los estudiantes.</w:t>
      </w:r>
    </w:p>
    <w:p w:rsidR="00000000" w:rsidDel="00000000" w:rsidP="00000000" w:rsidRDefault="00000000" w:rsidRPr="00000000" w14:paraId="00000048">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both"/>
        <w:rPr/>
      </w:pPr>
      <w:bookmarkStart w:colFirst="0" w:colLast="0" w:name="_hdwltbfuacr0" w:id="1"/>
      <w:bookmarkEnd w:id="1"/>
      <w:r w:rsidDel="00000000" w:rsidR="00000000" w:rsidRPr="00000000">
        <w:rPr>
          <w:rFonts w:ascii="Times New Roman" w:cs="Times New Roman" w:eastAsia="Times New Roman" w:hAnsi="Times New Roman"/>
          <w:color w:val="000000"/>
          <w:sz w:val="24"/>
          <w:szCs w:val="24"/>
          <w:rtl w:val="0"/>
        </w:rPr>
        <w:t xml:space="preserve">Los estudiantes por ejemplo señalan algunos aprendizajes que permiten trascender el modelo biomédico: </w:t>
      </w:r>
      <w:r w:rsidDel="00000000" w:rsidR="00000000" w:rsidRPr="00000000">
        <w:rPr>
          <w:rtl w:val="0"/>
        </w:rPr>
      </w:r>
    </w:p>
    <w:p w:rsidR="00000000" w:rsidDel="00000000" w:rsidP="00000000" w:rsidRDefault="00000000" w:rsidRPr="00000000" w14:paraId="00000049">
      <w:pPr>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4A">
      <w:pPr>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La interacción con vecinos y jóvenes atravesando procesos de recuperación </w:t>
      </w:r>
      <w:r w:rsidDel="00000000" w:rsidR="00000000" w:rsidRPr="00000000">
        <w:rPr>
          <w:rFonts w:ascii="Times New Roman" w:cs="Times New Roman" w:eastAsia="Times New Roman" w:hAnsi="Times New Roman"/>
          <w:i w:val="1"/>
          <w:iCs w:val="1"/>
          <w:sz w:val="24"/>
          <w:szCs w:val="24"/>
          <w:rtl w:val="0"/>
        </w:rPr>
        <w:t xml:space="preserve">me permitió entender mejor cómo los determinantes sociales no sólo predisponen al consumo problemático o a la enfermedad, sino también cómo condicionan la posibilidad de acceder a atención; pude ver la importancia del trabajo comunitario sostenido, del acompañamiento empático y de la construcción de vínculos como herramientas terapéuticas reales. </w:t>
      </w:r>
      <w:r w:rsidDel="00000000" w:rsidR="00000000" w:rsidRPr="00000000">
        <w:rPr>
          <w:rFonts w:ascii="Times New Roman" w:cs="Times New Roman" w:eastAsia="Times New Roman" w:hAnsi="Times New Roman"/>
          <w:sz w:val="24"/>
          <w:szCs w:val="24"/>
          <w:rtl w:val="0"/>
        </w:rPr>
        <w:t xml:space="preserve">(Estudiante de medicina de 2do. año participante de la Noche de la Caridad en Villas Zavaleta y  2124)</w:t>
      </w:r>
    </w:p>
    <w:p w:rsidR="00000000" w:rsidDel="00000000" w:rsidP="00000000" w:rsidRDefault="00000000" w:rsidRPr="00000000" w14:paraId="0000004B">
      <w:pPr>
        <w:ind w:left="283.46456692913375" w:firstLine="0"/>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4C">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cuestión de lo real en las prácticas propuestas por la materia electiva se ponen en evidencia en otros testimonios de los y las estudiantes cuando ponen en relación sus expectativas con lo significó cursar la materia: </w:t>
      </w:r>
    </w:p>
    <w:p w:rsidR="00000000" w:rsidDel="00000000" w:rsidP="00000000" w:rsidRDefault="00000000" w:rsidRPr="00000000" w14:paraId="0000004D">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spacing w:line="240"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Esperaba una materia que </w:t>
      </w:r>
      <w:r w:rsidDel="00000000" w:rsidR="00000000" w:rsidRPr="00000000">
        <w:rPr>
          <w:rFonts w:ascii="Times New Roman" w:cs="Times New Roman" w:eastAsia="Times New Roman" w:hAnsi="Times New Roman"/>
          <w:i w:val="1"/>
          <w:iCs w:val="1"/>
          <w:sz w:val="24"/>
          <w:szCs w:val="24"/>
          <w:rtl w:val="0"/>
        </w:rPr>
        <w:t xml:space="preserve">combinara</w:t>
      </w:r>
      <w:r w:rsidDel="00000000" w:rsidR="00000000" w:rsidRPr="00000000">
        <w:rPr>
          <w:rFonts w:ascii="Times New Roman" w:cs="Times New Roman" w:eastAsia="Times New Roman" w:hAnsi="Times New Roman"/>
          <w:i w:val="1"/>
          <w:iCs w:val="1"/>
          <w:sz w:val="24"/>
          <w:szCs w:val="24"/>
          <w:rtl w:val="0"/>
        </w:rPr>
        <w:t xml:space="preserve"> teoría con práctica, pero la experiencia en territorio resultó mucho más intensa, humana y formativa de lo que imaginaba. También valoré el rol que tuvimos como estudiantes dentro de actividades reales, pudiendo aportar algo desde nuestro lugar. </w:t>
      </w:r>
      <w:r w:rsidDel="00000000" w:rsidR="00000000" w:rsidRPr="00000000">
        <w:rPr>
          <w:rFonts w:ascii="Times New Roman" w:cs="Times New Roman" w:eastAsia="Times New Roman" w:hAnsi="Times New Roman"/>
          <w:sz w:val="24"/>
          <w:szCs w:val="24"/>
          <w:rtl w:val="0"/>
        </w:rPr>
        <w:t xml:space="preserve">(Estudiante de medicina de 3er. año, participante del dispositivo para mujeres transgénero)</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relación a la asignatura con recursos artísticos, desde los años ‘90 la literatura científica universal viene dando cuenta de la vinculación entre arte y salud, a partir de construcciones teóricas e intervenciones concretas en el campo sanitario, desde una concepción integral del proceso salud-enfermedad, fortaleciendo la humanización del mismo. Es así que el interés en ofrecer la ,materia electiva </w:t>
      </w:r>
      <w:r w:rsidDel="00000000" w:rsidR="00000000" w:rsidRPr="00000000">
        <w:rPr>
          <w:rFonts w:ascii="Times New Roman" w:cs="Times New Roman" w:eastAsia="Times New Roman" w:hAnsi="Times New Roman"/>
          <w:i w:val="1"/>
          <w:iCs w:val="1"/>
          <w:sz w:val="24"/>
          <w:szCs w:val="24"/>
          <w:rtl w:val="0"/>
        </w:rPr>
        <w:t xml:space="preserve">“El arte en la formación del profesional de la salud”</w:t>
      </w:r>
      <w:r w:rsidDel="00000000" w:rsidR="00000000" w:rsidRPr="00000000">
        <w:rPr>
          <w:rFonts w:ascii="Times New Roman" w:cs="Times New Roman" w:eastAsia="Times New Roman" w:hAnsi="Times New Roman"/>
          <w:sz w:val="24"/>
          <w:szCs w:val="24"/>
          <w:rtl w:val="0"/>
        </w:rPr>
        <w:t xml:space="preserve">, radica en promover en las/os estudiantes la visión multidimensional del paciente utilizando los recursos que ofrece el arte, no solo como estrategia sensibilizadora, sino desarrollando la creatividad para afrontar el desafío que el ejercicio de las profesiones del sector salud representa en términos humanos, científicos y éticos.</w:t>
      </w:r>
    </w:p>
    <w:p w:rsidR="00000000" w:rsidDel="00000000" w:rsidP="00000000" w:rsidRDefault="00000000" w:rsidRPr="00000000" w14:paraId="0000005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esta línea de pensamiento se recurre al arte como herramienta profesional, pedagógica y clínica en un desarrollo que va desde considerar la influencia que la enfermedad ha tenido en la obra de los artistas de todas las épocas y culturas, ofreciendo multiplicidad de imágenes y sonidos sobre la construcción socio-histórica y cultural de la enfermedad, hasta su utilidad como recurso didáctico para desarrollar el potencial creativo de los educandos, considerando que el trabajo en salud es una ciencia y un arte.</w:t>
      </w:r>
    </w:p>
    <w:p w:rsidR="00000000" w:rsidDel="00000000" w:rsidP="00000000" w:rsidRDefault="00000000" w:rsidRPr="00000000" w14:paraId="0000005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ese recorrido, la expresión artística de las/os alumnas/os -que también se estimula en las actividades de clase-, en su condición de expresión profunda del ser, facilita en ellas/os el autorreconocimiento como seres humanos integrales y desde ahí, poder reconocerlo en los futuros pacientes, aumentando la perspectiva holística sobre el complejo salud-enfermedad-atención-cuidado y muerte. Un ejemplo de esto es la siguiente reflexión: </w:t>
      </w:r>
    </w:p>
    <w:p w:rsidR="00000000" w:rsidDel="00000000" w:rsidP="00000000" w:rsidRDefault="00000000" w:rsidRPr="00000000" w14:paraId="0000005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widowControl w:val="0"/>
        <w:spacing w:before="38" w:line="276" w:lineRule="auto"/>
        <w:ind w:left="141.73228346456688" w:right="93"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Para mi esta materia fue muy interesante ya que te mueve un poco por dentro y te hace darte cuenta de que el paciente no es un número ni un caso clínico: es alguien que tiene una historia, emociones, miedos y un contexto que influye en todo lo que le pasa. Creo que lo más valioso es que nos ayuda a sensibilizarnos y a desarrollar esa parte humana que a veces la medicina deja de lado (Estudiante de 2do. año de medicina).</w:t>
      </w:r>
      <w:r w:rsidDel="00000000" w:rsidR="00000000" w:rsidRPr="00000000">
        <w:rPr>
          <w:rtl w:val="0"/>
        </w:rPr>
      </w:r>
    </w:p>
    <w:p w:rsidR="00000000" w:rsidDel="00000000" w:rsidP="00000000" w:rsidRDefault="00000000" w:rsidRPr="00000000" w14:paraId="00000056">
      <w:pPr>
        <w:spacing w:line="276"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asignatura completa la información sobre las variadas aplicaciones del arte en el área de la sanidad, ofreciendo también a las/os estudiantes la posibilidad de conocer su empleo y beneficios como herramienta clínica en la promoción de la salud y en la prevención, tratamiento y rehabilitación de la enfermedad, así como en el final de la vida. Los o</w:t>
      </w:r>
      <w:r w:rsidDel="00000000" w:rsidR="00000000" w:rsidRPr="00000000">
        <w:rPr>
          <w:rFonts w:ascii="Times New Roman" w:cs="Times New Roman" w:eastAsia="Times New Roman" w:hAnsi="Times New Roman"/>
          <w:sz w:val="24"/>
          <w:szCs w:val="24"/>
          <w:rtl w:val="0"/>
        </w:rPr>
        <w:t xml:space="preserve">bjetivos generales de la asignatura son que</w:t>
      </w:r>
      <w:r w:rsidDel="00000000" w:rsidR="00000000" w:rsidRPr="00000000">
        <w:rPr>
          <w:rFonts w:ascii="Times New Roman" w:cs="Times New Roman" w:eastAsia="Times New Roman" w:hAnsi="Times New Roman"/>
          <w:sz w:val="24"/>
          <w:szCs w:val="24"/>
          <w:rtl w:val="0"/>
        </w:rPr>
        <w:t xml:space="preserve"> las/os alumnas/os se acerquen al campo profesional desde una perspectiva cultural, con especial interés en las disciplinas artísticas (literatura, artes visuales, música, teatro), observen en su capacidad creativa una herramienta para el trabajo clínico y comunitario, reconozcan y potencien su dimensión humanística y realicen actividades de extensión universitaria, ofreciendo talleres de educación para la salud en la comunidad utilizando el arte como herramienta de intervención. Con esta línea de trabajo se trasladan a zonas vulneradas como un centro de alfabetización a partir del rap de Villa La Cava; a una parroquia de la Ciudad Autónoma de Buenos Aires que brinda comida y duchas a personas adultas en situación de calle; a una casa de convivencia de jóvenes en recuperación de sus adicciones y un centro cultural de la Villa Zavaleta y 21-24; a un centro de integración que aloja 120 hombres en situación de calle y al Hospital Neuropsiquiátrico Braulio Moyano, desde 2022. Tal como se ha planteado en la experiencia de los y las estudiantes de Terapia Física es intensa la experiencia de encuentro con sectores de la población vulnerabilizados. Se trata de situaciones que claramente no se habían presentado en sus trayectorias escolares o vitales previas: </w:t>
      </w:r>
    </w:p>
    <w:p w:rsidR="00000000" w:rsidDel="00000000" w:rsidP="00000000" w:rsidRDefault="00000000" w:rsidRPr="00000000" w14:paraId="0000005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widowControl w:val="0"/>
        <w:spacing w:before="38" w:line="276" w:lineRule="auto"/>
        <w:ind w:left="425.19685039370086" w:right="58"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 esta manera, los talleres que se brindaron en el campo sirvieron para conectar con la población general que uno no se cruza seguido en CEMIC.</w:t>
      </w:r>
      <w:r w:rsidDel="00000000" w:rsidR="00000000" w:rsidRPr="00000000">
        <w:rPr>
          <w:rFonts w:ascii="Times New Roman" w:cs="Times New Roman" w:eastAsia="Times New Roman" w:hAnsi="Times New Roman"/>
          <w:i w:val="1"/>
          <w:iCs w:val="1"/>
          <w:sz w:val="24"/>
          <w:szCs w:val="24"/>
          <w:rtl w:val="0"/>
        </w:rPr>
        <w:t xml:space="preserve"> La experiencia en el Hospital Moyano fue chocante, por el trato que se les daba a las mujeres en la Institución; ellas no se sentían escuchadas con cosas básicas, como la calidad de la comida que se les daba (estudiante de 3er. año de Medicina). </w:t>
      </w:r>
    </w:p>
    <w:p w:rsidR="00000000" w:rsidDel="00000000" w:rsidP="00000000" w:rsidRDefault="00000000" w:rsidRPr="00000000" w14:paraId="0000005A">
      <w:pPr>
        <w:widowControl w:val="0"/>
        <w:spacing w:before="38" w:line="276" w:lineRule="auto"/>
        <w:ind w:left="425.19685039370086" w:right="58" w:firstLine="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B">
      <w:pPr>
        <w:spacing w:after="160" w:line="259" w:lineRule="auto"/>
        <w:ind w:left="425.19685039370086"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iCs w:val="1"/>
          <w:sz w:val="24"/>
          <w:szCs w:val="24"/>
          <w:rtl w:val="0"/>
        </w:rPr>
        <w:t xml:space="preserve">La materia realmente me sorprendió ya que uno suele tener prejuicios o pensamientos cuando conoce lugares distintos a su realidad, y cuando uno conoce y abre la mente esos prejuicios o pensamientos pueden cambiar,</w:t>
      </w:r>
      <w:r w:rsidDel="00000000" w:rsidR="00000000" w:rsidRPr="00000000">
        <w:rPr>
          <w:rFonts w:ascii="Times New Roman" w:cs="Times New Roman" w:eastAsia="Times New Roman" w:hAnsi="Times New Roman"/>
          <w:i w:val="1"/>
          <w:iCs w:val="1"/>
          <w:sz w:val="24"/>
          <w:szCs w:val="24"/>
          <w:rtl w:val="0"/>
        </w:rPr>
        <w:t xml:space="preserve"> y eso me parece importantísimo como para tener presente a futuro como profesional tener la mente abierta, ya que nos puede sorprender y hacer mejorar como personas (estudiante de segundo año de Medicina)</w:t>
      </w:r>
      <w:r w:rsidDel="00000000" w:rsidR="00000000" w:rsidRPr="00000000">
        <w:rPr>
          <w:rtl w:val="0"/>
        </w:rPr>
      </w:r>
    </w:p>
    <w:p w:rsidR="00000000" w:rsidDel="00000000" w:rsidP="00000000" w:rsidRDefault="00000000" w:rsidRPr="00000000" w14:paraId="0000005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estudiantes despliegan un banner especialmente diseñado para apoyar la clase dialogada que ofrecen sobre autocuidado de la salud y con materiales propios del arte plástico que facilitan a las poblaciones,  permiten que se apropien de  conocimientos a partir de consignas que apuntan a la reelaboración de lo aprendido y debatido en la charla. La actividad genera un clima amigable y distendido muy apreciado por los distintos colectivos que favorece el fortalecimiento de saberes y aprendizaje de otros nuevos.</w:t>
      </w:r>
    </w:p>
    <w:p w:rsidR="00000000" w:rsidDel="00000000" w:rsidP="00000000" w:rsidRDefault="00000000" w:rsidRPr="00000000" w14:paraId="0000005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76" w:lineRule="auto"/>
        <w:ind w:left="0"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Experiencia del proceso de construcción de un proyecto de extensión: Acción Saludable en la Comuna 12</w:t>
      </w:r>
    </w:p>
    <w:p w:rsidR="00000000" w:rsidDel="00000000" w:rsidP="00000000" w:rsidRDefault="00000000" w:rsidRPr="00000000" w14:paraId="0000005F">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diferencia de las experiencias de extensión universitaria ya presentadas -centradas en el análisis de prácticas ya consolidadas en/para el territorio-, este apartado nos permite detenernos en la dimensión procesual de su diseño.</w:t>
      </w:r>
    </w:p>
    <w:p w:rsidR="00000000" w:rsidDel="00000000" w:rsidP="00000000" w:rsidRDefault="00000000" w:rsidRPr="00000000" w14:paraId="00000060">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Pensar en la construcción del dispositivo de extensión en cuanto a su proceso menos visible implica detenernos en la definición conjunta de las problemáticas, la construcción de acuerdos -institucionales e interpersonales-, la identificación de los actores sociales involucrados, y, sobre todo, la negociación de tiempos e intereses dispares. </w:t>
      </w:r>
    </w:p>
    <w:p w:rsidR="00000000" w:rsidDel="00000000" w:rsidP="00000000" w:rsidRDefault="00000000" w:rsidRPr="00000000" w14:paraId="00000061">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sentido, el proyecto “Acción Saludable: Curso de Salud Comunitaria en los Barrios”, se presenta como un caso en proceso de construcción, que nos permite explorar la trastienda del proyecto, para aproximarnos a los desafíos que implica desarrollar propuestas de vinculación territorial desde una universidad privada orientada a la formación en Ciencias de la Salud.</w:t>
      </w:r>
    </w:p>
    <w:p w:rsidR="00000000" w:rsidDel="00000000" w:rsidP="00000000" w:rsidRDefault="00000000" w:rsidRPr="00000000" w14:paraId="00000062">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proyecto surge de la necesidad de construir un espacio de encuentro entre universidad y comunidad en torno a los procesos de salud-enfermedad-prevención-atención-cuidado, recuperando saberes comunitarios y </w:t>
      </w:r>
      <w:r w:rsidDel="00000000" w:rsidR="00000000" w:rsidRPr="00000000">
        <w:rPr>
          <w:rFonts w:ascii="Times New Roman" w:cs="Times New Roman" w:eastAsia="Times New Roman" w:hAnsi="Times New Roman"/>
          <w:sz w:val="24"/>
          <w:szCs w:val="24"/>
          <w:rtl w:val="0"/>
        </w:rPr>
        <w:t xml:space="preserve">articulándolos</w:t>
      </w:r>
      <w:r w:rsidDel="00000000" w:rsidR="00000000" w:rsidRPr="00000000">
        <w:rPr>
          <w:rFonts w:ascii="Times New Roman" w:cs="Times New Roman" w:eastAsia="Times New Roman" w:hAnsi="Times New Roman"/>
          <w:sz w:val="24"/>
          <w:szCs w:val="24"/>
          <w:rtl w:val="0"/>
        </w:rPr>
        <w:t xml:space="preserve"> con los conocimientos disciplinares de las Ciencias de la Salud. Con el objetivo de </w:t>
      </w:r>
      <w:r w:rsidDel="00000000" w:rsidR="00000000" w:rsidRPr="00000000">
        <w:rPr>
          <w:rFonts w:ascii="Times New Roman" w:cs="Times New Roman" w:eastAsia="Times New Roman" w:hAnsi="Times New Roman"/>
          <w:sz w:val="24"/>
          <w:szCs w:val="24"/>
          <w:rtl w:val="0"/>
        </w:rPr>
        <w:t xml:space="preserve">codiseñar</w:t>
      </w:r>
      <w:r w:rsidDel="00000000" w:rsidR="00000000" w:rsidRPr="00000000">
        <w:rPr>
          <w:rFonts w:ascii="Times New Roman" w:cs="Times New Roman" w:eastAsia="Times New Roman" w:hAnsi="Times New Roman"/>
          <w:sz w:val="24"/>
          <w:szCs w:val="24"/>
          <w:rtl w:val="0"/>
        </w:rPr>
        <w:t xml:space="preserve"> estrategias de promoción de la salud y prevención de la enfermedad desde una perspectiva integral, se convocó a la población estudiantil de las distintas carreras de grado (Terapia Física, Medicina, Enfermería, Citotecnología y Nutrición).</w:t>
      </w:r>
    </w:p>
    <w:p w:rsidR="00000000" w:rsidDel="00000000" w:rsidP="00000000" w:rsidRDefault="00000000" w:rsidRPr="00000000" w14:paraId="00000063">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nivel comunitario, el proyecto surge de la intención de colaborar con el diseño de estrategias integrales de promoción de la salud y prevención de enfermedades transmisibles y no transmisibles, en el marco de la transición epidemiológica que atraviesa nuestro país tal como se menciona en distintas publicaciones oficiales (Ministerio de Salud de la Nación 2022; Ministerio de Salud de la CABA 2024).</w:t>
      </w:r>
    </w:p>
    <w:p w:rsidR="00000000" w:rsidDel="00000000" w:rsidP="00000000" w:rsidRDefault="00000000" w:rsidRPr="00000000" w14:paraId="00000064">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Bajo estas premisas, proyectamos que los profesionales en formación pudieran actuar como agentes multiplicadores en la prevención y control de enfermedades; mientras que los vecinos de la Comuna 12 asistentes pudieran contribuir a mejorar la educación comunitaria, </w:t>
      </w:r>
      <w:r w:rsidDel="00000000" w:rsidR="00000000" w:rsidRPr="00000000">
        <w:rPr>
          <w:rFonts w:ascii="Times New Roman" w:cs="Times New Roman" w:eastAsia="Times New Roman" w:hAnsi="Times New Roman"/>
          <w:sz w:val="24"/>
          <w:szCs w:val="24"/>
          <w:rtl w:val="0"/>
        </w:rPr>
        <w:t xml:space="preserve">promovieran</w:t>
      </w:r>
      <w:r w:rsidDel="00000000" w:rsidR="00000000" w:rsidRPr="00000000">
        <w:rPr>
          <w:rFonts w:ascii="Times New Roman" w:cs="Times New Roman" w:eastAsia="Times New Roman" w:hAnsi="Times New Roman"/>
          <w:sz w:val="24"/>
          <w:szCs w:val="24"/>
          <w:rtl w:val="0"/>
        </w:rPr>
        <w:t xml:space="preserve"> hábitos saludables -especialmente para el control de factores de riesgo vinculados a las enfermedades no transmisibles-, facilitaran el acceso a servicios de salud y </w:t>
      </w:r>
      <w:r w:rsidDel="00000000" w:rsidR="00000000" w:rsidRPr="00000000">
        <w:rPr>
          <w:rFonts w:ascii="Times New Roman" w:cs="Times New Roman" w:eastAsia="Times New Roman" w:hAnsi="Times New Roman"/>
          <w:sz w:val="24"/>
          <w:szCs w:val="24"/>
          <w:rtl w:val="0"/>
        </w:rPr>
        <w:t xml:space="preserve">apoyaran</w:t>
      </w:r>
      <w:r w:rsidDel="00000000" w:rsidR="00000000" w:rsidRPr="00000000">
        <w:rPr>
          <w:rFonts w:ascii="Times New Roman" w:cs="Times New Roman" w:eastAsia="Times New Roman" w:hAnsi="Times New Roman"/>
          <w:sz w:val="24"/>
          <w:szCs w:val="24"/>
          <w:rtl w:val="0"/>
        </w:rPr>
        <w:t xml:space="preserve"> campañas de vacunación y control de enfermedades infecciosas.</w:t>
      </w:r>
    </w:p>
    <w:p w:rsidR="00000000" w:rsidDel="00000000" w:rsidP="00000000" w:rsidRDefault="00000000" w:rsidRPr="00000000" w14:paraId="00000065">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construcción de este proyecto profundizó nuestros interrogantes respecto de la responsabilidad de la universidad privada en el territorio. Específicamente en este caso -al tratarse de un curso ofrecido a la comunidad- surgieron tensiones en cuanto al proceso de acreditación de saberes por lo que nos planteamos la posibilidad de que los vecinos concurrentes pudieran obtener un reconocimiento oficial del propio Gobierno de la Ciudad de Buenos Aires como promotores de la salud o si, por el contrario, debíamos pensar en otro tipo de formación certificada exclusivamente por el Instituto Universitario.</w:t>
      </w:r>
    </w:p>
    <w:p w:rsidR="00000000" w:rsidDel="00000000" w:rsidP="00000000" w:rsidRDefault="00000000" w:rsidRPr="00000000" w14:paraId="00000066">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dirimir esta disyuntiva iniciamos el diálogo con referentes de la Dirección General de Salud Comunitaria del Ministerio de Salud del Gobierno de la Ciudad de Buenos Aires, la cual coordina -desde el año 2018- la Escuela de Salud Comunitaria para la formación de promotores y promotoras de salud en contenidos y habilidades para abordar los procesos de salud, enfermedad, atención y cuidado en la comunidad. </w:t>
      </w:r>
      <w:r w:rsidDel="00000000" w:rsidR="00000000" w:rsidRPr="00000000">
        <w:rPr>
          <w:rFonts w:ascii="Times New Roman" w:cs="Times New Roman" w:eastAsia="Times New Roman" w:hAnsi="Times New Roman"/>
          <w:sz w:val="24"/>
          <w:szCs w:val="24"/>
          <w:rtl w:val="0"/>
        </w:rPr>
        <w:t xml:space="preserve">Relevamos</w:t>
      </w:r>
      <w:r w:rsidDel="00000000" w:rsidR="00000000" w:rsidRPr="00000000">
        <w:rPr>
          <w:rFonts w:ascii="Times New Roman" w:cs="Times New Roman" w:eastAsia="Times New Roman" w:hAnsi="Times New Roman"/>
          <w:sz w:val="24"/>
          <w:szCs w:val="24"/>
          <w:rtl w:val="0"/>
        </w:rPr>
        <w:t xml:space="preserve"> también los dispositivos de salud estatales activos en la Comuna 12 -dependiente del Área Programática del Hospital Pirovano-, donde funcionan tres CeSAC (Centros de Salud y Acción Comunitaria), un CEMAR (Centro de Especialidades Médicas de Referencia) y que cuenta con dos promotoras de la salud. Si bien no descartamos en futuras ediciones del curso retomar la articulación con la Dirección, sus respuestas -que condicionaron el trabajo conjunto a la revisión de aspectos formales- nos permitieron vislumbrar un complejo entramado socioterritorial preexistente a la vez que nos condujo a interrogarnos respecto de las competencias, alcances y legitimidad del rol de promotores, cuya formación constituye una política pública con marcos institucionales específicos.</w:t>
      </w:r>
    </w:p>
    <w:p w:rsidR="00000000" w:rsidDel="00000000" w:rsidP="00000000" w:rsidRDefault="00000000" w:rsidRPr="00000000" w14:paraId="00000067">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tensiones burocráticas también estuvieron presentes en esta etapa de diseño de proyecto. Con la intención de lograr una mayor articulación con la sociedad civil y poder establecer canales de difusión más personalizados, nos comunicamos con el Centro de Información de las Organizaciones de la Ciudad de Buenos Aires (CIOBA) dependiente del Ministerio de Desarrollo Humano y Hábitat. </w:t>
      </w:r>
      <w:r w:rsidDel="00000000" w:rsidR="00000000" w:rsidRPr="00000000">
        <w:rPr>
          <w:rFonts w:ascii="Times New Roman" w:cs="Times New Roman" w:eastAsia="Times New Roman" w:hAnsi="Times New Roman"/>
          <w:sz w:val="24"/>
          <w:szCs w:val="24"/>
          <w:rtl w:val="0"/>
        </w:rPr>
        <w:t xml:space="preserve">Sin embargo, los retrasos propios de las gestiones colaborativas entre instituciones, nos condujeron a revisar constantemente nuestra planificación original y a comprender que la </w:t>
      </w:r>
      <w:r w:rsidDel="00000000" w:rsidR="00000000" w:rsidRPr="00000000">
        <w:rPr>
          <w:rFonts w:ascii="Times New Roman" w:cs="Times New Roman" w:eastAsia="Times New Roman" w:hAnsi="Times New Roman"/>
          <w:sz w:val="24"/>
          <w:szCs w:val="24"/>
          <w:rtl w:val="0"/>
        </w:rPr>
        <w:t xml:space="preserve">construcción</w:t>
      </w:r>
      <w:r w:rsidDel="00000000" w:rsidR="00000000" w:rsidRPr="00000000">
        <w:rPr>
          <w:rFonts w:ascii="Times New Roman" w:cs="Times New Roman" w:eastAsia="Times New Roman" w:hAnsi="Times New Roman"/>
          <w:sz w:val="24"/>
          <w:szCs w:val="24"/>
          <w:rtl w:val="0"/>
        </w:rPr>
        <w:t xml:space="preserve"> de redes en el territorio demanda tiempos que pueden desbordar el diseño formal.</w:t>
      </w:r>
      <w:r w:rsidDel="00000000" w:rsidR="00000000" w:rsidRPr="00000000">
        <w:rPr>
          <w:rtl w:val="0"/>
        </w:rPr>
      </w:r>
    </w:p>
    <w:p w:rsidR="00000000" w:rsidDel="00000000" w:rsidP="00000000" w:rsidRDefault="00000000" w:rsidRPr="00000000" w14:paraId="00000068">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síntesis, estas tensiones interinstitucionales, nos llevaron a reconocer que la universidad no ingresa a un territorio vacío, sino cargado de relaciones sociales, con múltiples actores, instituciones y redes comunitarias previamente constituidas que debíamos aprender a leer. Específicamente, nos mostraron que la construcción de redes territoriales requiere tiempos, acuerdos y legitimidades que exceden los tiempos propios del diseño académico.</w:t>
      </w:r>
    </w:p>
    <w:p w:rsidR="00000000" w:rsidDel="00000000" w:rsidP="00000000" w:rsidRDefault="00000000" w:rsidRPr="00000000" w14:paraId="00000069">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Más allá de las fricciones interinstitucionales, la elaboración de los recursos necesarios para el proyecto también supuso desafíos pedagógicos y epistemológicos hacia el interior del equipo de trabajo, conformado por profesionales de la salud y estudiantes avanzados —además de las autoras del presente trabajo, formadas dentro del campo de las Ciencias Sociales—. Por un lado, adaptar los contenidos y el lenguaje clínico —frecuentemente herméticos— para ser incorporados en una serie de módulos temáticos que ofician de “manual” en el curso, exigió un proceso de transposición didáctica. A partir de este ejercicio, no solo se simplificó el vocabulario, sino que se realizó un esfuerzo por transformar los saberes disciplinares en conocimientos situados, que </w:t>
      </w:r>
      <w:r w:rsidDel="00000000" w:rsidR="00000000" w:rsidRPr="00000000">
        <w:rPr>
          <w:rFonts w:ascii="Times New Roman" w:cs="Times New Roman" w:eastAsia="Times New Roman" w:hAnsi="Times New Roman"/>
          <w:sz w:val="24"/>
          <w:szCs w:val="24"/>
          <w:rtl w:val="0"/>
        </w:rPr>
        <w:t xml:space="preserve">resultaran</w:t>
      </w:r>
      <w:r w:rsidDel="00000000" w:rsidR="00000000" w:rsidRPr="00000000">
        <w:rPr>
          <w:rFonts w:ascii="Times New Roman" w:cs="Times New Roman" w:eastAsia="Times New Roman" w:hAnsi="Times New Roman"/>
          <w:sz w:val="24"/>
          <w:szCs w:val="24"/>
          <w:rtl w:val="0"/>
        </w:rPr>
        <w:t xml:space="preserve"> significativos para la vida cotidiana de los vecinos y vecinas. Por otro lado, a nivel epistemológico, la propia conformación del equipo condujo a una negociación constante de enfoques </w:t>
      </w:r>
      <w:r w:rsidDel="00000000" w:rsidR="00000000" w:rsidRPr="00000000">
        <w:rPr>
          <w:rFonts w:ascii="Times New Roman" w:cs="Times New Roman" w:eastAsia="Times New Roman" w:hAnsi="Times New Roman"/>
          <w:sz w:val="24"/>
          <w:szCs w:val="24"/>
          <w:rtl w:val="0"/>
        </w:rPr>
        <w:t xml:space="preserve">y a</w:t>
      </w:r>
      <w:r w:rsidDel="00000000" w:rsidR="00000000" w:rsidRPr="00000000">
        <w:rPr>
          <w:rFonts w:ascii="Times New Roman" w:cs="Times New Roman" w:eastAsia="Times New Roman" w:hAnsi="Times New Roman"/>
          <w:sz w:val="24"/>
          <w:szCs w:val="24"/>
          <w:rtl w:val="0"/>
        </w:rPr>
        <w:t xml:space="preserve"> un diálogo de saberes en pos de construir un mensaje sanitario accesible pero, fundamentalmente, situado en el territorio, a partir del cual buscamos materializar una verdadera interdisciplina.</w:t>
      </w:r>
    </w:p>
    <w:p w:rsidR="00000000" w:rsidDel="00000000" w:rsidP="00000000" w:rsidRDefault="00000000" w:rsidRPr="00000000" w14:paraId="0000006A">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algunas tensiones inherentes a los tiempos institucionales pusieron </w:t>
      </w:r>
      <w:r w:rsidDel="00000000" w:rsidR="00000000" w:rsidRPr="00000000">
        <w:rPr>
          <w:rFonts w:ascii="Times New Roman" w:cs="Times New Roman" w:eastAsia="Times New Roman" w:hAnsi="Times New Roman"/>
          <w:sz w:val="24"/>
          <w:szCs w:val="24"/>
          <w:rtl w:val="0"/>
        </w:rPr>
        <w:t xml:space="preserve">también</w:t>
      </w:r>
      <w:r w:rsidDel="00000000" w:rsidR="00000000" w:rsidRPr="00000000">
        <w:rPr>
          <w:rFonts w:ascii="Times New Roman" w:cs="Times New Roman" w:eastAsia="Times New Roman" w:hAnsi="Times New Roman"/>
          <w:sz w:val="24"/>
          <w:szCs w:val="24"/>
          <w:rtl w:val="0"/>
        </w:rPr>
        <w:t xml:space="preserve"> de manifiesto la negociación constante a la que se ven sujetas las</w:t>
      </w:r>
      <w:r w:rsidDel="00000000" w:rsidR="00000000" w:rsidRPr="00000000">
        <w:rPr>
          <w:rFonts w:ascii="Times New Roman" w:cs="Times New Roman" w:eastAsia="Times New Roman" w:hAnsi="Times New Roman"/>
          <w:sz w:val="24"/>
          <w:szCs w:val="24"/>
          <w:rtl w:val="0"/>
        </w:rPr>
        <w:t xml:space="preserve"> propuestas de extensión universitaria</w:t>
      </w:r>
      <w:r w:rsidDel="00000000" w:rsidR="00000000" w:rsidRPr="00000000">
        <w:rPr>
          <w:rFonts w:ascii="Times New Roman" w:cs="Times New Roman" w:eastAsia="Times New Roman" w:hAnsi="Times New Roman"/>
          <w:sz w:val="24"/>
          <w:szCs w:val="24"/>
          <w:rtl w:val="0"/>
        </w:rPr>
        <w:t xml:space="preserve"> frente a la </w:t>
      </w:r>
      <w:r w:rsidDel="00000000" w:rsidR="00000000" w:rsidRPr="00000000">
        <w:rPr>
          <w:rFonts w:ascii="Times New Roman" w:cs="Times New Roman" w:eastAsia="Times New Roman" w:hAnsi="Times New Roman"/>
          <w:sz w:val="24"/>
          <w:szCs w:val="24"/>
          <w:rtl w:val="0"/>
        </w:rPr>
        <w:t xml:space="preserve">acreditación curricular, que es la que en definitiva organiza.</w:t>
      </w:r>
      <w:r w:rsidDel="00000000" w:rsidR="00000000" w:rsidRPr="00000000">
        <w:rPr>
          <w:rFonts w:ascii="Times New Roman" w:cs="Times New Roman" w:eastAsia="Times New Roman" w:hAnsi="Times New Roman"/>
          <w:sz w:val="24"/>
          <w:szCs w:val="24"/>
          <w:rtl w:val="0"/>
        </w:rPr>
        <w:t xml:space="preserve">la vida académica de los y las estudiantes.</w:t>
      </w:r>
    </w:p>
    <w:p w:rsidR="00000000" w:rsidDel="00000000" w:rsidP="00000000" w:rsidRDefault="00000000" w:rsidRPr="00000000" w14:paraId="0000006B">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síntesis, podemos afirmar que durante el proceso de construcción de este proyecto, aparecieron tensiones vinculadas a la coexistencia de diferentes temporalidades institucionales: la universidad con sus tiempos académicos y las organizaciones gubernamentales con sus tiempos burocráticos y sus prioridades. En la instancia presente, se está comenzando a realizar la difusión a la comunidad, por lo que todavía no nos encontramos con los actores comunitarios, entre quienes podemos prever que la construcción de confianza involucrada en sentirse convocados y sostener la asistencia al curso propuesto, requiere procesos incluso más prolongados y flexibles. En este sentido, este proceso de diseño permitió comprender que la extensión no consiste en trasladar conocimientos desde la universidad hacia el territorio, sino en construir dispositivos de intervención junto con actores diversos que poseen saberes, trayectorias e institucionalidades propias, recuperando la concepción dialógica de la extensión desarrollada por Menéndez (2013). </w:t>
      </w:r>
    </w:p>
    <w:p w:rsidR="00000000" w:rsidDel="00000000" w:rsidP="00000000" w:rsidRDefault="00000000" w:rsidRPr="00000000" w14:paraId="0000006C">
      <w:pPr>
        <w:spacing w:after="16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Conclusiones</w:t>
      </w:r>
    </w:p>
    <w:p w:rsidR="00000000" w:rsidDel="00000000" w:rsidP="00000000" w:rsidRDefault="00000000" w:rsidRPr="00000000" w14:paraId="0000006D">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modo de cierre, la puesta en común y el análisis de nuestras experiencias de extensión universitaria en el Instituto Universitario CEMIC, nos permiten trazar algunos puntos de convergencia, que trascienden las particularidades de cada dispositivo y, en definitiva, nos invitan a continuar reflexionando.</w:t>
      </w:r>
    </w:p>
    <w:p w:rsidR="00000000" w:rsidDel="00000000" w:rsidP="00000000" w:rsidRDefault="00000000" w:rsidRPr="00000000" w14:paraId="0000006E">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primer lugar, estas iniciativas tienen el denominador común de convocar a estudiantes de Ciencias de la Salud de una institución privada a espacios que resultan novedosos para sus trayectorias vitales y formativas. En este sentido, se proponen como espacios donde las y los estudiantes pueden desplegar un conjunto de habilidades ligadas a la educación, la comunicación, la empatía y el trabajo interdisciplinario, generalmente relegados a las propuestas de las asignaturas de corte humanista. Consideramos que estas iniciativas no solo generan impacto en los territorios e instituciones donde se </w:t>
      </w:r>
      <w:r w:rsidDel="00000000" w:rsidR="00000000" w:rsidRPr="00000000">
        <w:rPr>
          <w:rFonts w:ascii="Times New Roman" w:cs="Times New Roman" w:eastAsia="Times New Roman" w:hAnsi="Times New Roman"/>
          <w:sz w:val="24"/>
          <w:szCs w:val="24"/>
          <w:rtl w:val="0"/>
        </w:rPr>
        <w:t xml:space="preserve">fortalecen</w:t>
      </w:r>
      <w:r w:rsidDel="00000000" w:rsidR="00000000" w:rsidRPr="00000000">
        <w:rPr>
          <w:rFonts w:ascii="Times New Roman" w:cs="Times New Roman" w:eastAsia="Times New Roman" w:hAnsi="Times New Roman"/>
          <w:sz w:val="24"/>
          <w:szCs w:val="24"/>
          <w:rtl w:val="0"/>
        </w:rPr>
        <w:t xml:space="preserve"> estas habilidades sino que también transforman las trayectorias de aprendizaje de los estudiantes, al permitirles comprender los procesos de salud-enfermedad-atención y cuidado desde una perspectiva más amplia, que incluye los determinantes sociales, culturales y económicos. Asimismo, estas prácticas contribuyen a cuestionar el modelo biomédico hegemónico, centrado exclusivamente en la enfermedad, para avanzar hacia un enfoque integral que prioriza el cuidado, la prevención y la promoción de la salud. En esta línea consideramos que las experiencia de extensión relatadas constituyen un dispositivo pedagógico que propone rupturas múltiples con la formación tradicional en Ciencias de la Salud: ruptura con el modelo médico hegemónico, rupturas respecto a la escisión teoría y práctica y universidad territorio. Al mismo tiempo implican rupturas con sus propias trayectorias vitales caracterizadas por el encuentro con otros semejantes. La diversidad planteada en las experiencias permiten una ruptura con experiencias homogéneas fundamentalmente en términos socioeconómicos.   </w:t>
      </w:r>
    </w:p>
    <w:p w:rsidR="00000000" w:rsidDel="00000000" w:rsidP="00000000" w:rsidRDefault="00000000" w:rsidRPr="00000000" w14:paraId="0000006F">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relación a lo anterior, el diseño e </w:t>
      </w:r>
      <w:r w:rsidDel="00000000" w:rsidR="00000000" w:rsidRPr="00000000">
        <w:rPr>
          <w:rFonts w:ascii="Times New Roman" w:cs="Times New Roman" w:eastAsia="Times New Roman" w:hAnsi="Times New Roman"/>
          <w:sz w:val="24"/>
          <w:szCs w:val="24"/>
          <w:rtl w:val="0"/>
        </w:rPr>
        <w:t xml:space="preserve">implementación</w:t>
      </w:r>
      <w:r w:rsidDel="00000000" w:rsidR="00000000" w:rsidRPr="00000000">
        <w:rPr>
          <w:rFonts w:ascii="Times New Roman" w:cs="Times New Roman" w:eastAsia="Times New Roman" w:hAnsi="Times New Roman"/>
          <w:sz w:val="24"/>
          <w:szCs w:val="24"/>
          <w:rtl w:val="0"/>
        </w:rPr>
        <w:t xml:space="preserve"> de cada uno de los dispositivos de extensión requiere de un ejercicio </w:t>
      </w:r>
      <w:r w:rsidDel="00000000" w:rsidR="00000000" w:rsidRPr="00000000">
        <w:rPr>
          <w:rFonts w:ascii="Times New Roman" w:cs="Times New Roman" w:eastAsia="Times New Roman" w:hAnsi="Times New Roman"/>
          <w:sz w:val="24"/>
          <w:szCs w:val="24"/>
          <w:rtl w:val="0"/>
        </w:rPr>
        <w:t xml:space="preserve">epistemológico</w:t>
      </w:r>
      <w:r w:rsidDel="00000000" w:rsidR="00000000" w:rsidRPr="00000000">
        <w:rPr>
          <w:rFonts w:ascii="Times New Roman" w:cs="Times New Roman" w:eastAsia="Times New Roman" w:hAnsi="Times New Roman"/>
          <w:sz w:val="24"/>
          <w:szCs w:val="24"/>
          <w:rtl w:val="0"/>
        </w:rPr>
        <w:t xml:space="preserve"> a partir del que buscamos entablar un </w:t>
      </w:r>
      <w:r w:rsidDel="00000000" w:rsidR="00000000" w:rsidRPr="00000000">
        <w:rPr>
          <w:rFonts w:ascii="Times New Roman" w:cs="Times New Roman" w:eastAsia="Times New Roman" w:hAnsi="Times New Roman"/>
          <w:sz w:val="24"/>
          <w:szCs w:val="24"/>
          <w:rtl w:val="0"/>
        </w:rPr>
        <w:t xml:space="preserve">diálogo</w:t>
      </w:r>
      <w:r w:rsidDel="00000000" w:rsidR="00000000" w:rsidRPr="00000000">
        <w:rPr>
          <w:rFonts w:ascii="Times New Roman" w:cs="Times New Roman" w:eastAsia="Times New Roman" w:hAnsi="Times New Roman"/>
          <w:sz w:val="24"/>
          <w:szCs w:val="24"/>
          <w:rtl w:val="0"/>
        </w:rPr>
        <w:t xml:space="preserve"> entre los saberes de las ciencias </w:t>
      </w:r>
      <w:r w:rsidDel="00000000" w:rsidR="00000000" w:rsidRPr="00000000">
        <w:rPr>
          <w:rFonts w:ascii="Times New Roman" w:cs="Times New Roman" w:eastAsia="Times New Roman" w:hAnsi="Times New Roman"/>
          <w:sz w:val="24"/>
          <w:szCs w:val="24"/>
          <w:rtl w:val="0"/>
        </w:rPr>
        <w:t xml:space="preserve">médicas</w:t>
      </w:r>
      <w:r w:rsidDel="00000000" w:rsidR="00000000" w:rsidRPr="00000000">
        <w:rPr>
          <w:rFonts w:ascii="Times New Roman" w:cs="Times New Roman" w:eastAsia="Times New Roman" w:hAnsi="Times New Roman"/>
          <w:sz w:val="24"/>
          <w:szCs w:val="24"/>
          <w:rtl w:val="0"/>
        </w:rPr>
        <w:t xml:space="preserve">, las ciencias sociales, las humanidades y las artes. C</w:t>
      </w:r>
      <w:r w:rsidDel="00000000" w:rsidR="00000000" w:rsidRPr="00000000">
        <w:rPr>
          <w:rFonts w:ascii="Times New Roman" w:cs="Times New Roman" w:eastAsia="Times New Roman" w:hAnsi="Times New Roman"/>
          <w:sz w:val="24"/>
          <w:szCs w:val="24"/>
          <w:rtl w:val="0"/>
        </w:rPr>
        <w:t xml:space="preserve">ada uno de estos</w:t>
      </w:r>
      <w:r w:rsidDel="00000000" w:rsidR="00000000" w:rsidRPr="00000000">
        <w:rPr>
          <w:rFonts w:ascii="Times New Roman" w:cs="Times New Roman" w:eastAsia="Times New Roman" w:hAnsi="Times New Roman"/>
          <w:sz w:val="24"/>
          <w:szCs w:val="24"/>
          <w:rtl w:val="0"/>
        </w:rPr>
        <w:t xml:space="preserve"> campos del </w:t>
      </w:r>
      <w:r w:rsidDel="00000000" w:rsidR="00000000" w:rsidRPr="00000000">
        <w:rPr>
          <w:rFonts w:ascii="Times New Roman" w:cs="Times New Roman" w:eastAsia="Times New Roman" w:hAnsi="Times New Roman"/>
          <w:sz w:val="24"/>
          <w:szCs w:val="24"/>
          <w:rtl w:val="0"/>
        </w:rPr>
        <w:t xml:space="preserve">conocimiento</w:t>
      </w:r>
      <w:r w:rsidDel="00000000" w:rsidR="00000000" w:rsidRPr="00000000">
        <w:rPr>
          <w:rFonts w:ascii="Times New Roman" w:cs="Times New Roman" w:eastAsia="Times New Roman" w:hAnsi="Times New Roman"/>
          <w:sz w:val="24"/>
          <w:szCs w:val="24"/>
          <w:rtl w:val="0"/>
        </w:rPr>
        <w:t xml:space="preserve"> -personificados en los distintos profesionales y estudiantes que </w:t>
      </w:r>
      <w:r w:rsidDel="00000000" w:rsidR="00000000" w:rsidRPr="00000000">
        <w:rPr>
          <w:rFonts w:ascii="Times New Roman" w:cs="Times New Roman" w:eastAsia="Times New Roman" w:hAnsi="Times New Roman"/>
          <w:sz w:val="24"/>
          <w:szCs w:val="24"/>
          <w:rtl w:val="0"/>
        </w:rPr>
        <w:t xml:space="preserve">participan-</w:t>
      </w:r>
      <w:r w:rsidDel="00000000" w:rsidR="00000000" w:rsidRPr="00000000">
        <w:rPr>
          <w:rFonts w:ascii="Times New Roman" w:cs="Times New Roman" w:eastAsia="Times New Roman" w:hAnsi="Times New Roman"/>
          <w:sz w:val="24"/>
          <w:szCs w:val="24"/>
          <w:rtl w:val="0"/>
        </w:rPr>
        <w:t xml:space="preserve">, negocia enfoques y jerarquías naturalizadas, generando el encuentro interdisciplinario al que apuntamos.  </w:t>
      </w:r>
    </w:p>
    <w:p w:rsidR="00000000" w:rsidDel="00000000" w:rsidP="00000000" w:rsidRDefault="00000000" w:rsidRPr="00000000" w14:paraId="00000070">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se observan desafíos en relación a la institucionalización de estas prácticas en el ámbito de las universidades privadas, dado que la extensión aún ocupa un lugar periférico frente a la formación clínica y la investigación, lo que limita su desarrollo y sostenibilidad. Por ello, planteamos que resulta necesario aumentar su reconocimiento académico, promover su integración curricular y generar dispositivos de evaluación que permitan visibilizar su impacto tanto en la formación profesional como en el territorio.</w:t>
      </w:r>
    </w:p>
    <w:p w:rsidR="00000000" w:rsidDel="00000000" w:rsidP="00000000" w:rsidRDefault="00000000" w:rsidRPr="00000000" w14:paraId="00000071">
      <w:pPr>
        <w:spacing w:after="16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Referencias Bibliográficas</w:t>
      </w:r>
    </w:p>
    <w:p w:rsidR="00000000" w:rsidDel="00000000" w:rsidP="00000000" w:rsidRDefault="00000000" w:rsidRPr="00000000" w14:paraId="00000072">
      <w:pPr>
        <w:spacing w:after="160" w:line="240" w:lineRule="auto"/>
        <w:ind w:right="720.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Argentina. (1995, 10 de agosto). Ley de Educación Superior N° 24.521. Boletín Oficial de la República Argentina. </w:t>
      </w:r>
      <w:hyperlink r:id="rId7">
        <w:r w:rsidDel="00000000" w:rsidR="00000000" w:rsidRPr="00000000">
          <w:rPr>
            <w:rFonts w:ascii="Times New Roman" w:cs="Times New Roman" w:eastAsia="Times New Roman" w:hAnsi="Times New Roman"/>
            <w:color w:val="1155cc"/>
            <w:sz w:val="24"/>
            <w:szCs w:val="24"/>
            <w:u w:val="single"/>
            <w:rtl w:val="0"/>
          </w:rPr>
          <w:t xml:space="preserve">http://servicios.infoleg.gob.ar/infolegInternet/anexos/25000-29999/25394/texact.htm</w:t>
        </w:r>
      </w:hyperlink>
      <w:r w:rsidDel="00000000" w:rsidR="00000000" w:rsidRPr="00000000">
        <w:rPr>
          <w:rtl w:val="0"/>
        </w:rPr>
      </w:r>
    </w:p>
    <w:p w:rsidR="00000000" w:rsidDel="00000000" w:rsidP="00000000" w:rsidRDefault="00000000" w:rsidRPr="00000000" w14:paraId="00000073">
      <w:pPr>
        <w:spacing w:after="160" w:line="240" w:lineRule="auto"/>
        <w:ind w:right="720.0000000000001"/>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Camilloni, A. R. W. de. (2013). La inclusión de la educación experiencial en el currículo universitario. En G. Menéndez et al. (Eds.), Integración docencia y extensión. Otra forma de enseñar y de aprender (pp. 11–21). Universidad Nacional del Litoral.</w:t>
      </w:r>
      <w:r w:rsidDel="00000000" w:rsidR="00000000" w:rsidRPr="00000000">
        <w:rPr>
          <w:rtl w:val="0"/>
        </w:rPr>
      </w:r>
    </w:p>
    <w:p w:rsidR="00000000" w:rsidDel="00000000" w:rsidP="00000000" w:rsidRDefault="00000000" w:rsidRPr="00000000" w14:paraId="00000074">
      <w:pPr>
        <w:spacing w:after="240" w:before="180" w:line="240" w:lineRule="auto"/>
        <w:ind w:right="720.0000000000001"/>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Fuentes, S. (2016). La extensión universitaria en Buenos Aires: legitimidades y transformaciones recientes.</w:t>
      </w:r>
      <w:r w:rsidDel="00000000" w:rsidR="00000000" w:rsidRPr="00000000">
        <w:rPr>
          <w:rFonts w:ascii="Times New Roman" w:cs="Times New Roman" w:eastAsia="Times New Roman" w:hAnsi="Times New Roman"/>
          <w:i w:val="1"/>
          <w:iCs w:val="1"/>
          <w:sz w:val="24"/>
          <w:szCs w:val="24"/>
          <w:rtl w:val="0"/>
        </w:rPr>
        <w:t xml:space="preserve"> Ciencia, Docencia y Tecnología,</w:t>
      </w:r>
      <w:r w:rsidDel="00000000" w:rsidR="00000000" w:rsidRPr="00000000">
        <w:rPr>
          <w:rFonts w:ascii="Times New Roman" w:cs="Times New Roman" w:eastAsia="Times New Roman" w:hAnsi="Times New Roman"/>
          <w:sz w:val="24"/>
          <w:szCs w:val="24"/>
          <w:rtl w:val="0"/>
        </w:rPr>
        <w:t xml:space="preserve"> 27(53), 45-70. Universidad Nacional de Entre Ríos. </w:t>
      </w:r>
      <w:hyperlink r:id="rId8">
        <w:r w:rsidDel="00000000" w:rsidR="00000000" w:rsidRPr="00000000">
          <w:rPr>
            <w:rFonts w:ascii="Times New Roman" w:cs="Times New Roman" w:eastAsia="Times New Roman" w:hAnsi="Times New Roman"/>
            <w:color w:val="1155cc"/>
            <w:sz w:val="24"/>
            <w:szCs w:val="24"/>
            <w:u w:val="single"/>
            <w:rtl w:val="0"/>
          </w:rPr>
          <w:t xml:space="preserve">https://www.scielo.org.ar/pdf/cdyt/n53/n53a10.pdf</w:t>
        </w:r>
      </w:hyperlink>
      <w:r w:rsidDel="00000000" w:rsidR="00000000" w:rsidRPr="00000000">
        <w:rPr>
          <w:rtl w:val="0"/>
        </w:rPr>
      </w:r>
    </w:p>
    <w:p w:rsidR="00000000" w:rsidDel="00000000" w:rsidP="00000000" w:rsidRDefault="00000000" w:rsidRPr="00000000" w14:paraId="00000075">
      <w:pPr>
        <w:spacing w:after="240" w:before="180" w:line="240" w:lineRule="auto"/>
        <w:ind w:right="720.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Goffman, E. (2001). </w:t>
      </w:r>
      <w:r w:rsidDel="00000000" w:rsidR="00000000" w:rsidRPr="00000000">
        <w:rPr>
          <w:rFonts w:ascii="Times New Roman" w:cs="Times New Roman" w:eastAsia="Times New Roman" w:hAnsi="Times New Roman"/>
          <w:i w:val="1"/>
          <w:iCs w:val="1"/>
          <w:sz w:val="24"/>
          <w:szCs w:val="24"/>
          <w:rtl w:val="0"/>
        </w:rPr>
        <w:t xml:space="preserve">Internados. Ensayos sobre la situación social de los enfermos mentales</w:t>
      </w:r>
      <w:r w:rsidDel="00000000" w:rsidR="00000000" w:rsidRPr="00000000">
        <w:rPr>
          <w:rFonts w:ascii="Times New Roman" w:cs="Times New Roman" w:eastAsia="Times New Roman" w:hAnsi="Times New Roman"/>
          <w:sz w:val="24"/>
          <w:szCs w:val="24"/>
          <w:rtl w:val="0"/>
        </w:rPr>
        <w:t xml:space="preserve">. Amorrortu. (Obra original publicada en 1961). </w:t>
      </w:r>
    </w:p>
    <w:p w:rsidR="00000000" w:rsidDel="00000000" w:rsidP="00000000" w:rsidRDefault="00000000" w:rsidRPr="00000000" w14:paraId="00000076">
      <w:pPr>
        <w:spacing w:after="240" w:before="180" w:line="240" w:lineRule="auto"/>
        <w:ind w:right="720.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Gómez, J., &amp; Negro, M. D. (2016). Evaluaciones Institucionales: un análisis de las recomendaciones de la CONEAU a 20 años de su creación. </w:t>
      </w:r>
      <w:r w:rsidDel="00000000" w:rsidR="00000000" w:rsidRPr="00000000">
        <w:rPr>
          <w:rFonts w:ascii="Times New Roman" w:cs="Times New Roman" w:eastAsia="Times New Roman" w:hAnsi="Times New Roman"/>
          <w:sz w:val="24"/>
          <w:szCs w:val="24"/>
          <w:rtl w:val="0"/>
        </w:rPr>
        <w:t xml:space="preserve">RAES. </w:t>
      </w:r>
      <w:r w:rsidDel="00000000" w:rsidR="00000000" w:rsidRPr="00000000">
        <w:rPr>
          <w:rFonts w:ascii="Times New Roman" w:cs="Times New Roman" w:eastAsia="Times New Roman" w:hAnsi="Times New Roman"/>
          <w:i w:val="1"/>
          <w:iCs w:val="1"/>
          <w:sz w:val="24"/>
          <w:szCs w:val="24"/>
          <w:rtl w:val="0"/>
        </w:rPr>
        <w:t xml:space="preserve">Revista Argentina de Educación Superior, 8(13),</w:t>
      </w:r>
      <w:r w:rsidDel="00000000" w:rsidR="00000000" w:rsidRPr="00000000">
        <w:rPr>
          <w:rFonts w:ascii="Times New Roman" w:cs="Times New Roman" w:eastAsia="Times New Roman" w:hAnsi="Times New Roman"/>
          <w:sz w:val="24"/>
          <w:szCs w:val="24"/>
          <w:rtl w:val="0"/>
        </w:rPr>
        <w:t xml:space="preserve"> 79–105. </w:t>
      </w:r>
      <w:hyperlink r:id="rId9">
        <w:r w:rsidDel="00000000" w:rsidR="00000000" w:rsidRPr="00000000">
          <w:rPr>
            <w:rFonts w:ascii="Times New Roman" w:cs="Times New Roman" w:eastAsia="Times New Roman" w:hAnsi="Times New Roman"/>
            <w:color w:val="1155cc"/>
            <w:sz w:val="24"/>
            <w:szCs w:val="24"/>
            <w:u w:val="single"/>
            <w:rtl w:val="0"/>
          </w:rPr>
          <w:t xml:space="preserve">untref.edu.ar/raes/ojs/index.php/raes/article/view/154</w:t>
        </w:r>
      </w:hyperlink>
      <w:r w:rsidDel="00000000" w:rsidR="00000000" w:rsidRPr="00000000">
        <w:rPr>
          <w:rtl w:val="0"/>
        </w:rPr>
      </w:r>
    </w:p>
    <w:p w:rsidR="00000000" w:rsidDel="00000000" w:rsidP="00000000" w:rsidRDefault="00000000" w:rsidRPr="00000000" w14:paraId="00000077">
      <w:pPr>
        <w:spacing w:before="60" w:line="240" w:lineRule="auto"/>
        <w:ind w:left="0" w:right="720.000000000000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Universitario CEMIC. (2022). </w:t>
      </w:r>
      <w:r w:rsidDel="00000000" w:rsidR="00000000" w:rsidRPr="00000000">
        <w:rPr>
          <w:rFonts w:ascii="Times New Roman" w:cs="Times New Roman" w:eastAsia="Times New Roman" w:hAnsi="Times New Roman"/>
          <w:i w:val="1"/>
          <w:iCs w:val="1"/>
          <w:sz w:val="24"/>
          <w:szCs w:val="24"/>
          <w:rtl w:val="0"/>
        </w:rPr>
        <w:t xml:space="preserve">Tercera Autoevaluación Institucional: Período 2016–2022</w:t>
      </w:r>
      <w:r w:rsidDel="00000000" w:rsidR="00000000" w:rsidRPr="00000000">
        <w:rPr>
          <w:rFonts w:ascii="Times New Roman" w:cs="Times New Roman" w:eastAsia="Times New Roman" w:hAnsi="Times New Roman"/>
          <w:sz w:val="24"/>
          <w:szCs w:val="24"/>
          <w:rtl w:val="0"/>
        </w:rPr>
        <w:t xml:space="preserve">. </w:t>
      </w:r>
      <w:hyperlink r:id="rId10">
        <w:r w:rsidDel="00000000" w:rsidR="00000000" w:rsidRPr="00000000">
          <w:rPr>
            <w:rFonts w:ascii="Times New Roman" w:cs="Times New Roman" w:eastAsia="Times New Roman" w:hAnsi="Times New Roman"/>
            <w:color w:val="1155cc"/>
            <w:sz w:val="24"/>
            <w:szCs w:val="24"/>
            <w:u w:val="single"/>
            <w:rtl w:val="0"/>
          </w:rPr>
          <w:t xml:space="preserve">https://www.cemic.edu.ar/archivos/iuc/institucional/tercera%20autoevaluaci%C3%B3n%20institucional%20iuc.pdf</w:t>
        </w:r>
      </w:hyperlink>
      <w:r w:rsidDel="00000000" w:rsidR="00000000" w:rsidRPr="00000000">
        <w:rPr>
          <w:rtl w:val="0"/>
        </w:rPr>
      </w:r>
    </w:p>
    <w:p w:rsidR="00000000" w:rsidDel="00000000" w:rsidP="00000000" w:rsidRDefault="00000000" w:rsidRPr="00000000" w14:paraId="00000078">
      <w:pPr>
        <w:spacing w:before="60" w:line="240" w:lineRule="auto"/>
        <w:ind w:left="0" w:right="720.000000000000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before="60" w:line="240" w:lineRule="auto"/>
        <w:ind w:left="0" w:right="720.000000000000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sz w:val="24"/>
          <w:szCs w:val="24"/>
          <w:rtl w:val="0"/>
        </w:rPr>
        <w:t xml:space="preserve">essler, G. (2002). </w:t>
      </w:r>
      <w:r w:rsidDel="00000000" w:rsidR="00000000" w:rsidRPr="00000000">
        <w:rPr>
          <w:rFonts w:ascii="Times New Roman" w:cs="Times New Roman" w:eastAsia="Times New Roman" w:hAnsi="Times New Roman"/>
          <w:sz w:val="24"/>
          <w:szCs w:val="24"/>
          <w:rtl w:val="0"/>
        </w:rPr>
        <w:t xml:space="preserve">La experiencia escolar fragmentada: Estudiantes y docentes en la escuela media en Buenos Aires</w:t>
      </w:r>
      <w:r w:rsidDel="00000000" w:rsidR="00000000" w:rsidRPr="00000000">
        <w:rPr>
          <w:rFonts w:ascii="Times New Roman" w:cs="Times New Roman" w:eastAsia="Times New Roman" w:hAnsi="Times New Roman"/>
          <w:sz w:val="24"/>
          <w:szCs w:val="24"/>
          <w:rtl w:val="0"/>
        </w:rPr>
        <w:t xml:space="preserve">.</w:t>
      </w:r>
      <w:hyperlink r:id="rId11">
        <w:r w:rsidDel="00000000" w:rsidR="00000000" w:rsidRPr="00000000">
          <w:rPr>
            <w:rFonts w:ascii="Times New Roman" w:cs="Times New Roman" w:eastAsia="Times New Roman" w:hAnsi="Times New Roman"/>
            <w:sz w:val="24"/>
            <w:szCs w:val="24"/>
            <w:rtl w:val="0"/>
          </w:rPr>
          <w:t xml:space="preserve"> </w:t>
        </w:r>
      </w:hyperlink>
      <w:hyperlink r:id="rId12">
        <w:r w:rsidDel="00000000" w:rsidR="00000000" w:rsidRPr="00000000">
          <w:rPr>
            <w:rFonts w:ascii="Times New Roman" w:cs="Times New Roman" w:eastAsia="Times New Roman" w:hAnsi="Times New Roman"/>
            <w:sz w:val="24"/>
            <w:szCs w:val="24"/>
            <w:rtl w:val="0"/>
          </w:rPr>
          <w:t xml:space="preserve">IIPE-UNESCO</w:t>
        </w:r>
      </w:hyperlink>
      <w:r w:rsidDel="00000000" w:rsidR="00000000" w:rsidRPr="00000000">
        <w:rPr>
          <w:rFonts w:ascii="Times New Roman" w:cs="Times New Roman" w:eastAsia="Times New Roman" w:hAnsi="Times New Roman"/>
          <w:sz w:val="24"/>
          <w:szCs w:val="24"/>
          <w:rtl w:val="0"/>
        </w:rPr>
        <w:t xml:space="preserve">. </w:t>
      </w:r>
      <w:hyperlink r:id="rId13">
        <w:r w:rsidDel="00000000" w:rsidR="00000000" w:rsidRPr="00000000">
          <w:rPr>
            <w:rFonts w:ascii="Times New Roman" w:cs="Times New Roman" w:eastAsia="Times New Roman" w:hAnsi="Times New Roman"/>
            <w:color w:val="1155cc"/>
            <w:sz w:val="24"/>
            <w:szCs w:val="24"/>
            <w:u w:val="single"/>
            <w:rtl w:val="0"/>
          </w:rPr>
          <w:t xml:space="preserve">https://unesdoc.unesco.org/ark:/48223/pf0000129508</w:t>
        </w:r>
      </w:hyperlink>
      <w:r w:rsidDel="00000000" w:rsidR="00000000" w:rsidRPr="00000000">
        <w:rPr>
          <w:rtl w:val="0"/>
        </w:rPr>
      </w:r>
    </w:p>
    <w:p w:rsidR="00000000" w:rsidDel="00000000" w:rsidP="00000000" w:rsidRDefault="00000000" w:rsidRPr="00000000" w14:paraId="0000007A">
      <w:pPr>
        <w:spacing w:before="60" w:line="240" w:lineRule="auto"/>
        <w:ind w:left="0" w:right="720.000000000000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before="60" w:line="240" w:lineRule="auto"/>
        <w:ind w:left="0" w:right="720.000000000000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Kessler, M. E. (2013). Hacia la construcción de una intervención fundada: los entramados de la extensión. En G. Menéndez et al., Integración docencia y extensión. Otra forma de enseñar y de aprender (pp. 38–46F). Santa Fé: Universidad Nacional del Litoral.</w:t>
      </w:r>
    </w:p>
    <w:p w:rsidR="00000000" w:rsidDel="00000000" w:rsidP="00000000" w:rsidRDefault="00000000" w:rsidRPr="00000000" w14:paraId="0000007C">
      <w:pPr>
        <w:spacing w:before="60" w:line="240" w:lineRule="auto"/>
        <w:ind w:left="0" w:right="720.000000000000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before="60" w:line="240" w:lineRule="auto"/>
        <w:ind w:left="0" w:right="720.000000000000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Menéndez, G. (2013). Institucionalización de la extensión. Conceptualización y dimensiones de la extensión. En G. Menéndez (Ed.), </w:t>
      </w:r>
      <w:r w:rsidDel="00000000" w:rsidR="00000000" w:rsidRPr="00000000">
        <w:rPr>
          <w:rFonts w:ascii="Times New Roman" w:cs="Times New Roman" w:eastAsia="Times New Roman" w:hAnsi="Times New Roman"/>
          <w:i w:val="1"/>
          <w:iCs w:val="1"/>
          <w:sz w:val="24"/>
          <w:szCs w:val="24"/>
          <w:rtl w:val="0"/>
        </w:rPr>
        <w:t xml:space="preserve">Integración docencia y extensión. Otra forma de enseñar y de aprender</w:t>
      </w:r>
      <w:r w:rsidDel="00000000" w:rsidR="00000000" w:rsidRPr="00000000">
        <w:rPr>
          <w:rFonts w:ascii="Times New Roman" w:cs="Times New Roman" w:eastAsia="Times New Roman" w:hAnsi="Times New Roman"/>
          <w:sz w:val="24"/>
          <w:szCs w:val="24"/>
          <w:rtl w:val="0"/>
        </w:rPr>
        <w:t xml:space="preserve"> (pp. 47–56). Universidad Nacional del Litoral. </w:t>
      </w:r>
      <w:r w:rsidDel="00000000" w:rsidR="00000000" w:rsidRPr="00000000">
        <w:rPr>
          <w:rtl w:val="0"/>
        </w:rPr>
      </w:r>
    </w:p>
    <w:p w:rsidR="00000000" w:rsidDel="00000000" w:rsidP="00000000" w:rsidRDefault="00000000" w:rsidRPr="00000000" w14:paraId="0000007E">
      <w:pPr>
        <w:spacing w:before="60" w:line="240" w:lineRule="auto"/>
        <w:ind w:right="720.000000000000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before="60" w:line="240" w:lineRule="auto"/>
        <w:ind w:right="720.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Ministerio de Cultura y Educación. (1998). Resolución N° 208: Estatuto del Instituto Universitario CEMIC (IUC). Biblioteca Nacional de Maestros. </w:t>
      </w:r>
      <w:hyperlink r:id="rId14">
        <w:r w:rsidDel="00000000" w:rsidR="00000000" w:rsidRPr="00000000">
          <w:rPr>
            <w:rFonts w:ascii="Times New Roman" w:cs="Times New Roman" w:eastAsia="Times New Roman" w:hAnsi="Times New Roman"/>
            <w:color w:val="1155cc"/>
            <w:sz w:val="24"/>
            <w:szCs w:val="24"/>
            <w:u w:val="single"/>
            <w:rtl w:val="0"/>
          </w:rPr>
          <w:t xml:space="preserve">https://bnm.me.gov.ar/giga1/normas/6000.pdf</w:t>
        </w:r>
      </w:hyperlink>
      <w:r w:rsidDel="00000000" w:rsidR="00000000" w:rsidRPr="00000000">
        <w:rPr>
          <w:rtl w:val="0"/>
        </w:rPr>
      </w:r>
    </w:p>
    <w:p w:rsidR="00000000" w:rsidDel="00000000" w:rsidP="00000000" w:rsidRDefault="00000000" w:rsidRPr="00000000" w14:paraId="00000080">
      <w:pPr>
        <w:spacing w:before="60" w:line="240" w:lineRule="auto"/>
        <w:ind w:right="720.0000000000001"/>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14:paraId="00000081">
      <w:pPr>
        <w:spacing w:line="240" w:lineRule="auto"/>
        <w:ind w:right="720.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Ministerio de Salud de la Ciudad Autónoma de Buenos Aires. (2024). Boletín epidemiológico semanal (BES) N.º 490. </w:t>
      </w:r>
      <w:hyperlink r:id="rId15">
        <w:r w:rsidDel="00000000" w:rsidR="00000000" w:rsidRPr="00000000">
          <w:rPr>
            <w:rFonts w:ascii="Times New Roman" w:cs="Times New Roman" w:eastAsia="Times New Roman" w:hAnsi="Times New Roman"/>
            <w:color w:val="1155cc"/>
            <w:sz w:val="24"/>
            <w:szCs w:val="24"/>
            <w:u w:val="single"/>
            <w:rtl w:val="0"/>
          </w:rPr>
          <w:t xml:space="preserve">https://static.buenosaires.gob.ar/sites/default/files/2026-01/BES%20490.pdf</w:t>
        </w:r>
      </w:hyperlink>
      <w:r w:rsidDel="00000000" w:rsidR="00000000" w:rsidRPr="00000000">
        <w:rPr>
          <w:rtl w:val="0"/>
        </w:rPr>
      </w:r>
    </w:p>
    <w:p w:rsidR="00000000" w:rsidDel="00000000" w:rsidP="00000000" w:rsidRDefault="00000000" w:rsidRPr="00000000" w14:paraId="00000082">
      <w:pPr>
        <w:spacing w:line="240" w:lineRule="auto"/>
        <w:ind w:right="720.000000000000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line="240" w:lineRule="auto"/>
        <w:ind w:right="720.0000000000001"/>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Ministerio de Salud de la Nación. (2022). Boletín de mortalidad por enfermedades no transmisibles. Área de Vigilancia Epidemiológica. Dirección Nacional de Abordaje Integral de Enfermedades No Transmisibles. </w:t>
      </w:r>
      <w:hyperlink r:id="rId16">
        <w:r w:rsidDel="00000000" w:rsidR="00000000" w:rsidRPr="00000000">
          <w:rPr>
            <w:rFonts w:ascii="Times New Roman" w:cs="Times New Roman" w:eastAsia="Times New Roman" w:hAnsi="Times New Roman"/>
            <w:color w:val="1155cc"/>
            <w:sz w:val="24"/>
            <w:szCs w:val="24"/>
            <w:u w:val="single"/>
            <w:rtl w:val="0"/>
          </w:rPr>
          <w:t xml:space="preserve">https://www.argentina.gob.ar/sites/default/files/boletin_ent_3.pdf</w:t>
        </w:r>
      </w:hyperlink>
      <w:r w:rsidDel="00000000" w:rsidR="00000000" w:rsidRPr="00000000">
        <w:rPr>
          <w:rtl w:val="0"/>
        </w:rPr>
      </w:r>
    </w:p>
    <w:p w:rsidR="00000000" w:rsidDel="00000000" w:rsidP="00000000" w:rsidRDefault="00000000" w:rsidRPr="00000000" w14:paraId="00000084">
      <w:pPr>
        <w:spacing w:before="60" w:line="240" w:lineRule="auto"/>
        <w:ind w:left="0" w:right="720.000000000000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before="60" w:line="240" w:lineRule="auto"/>
        <w:ind w:left="0" w:right="720.000000000000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Rafaghelli, M. B. (2013). La dimensión pedagógica de la extensión. En G. Menéndez (Ed.), </w:t>
      </w:r>
      <w:r w:rsidDel="00000000" w:rsidR="00000000" w:rsidRPr="00000000">
        <w:rPr>
          <w:rFonts w:ascii="Times New Roman" w:cs="Times New Roman" w:eastAsia="Times New Roman" w:hAnsi="Times New Roman"/>
          <w:i w:val="1"/>
          <w:iCs w:val="1"/>
          <w:sz w:val="24"/>
          <w:szCs w:val="24"/>
          <w:rtl w:val="0"/>
        </w:rPr>
        <w:t xml:space="preserve">Integración docencia y extensión. Otra forma de enseñar y de aprender</w:t>
      </w:r>
      <w:r w:rsidDel="00000000" w:rsidR="00000000" w:rsidRPr="00000000">
        <w:rPr>
          <w:rFonts w:ascii="Times New Roman" w:cs="Times New Roman" w:eastAsia="Times New Roman" w:hAnsi="Times New Roman"/>
          <w:sz w:val="24"/>
          <w:szCs w:val="24"/>
          <w:rtl w:val="0"/>
        </w:rPr>
        <w:t xml:space="preserve"> (pp. 22–37). Universidad Nacional del Litoral.</w:t>
      </w:r>
    </w:p>
    <w:p w:rsidR="00000000" w:rsidDel="00000000" w:rsidP="00000000" w:rsidRDefault="00000000" w:rsidRPr="00000000" w14:paraId="00000086">
      <w:pPr>
        <w:spacing w:before="60" w:line="240" w:lineRule="auto"/>
        <w:ind w:left="0" w:right="720.000000000000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before="60" w:line="240" w:lineRule="auto"/>
        <w:ind w:left="0" w:right="720.0000000000001" w:firstLine="0"/>
        <w:rPr/>
      </w:pPr>
      <w:r w:rsidDel="00000000" w:rsidR="00000000" w:rsidRPr="00000000">
        <w:rPr>
          <w:rFonts w:ascii="Times New Roman" w:cs="Times New Roman" w:eastAsia="Times New Roman" w:hAnsi="Times New Roman"/>
          <w:sz w:val="24"/>
          <w:szCs w:val="24"/>
          <w:rtl w:val="0"/>
        </w:rPr>
        <w:t xml:space="preserve">Sancho, J. M., Creus, A., &amp; Padilla Petry, P. (2011). Docencia, investigación y gestión en la universidad: Una profesión, tres mundos. </w:t>
      </w:r>
      <w:r w:rsidDel="00000000" w:rsidR="00000000" w:rsidRPr="00000000">
        <w:rPr>
          <w:rFonts w:ascii="Times New Roman" w:cs="Times New Roman" w:eastAsia="Times New Roman" w:hAnsi="Times New Roman"/>
          <w:i w:val="1"/>
          <w:iCs w:val="1"/>
          <w:sz w:val="24"/>
          <w:szCs w:val="24"/>
          <w:rtl w:val="0"/>
        </w:rPr>
        <w:t xml:space="preserve">Praxis Educativa, 14</w:t>
      </w:r>
      <w:r w:rsidDel="00000000" w:rsidR="00000000" w:rsidRPr="00000000">
        <w:rPr>
          <w:rFonts w:ascii="Times New Roman" w:cs="Times New Roman" w:eastAsia="Times New Roman" w:hAnsi="Times New Roman"/>
          <w:sz w:val="24"/>
          <w:szCs w:val="24"/>
          <w:rtl w:val="0"/>
        </w:rPr>
        <w:t xml:space="preserve">, 17–34. </w:t>
      </w:r>
      <w:r w:rsidDel="00000000" w:rsidR="00000000" w:rsidRPr="00000000">
        <w:rPr>
          <w:rtl w:val="0"/>
        </w:rPr>
      </w:r>
    </w:p>
    <w:sectPr>
      <w:headerReference r:id="rId17" w:type="default"/>
      <w:footerReference r:id="rId18" w:type="default"/>
      <w:pgSz w:h="15840" w:w="12240"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tabs>
        <w:tab w:val="center" w:leader="none" w:pos="4252"/>
        <w:tab w:val="right" w:leader="none" w:pos="8504"/>
      </w:tabs>
      <w:spacing w:line="240" w:lineRule="auto"/>
      <w:jc w:val="center"/>
      <w:rPr/>
    </w:pPr>
    <w:r w:rsidDel="00000000" w:rsidR="00000000" w:rsidRPr="00000000">
      <w:rPr/>
      <w:drawing>
        <wp:inline distB="114300" distT="114300" distL="114300" distR="114300">
          <wp:extent cx="4876800" cy="3905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876800" cy="39052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iabetesjournals.org/spectrum/article/34/2/166/32942/Parent-Perspectives-on-Educational-and" TargetMode="External"/><Relationship Id="rId10" Type="http://schemas.openxmlformats.org/officeDocument/2006/relationships/hyperlink" Target="https://www.cemic.edu.ar/archivos/iuc/institucional/tercera%20autoevaluaci%C3%B3n%20institucional%20iuc.pdf" TargetMode="External"/><Relationship Id="rId13" Type="http://schemas.openxmlformats.org/officeDocument/2006/relationships/hyperlink" Target="https://unesdoc.unesco.org/ark:/48223/pf0000129508" TargetMode="External"/><Relationship Id="rId12" Type="http://schemas.openxmlformats.org/officeDocument/2006/relationships/hyperlink" Target="https://diabetesjournals.org/spectrum/article/34/2/166/32942/Parent-Perspectives-on-Educational-an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untref.edu.ar/raes/ojs/index.php/raes/article/view/154" TargetMode="External"/><Relationship Id="rId15" Type="http://schemas.openxmlformats.org/officeDocument/2006/relationships/hyperlink" Target="https://static.buenosaires.gob.ar/sites/default/files/2026-01/BES%20490.pdf" TargetMode="External"/><Relationship Id="rId14" Type="http://schemas.openxmlformats.org/officeDocument/2006/relationships/hyperlink" Target="https://bnm.me.gov.ar/giga1/normas/6000.pdf" TargetMode="External"/><Relationship Id="rId17" Type="http://schemas.openxmlformats.org/officeDocument/2006/relationships/header" Target="header1.xml"/><Relationship Id="rId16" Type="http://schemas.openxmlformats.org/officeDocument/2006/relationships/hyperlink" Target="https://www.argentina.gob.ar/sites/default/files/boletin_ent_3.pdf" TargetMode="External"/><Relationship Id="rId5" Type="http://schemas.openxmlformats.org/officeDocument/2006/relationships/styles" Target="styles.xml"/><Relationship Id="rId6" Type="http://schemas.openxmlformats.org/officeDocument/2006/relationships/image" Target="media/image2.png"/><Relationship Id="rId18" Type="http://schemas.openxmlformats.org/officeDocument/2006/relationships/footer" Target="footer1.xml"/><Relationship Id="rId7" Type="http://schemas.openxmlformats.org/officeDocument/2006/relationships/hyperlink" Target="http://servicios.infoleg.gob.ar/infolegInternet/anexos/25000-29999/25394/texact.htm" TargetMode="External"/><Relationship Id="rId8" Type="http://schemas.openxmlformats.org/officeDocument/2006/relationships/hyperlink" Target="https://www.scielo.org.ar/pdf/cdyt/n53/n53a10.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