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2F5" w:rsidRPr="00BA642E" w:rsidRDefault="00C802F5" w:rsidP="001923DC">
      <w:pPr>
        <w:jc w:val="center"/>
        <w:rPr>
          <w:rFonts w:ascii="Times New Roman" w:hAnsi="Times New Roman" w:cs="Times New Roman"/>
        </w:rPr>
      </w:pPr>
    </w:p>
    <w:p w:rsidR="009A1F6E" w:rsidRDefault="009A1F6E" w:rsidP="009A1F6E">
      <w:pPr>
        <w:shd w:val="clear" w:color="auto" w:fill="FFFFFF"/>
        <w:spacing w:after="0" w:line="360" w:lineRule="auto"/>
        <w:jc w:val="center"/>
        <w:rPr>
          <w:rFonts w:ascii="Times New Roman" w:eastAsia="Arial" w:hAnsi="Times New Roman" w:cs="Times New Roman"/>
          <w:b/>
          <w:lang w:val="es-MX"/>
        </w:rPr>
      </w:pPr>
      <w:r>
        <w:rPr>
          <w:rFonts w:ascii="Times New Roman" w:hAnsi="Times New Roman" w:cs="Times New Roman"/>
          <w:b/>
          <w:lang w:val="es-MX"/>
        </w:rPr>
        <w:t xml:space="preserve">La formación de kinesiólogos enfocada en la </w:t>
      </w:r>
      <w:r>
        <w:rPr>
          <w:rFonts w:ascii="Times New Roman" w:eastAsia="Times New Roman" w:hAnsi="Times New Roman" w:cs="Times New Roman"/>
          <w:b/>
          <w:bCs/>
          <w:lang w:val="es-MX"/>
        </w:rPr>
        <w:t>articulación teoría-práctica y  en la enseñanza de aprendizajes complejos en el campo de la salud</w:t>
      </w:r>
    </w:p>
    <w:p w:rsidR="005F3B2E" w:rsidRPr="00BA642E" w:rsidRDefault="005F3B2E" w:rsidP="001923DC">
      <w:pPr>
        <w:jc w:val="center"/>
        <w:rPr>
          <w:rFonts w:ascii="Times New Roman" w:hAnsi="Times New Roman" w:cs="Times New Roman"/>
        </w:rPr>
      </w:pPr>
    </w:p>
    <w:p w:rsidR="00916ABA" w:rsidRDefault="009A1F6E" w:rsidP="005F3B2E">
      <w:pPr>
        <w:spacing w:after="0" w:line="240" w:lineRule="auto"/>
        <w:jc w:val="right"/>
        <w:rPr>
          <w:rFonts w:ascii="Times New Roman" w:hAnsi="Times New Roman" w:cs="Times New Roman"/>
        </w:rPr>
      </w:pPr>
      <w:r>
        <w:rPr>
          <w:rFonts w:ascii="Times New Roman" w:hAnsi="Times New Roman" w:cs="Times New Roman"/>
        </w:rPr>
        <w:t>Claudia Finkelstein</w:t>
      </w:r>
    </w:p>
    <w:p w:rsidR="005F3B2E" w:rsidRPr="00BA642E" w:rsidRDefault="00916ABA" w:rsidP="005F3B2E">
      <w:pPr>
        <w:spacing w:after="0" w:line="240" w:lineRule="auto"/>
        <w:jc w:val="right"/>
        <w:rPr>
          <w:rFonts w:ascii="Times New Roman" w:hAnsi="Times New Roman" w:cs="Times New Roman"/>
        </w:rPr>
      </w:pPr>
      <w:r>
        <w:rPr>
          <w:rFonts w:ascii="Times New Roman" w:hAnsi="Times New Roman" w:cs="Times New Roman"/>
        </w:rPr>
        <w:t>Universidad de Buenos Aires- Universidad  Nacional de Tres de Febrero</w:t>
      </w:r>
    </w:p>
    <w:p w:rsidR="005F3B2E" w:rsidRPr="00BA642E" w:rsidRDefault="00916ABA" w:rsidP="00916ABA">
      <w:pPr>
        <w:jc w:val="right"/>
        <w:rPr>
          <w:rFonts w:ascii="Times New Roman" w:hAnsi="Times New Roman" w:cs="Times New Roman"/>
        </w:rPr>
      </w:pPr>
      <w:r>
        <w:rPr>
          <w:rFonts w:ascii="Times New Roman" w:hAnsi="Times New Roman" w:cs="Times New Roman"/>
        </w:rPr>
        <w:t>claudiafinkelstein@yahoo.com.ar</w:t>
      </w:r>
    </w:p>
    <w:p w:rsidR="005F3B2E" w:rsidRPr="00BA642E" w:rsidRDefault="00916ABA" w:rsidP="005F3B2E">
      <w:pPr>
        <w:spacing w:after="0" w:line="240" w:lineRule="auto"/>
        <w:jc w:val="right"/>
        <w:rPr>
          <w:rFonts w:ascii="Times New Roman" w:hAnsi="Times New Roman" w:cs="Times New Roman"/>
        </w:rPr>
      </w:pPr>
      <w:r>
        <w:rPr>
          <w:rFonts w:ascii="Times New Roman" w:hAnsi="Times New Roman" w:cs="Times New Roman"/>
        </w:rPr>
        <w:t>Elisa Lucarelli</w:t>
      </w:r>
    </w:p>
    <w:p w:rsidR="00916ABA" w:rsidRDefault="00916ABA" w:rsidP="00916ABA">
      <w:pPr>
        <w:spacing w:after="0" w:line="240" w:lineRule="auto"/>
        <w:jc w:val="right"/>
        <w:rPr>
          <w:rFonts w:ascii="Times New Roman" w:hAnsi="Times New Roman" w:cs="Times New Roman"/>
        </w:rPr>
      </w:pPr>
      <w:r>
        <w:rPr>
          <w:rFonts w:ascii="Times New Roman" w:hAnsi="Times New Roman" w:cs="Times New Roman"/>
        </w:rPr>
        <w:t>Universidad de Buenos Aires- Universidad  Nacional de Tres de Febrero</w:t>
      </w:r>
    </w:p>
    <w:p w:rsidR="005F3B2E" w:rsidRPr="00BA642E" w:rsidRDefault="00916ABA" w:rsidP="005F3B2E">
      <w:pPr>
        <w:spacing w:after="0" w:line="240" w:lineRule="auto"/>
        <w:jc w:val="right"/>
        <w:rPr>
          <w:rFonts w:ascii="Times New Roman" w:hAnsi="Times New Roman" w:cs="Times New Roman"/>
        </w:rPr>
      </w:pPr>
      <w:r>
        <w:rPr>
          <w:rFonts w:ascii="Times New Roman" w:hAnsi="Times New Roman" w:cs="Times New Roman"/>
        </w:rPr>
        <w:t>elucarel@gmail.com</w:t>
      </w:r>
    </w:p>
    <w:p w:rsidR="005F3B2E" w:rsidRPr="00BA642E" w:rsidRDefault="005F3B2E" w:rsidP="005F3B2E">
      <w:pPr>
        <w:spacing w:after="0" w:line="240" w:lineRule="auto"/>
        <w:jc w:val="right"/>
        <w:rPr>
          <w:rFonts w:ascii="Times New Roman" w:hAnsi="Times New Roman" w:cs="Times New Roman"/>
        </w:rPr>
      </w:pPr>
    </w:p>
    <w:p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71246B">
        <w:rPr>
          <w:rFonts w:ascii="Times New Roman" w:hAnsi="Times New Roman" w:cs="Times New Roman"/>
        </w:rPr>
        <w:t>Gladys R. Calvo</w:t>
      </w:r>
    </w:p>
    <w:p w:rsidR="005F3B2E" w:rsidRPr="00BA642E" w:rsidRDefault="0071246B" w:rsidP="005F3B2E">
      <w:pPr>
        <w:spacing w:after="0" w:line="240" w:lineRule="auto"/>
        <w:jc w:val="right"/>
        <w:rPr>
          <w:rFonts w:ascii="Times New Roman" w:hAnsi="Times New Roman" w:cs="Times New Roman"/>
        </w:rPr>
      </w:pPr>
      <w:r>
        <w:rPr>
          <w:rFonts w:ascii="Times New Roman" w:hAnsi="Times New Roman" w:cs="Times New Roman"/>
        </w:rPr>
        <w:t>Universidad de Buenos Aires</w:t>
      </w:r>
    </w:p>
    <w:p w:rsidR="005F3B2E" w:rsidRDefault="0071246B" w:rsidP="005F3B2E">
      <w:pPr>
        <w:spacing w:after="0" w:line="240" w:lineRule="auto"/>
        <w:jc w:val="right"/>
        <w:rPr>
          <w:rFonts w:ascii="Times New Roman" w:hAnsi="Times New Roman" w:cs="Times New Roman"/>
        </w:rPr>
      </w:pPr>
      <w:r>
        <w:rPr>
          <w:rFonts w:ascii="Times New Roman" w:hAnsi="Times New Roman" w:cs="Times New Roman"/>
        </w:rPr>
        <w:t>gladysrcalvo@yahoo.com.ar</w:t>
      </w:r>
    </w:p>
    <w:p w:rsidR="00231611" w:rsidRDefault="00231611" w:rsidP="00916ABA">
      <w:pPr>
        <w:tabs>
          <w:tab w:val="center" w:pos="4252"/>
          <w:tab w:val="right" w:pos="8504"/>
        </w:tabs>
        <w:spacing w:after="0" w:line="240" w:lineRule="auto"/>
        <w:jc w:val="right"/>
        <w:rPr>
          <w:rFonts w:ascii="Times New Roman" w:hAnsi="Times New Roman" w:cs="Times New Roman"/>
        </w:rPr>
      </w:pPr>
    </w:p>
    <w:p w:rsidR="00916ABA" w:rsidRDefault="00231611" w:rsidP="00916ABA">
      <w:pPr>
        <w:spacing w:after="0" w:line="240" w:lineRule="auto"/>
        <w:jc w:val="right"/>
        <w:rPr>
          <w:rFonts w:ascii="Times New Roman" w:hAnsi="Times New Roman" w:cs="Times New Roman"/>
        </w:rPr>
      </w:pPr>
      <w:r>
        <w:rPr>
          <w:rFonts w:ascii="Times New Roman" w:hAnsi="Times New Roman" w:cs="Times New Roman"/>
        </w:rPr>
        <w:t>Patricia Del Regno</w:t>
      </w:r>
    </w:p>
    <w:p w:rsidR="00231611" w:rsidRDefault="00231611" w:rsidP="00916ABA">
      <w:pPr>
        <w:spacing w:after="0" w:line="240" w:lineRule="auto"/>
        <w:jc w:val="right"/>
        <w:rPr>
          <w:rFonts w:ascii="Times New Roman" w:hAnsi="Times New Roman" w:cs="Times New Roman"/>
        </w:rPr>
      </w:pPr>
      <w:r>
        <w:rPr>
          <w:rFonts w:ascii="Times New Roman" w:hAnsi="Times New Roman" w:cs="Times New Roman"/>
          <w:kern w:val="0"/>
        </w:rPr>
        <w:t>Universidad de Buenos Aires</w:t>
      </w:r>
    </w:p>
    <w:p w:rsidR="00916ABA" w:rsidRPr="00BA642E" w:rsidRDefault="00231611" w:rsidP="005F3B2E">
      <w:pPr>
        <w:spacing w:after="0" w:line="240" w:lineRule="auto"/>
        <w:jc w:val="right"/>
        <w:rPr>
          <w:rFonts w:ascii="Times New Roman" w:hAnsi="Times New Roman" w:cs="Times New Roman"/>
        </w:rPr>
      </w:pPr>
      <w:r>
        <w:rPr>
          <w:rFonts w:ascii="Times New Roman" w:hAnsi="Times New Roman" w:cs="Times New Roman"/>
        </w:rPr>
        <w:t>patriciadelregno@yahoo.com.ar</w:t>
      </w:r>
    </w:p>
    <w:p w:rsidR="001923DC" w:rsidRPr="00BA642E" w:rsidRDefault="001923DC" w:rsidP="001923DC">
      <w:pPr>
        <w:jc w:val="center"/>
        <w:rPr>
          <w:rFonts w:ascii="Times New Roman" w:hAnsi="Times New Roman" w:cs="Times New Roman"/>
        </w:rPr>
      </w:pPr>
    </w:p>
    <w:p w:rsidR="00916ABA" w:rsidRDefault="00916ABA" w:rsidP="00916ABA">
      <w:pPr>
        <w:spacing w:after="0" w:line="360" w:lineRule="auto"/>
        <w:jc w:val="both"/>
        <w:rPr>
          <w:rFonts w:ascii="Times New Roman" w:hAnsi="Times New Roman" w:cs="Times New Roman"/>
          <w:b/>
          <w:lang w:val="es-ES"/>
        </w:rPr>
      </w:pPr>
      <w:r>
        <w:rPr>
          <w:rFonts w:ascii="Times New Roman" w:hAnsi="Times New Roman" w:cs="Times New Roman"/>
          <w:b/>
          <w:lang w:val="es-ES"/>
        </w:rPr>
        <w:t xml:space="preserve">RESUMEN </w:t>
      </w:r>
    </w:p>
    <w:p w:rsidR="00916ABA" w:rsidRDefault="00916ABA" w:rsidP="00916ABA">
      <w:pPr>
        <w:spacing w:after="0" w:line="240" w:lineRule="auto"/>
        <w:jc w:val="both"/>
        <w:rPr>
          <w:rFonts w:ascii="Times New Roman" w:hAnsi="Times New Roman" w:cs="Times New Roman"/>
          <w:lang w:val="es-MX"/>
        </w:rPr>
      </w:pPr>
      <w:r>
        <w:rPr>
          <w:rFonts w:ascii="Times New Roman" w:hAnsi="Times New Roman" w:cs="Times New Roman"/>
          <w:lang w:val="es-MX"/>
        </w:rPr>
        <w:t xml:space="preserve">En esta presentación se exponen algunos resultados de la investigación  </w:t>
      </w:r>
      <w:r>
        <w:rPr>
          <w:rFonts w:ascii="Times New Roman" w:hAnsi="Times New Roman" w:cs="Times New Roman"/>
          <w:i/>
          <w:lang w:val="es-MX"/>
        </w:rPr>
        <w:t xml:space="preserve">La formación universitaria en el grado: la enseñanza de aprendizajes complejos y la articulación teoría-práctica en el campo de la salud.   </w:t>
      </w:r>
      <w:r>
        <w:rPr>
          <w:rFonts w:ascii="Times New Roman" w:hAnsi="Times New Roman" w:cs="Times New Roman"/>
          <w:lang w:val="es-MX"/>
        </w:rPr>
        <w:t xml:space="preserve">Se centra en el estudio de la carrera de </w:t>
      </w:r>
      <w:r>
        <w:rPr>
          <w:rFonts w:ascii="Times New Roman" w:hAnsi="Times New Roman" w:cs="Times New Roman"/>
          <w:b/>
          <w:i/>
          <w:lang w:val="es-MX"/>
        </w:rPr>
        <w:t>Kinesiología</w:t>
      </w:r>
      <w:r>
        <w:rPr>
          <w:rFonts w:ascii="Times New Roman" w:hAnsi="Times New Roman" w:cs="Times New Roman"/>
          <w:lang w:val="es-MX"/>
        </w:rPr>
        <w:t xml:space="preserve"> de la Universidad de Buenos Aires, tomando como caso la cátedra </w:t>
      </w:r>
      <w:r>
        <w:rPr>
          <w:rFonts w:ascii="Times New Roman" w:hAnsi="Times New Roman" w:cs="Times New Roman"/>
          <w:b/>
          <w:i/>
          <w:lang w:val="es-MX"/>
        </w:rPr>
        <w:t>Clínica kinefisiátrica quirúrgica.</w:t>
      </w:r>
      <w:r>
        <w:rPr>
          <w:rFonts w:ascii="Times New Roman" w:hAnsi="Times New Roman" w:cs="Times New Roman"/>
          <w:lang w:val="es-MX"/>
        </w:rPr>
        <w:t xml:space="preserve"> Dirige esta investigación, que está  radicada en el IICE (FFyL-UBA),   Claudia Finkelstein y la integran Elisa Lucarelli (Asesora), Gladys Calvo, Patricia Del Regno, Mercedes Lavalletto, Walter Viñas (investigadores) y Mariana Blardoni (Becaria). Este  equipo ha desarrollado, investigaciones sobre procesos formativos relativos a varias de las profesiones que integran el campo de la salud, indagando acerca cómo en la preparación de los futuros profesionales se manifiesta la articulación teoría-práctica a través del currículum, la enseñanza y la evaluación.</w:t>
      </w:r>
    </w:p>
    <w:p w:rsidR="00916ABA" w:rsidRDefault="00916ABA" w:rsidP="00916ABA">
      <w:pPr>
        <w:spacing w:after="0" w:line="240" w:lineRule="auto"/>
        <w:jc w:val="both"/>
        <w:rPr>
          <w:rFonts w:ascii="Times New Roman" w:hAnsi="Times New Roman" w:cs="Times New Roman"/>
          <w:lang w:val="es-MX"/>
        </w:rPr>
      </w:pPr>
      <w:r>
        <w:rPr>
          <w:rFonts w:ascii="Times New Roman" w:hAnsi="Times New Roman" w:cs="Times New Roman"/>
          <w:lang w:val="es-MX"/>
        </w:rPr>
        <w:t>Como objetivos se busca  analizar las propuestas formativas considerando la articulación teoría-práctica y los niveles en que se expresa: a la vez se pretende   generar conocimiento sobre los procesos de enseñanza que los docentes de los diferentes espacios curriculares llevan a cabo, y sobre los dispositivos para la formación de aprendizajes complejos</w:t>
      </w:r>
    </w:p>
    <w:p w:rsidR="00386AC5" w:rsidRDefault="00386AC5" w:rsidP="00916ABA">
      <w:pPr>
        <w:spacing w:after="0" w:line="240" w:lineRule="auto"/>
        <w:jc w:val="both"/>
        <w:rPr>
          <w:rFonts w:ascii="Times New Roman" w:hAnsi="Times New Roman" w:cs="Times New Roman"/>
          <w:lang w:val="es-MX"/>
        </w:rPr>
      </w:pPr>
    </w:p>
    <w:p w:rsidR="00916ABA" w:rsidRDefault="00916ABA" w:rsidP="00916ABA">
      <w:pPr>
        <w:spacing w:after="0" w:line="240" w:lineRule="auto"/>
        <w:jc w:val="both"/>
        <w:rPr>
          <w:rFonts w:ascii="Times New Roman" w:hAnsi="Times New Roman" w:cs="Times New Roman"/>
          <w:b/>
          <w:i/>
        </w:rPr>
      </w:pPr>
      <w:r>
        <w:rPr>
          <w:rFonts w:ascii="Times New Roman" w:hAnsi="Times New Roman" w:cs="Times New Roman"/>
          <w:lang w:val="es-MX"/>
        </w:rPr>
        <w:t xml:space="preserve">La carrera de Kinesiología es de 6 años de duración, siendo la oferta curricular común a todos los estudiantes, por lo que se reconoce al Plan de estudios como </w:t>
      </w:r>
      <w:r>
        <w:rPr>
          <w:rFonts w:ascii="Times New Roman" w:hAnsi="Times New Roman" w:cs="Times New Roman"/>
          <w:i/>
          <w:lang w:val="es-MX"/>
        </w:rPr>
        <w:t>centrípeto</w:t>
      </w:r>
      <w:r>
        <w:rPr>
          <w:rFonts w:ascii="Times New Roman" w:hAnsi="Times New Roman" w:cs="Times New Roman"/>
          <w:lang w:val="es-MX"/>
        </w:rPr>
        <w:t xml:space="preserve"> esto implica que está orientado a una formación generalista, </w:t>
      </w:r>
      <w:r>
        <w:rPr>
          <w:rFonts w:ascii="Times New Roman" w:hAnsi="Times New Roman" w:cs="Times New Roman"/>
        </w:rPr>
        <w:t xml:space="preserve">basado en la yuxtaposición de </w:t>
      </w:r>
      <w:r>
        <w:rPr>
          <w:rFonts w:ascii="Times New Roman" w:hAnsi="Times New Roman" w:cs="Times New Roman"/>
        </w:rPr>
        <w:lastRenderedPageBreak/>
        <w:t>asignaturas, que funciona como una entidad autónoma y autosuficiente</w:t>
      </w:r>
      <w:r>
        <w:t xml:space="preserve">, </w:t>
      </w:r>
      <w:r>
        <w:rPr>
          <w:rFonts w:ascii="Times New Roman" w:hAnsi="Times New Roman" w:cs="Times New Roman"/>
        </w:rPr>
        <w:t>por lo que se trata de  un diseño curricular de aislamiento, en términos de Harden (2000),</w:t>
      </w:r>
    </w:p>
    <w:p w:rsidR="00386AC5" w:rsidRDefault="00386AC5" w:rsidP="00916ABA">
      <w:pPr>
        <w:spacing w:after="0" w:line="240" w:lineRule="auto"/>
        <w:jc w:val="both"/>
        <w:rPr>
          <w:rFonts w:ascii="Times New Roman" w:hAnsi="Times New Roman" w:cs="Times New Roman"/>
          <w:lang w:val="es-MX"/>
        </w:rPr>
      </w:pPr>
    </w:p>
    <w:p w:rsidR="00916ABA" w:rsidRDefault="00916ABA" w:rsidP="00916ABA">
      <w:pPr>
        <w:spacing w:after="0" w:line="240" w:lineRule="auto"/>
        <w:jc w:val="both"/>
        <w:rPr>
          <w:rFonts w:ascii="Times New Roman" w:hAnsi="Times New Roman" w:cs="Times New Roman"/>
          <w:lang w:val="es-MX"/>
        </w:rPr>
      </w:pPr>
      <w:r>
        <w:rPr>
          <w:rFonts w:ascii="Times New Roman" w:hAnsi="Times New Roman" w:cs="Times New Roman"/>
          <w:lang w:val="es-MX"/>
        </w:rPr>
        <w:t xml:space="preserve">La  asignatura estudiada como caso es anual, ubicada en  5° año, con  220 horas de clases teóricas, mayormente virtuales, y 280 horas de prácticas en Hospitales. En los fundamentos de la investigación se sostiene que la profesión, como constructo histórico, es un estructurante para la formación en el grado;  se parte  de dos supuestos: uno,  la articulación teoría-práctica es un elemento clave en los procesos de formación en la profesión; dos,  formación requiere de aprendizajes complejos que se articulan progresivamente. </w:t>
      </w:r>
    </w:p>
    <w:p w:rsidR="00386AC5" w:rsidRDefault="00386AC5" w:rsidP="00916ABA">
      <w:pPr>
        <w:spacing w:after="0" w:line="240" w:lineRule="auto"/>
        <w:jc w:val="both"/>
        <w:rPr>
          <w:rFonts w:ascii="Times New Roman" w:hAnsi="Times New Roman" w:cs="Times New Roman"/>
          <w:lang w:val="es-MX"/>
        </w:rPr>
      </w:pPr>
    </w:p>
    <w:p w:rsidR="00916ABA" w:rsidRDefault="00916ABA" w:rsidP="00916ABA">
      <w:pPr>
        <w:spacing w:after="0" w:line="240" w:lineRule="auto"/>
        <w:jc w:val="both"/>
        <w:rPr>
          <w:rFonts w:ascii="Times New Roman" w:hAnsi="Times New Roman" w:cs="Times New Roman"/>
          <w:lang w:val="es-MX"/>
        </w:rPr>
      </w:pPr>
      <w:r>
        <w:rPr>
          <w:rFonts w:ascii="Times New Roman" w:hAnsi="Times New Roman" w:cs="Times New Roman"/>
          <w:lang w:val="es-MX"/>
        </w:rPr>
        <w:t xml:space="preserve">En lo metodológico, se sigue una lógica de generación conceptual (Sirvent, Rigal, 2023); se  analiza material empírico obtenido a través de entrevistas, observaciones de clases, materiales documentales y cuestionarios a estudiantes; se  incluyen instancias participativas y acciones de retroalimentación. </w:t>
      </w:r>
    </w:p>
    <w:p w:rsidR="00916ABA" w:rsidRDefault="00916ABA" w:rsidP="00916ABA">
      <w:pPr>
        <w:spacing w:after="0" w:line="240" w:lineRule="auto"/>
        <w:jc w:val="both"/>
        <w:rPr>
          <w:rFonts w:ascii="Times New Roman" w:hAnsi="Times New Roman" w:cs="Times New Roman"/>
          <w:lang w:val="es-MX"/>
        </w:rPr>
      </w:pPr>
      <w:r>
        <w:rPr>
          <w:rFonts w:ascii="Times New Roman" w:hAnsi="Times New Roman" w:cs="Times New Roman"/>
          <w:lang w:val="es-MX"/>
        </w:rPr>
        <w:t>En esta ponencia, se exponen los resultados referidos a la dimensión institucional, pedagógica  y didáctica, con énfasis en lo  curricular, y en  la enseñanza,  con eje  en los espacios de teóricos.</w:t>
      </w:r>
    </w:p>
    <w:p w:rsidR="00916ABA" w:rsidRDefault="00916ABA" w:rsidP="00916ABA">
      <w:pPr>
        <w:spacing w:after="0" w:line="240" w:lineRule="auto"/>
        <w:jc w:val="both"/>
        <w:rPr>
          <w:rFonts w:ascii="Times New Roman" w:hAnsi="Times New Roman"/>
          <w:lang w:val="es-MX"/>
        </w:rPr>
      </w:pPr>
    </w:p>
    <w:p w:rsidR="00916ABA" w:rsidRDefault="00916ABA" w:rsidP="00916ABA">
      <w:pPr>
        <w:spacing w:after="0" w:line="240" w:lineRule="auto"/>
        <w:jc w:val="both"/>
        <w:rPr>
          <w:rFonts w:ascii="Times New Roman" w:hAnsi="Times New Roman"/>
        </w:rPr>
      </w:pPr>
    </w:p>
    <w:p w:rsidR="00916ABA" w:rsidRDefault="00916ABA" w:rsidP="00916ABA">
      <w:pPr>
        <w:jc w:val="both"/>
        <w:rPr>
          <w:rFonts w:ascii="Times New Roman" w:hAnsi="Times New Roman" w:cs="Times New Roman"/>
          <w:sz w:val="22"/>
          <w:szCs w:val="22"/>
          <w:lang w:val="es-MX"/>
        </w:rPr>
      </w:pPr>
      <w:r>
        <w:rPr>
          <w:rFonts w:ascii="Times New Roman" w:hAnsi="Times New Roman" w:cs="Times New Roman"/>
          <w:lang w:val="es-MX"/>
        </w:rPr>
        <w:t>Palabras Clave: ARTICULACIÓN TEORÍA- PRÁCTICA- APRENDIZAJES COMPLEJOS- CAMPO DE LA SALUD</w:t>
      </w:r>
    </w:p>
    <w:p w:rsidR="00916ABA" w:rsidRDefault="00916ABA" w:rsidP="00916ABA">
      <w:pPr>
        <w:spacing w:after="0" w:line="240" w:lineRule="auto"/>
        <w:jc w:val="both"/>
        <w:rPr>
          <w:rFonts w:ascii="Times New Roman" w:hAnsi="Times New Roman" w:cs="Times New Roman"/>
          <w:lang w:val="es-MX"/>
        </w:rPr>
      </w:pPr>
    </w:p>
    <w:p w:rsidR="00916ABA" w:rsidRDefault="00916ABA" w:rsidP="00916ABA">
      <w:pPr>
        <w:spacing w:after="0" w:line="240" w:lineRule="auto"/>
        <w:jc w:val="both"/>
        <w:rPr>
          <w:rFonts w:ascii="Times New Roman" w:hAnsi="Times New Roman" w:cs="Times New Roman"/>
          <w:b/>
          <w:lang w:val="es-MX"/>
        </w:rPr>
      </w:pPr>
      <w:r>
        <w:rPr>
          <w:rFonts w:ascii="Times New Roman" w:hAnsi="Times New Roman" w:cs="Times New Roman"/>
          <w:b/>
          <w:lang w:val="es-MX"/>
        </w:rPr>
        <w:t>Introducción</w:t>
      </w:r>
    </w:p>
    <w:p w:rsidR="00916ABA" w:rsidRDefault="00916ABA" w:rsidP="00916ABA">
      <w:pPr>
        <w:spacing w:after="0" w:line="240" w:lineRule="auto"/>
        <w:jc w:val="both"/>
        <w:rPr>
          <w:rFonts w:ascii="Times New Roman" w:hAnsi="Times New Roman" w:cs="Times New Roman"/>
          <w:i/>
          <w:lang w:val="es-MX"/>
        </w:rPr>
      </w:pPr>
      <w:r>
        <w:rPr>
          <w:rFonts w:ascii="Times New Roman" w:hAnsi="Times New Roman" w:cs="Times New Roman"/>
          <w:lang w:val="es-MX"/>
        </w:rPr>
        <w:t xml:space="preserve">En esta presentación se exponen algunos resultados de la investigación  </w:t>
      </w:r>
      <w:r>
        <w:rPr>
          <w:rFonts w:ascii="Times New Roman" w:hAnsi="Times New Roman" w:cs="Times New Roman"/>
          <w:i/>
          <w:lang w:val="es-MX"/>
        </w:rPr>
        <w:t>La formación universitaria en el grado: la enseñanza de aprendizajes complejos y la articulación teoría-práctica en el campo de la salud.</w:t>
      </w:r>
    </w:p>
    <w:p w:rsidR="00916ABA" w:rsidRDefault="00916ABA" w:rsidP="00916ABA">
      <w:pPr>
        <w:spacing w:after="0" w:line="240" w:lineRule="auto"/>
        <w:jc w:val="both"/>
        <w:rPr>
          <w:rFonts w:ascii="Times New Roman" w:hAnsi="Times New Roman" w:cs="Times New Roman"/>
          <w:lang w:val="es-MX"/>
        </w:rPr>
      </w:pPr>
      <w:r>
        <w:rPr>
          <w:rFonts w:ascii="Times New Roman" w:hAnsi="Times New Roman" w:cs="Times New Roman"/>
          <w:lang w:val="es-MX"/>
        </w:rPr>
        <w:t xml:space="preserve">Se centra en el estudio de la Licenciatura de Kinesiología y Fisiatría de la Universidad de Buenos Aires, tomando como caso la cátedra </w:t>
      </w:r>
      <w:r>
        <w:rPr>
          <w:rFonts w:ascii="Times New Roman" w:hAnsi="Times New Roman" w:cs="Times New Roman"/>
          <w:b/>
          <w:i/>
          <w:lang w:val="es-MX"/>
        </w:rPr>
        <w:t>Clínica kinefisiátrica quirúrgica.</w:t>
      </w:r>
      <w:r>
        <w:rPr>
          <w:rFonts w:ascii="Times New Roman" w:hAnsi="Times New Roman" w:cs="Times New Roman"/>
          <w:lang w:val="es-MX"/>
        </w:rPr>
        <w:t xml:space="preserve"> </w:t>
      </w:r>
    </w:p>
    <w:p w:rsidR="00386AC5" w:rsidRDefault="00386AC5" w:rsidP="00916ABA">
      <w:pPr>
        <w:spacing w:after="0" w:line="240" w:lineRule="auto"/>
        <w:jc w:val="both"/>
        <w:rPr>
          <w:rFonts w:ascii="Times New Roman" w:hAnsi="Times New Roman" w:cs="Times New Roman"/>
          <w:lang w:val="es-MX"/>
        </w:rPr>
      </w:pPr>
    </w:p>
    <w:p w:rsidR="00916ABA" w:rsidRDefault="00916ABA" w:rsidP="00916ABA">
      <w:pPr>
        <w:spacing w:after="0" w:line="240" w:lineRule="auto"/>
        <w:jc w:val="both"/>
        <w:rPr>
          <w:rFonts w:ascii="Times New Roman" w:hAnsi="Times New Roman" w:cs="Times New Roman"/>
          <w:lang w:val="es-MX"/>
        </w:rPr>
      </w:pPr>
      <w:r>
        <w:rPr>
          <w:rFonts w:ascii="Times New Roman" w:hAnsi="Times New Roman" w:cs="Times New Roman"/>
          <w:lang w:val="es-MX"/>
        </w:rPr>
        <w:t xml:space="preserve">Esta investigación, está  radicada en el IICE (FFyL-UBA), y es llevada a cabo por un equipo consolidado a través de muchos años de investigación desarrollados en el campo de la salud sobre los procesos formativos relativos a varias de las profesiones que integran este campo: Medicina, Odontología, Fonoaudiología, Nutrición y Kinesiología y Fisiatría, indagando acerca cómo en la preparación de los futuros profesionales se manifiesta la articulación teoría-práctica a través del currículum, la enseñanza y la evaluación. </w:t>
      </w:r>
    </w:p>
    <w:p w:rsidR="00916ABA" w:rsidRDefault="00916ABA" w:rsidP="00916ABA">
      <w:pPr>
        <w:spacing w:after="0" w:line="240" w:lineRule="auto"/>
        <w:jc w:val="both"/>
        <w:rPr>
          <w:rFonts w:ascii="Times New Roman" w:hAnsi="Times New Roman" w:cs="Times New Roman"/>
          <w:lang w:val="es-MX"/>
        </w:rPr>
      </w:pPr>
      <w:r>
        <w:rPr>
          <w:rFonts w:ascii="Times New Roman" w:hAnsi="Times New Roman" w:cs="Times New Roman"/>
          <w:lang w:val="es-MX"/>
        </w:rPr>
        <w:t xml:space="preserve">El equipo está dirigido por Claudia Finkelstein y la integran Elisa Lucarelli (Asesora), Gladys Calvo, Patricia Del Regno, Mercedes Lavalletto, Walter Viñas (Investigadores) y Mariana Blardoni (Becaria). </w:t>
      </w:r>
    </w:p>
    <w:p w:rsidR="00916ABA" w:rsidRDefault="00916ABA" w:rsidP="00916ABA">
      <w:pPr>
        <w:spacing w:after="0" w:line="240" w:lineRule="auto"/>
        <w:jc w:val="both"/>
        <w:rPr>
          <w:rFonts w:ascii="Times New Roman" w:hAnsi="Times New Roman" w:cs="Times New Roman"/>
          <w:lang w:val="es-MX"/>
        </w:rPr>
      </w:pPr>
    </w:p>
    <w:p w:rsidR="00916ABA" w:rsidRDefault="00916ABA" w:rsidP="00916ABA">
      <w:pPr>
        <w:spacing w:after="0" w:line="240" w:lineRule="auto"/>
        <w:jc w:val="both"/>
        <w:rPr>
          <w:rFonts w:ascii="Times New Roman" w:hAnsi="Times New Roman" w:cs="Times New Roman"/>
          <w:lang w:val="es-MX"/>
        </w:rPr>
      </w:pPr>
      <w:r>
        <w:rPr>
          <w:rFonts w:ascii="Times New Roman" w:hAnsi="Times New Roman" w:cs="Times New Roman"/>
          <w:lang w:val="es-MX"/>
        </w:rPr>
        <w:t xml:space="preserve">Como objetivos se busca  analizar las propuestas formativas considerando la articulación teoría-práctica y los niveles en que se expresa, a la vez se pretende   generar conocimiento sobre los procesos de enseñanza que los docentes de los diferentes </w:t>
      </w:r>
      <w:r>
        <w:rPr>
          <w:rFonts w:ascii="Times New Roman" w:hAnsi="Times New Roman" w:cs="Times New Roman"/>
          <w:lang w:val="es-MX"/>
        </w:rPr>
        <w:lastRenderedPageBreak/>
        <w:t>espacios curriculares llevan a cabo, y los dispositivos utilizados para la formación de aprendizajes complejos.</w:t>
      </w:r>
    </w:p>
    <w:p w:rsidR="00916ABA" w:rsidRDefault="00916ABA" w:rsidP="00916ABA">
      <w:pPr>
        <w:spacing w:after="0" w:line="240" w:lineRule="auto"/>
        <w:jc w:val="both"/>
        <w:rPr>
          <w:rFonts w:ascii="Times New Roman" w:hAnsi="Times New Roman" w:cs="Times New Roman"/>
          <w:lang w:val="es-MX"/>
        </w:rPr>
      </w:pPr>
    </w:p>
    <w:p w:rsidR="00916ABA" w:rsidRDefault="00916ABA" w:rsidP="00916ABA">
      <w:pPr>
        <w:jc w:val="both"/>
        <w:rPr>
          <w:rFonts w:ascii="Times New Roman" w:hAnsi="Times New Roman" w:cs="Times New Roman"/>
        </w:rPr>
      </w:pPr>
      <w:r>
        <w:rPr>
          <w:rFonts w:ascii="Times New Roman" w:hAnsi="Times New Roman" w:cs="Times New Roman"/>
        </w:rPr>
        <w:t>De esta manera hacemos foco en el análisis de aspectos institucionales (Fernández, 1994) y didácticos que permitan comprender cómo se transmiten, en lo cotidiano, los secretos de una profesión en las aulas universitarias.  Una de las anticipaciones de sentido de la investigación indica que la formación en la profesión se puede ver favorecida por situaciones de enseñanza y aprendizaje centradas en la articulación teoría-práctica a lo largo de todo el trayecto formativo.</w:t>
      </w:r>
    </w:p>
    <w:p w:rsidR="00916ABA" w:rsidRDefault="00916ABA" w:rsidP="00916ABA">
      <w:pPr>
        <w:spacing w:after="0" w:line="240" w:lineRule="auto"/>
        <w:jc w:val="both"/>
        <w:rPr>
          <w:rFonts w:ascii="Times New Roman" w:hAnsi="Times New Roman" w:cs="Times New Roman"/>
          <w:lang w:val="es-MX"/>
        </w:rPr>
      </w:pPr>
      <w:r>
        <w:rPr>
          <w:rFonts w:ascii="Times New Roman" w:hAnsi="Times New Roman" w:cs="Times New Roman"/>
          <w:lang w:val="es-MX"/>
        </w:rPr>
        <w:t>En esta ponencia, se exponen los resultados referidos a la dimensión institucional, pedagógica  y didáctica, con énfasis en lo  curricular, y la enseñanza,  con eje  en los espacios de teóricos.</w:t>
      </w:r>
    </w:p>
    <w:p w:rsidR="00916ABA" w:rsidRDefault="00916ABA" w:rsidP="00916ABA">
      <w:pPr>
        <w:spacing w:after="0" w:line="240" w:lineRule="auto"/>
        <w:jc w:val="both"/>
        <w:rPr>
          <w:rFonts w:ascii="Times New Roman" w:hAnsi="Times New Roman"/>
          <w:lang w:val="es-MX"/>
        </w:rPr>
      </w:pPr>
    </w:p>
    <w:p w:rsidR="00916ABA" w:rsidRDefault="00916ABA" w:rsidP="00916ABA">
      <w:pPr>
        <w:spacing w:after="0" w:line="240" w:lineRule="auto"/>
        <w:jc w:val="both"/>
        <w:rPr>
          <w:rFonts w:ascii="Times New Roman" w:hAnsi="Times New Roman" w:cs="Times New Roman"/>
          <w:b/>
          <w:lang w:val="es-MX"/>
        </w:rPr>
      </w:pPr>
      <w:r>
        <w:rPr>
          <w:rFonts w:ascii="Times New Roman" w:hAnsi="Times New Roman" w:cs="Times New Roman"/>
          <w:b/>
          <w:lang w:val="es-MX"/>
        </w:rPr>
        <w:t>Desarrollo</w:t>
      </w:r>
    </w:p>
    <w:p w:rsidR="00916ABA" w:rsidRDefault="00916ABA" w:rsidP="00916ABA">
      <w:pPr>
        <w:spacing w:after="0" w:line="240" w:lineRule="auto"/>
        <w:jc w:val="both"/>
        <w:rPr>
          <w:rFonts w:ascii="Times New Roman" w:hAnsi="Times New Roman" w:cs="Times New Roman"/>
          <w:b/>
          <w:i/>
        </w:rPr>
      </w:pPr>
      <w:r>
        <w:rPr>
          <w:rFonts w:ascii="Times New Roman" w:hAnsi="Times New Roman" w:cs="Times New Roman"/>
          <w:lang w:val="es-MX"/>
        </w:rPr>
        <w:t xml:space="preserve">La carrera de Kinesiología perteneciente a la Universidad de Buenos Aires, se desarrolla en la Facultad de Medicina y es de 6 años de duración, siendo la oferta curricular común a todos los estudiantes, por lo que se reconoce al Plan de estudios como </w:t>
      </w:r>
      <w:r>
        <w:rPr>
          <w:rFonts w:ascii="Times New Roman" w:hAnsi="Times New Roman" w:cs="Times New Roman"/>
          <w:i/>
          <w:lang w:val="es-MX"/>
        </w:rPr>
        <w:t>centrípeto;</w:t>
      </w:r>
      <w:r>
        <w:rPr>
          <w:rFonts w:ascii="Times New Roman" w:hAnsi="Times New Roman" w:cs="Times New Roman"/>
          <w:lang w:val="es-MX"/>
        </w:rPr>
        <w:t xml:space="preserve"> esto implica que está orientado a una formación generalista, </w:t>
      </w:r>
      <w:r>
        <w:rPr>
          <w:rFonts w:ascii="Times New Roman" w:hAnsi="Times New Roman" w:cs="Times New Roman"/>
        </w:rPr>
        <w:t>basado en la yuxtaposición de asignaturas, que funciona como una entidad autónoma y autosuficiente</w:t>
      </w:r>
      <w:r>
        <w:t xml:space="preserve">, </w:t>
      </w:r>
      <w:r>
        <w:rPr>
          <w:rFonts w:ascii="Times New Roman" w:hAnsi="Times New Roman" w:cs="Times New Roman"/>
        </w:rPr>
        <w:t>por lo que se trata de  un diseño curricular de aislamiento, en términos de Harden (2000).</w:t>
      </w:r>
    </w:p>
    <w:p w:rsidR="00916ABA" w:rsidRDefault="00916ABA" w:rsidP="00916ABA">
      <w:pPr>
        <w:spacing w:after="0" w:line="240" w:lineRule="auto"/>
        <w:jc w:val="both"/>
        <w:rPr>
          <w:rFonts w:ascii="Times New Roman" w:hAnsi="Times New Roman" w:cs="Times New Roman"/>
          <w:lang w:val="es-MX"/>
        </w:rPr>
      </w:pPr>
    </w:p>
    <w:p w:rsidR="00916ABA" w:rsidRDefault="00916ABA" w:rsidP="00916ABA">
      <w:pPr>
        <w:pStyle w:val="Prrafodelista1"/>
        <w:spacing w:line="240" w:lineRule="auto"/>
        <w:ind w:left="0"/>
        <w:jc w:val="both"/>
        <w:rPr>
          <w:rFonts w:eastAsia="Arial Unicode MS"/>
          <w:kern w:val="2"/>
          <w:szCs w:val="24"/>
          <w:lang w:val="es-ES" w:eastAsia="ar-SA"/>
        </w:rPr>
      </w:pPr>
      <w:r>
        <w:rPr>
          <w:szCs w:val="24"/>
          <w:lang w:val="es-MX"/>
        </w:rPr>
        <w:t>La  asignatura estudiada como caso es de duración anual, está ubicada curricularmente en  5° año, s</w:t>
      </w:r>
      <w:r>
        <w:rPr>
          <w:rFonts w:eastAsia="Arial Unicode MS"/>
          <w:kern w:val="2"/>
          <w:szCs w:val="24"/>
          <w:lang w:val="es-MX" w:eastAsia="ar-SA"/>
        </w:rPr>
        <w:t xml:space="preserve">u carga horaria total es de 500 horas diferenciadas en dos espacios curriculares: 220 horas anuales teóricas, en su mayoría con modalidad virtual y </w:t>
      </w:r>
      <w:r>
        <w:rPr>
          <w:rFonts w:eastAsia="Arial Unicode MS"/>
          <w:kern w:val="2"/>
          <w:szCs w:val="24"/>
          <w:lang w:eastAsia="ar-SA"/>
        </w:rPr>
        <w:t>280 horas anuales prácticas desarrolladas en Hospitales: los estudiantes realizan dos Rotaciones, una por cada cuatrimestre que pueden ser Hospitalarias (en los Servicios de Kinesiología y Fisiatría de los Hospitales de la UBA o en Hospitales Asociados a la UBA)</w:t>
      </w:r>
      <w:r>
        <w:rPr>
          <w:rStyle w:val="Refdenotaalfinal"/>
          <w:rFonts w:eastAsia="Arial Unicode MS"/>
          <w:kern w:val="2"/>
          <w:szCs w:val="24"/>
          <w:lang w:eastAsia="ar-SA"/>
        </w:rPr>
        <w:endnoteReference w:id="1"/>
      </w:r>
      <w:r>
        <w:rPr>
          <w:rFonts w:eastAsia="Arial Unicode MS"/>
          <w:kern w:val="2"/>
          <w:szCs w:val="24"/>
          <w:lang w:eastAsia="ar-SA"/>
        </w:rPr>
        <w:t xml:space="preserve">.  Se incluyen en la oferta programática de la asignatura 3 Talleres de Integración que se realizan de manera presencial </w:t>
      </w:r>
      <w:r>
        <w:rPr>
          <w:rFonts w:cstheme="minorHAnsi"/>
          <w:szCs w:val="24"/>
        </w:rPr>
        <w:t>al finalizar cada Unidad Didáctica</w:t>
      </w:r>
      <w:r>
        <w:rPr>
          <w:rFonts w:eastAsia="Arial Unicode MS"/>
          <w:kern w:val="2"/>
          <w:szCs w:val="24"/>
          <w:lang w:eastAsia="ar-SA"/>
        </w:rPr>
        <w:t xml:space="preserve">. </w:t>
      </w:r>
    </w:p>
    <w:p w:rsidR="00916ABA" w:rsidRDefault="00916ABA" w:rsidP="00916ABA">
      <w:pPr>
        <w:spacing w:after="0" w:line="240" w:lineRule="auto"/>
        <w:jc w:val="both"/>
        <w:rPr>
          <w:rFonts w:ascii="Times New Roman" w:hAnsi="Times New Roman" w:cs="Times New Roman"/>
          <w:kern w:val="0"/>
          <w:lang w:val="es-MX"/>
        </w:rPr>
      </w:pPr>
      <w:r>
        <w:rPr>
          <w:rFonts w:ascii="Times New Roman" w:hAnsi="Times New Roman" w:cs="Times New Roman"/>
          <w:lang w:val="es-MX"/>
        </w:rPr>
        <w:t xml:space="preserve">En los fundamentos de la investigación se sostiene que la profesión, como constructo histórico, es un estructurante para la formación en el grado;  se parte  de dos supuestos: uno,  la articulación teoría-práctica es un elemento clave en los procesos de formación en la profesión; dos,  formación requiere de aprendizajes complejos que se articulan progresivamente. </w:t>
      </w:r>
    </w:p>
    <w:p w:rsidR="00916ABA" w:rsidRDefault="00916ABA" w:rsidP="00916ABA">
      <w:pPr>
        <w:spacing w:after="0" w:line="240" w:lineRule="auto"/>
        <w:jc w:val="both"/>
        <w:rPr>
          <w:rFonts w:ascii="Times New Roman" w:hAnsi="Times New Roman" w:cs="Times New Roman"/>
          <w:lang w:val="es-MX"/>
        </w:rPr>
      </w:pPr>
    </w:p>
    <w:p w:rsidR="00916ABA" w:rsidRDefault="00916ABA" w:rsidP="00916ABA">
      <w:pPr>
        <w:pStyle w:val="Textoindependiente"/>
        <w:jc w:val="both"/>
        <w:rPr>
          <w:lang w:val="es-MX"/>
        </w:rPr>
      </w:pPr>
      <w:r>
        <w:rPr>
          <w:lang w:val="es-MX"/>
        </w:rPr>
        <w:t xml:space="preserve">En cuanto al encuadre metodológico, se sigue una lógica de generación conceptual (Sirvent, Rigal, 2023); guiada por el interés de profundizar el objeto educativo (entendido como objeto social complejo) y orientada hacia la comprensión de los significados de las prácticas que desarrollan los docentes universitarios cotidianamente en sus espacios de trabajo. </w:t>
      </w:r>
    </w:p>
    <w:p w:rsidR="00916ABA" w:rsidRDefault="00916ABA" w:rsidP="00916ABA">
      <w:pPr>
        <w:spacing w:after="0" w:line="240" w:lineRule="auto"/>
        <w:jc w:val="both"/>
        <w:rPr>
          <w:rFonts w:ascii="Times New Roman" w:hAnsi="Times New Roman" w:cs="Times New Roman"/>
          <w:lang w:val="es-MX"/>
        </w:rPr>
      </w:pPr>
      <w:r>
        <w:rPr>
          <w:rFonts w:ascii="Times New Roman" w:hAnsi="Times New Roman" w:cs="Times New Roman"/>
          <w:lang w:val="es-MX"/>
        </w:rPr>
        <w:lastRenderedPageBreak/>
        <w:t xml:space="preserve">Se analiza material empírico obtenido a través de entrevistas, observaciones de clases, materiales documentales y cuestionarios a estudiantes; se  incluyen instancias participativas y acciones de retroalimentación. </w:t>
      </w:r>
    </w:p>
    <w:p w:rsidR="00916ABA" w:rsidRDefault="00916ABA" w:rsidP="00916ABA">
      <w:pPr>
        <w:spacing w:after="0" w:line="240" w:lineRule="auto"/>
        <w:jc w:val="both"/>
        <w:rPr>
          <w:rFonts w:ascii="Times New Roman" w:hAnsi="Times New Roman" w:cs="Times New Roman"/>
          <w:lang w:val="es-MX"/>
        </w:rPr>
      </w:pPr>
    </w:p>
    <w:p w:rsidR="00916ABA" w:rsidRDefault="00916ABA" w:rsidP="00916ABA">
      <w:pPr>
        <w:pStyle w:val="Textoindependiente"/>
        <w:spacing w:after="0"/>
        <w:rPr>
          <w:lang w:val="es-ES_tradnl"/>
        </w:rPr>
      </w:pPr>
      <w:r>
        <w:t>En este encuadre, e</w:t>
      </w:r>
      <w:r>
        <w:rPr>
          <w:lang w:val="es-ES_tradnl"/>
        </w:rPr>
        <w:t>n el trabajo en terreno la estrategia metodológica se orientó hacia el uso de las siguientes técnicas de obtención de información:</w:t>
      </w:r>
    </w:p>
    <w:p w:rsidR="00916ABA" w:rsidRDefault="00916ABA" w:rsidP="00916ABA">
      <w:pPr>
        <w:pStyle w:val="Textoindependiente"/>
        <w:numPr>
          <w:ilvl w:val="0"/>
          <w:numId w:val="1"/>
        </w:numPr>
        <w:spacing w:after="0"/>
        <w:ind w:left="284" w:hanging="284"/>
        <w:jc w:val="both"/>
      </w:pPr>
      <w:r>
        <w:t xml:space="preserve">Análisis documental del Plan de Estudios de la Licenciatura en Kinesiología y Fisiatría y del </w:t>
      </w:r>
      <w:r>
        <w:rPr>
          <w:lang w:val="es-MX"/>
        </w:rPr>
        <w:t>Programa analítico de la asignatura</w:t>
      </w:r>
    </w:p>
    <w:p w:rsidR="00916ABA" w:rsidRDefault="00916ABA" w:rsidP="00916ABA">
      <w:pPr>
        <w:numPr>
          <w:ilvl w:val="0"/>
          <w:numId w:val="1"/>
        </w:numPr>
        <w:spacing w:after="0" w:line="240" w:lineRule="auto"/>
        <w:ind w:left="284" w:hanging="284"/>
        <w:jc w:val="both"/>
        <w:rPr>
          <w:rFonts w:ascii="Times New Roman" w:hAnsi="Times New Roman" w:cs="Times New Roman"/>
          <w:lang w:val="es-MX"/>
        </w:rPr>
      </w:pPr>
      <w:r>
        <w:rPr>
          <w:rFonts w:ascii="Times New Roman" w:hAnsi="Times New Roman" w:cs="Times New Roman"/>
        </w:rPr>
        <w:t xml:space="preserve"> 2 Entrevistas de contacto y concertación con el Director de la carrera de la Unidad Académica de referencia:</w:t>
      </w:r>
      <w:r>
        <w:rPr>
          <w:rFonts w:ascii="Times New Roman" w:hAnsi="Times New Roman" w:cs="Times New Roman"/>
          <w:lang w:val="es-MX"/>
        </w:rPr>
        <w:t xml:space="preserve"> </w:t>
      </w:r>
    </w:p>
    <w:p w:rsidR="00916ABA" w:rsidRDefault="00916ABA" w:rsidP="00916ABA">
      <w:pPr>
        <w:pStyle w:val="Textoindependiente"/>
        <w:numPr>
          <w:ilvl w:val="0"/>
          <w:numId w:val="2"/>
        </w:numPr>
        <w:tabs>
          <w:tab w:val="left" w:pos="284"/>
        </w:tabs>
        <w:spacing w:after="0"/>
        <w:ind w:hanging="720"/>
        <w:jc w:val="both"/>
        <w:rPr>
          <w:bCs/>
        </w:rPr>
      </w:pPr>
      <w:r>
        <w:rPr>
          <w:bCs/>
        </w:rPr>
        <w:t>Entrevista con el profesor Titular de la asignatura  seleccionada: Clínica kinefisiátrica quirúrgica</w:t>
      </w:r>
    </w:p>
    <w:p w:rsidR="00916ABA" w:rsidRDefault="00916ABA" w:rsidP="00916ABA">
      <w:pPr>
        <w:pStyle w:val="Textoindependiente"/>
        <w:numPr>
          <w:ilvl w:val="0"/>
          <w:numId w:val="2"/>
        </w:numPr>
        <w:tabs>
          <w:tab w:val="left" w:pos="284"/>
        </w:tabs>
        <w:spacing w:after="0"/>
        <w:ind w:hanging="720"/>
        <w:jc w:val="both"/>
      </w:pPr>
      <w:r>
        <w:t xml:space="preserve">Observaciones de clases, con énfasis en los aspectos relativos a las estrategias de enseñanza y evaluación, en el contexto de la dinámica de formación en la profesión durante todo el ciclo lectivo 2024 llevadas a cabo </w:t>
      </w:r>
      <w:r>
        <w:rPr>
          <w:bCs/>
        </w:rPr>
        <w:t>en la misma Facultad de Medicina de la UBA y en el Hospital Durand</w:t>
      </w:r>
      <w:r>
        <w:t xml:space="preserve"> </w:t>
      </w:r>
      <w:r>
        <w:rPr>
          <w:bCs/>
        </w:rPr>
        <w:t>donde los estudiantes realizan sus prácticas a lo largo de los dos cuatrimestres</w:t>
      </w:r>
    </w:p>
    <w:p w:rsidR="00916ABA" w:rsidRDefault="00916ABA" w:rsidP="00916ABA">
      <w:pPr>
        <w:pStyle w:val="Prrafodelista"/>
        <w:numPr>
          <w:ilvl w:val="0"/>
          <w:numId w:val="3"/>
        </w:numPr>
        <w:spacing w:after="0" w:line="240" w:lineRule="auto"/>
        <w:ind w:left="284" w:hanging="284"/>
        <w:jc w:val="both"/>
        <w:rPr>
          <w:rFonts w:ascii="Times New Roman" w:hAnsi="Times New Roman" w:cs="Times New Roman"/>
          <w:bCs/>
        </w:rPr>
      </w:pPr>
      <w:r>
        <w:rPr>
          <w:rFonts w:ascii="Times New Roman" w:hAnsi="Times New Roman" w:cs="Times New Roman"/>
          <w:bCs/>
        </w:rPr>
        <w:t>Seguimiento del Aula Virtual radicada en el campus de la Facultad de Medicina.</w:t>
      </w:r>
    </w:p>
    <w:p w:rsidR="00916ABA" w:rsidRDefault="00916ABA" w:rsidP="00916ABA">
      <w:pPr>
        <w:pStyle w:val="Prrafodelista"/>
        <w:numPr>
          <w:ilvl w:val="0"/>
          <w:numId w:val="3"/>
        </w:numPr>
        <w:spacing w:after="0" w:line="240" w:lineRule="auto"/>
        <w:ind w:left="284" w:hanging="284"/>
        <w:jc w:val="both"/>
        <w:rPr>
          <w:rFonts w:ascii="Times New Roman" w:hAnsi="Times New Roman" w:cs="Times New Roman"/>
        </w:rPr>
      </w:pPr>
      <w:r>
        <w:rPr>
          <w:rFonts w:ascii="Times New Roman" w:hAnsi="Times New Roman" w:cs="Times New Roman"/>
          <w:bCs/>
        </w:rPr>
        <w:t>Encuesta de opinión a través de un formulario GoogleDocs a los estudiantes al finalizar el ciclo lectivo que fue respondida por 64 alumnos.</w:t>
      </w:r>
    </w:p>
    <w:p w:rsidR="00916ABA" w:rsidRDefault="00916ABA" w:rsidP="00916ABA">
      <w:pPr>
        <w:spacing w:after="0" w:line="240" w:lineRule="auto"/>
        <w:jc w:val="both"/>
        <w:rPr>
          <w:rFonts w:ascii="Times New Roman" w:hAnsi="Times New Roman" w:cs="Times New Roman"/>
        </w:rPr>
      </w:pPr>
    </w:p>
    <w:p w:rsidR="00916ABA" w:rsidRDefault="00916ABA" w:rsidP="00916ABA">
      <w:pPr>
        <w:spacing w:after="0" w:line="240" w:lineRule="auto"/>
        <w:jc w:val="both"/>
        <w:rPr>
          <w:rFonts w:ascii="Times New Roman" w:hAnsi="Times New Roman" w:cs="Times New Roman"/>
        </w:rPr>
      </w:pPr>
    </w:p>
    <w:p w:rsidR="00916ABA" w:rsidRDefault="00916ABA" w:rsidP="00916ABA">
      <w:pPr>
        <w:pStyle w:val="Textoindependiente"/>
        <w:spacing w:after="0"/>
        <w:ind w:right="49"/>
        <w:jc w:val="both"/>
      </w:pPr>
      <w:r>
        <w:t>La dimensión institucional centró su análisis en la Historia de la cátedra en tanto partimos del supuesto que el estilo docente manifiesto en las prácticas formativas del futuro graduado es producto del devenir histórico del campo profesional y la historia institucional en que se desarrollan esas prácticas. El interés que para este equipo de investigación reviste la historia institucional tiene que ver con que la representación acerca del origen y de ella misma opera como estructurante tanto del funcionamiento de la institución, como de los resultados en términos de formación que adquieren los estudiantes.</w:t>
      </w:r>
    </w:p>
    <w:p w:rsidR="00916ABA" w:rsidRDefault="00916ABA" w:rsidP="00916ABA">
      <w:pPr>
        <w:pStyle w:val="Textoindependiente"/>
        <w:spacing w:after="0"/>
        <w:ind w:right="49"/>
        <w:jc w:val="both"/>
      </w:pPr>
      <w:r>
        <w:t>La historia institucional, desde esta perspectiva, no remite al relato objetivo de los hechos, tal cual han sucedido, sino a como es percibida por los sujetos. Desde esta perspectiva incorporamos hitos en el devenir institucional y el testimonio de uno de los actores relevantes, en tanto portador de la historia de la institución: el Director actual de la carrera.</w:t>
      </w:r>
    </w:p>
    <w:p w:rsidR="00916ABA" w:rsidRDefault="00916ABA" w:rsidP="00916ABA">
      <w:pPr>
        <w:spacing w:after="0" w:line="240" w:lineRule="auto"/>
        <w:jc w:val="both"/>
        <w:rPr>
          <w:rFonts w:ascii="Times New Roman" w:hAnsi="Times New Roman" w:cs="Times New Roman"/>
        </w:rPr>
      </w:pPr>
    </w:p>
    <w:p w:rsidR="00916ABA" w:rsidRDefault="00916ABA" w:rsidP="00916ABA">
      <w:pPr>
        <w:pStyle w:val="Normal1"/>
        <w:spacing w:after="0" w:line="240" w:lineRule="auto"/>
        <w:jc w:val="both"/>
        <w:rPr>
          <w:rFonts w:ascii="Times New Roman" w:hAnsi="Times New Roman" w:cs="Times New Roman"/>
          <w:sz w:val="24"/>
          <w:szCs w:val="24"/>
        </w:rPr>
      </w:pPr>
      <w:r>
        <w:rPr>
          <w:rFonts w:ascii="Times New Roman" w:eastAsia="Arial Unicode MS" w:hAnsi="Times New Roman" w:cs="Times New Roman"/>
          <w:kern w:val="2"/>
          <w:sz w:val="24"/>
          <w:szCs w:val="24"/>
          <w:lang w:val="es-UY" w:eastAsia="ar-SA"/>
        </w:rPr>
        <w:t xml:space="preserve">En cuanto al </w:t>
      </w:r>
      <w:r>
        <w:rPr>
          <w:rFonts w:ascii="Times New Roman" w:eastAsia="Arial Unicode MS" w:hAnsi="Times New Roman" w:cs="Times New Roman"/>
          <w:i/>
          <w:kern w:val="2"/>
          <w:sz w:val="24"/>
          <w:szCs w:val="24"/>
          <w:lang w:val="es-UY" w:eastAsia="ar-SA"/>
        </w:rPr>
        <w:t xml:space="preserve">análisis de la </w:t>
      </w:r>
      <w:r>
        <w:rPr>
          <w:rFonts w:ascii="Times New Roman" w:eastAsia="Arial Unicode MS" w:hAnsi="Times New Roman" w:cs="Times New Roman"/>
          <w:bCs/>
          <w:i/>
          <w:kern w:val="2"/>
          <w:sz w:val="24"/>
          <w:szCs w:val="24"/>
          <w:lang w:eastAsia="ar-SA"/>
        </w:rPr>
        <w:t>historia de la cátedra</w:t>
      </w:r>
      <w:r>
        <w:rPr>
          <w:rFonts w:ascii="Times New Roman" w:eastAsia="Arial Unicode MS" w:hAnsi="Times New Roman" w:cs="Times New Roman"/>
          <w:bCs/>
          <w:kern w:val="2"/>
          <w:sz w:val="24"/>
          <w:szCs w:val="24"/>
          <w:lang w:eastAsia="ar-SA"/>
        </w:rPr>
        <w:t xml:space="preserve"> se observa un período inicial, una etapa fundacional y una segunda, la refundación.</w:t>
      </w:r>
      <w:r>
        <w:rPr>
          <w:rFonts w:ascii="Times New Roman" w:hAnsi="Times New Roman" w:cs="Times New Roman"/>
          <w:sz w:val="24"/>
          <w:szCs w:val="24"/>
        </w:rPr>
        <w:t xml:space="preserve"> Consideramos a la cátedra como una institución</w:t>
      </w:r>
    </w:p>
    <w:p w:rsidR="00916ABA" w:rsidRDefault="00916ABA" w:rsidP="00916ABA">
      <w:pPr>
        <w:pStyle w:val="Normal1"/>
        <w:spacing w:after="0" w:line="240" w:lineRule="auto"/>
        <w:jc w:val="both"/>
        <w:rPr>
          <w:rFonts w:ascii="Times New Roman" w:hAnsi="Times New Roman" w:cs="Times New Roman"/>
          <w:sz w:val="24"/>
          <w:szCs w:val="24"/>
        </w:rPr>
      </w:pPr>
    </w:p>
    <w:p w:rsidR="00916ABA" w:rsidRDefault="00916ABA" w:rsidP="00916ABA">
      <w:pPr>
        <w:pStyle w:val="Normal1"/>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En relación con la etapa fundacional esta cátedra - institución se presenta como un producto instituido que es precedido por un proceso de constitución. Se institucionaliza, tiene un momento de origen, que puede resultar difícil de establecer. Este inicio, se reinventa desde el presente, se constituye en imaginario retrospectivo que conforma la “mitología de los orígenes” (Garay, 1994) que tiene valor simbólico para los sujetos que </w:t>
      </w:r>
      <w:r>
        <w:rPr>
          <w:rFonts w:ascii="Times New Roman" w:hAnsi="Times New Roman" w:cs="Times New Roman"/>
          <w:sz w:val="24"/>
          <w:szCs w:val="24"/>
        </w:rPr>
        <w:lastRenderedPageBreak/>
        <w:t>lo inventan y reinventan. Asimismo, siempre supone otras instituciones que le sirven de plataforma de despegue, es decir, subsume a otras, desplaza, reabsorbe; nace y se institucionaliza en oposición o complementariamente a otras instituciones.</w:t>
      </w:r>
    </w:p>
    <w:p w:rsidR="00916ABA" w:rsidRDefault="00916ABA" w:rsidP="00916ABA">
      <w:pPr>
        <w:pStyle w:val="Normal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proceso de institucionalización, deja sus marcas en las estructuras, en la dinámica, en las prácticas, en los logros y fracasos, en los conflictos al interior de la organización, en cada establecimiento. </w:t>
      </w:r>
      <w:r>
        <w:rPr>
          <w:rFonts w:ascii="Times New Roman" w:hAnsi="Times New Roman" w:cs="Times New Roman"/>
          <w:i/>
          <w:sz w:val="24"/>
          <w:szCs w:val="24"/>
        </w:rPr>
        <w:t xml:space="preserve">Produce y es producida por luchas de fuerzas, movimientos, mutaciones y transformaciones de sus características </w:t>
      </w:r>
      <w:r>
        <w:rPr>
          <w:rFonts w:ascii="Times New Roman" w:hAnsi="Times New Roman" w:cs="Times New Roman"/>
          <w:sz w:val="24"/>
          <w:szCs w:val="24"/>
        </w:rPr>
        <w:t xml:space="preserve">(Garay, 1994: 3). </w:t>
      </w:r>
    </w:p>
    <w:p w:rsidR="00916ABA" w:rsidRDefault="00916ABA" w:rsidP="00916ABA">
      <w:pPr>
        <w:pStyle w:val="Normal1"/>
        <w:spacing w:after="0" w:line="240" w:lineRule="auto"/>
        <w:jc w:val="both"/>
        <w:rPr>
          <w:rFonts w:ascii="Times New Roman" w:hAnsi="Times New Roman" w:cs="Times New Roman"/>
          <w:sz w:val="24"/>
          <w:szCs w:val="24"/>
        </w:rPr>
      </w:pPr>
    </w:p>
    <w:p w:rsidR="00916ABA" w:rsidRDefault="00916ABA" w:rsidP="00916ABA">
      <w:pPr>
        <w:pStyle w:val="Normal1"/>
        <w:spacing w:after="0" w:line="240" w:lineRule="auto"/>
        <w:jc w:val="both"/>
        <w:rPr>
          <w:rFonts w:ascii="Times New Roman" w:hAnsi="Times New Roman" w:cs="Times New Roman"/>
          <w:sz w:val="24"/>
          <w:szCs w:val="24"/>
        </w:rPr>
      </w:pPr>
      <w:r>
        <w:rPr>
          <w:rFonts w:ascii="Times New Roman" w:hAnsi="Times New Roman" w:cs="Times New Roman"/>
          <w:sz w:val="24"/>
          <w:szCs w:val="24"/>
        </w:rPr>
        <w:t>Si bien muy pocas veces se puede asistir  históricamente al nacimiento de una gran institución, lo que se sí podemos ver son momentos de modificación y de transformaciones. Fuerzas instituyentes productoras de nuevas ideas y valores, -o ideas y valores del pasado que se reinstituyen- que se traducen en proyectos. En este marco conceptual resulta significativo  el “olvido” de quien actualmente es portador de la historia de la cátedra del momento de su origen.</w:t>
      </w:r>
    </w:p>
    <w:p w:rsidR="00916ABA" w:rsidRDefault="00916ABA" w:rsidP="00916ABA">
      <w:pPr>
        <w:pStyle w:val="Normal1"/>
        <w:spacing w:after="0" w:line="240" w:lineRule="auto"/>
        <w:jc w:val="both"/>
        <w:rPr>
          <w:rFonts w:ascii="Times New Roman" w:hAnsi="Times New Roman" w:cs="Times New Roman"/>
          <w:sz w:val="24"/>
          <w:szCs w:val="24"/>
        </w:rPr>
      </w:pPr>
    </w:p>
    <w:p w:rsidR="00916ABA" w:rsidRDefault="00916ABA" w:rsidP="00916ABA">
      <w:pPr>
        <w:spacing w:after="0" w:line="240" w:lineRule="auto"/>
        <w:jc w:val="both"/>
        <w:rPr>
          <w:rFonts w:ascii="Times New Roman" w:hAnsi="Times New Roman" w:cs="Times New Roman"/>
        </w:rPr>
      </w:pPr>
      <w:r w:rsidRPr="00916ABA">
        <w:rPr>
          <w:rFonts w:ascii="Times New Roman" w:hAnsi="Times New Roman" w:cs="Times New Roman"/>
          <w:i/>
        </w:rPr>
        <w:t xml:space="preserve">PT: (…) la cátedra, básicamente en la historia siempre ha sido más o menos igual,  se ha creado así desde el origen. Tal vez sí ha mutado en cuanto a los contenidos, sí se fueron modificando, se fueron agiorando un poco a la realidad apuntando un poco más a la ortopedia y traumatología…  pero históricamente más o menos el manejo fue muy similar. </w:t>
      </w:r>
      <w:r>
        <w:rPr>
          <w:rFonts w:ascii="Times New Roman" w:hAnsi="Times New Roman" w:cs="Times New Roman"/>
        </w:rPr>
        <w:t>(Entrev PT. 17/4/24)</w:t>
      </w:r>
    </w:p>
    <w:p w:rsidR="00916ABA" w:rsidRDefault="00916ABA" w:rsidP="00916ABA">
      <w:pPr>
        <w:pStyle w:val="Normal1"/>
        <w:spacing w:after="0" w:line="240" w:lineRule="auto"/>
        <w:jc w:val="both"/>
        <w:rPr>
          <w:rFonts w:ascii="Times New Roman" w:hAnsi="Times New Roman" w:cs="Times New Roman"/>
          <w:sz w:val="24"/>
          <w:szCs w:val="24"/>
        </w:rPr>
      </w:pPr>
    </w:p>
    <w:p w:rsidR="00916ABA" w:rsidRDefault="00916ABA" w:rsidP="00916ABA">
      <w:pPr>
        <w:pStyle w:val="Normal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Así mismo, para Enriquez (2002), las instituciones intentan establecer un modo de regulación, para mantener cierto estado y poder transmitirlo. Se fundan en un saber que tiene la fuerza de Ley que debe interiorizarse en los comportamientos de los sujetos, en una especie de sumisión aceptada como natural. Se originan alrededor de una persona central, remitiendo a la problemática de la paternidad, que es quien posee el saber. Los hijos, seguidores, se identifican con el padre y lo toman como ideal, para algún día asumir la función paterna. Son reproductores, intentan perpetuar una forma y para ello transmiten ese saber. </w:t>
      </w:r>
    </w:p>
    <w:p w:rsidR="00916ABA" w:rsidRDefault="00916ABA" w:rsidP="00916ABA">
      <w:pPr>
        <w:spacing w:after="0" w:line="240" w:lineRule="auto"/>
        <w:ind w:left="720"/>
        <w:jc w:val="both"/>
        <w:rPr>
          <w:rFonts w:ascii="Times New Roman" w:hAnsi="Times New Roman" w:cs="Times New Roman"/>
        </w:rPr>
      </w:pPr>
    </w:p>
    <w:p w:rsidR="00916ABA" w:rsidRDefault="00916ABA" w:rsidP="00916ABA">
      <w:pPr>
        <w:pStyle w:val="Normal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Hassoun, J. (1996) sostiene que  el tiempo histórico se refiere tanto a los hechos que sucedieron como al tiempo de las narraciones que dan cuenta de esos hechos atravesados por el olvido y la memoria. Este es el tiempo que llamamos historia y que necesita de una transmisión que realiza un narrador. </w:t>
      </w:r>
    </w:p>
    <w:p w:rsidR="00916ABA" w:rsidRDefault="00916ABA" w:rsidP="00916ABA">
      <w:pPr>
        <w:pStyle w:val="Normal1"/>
        <w:tabs>
          <w:tab w:val="left" w:pos="8505"/>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La transmisión del relato en términos de historicidad selecciona hitos, acontecimientos que han dejado marcas en el devenir institucional y en el personal.</w:t>
      </w:r>
    </w:p>
    <w:p w:rsidR="00916ABA" w:rsidRDefault="00916ABA" w:rsidP="00916ABA">
      <w:pPr>
        <w:pStyle w:val="Normal1"/>
        <w:spacing w:after="0" w:line="240" w:lineRule="auto"/>
        <w:jc w:val="both"/>
        <w:rPr>
          <w:rFonts w:ascii="Times New Roman" w:hAnsi="Times New Roman" w:cs="Times New Roman"/>
          <w:sz w:val="24"/>
          <w:szCs w:val="24"/>
        </w:rPr>
      </w:pPr>
    </w:p>
    <w:p w:rsidR="00916ABA" w:rsidRDefault="00916ABA" w:rsidP="00916ABA">
      <w:pPr>
        <w:pStyle w:val="Normal1"/>
        <w:spacing w:after="0" w:line="240" w:lineRule="auto"/>
        <w:jc w:val="both"/>
        <w:rPr>
          <w:rFonts w:ascii="Times New Roman" w:hAnsi="Times New Roman" w:cs="Times New Roman"/>
          <w:b/>
          <w:sz w:val="24"/>
          <w:szCs w:val="24"/>
        </w:rPr>
      </w:pPr>
    </w:p>
    <w:p w:rsidR="00916ABA" w:rsidRDefault="00916ABA" w:rsidP="00916ABA">
      <w:pPr>
        <w:pStyle w:val="Prrafodelista1"/>
        <w:spacing w:line="240" w:lineRule="auto"/>
        <w:ind w:left="0"/>
        <w:jc w:val="both"/>
        <w:rPr>
          <w:rFonts w:eastAsia="Arial Unicode MS"/>
          <w:bCs/>
          <w:kern w:val="2"/>
          <w:szCs w:val="24"/>
          <w:lang w:val="es-ES" w:eastAsia="ar-SA"/>
        </w:rPr>
      </w:pPr>
      <w:r>
        <w:rPr>
          <w:rFonts w:eastAsia="Arial Unicode MS"/>
          <w:kern w:val="2"/>
          <w:szCs w:val="24"/>
          <w:lang w:val="es-ES" w:eastAsia="ar-SA"/>
        </w:rPr>
        <w:t>El segundo</w:t>
      </w:r>
      <w:r>
        <w:rPr>
          <w:rFonts w:eastAsia="Arial Unicode MS"/>
          <w:bCs/>
          <w:kern w:val="2"/>
          <w:szCs w:val="24"/>
          <w:lang w:eastAsia="ar-SA"/>
        </w:rPr>
        <w:t xml:space="preserve"> momento, la refundación, </w:t>
      </w:r>
      <w:r>
        <w:rPr>
          <w:rFonts w:eastAsia="Arial Unicode MS"/>
          <w:bCs/>
          <w:kern w:val="2"/>
          <w:szCs w:val="24"/>
          <w:lang w:val="es-ES" w:eastAsia="ar-SA"/>
        </w:rPr>
        <w:t>se produce cuando asume el profesor Titular actual,</w:t>
      </w:r>
      <w:r>
        <w:rPr>
          <w:rFonts w:eastAsia="Arial Unicode MS"/>
          <w:bCs/>
          <w:i/>
          <w:iCs/>
          <w:kern w:val="2"/>
          <w:szCs w:val="24"/>
          <w:lang w:eastAsia="ar-SA"/>
        </w:rPr>
        <w:t xml:space="preserve"> </w:t>
      </w:r>
      <w:r>
        <w:rPr>
          <w:rFonts w:eastAsia="Arial Unicode MS"/>
          <w:bCs/>
          <w:iCs/>
          <w:kern w:val="2"/>
          <w:szCs w:val="24"/>
          <w:lang w:eastAsia="ar-SA"/>
        </w:rPr>
        <w:t>que arma todo su equipo en base a los docentes con los que él  venía trabajando y a los que quería sumar; varios docentes que habían formado parte de la cátedra no continuaron.</w:t>
      </w:r>
    </w:p>
    <w:p w:rsidR="00916ABA" w:rsidRDefault="00916ABA" w:rsidP="00916ABA">
      <w:pPr>
        <w:pStyle w:val="Prrafodelista1"/>
        <w:spacing w:line="240" w:lineRule="auto"/>
        <w:ind w:left="0"/>
        <w:jc w:val="both"/>
        <w:rPr>
          <w:rFonts w:eastAsia="Arial Unicode MS"/>
          <w:bCs/>
          <w:kern w:val="2"/>
          <w:szCs w:val="24"/>
          <w:lang w:val="es-ES" w:eastAsia="ar-SA"/>
        </w:rPr>
      </w:pPr>
      <w:r>
        <w:rPr>
          <w:rFonts w:eastAsia="Arial Unicode MS"/>
          <w:bCs/>
          <w:kern w:val="2"/>
          <w:szCs w:val="24"/>
          <w:lang w:eastAsia="ar-SA"/>
        </w:rPr>
        <w:t>Sin embargo, la cátedra sigue manteniendo su misma estructura y modalidad de funcionamiento. Sólo los contenidos fueron “aggiornados”.</w:t>
      </w:r>
    </w:p>
    <w:p w:rsidR="00916ABA" w:rsidRDefault="00916ABA" w:rsidP="00916ABA">
      <w:pPr>
        <w:pStyle w:val="Prrafodelista1"/>
        <w:spacing w:line="240" w:lineRule="auto"/>
        <w:ind w:left="0"/>
        <w:jc w:val="both"/>
        <w:rPr>
          <w:rFonts w:eastAsia="Arial Unicode MS"/>
          <w:kern w:val="2"/>
          <w:szCs w:val="24"/>
          <w:lang w:val="es-ES" w:eastAsia="ar-SA"/>
        </w:rPr>
      </w:pP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eastAsia="ar-SA"/>
        </w:rPr>
        <w:lastRenderedPageBreak/>
        <w:t xml:space="preserve">La naturaleza de los cambios realizados podría dar cuenta de una suerte de avasallamiento del pasado que se expresa en el presente en la repetición: hay rasgos, modos de funcionamiento que se mantienen y que se sustentan en la ilusión que se puede ser igual al antecesor.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eastAsia="ar-SA"/>
        </w:rPr>
        <w:t xml:space="preserve">Se produce una dependencia de los sucesores con los predecesores sostenido en un fuerte sentimiento de lealtad en un doble sentido: por un lado, llevar adelante el proyecto de quienes antecedieron, cumpliendo de ese modo con sus deseos y por el otro, cumplir con las expectativas de los otros respecto a lo que se espera de quien lidera el proyecto.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eastAsia="ar-SA"/>
        </w:rPr>
        <w:t>Se establece una dinámica en donde el sucesor es un “replicante”, un “doble” y en la que no hay lugar para el cuestionamiento de los modos de hacer, ni para la desaprobación de los sucesores.</w:t>
      </w:r>
      <w:r>
        <w:rPr>
          <w:rFonts w:eastAsia="Arial Unicode MS"/>
          <w:kern w:val="2"/>
          <w:szCs w:val="24"/>
          <w:lang w:val="es-ES" w:eastAsia="ar-SA"/>
        </w:rPr>
        <w:t xml:space="preserve">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eastAsia="ar-SA"/>
        </w:rPr>
        <w:t>El riesgo es la enajenación y la imposibilidad de cambio y transformación en la medida que el heredero repite la historia y encarna los mandatos.</w:t>
      </w:r>
      <w:r>
        <w:rPr>
          <w:rFonts w:eastAsia="Arial Unicode MS"/>
          <w:kern w:val="2"/>
          <w:szCs w:val="24"/>
          <w:lang w:val="es-ES" w:eastAsia="ar-SA"/>
        </w:rPr>
        <w:t xml:space="preserve">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eastAsia="ar-SA"/>
        </w:rPr>
        <w:t>Por otro lado, se vislumbra también como modalidad de desempeño el de regulador, en donde se reconocen las cuestiones que aún siguen apareciendo como dificultades (Nicastro, 1997).</w:t>
      </w:r>
      <w:r>
        <w:rPr>
          <w:rFonts w:eastAsia="Arial Unicode MS"/>
          <w:kern w:val="2"/>
          <w:szCs w:val="24"/>
          <w:lang w:val="es-ES" w:eastAsia="ar-SA"/>
        </w:rPr>
        <w:t xml:space="preserve"> </w:t>
      </w:r>
    </w:p>
    <w:p w:rsidR="00916ABA" w:rsidRDefault="00916ABA" w:rsidP="00916ABA">
      <w:pPr>
        <w:pStyle w:val="Prrafodelista1"/>
        <w:spacing w:line="240" w:lineRule="auto"/>
        <w:ind w:left="0"/>
        <w:jc w:val="both"/>
        <w:rPr>
          <w:rFonts w:eastAsia="Arial Unicode MS"/>
          <w:kern w:val="2"/>
          <w:szCs w:val="24"/>
          <w:lang w:eastAsia="ar-SA"/>
        </w:rPr>
      </w:pP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eastAsia="ar-SA"/>
        </w:rPr>
        <w:t>En relación a la posibilidad de incrementar la articulación teoría práctica se observa que hay una  reducción de la cantidad de rotaciones que realizan los estudiantes en los hospitales, debido al aumento del número de alumnos que deben repartirse en las rotaciones, y a la creación de  carreras nuevas que también necesitan lugares y espacios de rotación: esto  hace que el tiempo de exposición del alumno frente a los pacientes en los lugares de práctica sea menor.</w:t>
      </w:r>
      <w:r>
        <w:rPr>
          <w:rFonts w:eastAsia="Arial Unicode MS"/>
          <w:kern w:val="2"/>
          <w:szCs w:val="24"/>
          <w:lang w:val="es-ES" w:eastAsia="ar-SA"/>
        </w:rPr>
        <w:t xml:space="preserve">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eastAsia="ar-SA"/>
        </w:rPr>
        <w:t>Frente a esto el profesor actual se propuso que los alumnos realicen tres rotaciones más cortas, en lugar de hacer dos grandes.</w:t>
      </w:r>
      <w:r>
        <w:rPr>
          <w:rFonts w:eastAsia="Arial Unicode MS"/>
          <w:kern w:val="2"/>
          <w:szCs w:val="24"/>
          <w:lang w:val="es-ES" w:eastAsia="ar-SA"/>
        </w:rPr>
        <w:t xml:space="preserve"> </w:t>
      </w:r>
    </w:p>
    <w:p w:rsidR="00916ABA" w:rsidRDefault="00916ABA" w:rsidP="00916ABA">
      <w:pPr>
        <w:pStyle w:val="Prrafodelista1"/>
        <w:spacing w:line="240" w:lineRule="auto"/>
        <w:ind w:left="0"/>
        <w:jc w:val="both"/>
        <w:rPr>
          <w:rFonts w:eastAsia="Arial Unicode MS"/>
          <w:kern w:val="2"/>
          <w:szCs w:val="24"/>
          <w:lang w:eastAsia="ar-SA"/>
        </w:rPr>
      </w:pPr>
    </w:p>
    <w:p w:rsidR="00916ABA" w:rsidRDefault="00916ABA" w:rsidP="00916ABA">
      <w:pPr>
        <w:pStyle w:val="Prrafodelista1"/>
        <w:spacing w:line="240" w:lineRule="auto"/>
        <w:ind w:left="0"/>
        <w:jc w:val="both"/>
        <w:rPr>
          <w:rFonts w:eastAsia="Arial Unicode MS"/>
          <w:kern w:val="2"/>
          <w:szCs w:val="24"/>
          <w:lang w:eastAsia="ar-SA"/>
        </w:rPr>
      </w:pPr>
      <w:r>
        <w:rPr>
          <w:rFonts w:eastAsia="Arial Unicode MS"/>
          <w:kern w:val="2"/>
          <w:szCs w:val="24"/>
          <w:lang w:eastAsia="ar-SA"/>
        </w:rPr>
        <w:t xml:space="preserve">Sin embargo, esta propuesta nunca fue  implementada por dificultades organizativas y administrativas, ya que se aduce que sería muy complicado modificar el status quo desarrollado en los hospitales y difícil de llevar a la práctica.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eastAsia="ar-SA"/>
        </w:rPr>
        <w:t xml:space="preserve">Esta situación se convierte en un factor limitante para el desarrollo de formas más  favorables para una articulación dialéctica entre teoría y práctica; se evidencia a la vez la persistencia de tendencias hegemónicas en la formación: esto es, de la supremacía de los contenidos teóricos conceptuales y procedimentales sobre aquellas competencias de  la práctica profesional. </w:t>
      </w:r>
    </w:p>
    <w:p w:rsidR="00916ABA" w:rsidRDefault="00916ABA" w:rsidP="00916ABA">
      <w:pPr>
        <w:spacing w:after="0" w:line="240" w:lineRule="auto"/>
        <w:jc w:val="both"/>
        <w:rPr>
          <w:rFonts w:ascii="Times New Roman" w:hAnsi="Times New Roman" w:cs="Times New Roman"/>
          <w:kern w:val="0"/>
        </w:rPr>
      </w:pPr>
    </w:p>
    <w:p w:rsidR="00916ABA" w:rsidRDefault="00916ABA" w:rsidP="00916ABA">
      <w:pPr>
        <w:pStyle w:val="Prrafodelista1"/>
        <w:ind w:left="0"/>
        <w:jc w:val="both"/>
        <w:rPr>
          <w:rFonts w:eastAsia="Arial Unicode MS"/>
          <w:kern w:val="2"/>
          <w:szCs w:val="24"/>
          <w:lang w:val="es-MX" w:eastAsia="ar-SA"/>
        </w:rPr>
      </w:pPr>
      <w:r>
        <w:rPr>
          <w:rFonts w:eastAsia="Arial Unicode MS"/>
          <w:b/>
          <w:bCs/>
          <w:kern w:val="2"/>
          <w:szCs w:val="24"/>
          <w:lang w:eastAsia="ar-SA"/>
        </w:rPr>
        <w:t>Dimensión curricular y de la enseñanza: el espacio de los teóricos</w:t>
      </w:r>
    </w:p>
    <w:p w:rsidR="00916ABA" w:rsidRDefault="00916ABA" w:rsidP="00916ABA">
      <w:pPr>
        <w:spacing w:after="0" w:line="240" w:lineRule="auto"/>
        <w:jc w:val="both"/>
        <w:rPr>
          <w:rFonts w:ascii="Times New Roman" w:hAnsi="Times New Roman" w:cs="Times New Roman"/>
        </w:rPr>
      </w:pPr>
      <w:r>
        <w:rPr>
          <w:rFonts w:ascii="Times New Roman" w:hAnsi="Times New Roman" w:cs="Times New Roman"/>
        </w:rPr>
        <w:t xml:space="preserve">En cuanto al análisis del Programa analítico de la asignatura, si bien en el apartado respecto a la organización del contenido se menciona una selección y organización centrada en un criterio disciplinar tomando diferentes campos, se percibe un criterio de secuenciación del contenido centrado en la lógica del aprendizaje (Feldman, 2010) donde la secuencia del contenido se realiza en función de alcanzar aprendizajes cada vez más complejos, dejando de lado la lógica propia de las disciplinas. </w:t>
      </w:r>
    </w:p>
    <w:p w:rsidR="00916ABA" w:rsidRDefault="00916ABA" w:rsidP="00916ABA">
      <w:pPr>
        <w:spacing w:after="0" w:line="240" w:lineRule="auto"/>
        <w:jc w:val="both"/>
        <w:rPr>
          <w:rFonts w:ascii="Times New Roman" w:hAnsi="Times New Roman" w:cs="Times New Roman"/>
          <w:kern w:val="0"/>
        </w:rPr>
      </w:pPr>
      <w:r>
        <w:rPr>
          <w:rFonts w:ascii="Times New Roman" w:hAnsi="Times New Roman" w:cs="Times New Roman"/>
        </w:rPr>
        <w:lastRenderedPageBreak/>
        <w:t xml:space="preserve">Se toman en cuenta los problemas relacionados con el grado de dificultad del contenido, la internalización del contenido, los saberes previos que son necesarios, la experiencia anterior, etc. Cuando se secuencia utilizando este criterio se suele pensar en ciertas jerarquías de aprendizaje. La idea de “jerarquías” está, en estos casos, ligada al establecimiento de un orden progresivo en el avance de composición o de complejidad tanto de las ejecuciones (realización de tareas) como de las competencias cognitivas. </w:t>
      </w:r>
    </w:p>
    <w:p w:rsidR="00916ABA" w:rsidRDefault="00916ABA" w:rsidP="00916ABA">
      <w:pPr>
        <w:pStyle w:val="Prrafodelista1"/>
        <w:spacing w:line="240" w:lineRule="auto"/>
        <w:ind w:left="0"/>
        <w:jc w:val="both"/>
        <w:rPr>
          <w:rFonts w:eastAsia="Arial Unicode MS"/>
          <w:kern w:val="2"/>
          <w:szCs w:val="24"/>
          <w:lang w:val="es-ES" w:eastAsia="ar-SA"/>
        </w:rPr>
      </w:pP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t>Hay cuatro bloques grandes de contenido que se abordan durante el año:</w:t>
      </w:r>
      <w:r>
        <w:t xml:space="preserve"> </w:t>
      </w:r>
      <w:r>
        <w:rPr>
          <w:rFonts w:eastAsia="Arial Unicode MS"/>
          <w:kern w:val="2"/>
          <w:szCs w:val="24"/>
          <w:lang w:val="es-ES" w:eastAsia="ar-SA"/>
        </w:rPr>
        <w:t>I-Generalidades (marzo y abril); II-Pediatría (junio); III-Geriatría (mayo) y IV-Ortopedia y traumatología subdividido en tres temas: 1. Columna y postura (agosto); 2. Miembro superior (septiembre) y 3. Miembro inferior (octubre).</w:t>
      </w:r>
    </w:p>
    <w:p w:rsidR="00916ABA" w:rsidRDefault="00916ABA" w:rsidP="00916ABA">
      <w:pPr>
        <w:pStyle w:val="Prrafodelista1"/>
        <w:spacing w:line="240" w:lineRule="auto"/>
        <w:ind w:left="0"/>
        <w:jc w:val="both"/>
        <w:rPr>
          <w:rFonts w:eastAsia="Arial Unicode MS"/>
          <w:kern w:val="2"/>
          <w:szCs w:val="24"/>
          <w:lang w:val="es-ES" w:eastAsia="ar-SA"/>
        </w:rPr>
      </w:pP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t xml:space="preserve">El análisis didáctico del espacio curricular del teórico se realizó principalmente a través del seguimiento del aula virtual localizada en el campus de la Facultad de Medicina. La organización en este espacio prevé el desarrollo de varias clases a dictarse a lo largo de todo el año. Se establece una secuencia de contenidos prevista que coincide con lo planteado en el programa. </w:t>
      </w:r>
    </w:p>
    <w:p w:rsidR="00916ABA" w:rsidRDefault="00916ABA" w:rsidP="00916ABA">
      <w:pPr>
        <w:pStyle w:val="Prrafodelista1"/>
        <w:spacing w:line="240" w:lineRule="auto"/>
        <w:ind w:left="0"/>
        <w:jc w:val="both"/>
        <w:rPr>
          <w:rFonts w:eastAsia="Arial Unicode MS"/>
          <w:kern w:val="2"/>
          <w:szCs w:val="24"/>
          <w:lang w:val="es-ES" w:eastAsia="ar-SA"/>
        </w:rPr>
      </w:pPr>
    </w:p>
    <w:p w:rsidR="00916ABA" w:rsidRDefault="00916ABA" w:rsidP="00916ABA">
      <w:pPr>
        <w:pStyle w:val="Prrafodelista1"/>
        <w:spacing w:line="240" w:lineRule="auto"/>
        <w:ind w:left="0"/>
        <w:jc w:val="both"/>
        <w:rPr>
          <w:rFonts w:eastAsia="Arial Unicode MS"/>
          <w:kern w:val="2"/>
          <w:szCs w:val="24"/>
          <w:lang w:val="es-ES" w:eastAsia="ar-SA"/>
        </w:rPr>
      </w:pP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t xml:space="preserve">Por cada unidad se encuentran uno o más videos de cada contenido y subcontenido del programa. La mayoría de los videos se apoyan en un power point que van pasando mientras una voz en off lee o comenta lo escrito o las imágenes que se muestran (generalmente radiografías).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t xml:space="preserve">En general, son videos realizados por los docentes de la cátedra y en algunos colaboran otros docentes invitados o corresponden a eventos u organizaciones relacionados con la profesión. </w:t>
      </w:r>
    </w:p>
    <w:p w:rsidR="00916ABA" w:rsidRDefault="00916ABA" w:rsidP="00916ABA">
      <w:pPr>
        <w:pStyle w:val="Prrafodelista1"/>
        <w:spacing w:line="240" w:lineRule="auto"/>
        <w:ind w:left="0"/>
        <w:jc w:val="both"/>
        <w:rPr>
          <w:rFonts w:eastAsia="Arial Unicode MS"/>
          <w:kern w:val="2"/>
          <w:szCs w:val="24"/>
          <w:lang w:val="es-ES" w:eastAsia="ar-SA"/>
        </w:rPr>
      </w:pP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t>Sólo en algunas unidades hubo teóricos presenciales (por ejemplo, la unidad de pediatría) en los cuales se grabó el audio y se subió al aula virtual para que esté disponible para los estudiantes, al igual que cualquier otro recurso utilizado.</w:t>
      </w:r>
    </w:p>
    <w:p w:rsidR="00916ABA" w:rsidRDefault="00916ABA" w:rsidP="00916ABA">
      <w:pPr>
        <w:pStyle w:val="Prrafodelista1"/>
        <w:spacing w:line="240" w:lineRule="auto"/>
        <w:ind w:left="0"/>
        <w:jc w:val="both"/>
        <w:rPr>
          <w:rFonts w:eastAsia="Arial Unicode MS"/>
          <w:kern w:val="2"/>
          <w:szCs w:val="24"/>
          <w:lang w:val="es-ES" w:eastAsia="ar-SA"/>
        </w:rPr>
      </w:pP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t xml:space="preserve">En los teóricos se desarrollan contenidos conceptuales, procedimentales y actitudinales (Coll, 1994) aunque se enfatizaron especialmente los de tipo conceptual y procedimental.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t>Sin embargo, también se plantearon algunos contenidos y habilidades de entrecruce entre lo procedimental y actitudinal, especialmente al referir a determinadas situaciones de la práctica profesional. Estos contenidos forman parte de las denominadas competencias transversales, generales, que dan cuenta de las habilidades comunicacionales e interpersonales como contenidos a ser enseñados.</w:t>
      </w:r>
    </w:p>
    <w:p w:rsidR="00916ABA" w:rsidRDefault="00916ABA" w:rsidP="00916ABA">
      <w:pPr>
        <w:pStyle w:val="Prrafodelista1"/>
        <w:spacing w:line="240" w:lineRule="auto"/>
        <w:ind w:left="0"/>
        <w:jc w:val="both"/>
        <w:rPr>
          <w:rFonts w:eastAsia="Arial Unicode MS"/>
          <w:kern w:val="2"/>
          <w:szCs w:val="24"/>
          <w:lang w:val="es-ES" w:eastAsia="ar-SA"/>
        </w:rPr>
      </w:pP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t xml:space="preserve">Si bien en las clases indagadas predomina la referencia a los contenidos descriptos, se observó que -en algunos momentos- los kinesiólogos-docentes hacen referencia a contenidos que van más allá de la temática específica de las enfermedades.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lastRenderedPageBreak/>
        <w:t xml:space="preserve">Por ejemplo se mencionan aspectos de la bioética y de las cuestiones culturales y sociales de la práctica Kinesiológica. En algunos casos se contextualiza la práctica profesional en las características sociales del país.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t xml:space="preserve">También se hace referencia a cuestiones epistemológicas, al funcionamiento de los centros de salud de nuestro contexto.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t xml:space="preserve">La referencia a este tipo de contenidos es breve en comparación con el tratamiento que se les da a los contenidos “centrales” de las clases. </w:t>
      </w:r>
    </w:p>
    <w:p w:rsidR="00916ABA" w:rsidRDefault="00916ABA" w:rsidP="00916ABA">
      <w:pPr>
        <w:pStyle w:val="Prrafodelista1"/>
        <w:spacing w:line="240" w:lineRule="auto"/>
        <w:ind w:left="0"/>
        <w:jc w:val="both"/>
        <w:rPr>
          <w:rFonts w:eastAsia="Arial Unicode MS"/>
          <w:kern w:val="2"/>
          <w:szCs w:val="24"/>
          <w:lang w:val="es-ES" w:eastAsia="ar-SA"/>
        </w:rPr>
      </w:pPr>
    </w:p>
    <w:p w:rsidR="00916ABA" w:rsidRDefault="00916ABA" w:rsidP="00916ABA">
      <w:pPr>
        <w:pStyle w:val="Prrafodelista1"/>
        <w:spacing w:line="240" w:lineRule="auto"/>
        <w:ind w:left="0"/>
        <w:jc w:val="both"/>
        <w:rPr>
          <w:rFonts w:eastAsia="Arial Unicode MS"/>
          <w:kern w:val="2"/>
          <w:szCs w:val="24"/>
          <w:lang w:val="es-ES" w:eastAsia="ar-SA"/>
        </w:rPr>
      </w:pPr>
      <w:r w:rsidRPr="002D2F86">
        <w:rPr>
          <w:rFonts w:eastAsia="Arial Unicode MS"/>
          <w:kern w:val="2"/>
          <w:szCs w:val="24"/>
          <w:lang w:val="es-ES" w:eastAsia="ar-SA"/>
        </w:rPr>
        <w:t>Esto parece ser coherente con el modelo hegemónico en las Ciencias de la Salud: en las</w:t>
      </w:r>
      <w:r>
        <w:rPr>
          <w:rFonts w:eastAsia="Arial Unicode MS"/>
          <w:kern w:val="2"/>
          <w:szCs w:val="24"/>
          <w:lang w:val="es-ES" w:eastAsia="ar-SA"/>
        </w:rPr>
        <w:t xml:space="preserve"> clases consideradas, el énfasis se centra en la enfermedad y no en la salud y su prevención. El diagnóstico y la rehabilitación tienen centralidad, quedando por fuera las condiciones de vida cotidiana de los pacientes, los aspectos sociales y económicos de las enfermedades. </w:t>
      </w:r>
    </w:p>
    <w:p w:rsidR="00916ABA" w:rsidRDefault="00916ABA" w:rsidP="00916ABA">
      <w:pPr>
        <w:pStyle w:val="Prrafodelista1"/>
        <w:spacing w:line="240" w:lineRule="auto"/>
        <w:ind w:left="0"/>
        <w:jc w:val="both"/>
        <w:rPr>
          <w:rFonts w:eastAsia="Arial Unicode MS"/>
          <w:kern w:val="2"/>
          <w:szCs w:val="24"/>
          <w:lang w:val="es-ES" w:eastAsia="ar-SA"/>
        </w:rPr>
      </w:pPr>
      <w:r>
        <w:rPr>
          <w:rFonts w:eastAsia="Arial Unicode MS"/>
          <w:kern w:val="2"/>
          <w:szCs w:val="24"/>
          <w:lang w:val="es-ES" w:eastAsia="ar-SA"/>
        </w:rPr>
        <w:t xml:space="preserve">Los contenidos prioritarios están relacionados con las ciencias básicas duras sobre las que se sustentan en general las Ciencias de la Salud (anatomía, fisiología, semiología), y no sobre los abordajes más sociales o humanísticos. </w:t>
      </w:r>
    </w:p>
    <w:p w:rsidR="00916ABA" w:rsidRDefault="00916ABA" w:rsidP="00916ABA">
      <w:pPr>
        <w:spacing w:after="0" w:line="240" w:lineRule="auto"/>
        <w:jc w:val="both"/>
        <w:rPr>
          <w:rFonts w:ascii="Times New Roman" w:hAnsi="Times New Roman" w:cs="Times New Roman"/>
          <w:kern w:val="0"/>
          <w:lang w:val="es-MX"/>
        </w:rPr>
      </w:pPr>
    </w:p>
    <w:p w:rsidR="00386AC5" w:rsidRDefault="00916ABA" w:rsidP="00916ABA">
      <w:pPr>
        <w:spacing w:before="200" w:after="0" w:line="240" w:lineRule="auto"/>
        <w:jc w:val="both"/>
        <w:rPr>
          <w:rFonts w:ascii="Times New Roman" w:eastAsia="Century Gothic" w:hAnsi="Times New Roman" w:cs="Times New Roman"/>
          <w:lang w:eastAsia="es-AR"/>
        </w:rPr>
      </w:pPr>
      <w:r>
        <w:rPr>
          <w:rFonts w:ascii="Times New Roman" w:eastAsia="Century Gothic" w:hAnsi="Times New Roman" w:cs="Times New Roman"/>
          <w:lang w:eastAsia="es-AR"/>
        </w:rPr>
        <w:t xml:space="preserve">En cuanto a relación teoría-práctica, en los teóricos de esta asignatura se observó la tendencia general predominante de una lógica aplicacionista (Lucarelli, 2005; Da Cunha, 1997) mediante la cual se parte de los contenidos teóricos más abstractos </w:t>
      </w:r>
      <w:r w:rsidRPr="00AF0B8E">
        <w:rPr>
          <w:rFonts w:ascii="Times New Roman" w:eastAsia="Century Gothic" w:hAnsi="Times New Roman" w:cs="Times New Roman"/>
          <w:lang w:eastAsia="es-AR"/>
        </w:rPr>
        <w:t xml:space="preserve">(fisiopatología) hacia los contenidos más ligados a la práctica profesional (semiología). </w:t>
      </w:r>
    </w:p>
    <w:p w:rsidR="00342640" w:rsidRPr="00386AC5" w:rsidRDefault="00AF0B8E" w:rsidP="00916ABA">
      <w:pPr>
        <w:spacing w:before="200" w:after="0" w:line="240" w:lineRule="auto"/>
        <w:jc w:val="both"/>
        <w:rPr>
          <w:rFonts w:ascii="Times New Roman" w:eastAsia="Century Gothic" w:hAnsi="Times New Roman" w:cs="Times New Roman"/>
          <w:lang w:eastAsia="es-AR"/>
        </w:rPr>
      </w:pPr>
      <w:r w:rsidRPr="00386AC5">
        <w:rPr>
          <w:rFonts w:ascii="Times New Roman" w:eastAsia="Century Gothic" w:hAnsi="Times New Roman" w:cs="Times New Roman"/>
          <w:lang w:eastAsia="es-AR"/>
        </w:rPr>
        <w:t xml:space="preserve">Interesó observar que </w:t>
      </w:r>
      <w:r w:rsidR="00FD04D3" w:rsidRPr="00386AC5">
        <w:rPr>
          <w:rFonts w:ascii="Times New Roman" w:eastAsia="Century Gothic" w:hAnsi="Times New Roman" w:cs="Times New Roman"/>
          <w:lang w:eastAsia="es-AR"/>
        </w:rPr>
        <w:t>tanto en el análisis del Programa como en el espacio de las clases teóricas</w:t>
      </w:r>
      <w:r w:rsidRPr="00386AC5">
        <w:rPr>
          <w:rFonts w:ascii="Times New Roman" w:eastAsia="Century Gothic" w:hAnsi="Times New Roman" w:cs="Times New Roman"/>
          <w:lang w:eastAsia="es-AR"/>
        </w:rPr>
        <w:t xml:space="preserve">, </w:t>
      </w:r>
      <w:r w:rsidR="00FD04D3" w:rsidRPr="00386AC5">
        <w:rPr>
          <w:rFonts w:ascii="Times New Roman" w:eastAsia="Century Gothic" w:hAnsi="Times New Roman" w:cs="Times New Roman"/>
          <w:lang w:eastAsia="es-AR"/>
        </w:rPr>
        <w:t xml:space="preserve"> </w:t>
      </w:r>
      <w:r w:rsidRPr="00386AC5">
        <w:rPr>
          <w:rFonts w:ascii="Times New Roman" w:eastAsia="Century Gothic" w:hAnsi="Times New Roman" w:cs="Times New Roman"/>
          <w:lang w:eastAsia="es-AR"/>
        </w:rPr>
        <w:t xml:space="preserve">la formación en los aprendizajes complejos propios de la profesión da lugar a que </w:t>
      </w:r>
      <w:r w:rsidR="00FD04D3" w:rsidRPr="00386AC5">
        <w:rPr>
          <w:rFonts w:ascii="Times New Roman" w:eastAsia="Century Gothic" w:hAnsi="Times New Roman" w:cs="Times New Roman"/>
          <w:lang w:eastAsia="es-AR"/>
        </w:rPr>
        <w:t xml:space="preserve"> </w:t>
      </w:r>
      <w:r w:rsidRPr="00386AC5">
        <w:rPr>
          <w:rFonts w:ascii="Times New Roman" w:eastAsia="Century Gothic" w:hAnsi="Times New Roman" w:cs="Times New Roman"/>
          <w:lang w:eastAsia="es-AR"/>
        </w:rPr>
        <w:t xml:space="preserve">sea </w:t>
      </w:r>
      <w:r w:rsidR="00FD04D3" w:rsidRPr="00386AC5">
        <w:rPr>
          <w:rFonts w:ascii="Times New Roman" w:eastAsia="Century Gothic" w:hAnsi="Times New Roman" w:cs="Times New Roman"/>
          <w:lang w:eastAsia="es-AR"/>
        </w:rPr>
        <w:t xml:space="preserve"> </w:t>
      </w:r>
      <w:r w:rsidR="00E42DCA" w:rsidRPr="00386AC5">
        <w:rPr>
          <w:rFonts w:ascii="Times New Roman" w:eastAsia="Century Gothic" w:hAnsi="Times New Roman" w:cs="Times New Roman"/>
          <w:lang w:eastAsia="es-AR"/>
        </w:rPr>
        <w:t xml:space="preserve">esa </w:t>
      </w:r>
      <w:r w:rsidRPr="00386AC5">
        <w:rPr>
          <w:rFonts w:ascii="Times New Roman" w:eastAsia="Century Gothic" w:hAnsi="Times New Roman" w:cs="Times New Roman"/>
          <w:lang w:eastAsia="es-AR"/>
        </w:rPr>
        <w:t xml:space="preserve">la  </w:t>
      </w:r>
      <w:r w:rsidRPr="00386AC5">
        <w:rPr>
          <w:rFonts w:ascii="Times New Roman" w:eastAsia="Century Gothic" w:hAnsi="Times New Roman" w:cs="Times New Roman"/>
          <w:i/>
          <w:lang w:eastAsia="es-AR"/>
        </w:rPr>
        <w:t xml:space="preserve">vía </w:t>
      </w:r>
      <w:r w:rsidR="00FD04D3" w:rsidRPr="00386AC5">
        <w:rPr>
          <w:rFonts w:ascii="Times New Roman" w:eastAsia="Century Gothic" w:hAnsi="Times New Roman" w:cs="Times New Roman"/>
          <w:i/>
          <w:lang w:eastAsia="es-AR"/>
        </w:rPr>
        <w:t>principal</w:t>
      </w:r>
      <w:r w:rsidR="00FD04D3" w:rsidRPr="00386AC5">
        <w:rPr>
          <w:rFonts w:ascii="Times New Roman" w:eastAsia="Century Gothic" w:hAnsi="Times New Roman" w:cs="Times New Roman"/>
          <w:lang w:eastAsia="es-AR"/>
        </w:rPr>
        <w:t xml:space="preserve"> en  que se manifiesta la relación entre teoría y práctica</w:t>
      </w:r>
      <w:r w:rsidRPr="00386AC5">
        <w:rPr>
          <w:rFonts w:ascii="Times New Roman" w:eastAsia="Century Gothic" w:hAnsi="Times New Roman" w:cs="Times New Roman"/>
          <w:lang w:eastAsia="es-AR"/>
        </w:rPr>
        <w:t>.</w:t>
      </w:r>
      <w:r w:rsidR="002D2F86" w:rsidRPr="00386AC5">
        <w:rPr>
          <w:rFonts w:ascii="Times New Roman" w:eastAsia="Century Gothic" w:hAnsi="Times New Roman" w:cs="Times New Roman"/>
          <w:lang w:eastAsia="es-AR"/>
        </w:rPr>
        <w:t>(Lucarelli, 2009).</w:t>
      </w:r>
      <w:r w:rsidR="00FD04D3" w:rsidRPr="00386AC5">
        <w:rPr>
          <w:rFonts w:ascii="Times New Roman" w:eastAsia="Century Gothic" w:hAnsi="Times New Roman" w:cs="Times New Roman"/>
          <w:lang w:eastAsia="es-AR"/>
        </w:rPr>
        <w:t xml:space="preserve">  </w:t>
      </w:r>
      <w:r w:rsidR="00D779A9" w:rsidRPr="00386AC5">
        <w:rPr>
          <w:rFonts w:ascii="Times New Roman" w:eastAsia="Century Gothic" w:hAnsi="Times New Roman" w:cs="Times New Roman"/>
          <w:lang w:eastAsia="es-AR"/>
        </w:rPr>
        <w:t>No obstante e</w:t>
      </w:r>
      <w:r w:rsidRPr="00386AC5">
        <w:rPr>
          <w:rFonts w:ascii="Times New Roman" w:eastAsia="Century Gothic" w:hAnsi="Times New Roman" w:cs="Times New Roman"/>
          <w:lang w:eastAsia="es-AR"/>
        </w:rPr>
        <w:t xml:space="preserve">sta preeminencia  se </w:t>
      </w:r>
      <w:r w:rsidR="00342640" w:rsidRPr="00386AC5">
        <w:rPr>
          <w:rFonts w:ascii="Times New Roman" w:eastAsia="Century Gothic" w:hAnsi="Times New Roman" w:cs="Times New Roman"/>
          <w:lang w:eastAsia="es-AR"/>
        </w:rPr>
        <w:t xml:space="preserve">corresponde con una visión </w:t>
      </w:r>
      <w:r w:rsidR="00D779A9" w:rsidRPr="00386AC5">
        <w:rPr>
          <w:rFonts w:ascii="Times New Roman" w:eastAsia="Century Gothic" w:hAnsi="Times New Roman" w:cs="Times New Roman"/>
          <w:lang w:eastAsia="es-AR"/>
        </w:rPr>
        <w:t>descriptiva</w:t>
      </w:r>
      <w:r w:rsidR="00E42DCA" w:rsidRPr="00386AC5">
        <w:rPr>
          <w:rFonts w:ascii="Times New Roman" w:eastAsia="Century Gothic" w:hAnsi="Times New Roman" w:cs="Times New Roman"/>
          <w:lang w:eastAsia="es-AR"/>
        </w:rPr>
        <w:t xml:space="preserve"> y funcional</w:t>
      </w:r>
      <w:r w:rsidR="00342640" w:rsidRPr="00386AC5">
        <w:rPr>
          <w:rFonts w:ascii="Times New Roman" w:eastAsia="Century Gothic" w:hAnsi="Times New Roman" w:cs="Times New Roman"/>
          <w:lang w:eastAsia="es-AR"/>
        </w:rPr>
        <w:t xml:space="preserve"> de </w:t>
      </w:r>
      <w:r w:rsidR="00D779A9" w:rsidRPr="00386AC5">
        <w:rPr>
          <w:rFonts w:ascii="Times New Roman" w:eastAsia="Century Gothic" w:hAnsi="Times New Roman" w:cs="Times New Roman"/>
          <w:lang w:eastAsia="es-AR"/>
        </w:rPr>
        <w:t xml:space="preserve">la profesión según la cual a esta se  la reconoce  por </w:t>
      </w:r>
      <w:r w:rsidR="00D779A9" w:rsidRPr="00386AC5">
        <w:rPr>
          <w:rFonts w:ascii="Times New Roman" w:eastAsia="Century Gothic" w:hAnsi="Times New Roman" w:cs="Times New Roman"/>
          <w:i/>
          <w:iCs/>
          <w:lang w:val="es-ES" w:eastAsia="es-AR"/>
        </w:rPr>
        <w:t>practicar una técnica</w:t>
      </w:r>
      <w:r w:rsidR="00D779A9" w:rsidRPr="00386AC5">
        <w:rPr>
          <w:rFonts w:ascii="Times New Roman" w:eastAsia="Century Gothic" w:hAnsi="Times New Roman" w:cs="Times New Roman"/>
          <w:lang w:val="es-ES" w:eastAsia="es-AR"/>
        </w:rPr>
        <w:t xml:space="preserve"> definida, basada en una </w:t>
      </w:r>
      <w:r w:rsidR="00D779A9" w:rsidRPr="00386AC5">
        <w:rPr>
          <w:rFonts w:ascii="Times New Roman" w:eastAsia="Century Gothic" w:hAnsi="Times New Roman" w:cs="Times New Roman"/>
          <w:i/>
          <w:iCs/>
          <w:lang w:val="es-ES" w:eastAsia="es-AR"/>
        </w:rPr>
        <w:t>instrucción especializada</w:t>
      </w:r>
      <w:r w:rsidR="00E42DCA" w:rsidRPr="00386AC5">
        <w:rPr>
          <w:rFonts w:ascii="Times New Roman" w:eastAsia="Century Gothic" w:hAnsi="Times New Roman" w:cs="Times New Roman"/>
          <w:iCs/>
          <w:lang w:val="es-ES" w:eastAsia="es-AR"/>
        </w:rPr>
        <w:t>,</w:t>
      </w:r>
      <w:r w:rsidR="00386AC5" w:rsidRPr="00386AC5">
        <w:rPr>
          <w:rFonts w:ascii="Times New Roman" w:eastAsia="Century Gothic" w:hAnsi="Times New Roman" w:cs="Times New Roman"/>
          <w:iCs/>
          <w:lang w:val="es-ES" w:eastAsia="es-AR"/>
        </w:rPr>
        <w:t xml:space="preserve"> </w:t>
      </w:r>
      <w:r w:rsidR="00E42DCA" w:rsidRPr="00386AC5">
        <w:rPr>
          <w:rFonts w:ascii="Times New Roman" w:eastAsia="Century Gothic" w:hAnsi="Times New Roman" w:cs="Times New Roman"/>
          <w:iCs/>
          <w:lang w:val="es-ES" w:eastAsia="es-AR"/>
        </w:rPr>
        <w:t xml:space="preserve">(Tenti </w:t>
      </w:r>
      <w:r w:rsidR="004A0632" w:rsidRPr="00386AC5">
        <w:rPr>
          <w:rFonts w:ascii="Times New Roman" w:eastAsia="Century Gothic" w:hAnsi="Times New Roman" w:cs="Times New Roman"/>
          <w:iCs/>
          <w:lang w:val="es-ES" w:eastAsia="es-AR"/>
        </w:rPr>
        <w:t xml:space="preserve">Fanfani en Gómez Campo y Tenti Fanfani, </w:t>
      </w:r>
      <w:r w:rsidR="00E42DCA" w:rsidRPr="00386AC5">
        <w:rPr>
          <w:rFonts w:ascii="Times New Roman" w:eastAsia="Century Gothic" w:hAnsi="Times New Roman" w:cs="Times New Roman"/>
          <w:iCs/>
          <w:lang w:val="es-ES" w:eastAsia="es-AR"/>
        </w:rPr>
        <w:t>19</w:t>
      </w:r>
      <w:r w:rsidR="004A0632" w:rsidRPr="00386AC5">
        <w:rPr>
          <w:rFonts w:ascii="Times New Roman" w:eastAsia="Century Gothic" w:hAnsi="Times New Roman" w:cs="Times New Roman"/>
          <w:iCs/>
          <w:lang w:val="es-ES" w:eastAsia="es-AR"/>
        </w:rPr>
        <w:t>82</w:t>
      </w:r>
      <w:r w:rsidR="00E42DCA" w:rsidRPr="00386AC5">
        <w:rPr>
          <w:rFonts w:ascii="Times New Roman" w:eastAsia="Century Gothic" w:hAnsi="Times New Roman" w:cs="Times New Roman"/>
          <w:iCs/>
          <w:lang w:val="es-ES" w:eastAsia="es-AR"/>
        </w:rPr>
        <w:t>);</w:t>
      </w:r>
      <w:r w:rsidR="004A0632" w:rsidRPr="00386AC5">
        <w:rPr>
          <w:rFonts w:ascii="Times New Roman" w:eastAsia="Century Gothic" w:hAnsi="Times New Roman" w:cs="Times New Roman"/>
          <w:i/>
          <w:iCs/>
          <w:lang w:val="es-ES" w:eastAsia="es-AR"/>
        </w:rPr>
        <w:t xml:space="preserve"> </w:t>
      </w:r>
      <w:r w:rsidR="00E42DCA" w:rsidRPr="00386AC5">
        <w:rPr>
          <w:rFonts w:ascii="Times New Roman" w:eastAsia="Century Gothic" w:hAnsi="Times New Roman" w:cs="Times New Roman"/>
          <w:iCs/>
          <w:lang w:val="es-ES" w:eastAsia="es-AR"/>
        </w:rPr>
        <w:t>quedan pendientes contenidos correspondientes a una visión  dinámica, sociohistórica donde se indague acerca de cuáles son los conflictos e intereses que se dan al interior del campo profesional.</w:t>
      </w:r>
      <w:r w:rsidR="004A7B8D" w:rsidRPr="00386AC5">
        <w:rPr>
          <w:rFonts w:ascii="Times New Roman" w:eastAsia="Century Gothic" w:hAnsi="Times New Roman" w:cs="Times New Roman"/>
          <w:iCs/>
          <w:lang w:val="es-ES" w:eastAsia="es-AR"/>
        </w:rPr>
        <w:t xml:space="preserve"> Al decir de Panaia en referencia a los aportes de </w:t>
      </w:r>
      <w:r w:rsidR="004A7B8D" w:rsidRPr="00386AC5">
        <w:rPr>
          <w:rFonts w:ascii="Times New Roman" w:hAnsi="Times New Roman" w:cs="Times New Roman"/>
        </w:rPr>
        <w:t xml:space="preserve">Dubar y Tripier, </w:t>
      </w:r>
      <w:r w:rsidR="004A7B8D" w:rsidRPr="00386AC5">
        <w:rPr>
          <w:rFonts w:ascii="Times New Roman" w:eastAsia="Century Gothic" w:hAnsi="Times New Roman" w:cs="Times New Roman"/>
          <w:iCs/>
          <w:lang w:val="es-ES" w:eastAsia="es-AR"/>
        </w:rPr>
        <w:t xml:space="preserve"> “</w:t>
      </w:r>
      <w:r w:rsidR="004A7B8D" w:rsidRPr="00386AC5">
        <w:rPr>
          <w:rFonts w:ascii="Times New Roman" w:hAnsi="Times New Roman" w:cs="Times New Roman"/>
        </w:rPr>
        <w:t>La profesión no es objetiva sino una relación dinámica entre las instituciones, la organización de la formación, la gestión de la actividad y de las trayectorias, caminos, biografías individuales en el seno de las cuales se construyen y se deconstruyen las identidades profesionales, tanto sociales como personales</w:t>
      </w:r>
      <w:r w:rsidR="00386AC5" w:rsidRPr="00386AC5">
        <w:rPr>
          <w:rFonts w:ascii="Times New Roman" w:hAnsi="Times New Roman" w:cs="Times New Roman"/>
        </w:rPr>
        <w:t>”</w:t>
      </w:r>
      <w:r w:rsidR="004A7B8D" w:rsidRPr="00386AC5">
        <w:rPr>
          <w:rFonts w:ascii="Times New Roman" w:hAnsi="Times New Roman" w:cs="Times New Roman"/>
        </w:rPr>
        <w:t>.</w:t>
      </w:r>
      <w:r w:rsidR="00386AC5" w:rsidRPr="00386AC5">
        <w:rPr>
          <w:rFonts w:ascii="Times New Roman" w:hAnsi="Times New Roman" w:cs="Times New Roman"/>
        </w:rPr>
        <w:t xml:space="preserve"> </w:t>
      </w:r>
      <w:r w:rsidR="004A7B8D" w:rsidRPr="00386AC5">
        <w:rPr>
          <w:rFonts w:ascii="Times New Roman" w:hAnsi="Times New Roman" w:cs="Times New Roman"/>
        </w:rPr>
        <w:t xml:space="preserve">(Panaia, 2007: 11-12) </w:t>
      </w:r>
    </w:p>
    <w:p w:rsidR="00386AC5" w:rsidRPr="00386AC5" w:rsidRDefault="00386AC5" w:rsidP="00916ABA">
      <w:pPr>
        <w:spacing w:after="0" w:line="240" w:lineRule="auto"/>
        <w:jc w:val="both"/>
        <w:rPr>
          <w:rFonts w:ascii="Times New Roman" w:hAnsi="Times New Roman" w:cs="Times New Roman"/>
        </w:rPr>
      </w:pPr>
    </w:p>
    <w:p w:rsidR="00916ABA" w:rsidRDefault="00916ABA" w:rsidP="00916ABA">
      <w:pPr>
        <w:spacing w:after="0" w:line="240" w:lineRule="auto"/>
        <w:jc w:val="both"/>
        <w:rPr>
          <w:rFonts w:ascii="Times New Roman" w:eastAsia="Century Gothic" w:hAnsi="Times New Roman" w:cs="Times New Roman"/>
          <w:lang w:eastAsia="es-AR"/>
        </w:rPr>
      </w:pPr>
      <w:r>
        <w:rPr>
          <w:rFonts w:ascii="Times New Roman" w:hAnsi="Times New Roman" w:cs="Times New Roman"/>
        </w:rPr>
        <w:t xml:space="preserve">Por otro lado, si bien por el tipo de espacio (clase teórica) predomina el trabajo con la teoría, sí aparece - en diversas ocasiones- la referencia a aspectos de la práctica. Es así como es posible apreciar a lo largo de las clases </w:t>
      </w:r>
      <w:r>
        <w:rPr>
          <w:rFonts w:ascii="Times New Roman" w:hAnsi="Times New Roman" w:cs="Times New Roman"/>
          <w:i/>
        </w:rPr>
        <w:t>modalidades particulares</w:t>
      </w:r>
      <w:r>
        <w:rPr>
          <w:rFonts w:ascii="Times New Roman" w:hAnsi="Times New Roman" w:cs="Times New Roman"/>
        </w:rPr>
        <w:t xml:space="preserve"> de articulación teoría-práctica, es decir, “formas de más baja generalidad, portadoras de situaciones didácticas que desarrollan la articulación teoría-práctica, definidas en función de cómo son percibidas por los sujetos que intervienen en esas situaciones y que se concretan en las actividades que integran las estrategias de enseñanza” </w:t>
      </w:r>
      <w:r>
        <w:rPr>
          <w:rFonts w:ascii="Times New Roman" w:hAnsi="Times New Roman" w:cs="Times New Roman"/>
        </w:rPr>
        <w:lastRenderedPageBreak/>
        <w:t>(Lucarelli, 2005: 19). L</w:t>
      </w:r>
      <w:r>
        <w:rPr>
          <w:rFonts w:ascii="Times New Roman" w:eastAsia="Century Gothic" w:hAnsi="Times New Roman" w:cs="Times New Roman"/>
          <w:lang w:eastAsia="es-AR"/>
        </w:rPr>
        <w:t xml:space="preserve">a frecuente utilización de la </w:t>
      </w:r>
      <w:r w:rsidRPr="002818D4">
        <w:rPr>
          <w:rFonts w:ascii="Times New Roman" w:eastAsia="Century Gothic" w:hAnsi="Times New Roman" w:cs="Times New Roman"/>
          <w:i/>
          <w:lang w:eastAsia="es-AR"/>
        </w:rPr>
        <w:t>ejemplificación</w:t>
      </w:r>
      <w:r>
        <w:rPr>
          <w:rFonts w:ascii="Times New Roman" w:eastAsia="Century Gothic" w:hAnsi="Times New Roman" w:cs="Times New Roman"/>
          <w:lang w:eastAsia="es-AR"/>
        </w:rPr>
        <w:t xml:space="preserve"> o </w:t>
      </w:r>
      <w:r w:rsidRPr="00036977">
        <w:rPr>
          <w:rFonts w:ascii="Times New Roman" w:eastAsia="Century Gothic" w:hAnsi="Times New Roman" w:cs="Times New Roman"/>
          <w:i/>
          <w:lang w:eastAsia="es-AR"/>
        </w:rPr>
        <w:t>ilustración</w:t>
      </w:r>
      <w:r>
        <w:rPr>
          <w:rFonts w:ascii="Times New Roman" w:eastAsia="Century Gothic" w:hAnsi="Times New Roman" w:cs="Times New Roman"/>
          <w:lang w:eastAsia="es-AR"/>
        </w:rPr>
        <w:t xml:space="preserve"> permite advertir la tendencia aplicacionista, se  hizo evidente en los teóricos como forma básica y frecuente de articular teoría – práctica (Lucarelli, 2005).</w:t>
      </w:r>
    </w:p>
    <w:p w:rsidR="00916ABA" w:rsidRDefault="00916ABA" w:rsidP="00916ABA">
      <w:pPr>
        <w:spacing w:after="0" w:line="240" w:lineRule="auto"/>
        <w:jc w:val="both"/>
        <w:rPr>
          <w:rFonts w:ascii="Times New Roman" w:eastAsia="Century Gothic" w:hAnsi="Times New Roman" w:cs="Times New Roman"/>
          <w:lang w:eastAsia="es-AR"/>
        </w:rPr>
      </w:pPr>
    </w:p>
    <w:p w:rsidR="00916ABA" w:rsidRDefault="00916ABA" w:rsidP="00916ABA">
      <w:pPr>
        <w:spacing w:after="0" w:line="240" w:lineRule="auto"/>
        <w:jc w:val="both"/>
        <w:rPr>
          <w:rFonts w:ascii="Times New Roman" w:hAnsi="Times New Roman" w:cs="Times New Roman"/>
        </w:rPr>
      </w:pPr>
      <w:r>
        <w:rPr>
          <w:rFonts w:ascii="Times New Roman" w:hAnsi="Times New Roman" w:cs="Times New Roman"/>
        </w:rPr>
        <w:t xml:space="preserve">Si bien en la caracterización elaborada por Lucarelli la </w:t>
      </w:r>
      <w:r w:rsidRPr="002D2F86">
        <w:rPr>
          <w:rFonts w:ascii="Times New Roman" w:hAnsi="Times New Roman" w:cs="Times New Roman"/>
          <w:i/>
        </w:rPr>
        <w:t>ejemplificación</w:t>
      </w:r>
      <w:r>
        <w:rPr>
          <w:rFonts w:ascii="Times New Roman" w:hAnsi="Times New Roman" w:cs="Times New Roman"/>
        </w:rPr>
        <w:t xml:space="preserve"> está a cargo del estudiante (probablemente siguiendo una indicación del docente), en este análisis ampliaremos la categoría incluyendo en ella situaciones en las que es el propio docente quien brinda ejemplos, con la intención de ilustrar con situaciones prácticas lo trabajado teóricamente. Esta ampliación tiene sentido ya que, al tratarse en su mayoría de clases expositivas (con más o menos diálogo con el estudiante), el discurso es claramente monopolizado por el docente a cargo. </w:t>
      </w:r>
    </w:p>
    <w:p w:rsidR="00916ABA" w:rsidRDefault="00916ABA" w:rsidP="00916ABA">
      <w:pPr>
        <w:spacing w:after="0" w:line="240" w:lineRule="auto"/>
        <w:jc w:val="both"/>
        <w:rPr>
          <w:rFonts w:ascii="Times New Roman" w:hAnsi="Times New Roman" w:cs="Times New Roman"/>
        </w:rPr>
      </w:pPr>
      <w:r>
        <w:rPr>
          <w:rFonts w:ascii="Times New Roman" w:hAnsi="Times New Roman" w:cs="Times New Roman"/>
        </w:rPr>
        <w:t xml:space="preserve">A continuación, se presentan algunos fragmentos en los que los docentes hacen uso de la </w:t>
      </w:r>
      <w:r w:rsidRPr="002D2F86">
        <w:rPr>
          <w:rFonts w:ascii="Times New Roman" w:hAnsi="Times New Roman" w:cs="Times New Roman"/>
          <w:i/>
        </w:rPr>
        <w:t>ejemplificación</w:t>
      </w:r>
      <w:r>
        <w:rPr>
          <w:rFonts w:ascii="Times New Roman" w:hAnsi="Times New Roman" w:cs="Times New Roman"/>
        </w:rPr>
        <w:t xml:space="preserve">: </w:t>
      </w:r>
    </w:p>
    <w:p w:rsidR="00916ABA" w:rsidRDefault="00916ABA" w:rsidP="00916ABA">
      <w:pPr>
        <w:spacing w:after="0" w:line="240" w:lineRule="auto"/>
        <w:jc w:val="both"/>
        <w:rPr>
          <w:rFonts w:ascii="Times New Roman" w:hAnsi="Times New Roman" w:cs="Times New Roman"/>
        </w:rPr>
      </w:pPr>
    </w:p>
    <w:p w:rsidR="00916ABA" w:rsidRDefault="00386AC5" w:rsidP="00916ABA">
      <w:pPr>
        <w:spacing w:after="0" w:line="240" w:lineRule="auto"/>
        <w:jc w:val="both"/>
        <w:rPr>
          <w:rFonts w:ascii="Times New Roman" w:hAnsi="Times New Roman" w:cs="Times New Roman"/>
          <w:i/>
          <w:lang w:eastAsia="es-AR"/>
        </w:rPr>
      </w:pPr>
      <w:r>
        <w:rPr>
          <w:rFonts w:ascii="Times New Roman" w:hAnsi="Times New Roman" w:cs="Times New Roman"/>
          <w:i/>
          <w:lang w:eastAsia="es-AR"/>
        </w:rPr>
        <w:t xml:space="preserve">D2: </w:t>
      </w:r>
      <w:r w:rsidR="00916ABA">
        <w:rPr>
          <w:rFonts w:ascii="Times New Roman" w:hAnsi="Times New Roman" w:cs="Times New Roman"/>
          <w:i/>
          <w:lang w:eastAsia="es-AR"/>
        </w:rPr>
        <w:t>nuevamente se presenta, comenta que trabaja en el Hospital hace más de 20 años y se ha dedicado a la parte deportiva. Explicita el tema de su clase “Patologías frecuentes de rodilla en pediatría” y alude a un ejemplo personal para introducir el tema, comenta que hace poco su hija tuvo un esguince de tobillo bajando la escalera y describe cómo fue la situación cuando fueron a la guardia. (Obs- Teórico- 25/06/24).</w:t>
      </w:r>
    </w:p>
    <w:p w:rsidR="00916ABA" w:rsidRDefault="00916ABA" w:rsidP="00916ABA">
      <w:pPr>
        <w:spacing w:before="200" w:after="0" w:line="240" w:lineRule="auto"/>
        <w:jc w:val="both"/>
        <w:rPr>
          <w:rFonts w:ascii="Times New Roman" w:eastAsia="Century Gothic" w:hAnsi="Times New Roman" w:cs="Times New Roman"/>
          <w:lang w:eastAsia="es-AR"/>
        </w:rPr>
      </w:pPr>
    </w:p>
    <w:p w:rsidR="00916ABA" w:rsidRDefault="00916ABA" w:rsidP="00916ABA">
      <w:pPr>
        <w:spacing w:after="0" w:line="240" w:lineRule="auto"/>
        <w:jc w:val="both"/>
        <w:rPr>
          <w:rFonts w:ascii="Times New Roman" w:hAnsi="Times New Roman" w:cs="Times New Roman"/>
          <w:i/>
          <w:lang w:eastAsia="es-AR"/>
        </w:rPr>
      </w:pPr>
      <w:r>
        <w:rPr>
          <w:rFonts w:ascii="Times New Roman" w:hAnsi="Times New Roman" w:cs="Times New Roman"/>
          <w:i/>
          <w:lang w:eastAsia="es-AR"/>
        </w:rPr>
        <w:t xml:space="preserve">El docente comenta el ejemplo de una niña que fue a la guardia a la que se le había caído una chapa en la pierna, tenía cortado el ligamento y que la operaron y que pudo recuperarse bien. </w:t>
      </w:r>
    </w:p>
    <w:p w:rsidR="00916ABA" w:rsidRDefault="00916ABA" w:rsidP="00916ABA">
      <w:pPr>
        <w:spacing w:after="0" w:line="240" w:lineRule="auto"/>
        <w:jc w:val="both"/>
        <w:rPr>
          <w:rFonts w:ascii="Times New Roman" w:hAnsi="Times New Roman" w:cs="Times New Roman"/>
          <w:i/>
          <w:lang w:eastAsia="es-AR"/>
        </w:rPr>
      </w:pPr>
      <w:r>
        <w:rPr>
          <w:rFonts w:ascii="Times New Roman" w:hAnsi="Times New Roman" w:cs="Times New Roman"/>
          <w:i/>
          <w:lang w:eastAsia="es-AR"/>
        </w:rPr>
        <w:t>Avanza con la diapositiva final</w:t>
      </w:r>
      <w:r w:rsidR="00386AC5">
        <w:rPr>
          <w:rFonts w:ascii="Times New Roman" w:hAnsi="Times New Roman" w:cs="Times New Roman"/>
          <w:i/>
          <w:lang w:eastAsia="es-AR"/>
        </w:rPr>
        <w:t xml:space="preserve"> </w:t>
      </w:r>
      <w:r>
        <w:rPr>
          <w:rFonts w:ascii="Times New Roman" w:hAnsi="Times New Roman" w:cs="Times New Roman"/>
          <w:i/>
          <w:lang w:eastAsia="es-AR"/>
        </w:rPr>
        <w:t>(Obs- Teórico- 25/06/24)</w:t>
      </w:r>
    </w:p>
    <w:p w:rsidR="00916ABA" w:rsidRDefault="00916ABA" w:rsidP="00916ABA">
      <w:pPr>
        <w:spacing w:after="0" w:line="240" w:lineRule="auto"/>
        <w:jc w:val="both"/>
        <w:rPr>
          <w:rFonts w:ascii="Times New Roman" w:hAnsi="Times New Roman" w:cs="Times New Roman"/>
          <w:i/>
          <w:lang w:eastAsia="es-AR"/>
        </w:rPr>
      </w:pPr>
    </w:p>
    <w:p w:rsidR="00916ABA" w:rsidRDefault="00916ABA" w:rsidP="00916ABA">
      <w:pPr>
        <w:spacing w:before="200" w:after="0" w:line="240" w:lineRule="auto"/>
        <w:jc w:val="both"/>
        <w:rPr>
          <w:rFonts w:ascii="Times New Roman" w:eastAsia="Century Gothic" w:hAnsi="Times New Roman" w:cs="Times New Roman"/>
          <w:lang w:eastAsia="es-AR"/>
        </w:rPr>
      </w:pPr>
      <w:r>
        <w:rPr>
          <w:rFonts w:ascii="Times New Roman" w:eastAsia="Century Gothic" w:hAnsi="Times New Roman" w:cs="Times New Roman"/>
          <w:lang w:eastAsia="es-AR"/>
        </w:rPr>
        <w:t>Asimismo, también se pudieron observar algunos ejemplos dados por el docente acerca de su práctica profesional (experiencia) aludiendo a algunos planteos “ilustrativos” de razonamiento clínico (Eva, 2005; Gudiol Munté, 2006).</w:t>
      </w:r>
    </w:p>
    <w:p w:rsidR="00916ABA" w:rsidRDefault="00916ABA" w:rsidP="00916ABA">
      <w:pPr>
        <w:spacing w:before="200" w:after="0" w:line="240" w:lineRule="auto"/>
        <w:jc w:val="both"/>
        <w:rPr>
          <w:rFonts w:ascii="Times New Roman" w:eastAsia="Century Gothic" w:hAnsi="Times New Roman" w:cs="Times New Roman"/>
          <w:lang w:eastAsia="es-AR"/>
        </w:rPr>
      </w:pPr>
      <w:r>
        <w:rPr>
          <w:rFonts w:ascii="Times New Roman" w:eastAsia="Century Gothic" w:hAnsi="Times New Roman" w:cs="Times New Roman"/>
          <w:lang w:eastAsia="es-AR"/>
        </w:rPr>
        <w:t>El razonamiento clínico se constituye en uno de los procedimientos centrales a través de los cuales se hace efectiva la práctica de los profesionales de la Salud ya que implica el proceso de toma de decisiones para la resolución de problemas clínicos (Eva, 2005; Gudiol Munté, 2006).</w:t>
      </w:r>
    </w:p>
    <w:p w:rsidR="00916ABA" w:rsidRDefault="00916ABA" w:rsidP="00916ABA">
      <w:pPr>
        <w:spacing w:before="200" w:after="0" w:line="240" w:lineRule="auto"/>
        <w:jc w:val="both"/>
        <w:rPr>
          <w:rFonts w:ascii="Times New Roman" w:eastAsia="Century Gothic" w:hAnsi="Times New Roman" w:cs="Times New Roman"/>
          <w:lang w:eastAsia="es-AR"/>
        </w:rPr>
      </w:pPr>
      <w:r>
        <w:rPr>
          <w:rFonts w:ascii="Times New Roman" w:eastAsia="Century Gothic" w:hAnsi="Times New Roman" w:cs="Times New Roman"/>
          <w:lang w:eastAsia="es-AR"/>
        </w:rPr>
        <w:t xml:space="preserve">En pos de una mejor comprensión acerca de cómo se constituye y desarrolla este tipo de razonamiento, es conveniente reconocer cuáles son las actividades propias del diagnóstico que realiza un profesional de la salud -en este caso un kinesiólogo- ante la presentación de un caso. </w:t>
      </w:r>
    </w:p>
    <w:p w:rsidR="00916ABA" w:rsidRDefault="00916ABA" w:rsidP="00916ABA">
      <w:pPr>
        <w:spacing w:before="200" w:after="0" w:line="240" w:lineRule="auto"/>
        <w:jc w:val="both"/>
        <w:rPr>
          <w:rFonts w:ascii="Times New Roman" w:eastAsia="Century Gothic" w:hAnsi="Times New Roman" w:cs="Times New Roman"/>
          <w:lang w:eastAsia="es-AR"/>
        </w:rPr>
      </w:pPr>
      <w:r>
        <w:rPr>
          <w:rFonts w:ascii="Times New Roman" w:eastAsia="Century Gothic" w:hAnsi="Times New Roman" w:cs="Times New Roman"/>
          <w:lang w:eastAsia="es-AR"/>
        </w:rPr>
        <w:t xml:space="preserve">En algunos pasajes de clases teóricas grabadas y subidas al campus pueden apreciarse algunas alusiones al razonamiento clínico del profesional de la salud, aunque en base a las diapositivas y desde un plano teórico y discursivo, como por ejemplo: explicaciones basadas en “el deber ser” teórico-bibliográfico y de los protocolos y basadas también en </w:t>
      </w:r>
      <w:r>
        <w:rPr>
          <w:rFonts w:ascii="Times New Roman" w:eastAsia="Century Gothic" w:hAnsi="Times New Roman" w:cs="Times New Roman"/>
          <w:lang w:eastAsia="es-AR"/>
        </w:rPr>
        <w:lastRenderedPageBreak/>
        <w:t>alusiones a experiencias profesionales personales de los docentes-kinesiólogos (sin vivenciarse situaciones prácticas al momento de la clase teórica en el salón de clases).</w:t>
      </w:r>
    </w:p>
    <w:p w:rsidR="00916ABA" w:rsidRDefault="00916ABA" w:rsidP="00916ABA">
      <w:pPr>
        <w:spacing w:before="200" w:after="0" w:line="240" w:lineRule="auto"/>
        <w:jc w:val="both"/>
        <w:rPr>
          <w:rFonts w:ascii="Times New Roman" w:eastAsia="Century Gothic" w:hAnsi="Times New Roman" w:cs="Times New Roman"/>
          <w:lang w:eastAsia="es-AR"/>
        </w:rPr>
      </w:pPr>
      <w:r>
        <w:rPr>
          <w:rFonts w:ascii="Times New Roman" w:eastAsia="Century Gothic" w:hAnsi="Times New Roman" w:cs="Times New Roman"/>
          <w:lang w:eastAsia="es-AR"/>
        </w:rPr>
        <w:t>Los siguientes fragmentos ilustran referencias de este tipo en clases teóricas grabadas subidas al campus virtual que aluden a procesos de evaluación clínica y de planteo de tratamiento kinesiológico:</w:t>
      </w:r>
    </w:p>
    <w:p w:rsidR="00916ABA" w:rsidRDefault="00916ABA" w:rsidP="00916ABA">
      <w:pPr>
        <w:spacing w:after="0" w:line="360" w:lineRule="auto"/>
        <w:jc w:val="both"/>
        <w:rPr>
          <w:rFonts w:ascii="Times New Roman" w:hAnsi="Times New Roman" w:cs="Times New Roman"/>
        </w:rPr>
      </w:pPr>
    </w:p>
    <w:p w:rsidR="00916ABA" w:rsidRDefault="00916ABA" w:rsidP="00916ABA">
      <w:pPr>
        <w:spacing w:after="0" w:line="240" w:lineRule="auto"/>
        <w:jc w:val="both"/>
        <w:rPr>
          <w:rFonts w:ascii="Times New Roman" w:hAnsi="Times New Roman" w:cs="Times New Roman"/>
          <w:i/>
          <w:lang w:eastAsia="es-AR"/>
        </w:rPr>
      </w:pPr>
      <w:r>
        <w:rPr>
          <w:rFonts w:ascii="Times New Roman" w:hAnsi="Times New Roman" w:cs="Times New Roman"/>
          <w:i/>
          <w:lang w:eastAsia="es-AR"/>
        </w:rPr>
        <w:t>La siguiente diapositiva señala: ¿Qué se necesita para una buena evaluación? y se responde: Conocimientos específicos + Habilidades específicas como elementos fundamentales del evaluador. Luego se agrega que “las habilidades y conocimientos crecen con la experiencia”. En tal sentido, el docente agrega: “A menor experiencia del evaluador, mayor fidelidad a las rutas señaladas (Protocolos) mientras que a mayor experiencia del examinador: se identifican patrones y extrapola la información.</w:t>
      </w:r>
    </w:p>
    <w:p w:rsidR="00916ABA" w:rsidRDefault="00916ABA" w:rsidP="00916ABA">
      <w:pPr>
        <w:spacing w:after="0" w:line="240" w:lineRule="auto"/>
        <w:jc w:val="both"/>
        <w:rPr>
          <w:rFonts w:ascii="Times New Roman" w:hAnsi="Times New Roman" w:cs="Times New Roman"/>
          <w:i/>
          <w:lang w:eastAsia="es-AR"/>
        </w:rPr>
      </w:pPr>
      <w:r>
        <w:rPr>
          <w:rFonts w:ascii="Times New Roman" w:hAnsi="Times New Roman" w:cs="Times New Roman"/>
          <w:i/>
          <w:lang w:eastAsia="es-AR"/>
        </w:rPr>
        <w:t>Luego otra diapositiva plantea: La función del Kinesiólogo en la Evaluación. Al respecto enuncia los siguientes pasos: Determinar el carácter y el alcance de la lesión - Valorar la magnitud de la discapacidad resultante - Recoger la información necesaria - Establecer una base a partir de la cual evaluar el proceso.  Seguidamente se agrega: Evaluando datos objetivos que le ofrece el paciente + Evaluando datos objetivos mediante la exploración física = Formarse una opinión.</w:t>
      </w:r>
    </w:p>
    <w:p w:rsidR="00916ABA" w:rsidRDefault="00916ABA" w:rsidP="00916ABA">
      <w:pPr>
        <w:spacing w:after="0" w:line="240" w:lineRule="auto"/>
        <w:jc w:val="both"/>
        <w:rPr>
          <w:rFonts w:ascii="Times New Roman" w:hAnsi="Times New Roman" w:cs="Times New Roman"/>
          <w:i/>
          <w:lang w:eastAsia="es-AR"/>
        </w:rPr>
      </w:pPr>
      <w:r>
        <w:rPr>
          <w:rFonts w:ascii="Times New Roman" w:hAnsi="Times New Roman" w:cs="Times New Roman"/>
          <w:i/>
          <w:lang w:eastAsia="es-AR"/>
        </w:rPr>
        <w:t>(…)(Obs- clase teórica grabada- Marzo 2024)</w:t>
      </w:r>
    </w:p>
    <w:p w:rsidR="00916ABA" w:rsidRDefault="00916ABA" w:rsidP="00916ABA">
      <w:pPr>
        <w:spacing w:before="200" w:after="0" w:line="240" w:lineRule="auto"/>
        <w:jc w:val="both"/>
        <w:rPr>
          <w:rFonts w:ascii="Times New Roman" w:eastAsia="Century Gothic" w:hAnsi="Times New Roman" w:cs="Times New Roman"/>
          <w:lang w:eastAsia="es-AR"/>
        </w:rPr>
      </w:pPr>
    </w:p>
    <w:p w:rsidR="00916ABA" w:rsidRDefault="00916ABA" w:rsidP="00916ABA">
      <w:pPr>
        <w:spacing w:before="200" w:after="0" w:line="240" w:lineRule="auto"/>
        <w:jc w:val="both"/>
        <w:rPr>
          <w:rFonts w:ascii="Times New Roman" w:eastAsia="Century Gothic" w:hAnsi="Times New Roman" w:cs="Times New Roman"/>
          <w:lang w:eastAsia="es-AR"/>
        </w:rPr>
      </w:pPr>
      <w:r>
        <w:rPr>
          <w:rFonts w:ascii="Times New Roman" w:eastAsia="Century Gothic" w:hAnsi="Times New Roman" w:cs="Times New Roman"/>
          <w:lang w:eastAsia="es-AR"/>
        </w:rPr>
        <w:t>Por otra parte, en una clase teórica presencial, pueden apreciarse -aunque desde un plano teórico y discursivo- algunas referencias al razonamiento clínico del docente como profesional experto y experimentado -en base a algunos ejemplos que alude de su experiencia profesional- en una breve interacción con un estudiante que le hace una pregunta:</w:t>
      </w:r>
    </w:p>
    <w:p w:rsidR="00916ABA" w:rsidRDefault="00916ABA" w:rsidP="00916ABA">
      <w:pPr>
        <w:spacing w:after="0" w:line="360" w:lineRule="auto"/>
        <w:jc w:val="both"/>
        <w:rPr>
          <w:rFonts w:ascii="Times New Roman" w:hAnsi="Times New Roman" w:cs="Times New Roman"/>
        </w:rPr>
      </w:pPr>
    </w:p>
    <w:p w:rsidR="00916ABA" w:rsidRDefault="00916ABA" w:rsidP="00916ABA">
      <w:pPr>
        <w:spacing w:after="0" w:line="240" w:lineRule="auto"/>
        <w:jc w:val="both"/>
        <w:rPr>
          <w:rFonts w:ascii="Times New Roman" w:hAnsi="Times New Roman" w:cs="Times New Roman"/>
          <w:i/>
          <w:lang w:eastAsia="es-AR"/>
        </w:rPr>
      </w:pPr>
      <w:r>
        <w:rPr>
          <w:rFonts w:ascii="Times New Roman" w:hAnsi="Times New Roman" w:cs="Times New Roman"/>
          <w:i/>
          <w:lang w:eastAsia="es-AR"/>
        </w:rPr>
        <w:t>Estudiante: -¿Sobre esto del campo de las fibras, hay un fortalecimiento puramente tróclea, de lo que se necesita?</w:t>
      </w:r>
    </w:p>
    <w:p w:rsidR="00916ABA" w:rsidRDefault="00916ABA" w:rsidP="00916ABA">
      <w:pPr>
        <w:spacing w:after="0" w:line="240" w:lineRule="auto"/>
        <w:jc w:val="both"/>
        <w:rPr>
          <w:rFonts w:ascii="Times New Roman" w:hAnsi="Times New Roman" w:cs="Times New Roman"/>
          <w:i/>
          <w:lang w:eastAsia="es-AR"/>
        </w:rPr>
      </w:pPr>
      <w:r>
        <w:rPr>
          <w:rFonts w:ascii="Times New Roman" w:hAnsi="Times New Roman" w:cs="Times New Roman"/>
          <w:i/>
          <w:lang w:eastAsia="es-AR"/>
        </w:rPr>
        <w:t>Docente:  -Mira, yo tengo pacientes (…) podemos avanzar en ejercicios  progresivamente más complejos y planos inclinados super difíciles, perturbaciones con los chicos, uno tiene que hacerlo divertido y entretenido de alguna manera y debemos poner un poco la calidad de la ejecución, de evitar el dolor (…) En los casos que la presencia de intervención de femoral y la educación, el interés es muy marcado y cuando vemos esa relación a veces entre la situación intermedia externa intensificar el fortalecimiento de la musculatura. Acá esta la misma imagen de los ejercicios (..) entrenar el músculo es importante, estamos evaluando la función del miembro inferior, cuantos laterales puede hacer en 30 segundos, para un lado para el otro, el balanceo hacia adelante, el control que hay en la pierna que apoya, combinando lo vertical con lo horizontal.(Obs- Teórico- 25/06/24)</w:t>
      </w:r>
    </w:p>
    <w:p w:rsidR="00916ABA" w:rsidRDefault="00916ABA" w:rsidP="00916ABA">
      <w:pPr>
        <w:spacing w:after="0" w:line="240" w:lineRule="auto"/>
        <w:jc w:val="both"/>
        <w:rPr>
          <w:rFonts w:ascii="Times New Roman" w:hAnsi="Times New Roman" w:cs="Times New Roman"/>
        </w:rPr>
      </w:pPr>
    </w:p>
    <w:p w:rsidR="00916ABA" w:rsidRDefault="00916ABA" w:rsidP="00916ABA">
      <w:pPr>
        <w:spacing w:after="0" w:line="240" w:lineRule="auto"/>
        <w:jc w:val="both"/>
        <w:rPr>
          <w:rFonts w:ascii="Times New Roman" w:hAnsi="Times New Roman" w:cs="Times New Roman"/>
        </w:rPr>
      </w:pPr>
      <w:r>
        <w:rPr>
          <w:rFonts w:ascii="Times New Roman" w:hAnsi="Times New Roman" w:cs="Times New Roman"/>
        </w:rPr>
        <w:lastRenderedPageBreak/>
        <w:t xml:space="preserve">Las observaciones hacen referencia al significado o a la modalidad del razonamiento clínico, pero no se observan actividades que guíen al </w:t>
      </w:r>
      <w:r w:rsidR="00386AC5">
        <w:rPr>
          <w:rFonts w:ascii="Times New Roman" w:hAnsi="Times New Roman" w:cs="Times New Roman"/>
        </w:rPr>
        <w:t xml:space="preserve">estudiante a la construcción de este tipo de razonamiento. </w:t>
      </w:r>
    </w:p>
    <w:p w:rsidR="00916ABA" w:rsidRDefault="00916ABA" w:rsidP="00916ABA">
      <w:pPr>
        <w:spacing w:before="200" w:after="0" w:line="240" w:lineRule="auto"/>
        <w:jc w:val="both"/>
        <w:rPr>
          <w:rFonts w:ascii="Times New Roman" w:eastAsia="Times New Roman" w:hAnsi="Times New Roman" w:cs="Times New Roman"/>
          <w:lang w:eastAsia="es-AR"/>
        </w:rPr>
      </w:pPr>
      <w:r>
        <w:rPr>
          <w:rFonts w:ascii="Times New Roman" w:eastAsia="Century Gothic" w:hAnsi="Times New Roman" w:cs="Times New Roman"/>
          <w:lang w:eastAsia="es-AR"/>
        </w:rPr>
        <w:t xml:space="preserve">Con respecto a </w:t>
      </w:r>
      <w:r>
        <w:rPr>
          <w:rFonts w:ascii="Times New Roman" w:hAnsi="Times New Roman" w:cs="Times New Roman"/>
        </w:rPr>
        <w:t xml:space="preserve">las Estrategias de Enseñanza, en los teóricos se ha planteado predominantemente una estrategia de enseñanza centrada en la exposición (Eggen y Kauchak, 2002; Finkelstein, 2007), mediante la cual el docente hacía uso predominante de la exposición pura, </w:t>
      </w:r>
    </w:p>
    <w:p w:rsidR="00916ABA" w:rsidRDefault="00916ABA" w:rsidP="00916ABA">
      <w:pPr>
        <w:spacing w:before="200" w:after="0" w:line="240" w:lineRule="auto"/>
        <w:jc w:val="both"/>
        <w:rPr>
          <w:rFonts w:ascii="Times New Roman" w:hAnsi="Times New Roman" w:cs="Times New Roman"/>
        </w:rPr>
      </w:pPr>
      <w:r>
        <w:rPr>
          <w:rFonts w:ascii="Times New Roman" w:eastAsia="Times New Roman" w:hAnsi="Times New Roman" w:cs="Times New Roman"/>
          <w:lang w:eastAsia="es-AR"/>
        </w:rPr>
        <w:t xml:space="preserve">Aunque en algunos momentos puntuales de las clases presenciales, también se implementó el uso </w:t>
      </w:r>
      <w:r>
        <w:rPr>
          <w:rFonts w:ascii="Times New Roman" w:hAnsi="Times New Roman" w:cs="Times New Roman"/>
        </w:rPr>
        <w:t xml:space="preserve">de preguntas en la estrategia de exposición dialogada. Respecto al uso de preguntas, en algunas ocasiones se originaron por parte de los estudiantes, para pedirle al docente que repita algún concepto o explicación, también para pedir aclaraciones sobre los contenidos al profesor o para pedirle ampliación de información. </w:t>
      </w:r>
    </w:p>
    <w:p w:rsidR="00916ABA" w:rsidRDefault="00916ABA" w:rsidP="00916ABA">
      <w:pPr>
        <w:spacing w:before="200" w:after="0" w:line="240" w:lineRule="auto"/>
        <w:jc w:val="both"/>
        <w:rPr>
          <w:rFonts w:ascii="Times New Roman" w:hAnsi="Times New Roman" w:cs="Times New Roman"/>
          <w:i/>
          <w:lang w:eastAsia="es-AR"/>
        </w:rPr>
      </w:pPr>
      <w:r>
        <w:rPr>
          <w:rFonts w:ascii="Times New Roman" w:hAnsi="Times New Roman" w:cs="Times New Roman"/>
        </w:rPr>
        <w:t>En otras ocasiones, se plantearon preguntas por parte del docente a los estudiantes para saber si hay dudas. También se plantearon frecuentemente</w:t>
      </w:r>
      <w:r>
        <w:rPr>
          <w:rFonts w:ascii="Times New Roman" w:eastAsia="Times New Roman" w:hAnsi="Times New Roman" w:cs="Times New Roman"/>
          <w:lang w:eastAsia="es-AR"/>
        </w:rPr>
        <w:t xml:space="preserve"> </w:t>
      </w:r>
      <w:r>
        <w:rPr>
          <w:rFonts w:ascii="Times New Roman" w:hAnsi="Times New Roman" w:cs="Times New Roman"/>
        </w:rPr>
        <w:t xml:space="preserve">preguntas retóricas –sin esperar respuestas de los alumnos- como herramienta para la continuidad del discurso docente (Rajadel y Serrat, 2002). </w:t>
      </w:r>
    </w:p>
    <w:p w:rsidR="00916ABA" w:rsidRDefault="00916ABA" w:rsidP="00916ABA">
      <w:pPr>
        <w:spacing w:before="200" w:after="0" w:line="240" w:lineRule="auto"/>
        <w:jc w:val="both"/>
        <w:rPr>
          <w:rFonts w:ascii="Times New Roman" w:hAnsi="Times New Roman" w:cs="Times New Roman"/>
        </w:rPr>
      </w:pPr>
      <w:r>
        <w:rPr>
          <w:rFonts w:ascii="Times New Roman" w:hAnsi="Times New Roman" w:cs="Times New Roman"/>
        </w:rPr>
        <w:t>En relación con la utilización de recursos didácticos, en los teóricos, se ha dado fundamentalmente el uso del campus virtual de la facultad, donde esta asignatura organiza su espacio virtual. Asimismo, para apoyar visualmente las exposiciones orales docentes se utilizaron presentaciones en base a diapositivas Power Point (PPT). Además, se utilizó la bibliografía asignada a la materia y también se utilizaron los recursos visuales de fotografías y videos.</w:t>
      </w:r>
    </w:p>
    <w:p w:rsidR="00916ABA" w:rsidRDefault="00916ABA" w:rsidP="00916ABA">
      <w:pPr>
        <w:spacing w:before="200" w:after="0" w:line="240" w:lineRule="auto"/>
        <w:jc w:val="both"/>
        <w:rPr>
          <w:rFonts w:ascii="Times New Roman" w:hAnsi="Times New Roman" w:cs="Times New Roman"/>
        </w:rPr>
      </w:pPr>
      <w:r>
        <w:rPr>
          <w:rFonts w:ascii="Times New Roman" w:hAnsi="Times New Roman" w:cs="Times New Roman"/>
        </w:rPr>
        <w:t xml:space="preserve">Con respecto al cuestionario aplicado a los estudiantes, en relación con el espacio de teóricos, los estudiantes señalaron que el estudio autónomo, la visualización de clases y la lectura de bibliografía forman parte estructural de la actividad estudiantil, tal como lo expresan sus respuestas. Por otra parte, las estrategias docentes en Teóricos son descriptas por los estudiantes principalmente en términos de clases expositivas apoyadas en recursos visuales y bibliográficos. Se mencionan presentaciones con soporte digital, actividades en el campus y acceso a material complementario. </w:t>
      </w:r>
    </w:p>
    <w:p w:rsidR="00916ABA" w:rsidRDefault="00916ABA" w:rsidP="00916ABA">
      <w:pPr>
        <w:spacing w:before="200" w:after="0" w:line="240" w:lineRule="auto"/>
        <w:jc w:val="both"/>
        <w:rPr>
          <w:rFonts w:ascii="Times New Roman" w:hAnsi="Times New Roman" w:cs="Times New Roman"/>
        </w:rPr>
      </w:pPr>
      <w:r>
        <w:rPr>
          <w:rFonts w:ascii="Times New Roman" w:hAnsi="Times New Roman" w:cs="Times New Roman"/>
        </w:rPr>
        <w:t xml:space="preserve">En sus respuestas a los cuestionarios, los alumnos en general reconocen el uso del campus virtual como algo diferente respecto a otras materias de la carrera. La virtualidad, la grabación de clases y la disponibilidad asincrónica de materiales son mencionadas como rasgos distintivos que facilitan el acceso y la continuidad. En tal sentido, también se destaca la diversidad de herramientas utilizadas. </w:t>
      </w:r>
    </w:p>
    <w:p w:rsidR="00916ABA" w:rsidRDefault="00916ABA" w:rsidP="00916ABA">
      <w:pPr>
        <w:spacing w:before="200" w:after="0" w:line="240" w:lineRule="auto"/>
        <w:jc w:val="both"/>
        <w:rPr>
          <w:rFonts w:ascii="Times New Roman" w:hAnsi="Times New Roman" w:cs="Times New Roman"/>
        </w:rPr>
      </w:pPr>
      <w:r>
        <w:rPr>
          <w:rFonts w:ascii="Times New Roman" w:hAnsi="Times New Roman" w:cs="Times New Roman"/>
        </w:rPr>
        <w:t>Cuestiones como éstas aparecen en respuestas textuales de los cuestionarios aplicados a los estudiantes:</w:t>
      </w:r>
    </w:p>
    <w:p w:rsidR="00916ABA" w:rsidRDefault="00916ABA" w:rsidP="00916ABA">
      <w:pPr>
        <w:spacing w:before="240" w:after="240"/>
        <w:jc w:val="both"/>
        <w:rPr>
          <w:rFonts w:ascii="Times New Roman" w:hAnsi="Times New Roman" w:cs="Times New Roman"/>
          <w:i/>
          <w:iCs/>
        </w:rPr>
      </w:pPr>
      <w:r>
        <w:rPr>
          <w:rFonts w:ascii="Times New Roman" w:hAnsi="Times New Roman" w:cs="Times New Roman"/>
          <w:i/>
          <w:iCs/>
        </w:rPr>
        <w:t xml:space="preserve"> “Los contenidos teóricos grabados para verlos de forma asincrónica es la mejor herramienta que tenemos los que vivimos lejos y trabajamos para mantenernos al día con las clases.”</w:t>
      </w:r>
    </w:p>
    <w:p w:rsidR="00916ABA" w:rsidRDefault="00916ABA" w:rsidP="00916ABA">
      <w:pPr>
        <w:spacing w:before="200" w:after="0" w:line="240" w:lineRule="auto"/>
        <w:jc w:val="both"/>
        <w:rPr>
          <w:rFonts w:ascii="Times New Roman" w:hAnsi="Times New Roman" w:cs="Times New Roman"/>
        </w:rPr>
      </w:pPr>
      <w:r>
        <w:rPr>
          <w:rFonts w:ascii="Times New Roman" w:hAnsi="Times New Roman" w:cs="Times New Roman"/>
        </w:rPr>
        <w:lastRenderedPageBreak/>
        <w:t>Sin embargo, al mismo tiempo que se destaca como algo diferente, el uso del campus virtual también genera algunas dificultades: se mencionan problemas técnicos concretos (como que en ocasiones tienen dificultades de conexión con el campus virtual o que el sonido de las grabaciones de clases en el campus se escuchan muy bajo y cuesta entender); pero también emergen dificultades de carácter pedagógico asociadas a la modalidad asincrónica. Estas respuestas no rechazan necesariamente la modalidad, pero muestran que no todos los perfiles de aprendizaje se adaptan con igual facilidad al formato virtual, como señalan aquí estas respuestas textuales de algunos los estudiantes:</w:t>
      </w:r>
    </w:p>
    <w:p w:rsidR="00916ABA" w:rsidRDefault="00916ABA" w:rsidP="00916ABA">
      <w:pPr>
        <w:spacing w:before="240" w:after="240"/>
        <w:jc w:val="both"/>
        <w:rPr>
          <w:rFonts w:ascii="Times New Roman" w:hAnsi="Times New Roman" w:cs="Times New Roman"/>
          <w:i/>
          <w:iCs/>
        </w:rPr>
      </w:pPr>
      <w:r>
        <w:rPr>
          <w:rFonts w:ascii="Times New Roman" w:hAnsi="Times New Roman" w:cs="Times New Roman"/>
          <w:i/>
          <w:iCs/>
        </w:rPr>
        <w:t>“A mi particularmente la asincronicidad no es de mis métodos favoritos”</w:t>
      </w:r>
      <w:r>
        <w:rPr>
          <w:rFonts w:ascii="Times New Roman" w:hAnsi="Times New Roman" w:cs="Times New Roman"/>
          <w:i/>
          <w:iCs/>
        </w:rPr>
        <w:br/>
        <w:t>“Personalmente no me resulta provechosa la asincronía de las clases”</w:t>
      </w:r>
    </w:p>
    <w:p w:rsidR="00916ABA" w:rsidRDefault="00916ABA" w:rsidP="00916ABA">
      <w:pPr>
        <w:rPr>
          <w:sz w:val="22"/>
          <w:szCs w:val="22"/>
        </w:rPr>
      </w:pPr>
    </w:p>
    <w:p w:rsidR="00916ABA" w:rsidRPr="00916ABA" w:rsidRDefault="00916ABA" w:rsidP="00916ABA">
      <w:pPr>
        <w:rPr>
          <w:rFonts w:ascii="Times New Roman" w:hAnsi="Times New Roman" w:cs="Times New Roman"/>
          <w:b/>
        </w:rPr>
      </w:pPr>
      <w:r w:rsidRPr="00916ABA">
        <w:rPr>
          <w:rFonts w:ascii="Times New Roman" w:hAnsi="Times New Roman" w:cs="Times New Roman"/>
          <w:b/>
        </w:rPr>
        <w:t>Conclusiones</w:t>
      </w:r>
    </w:p>
    <w:p w:rsidR="00DD379D" w:rsidRPr="00690145" w:rsidRDefault="00DD379D" w:rsidP="00581304">
      <w:pPr>
        <w:spacing w:before="200" w:after="0" w:line="240" w:lineRule="auto"/>
        <w:jc w:val="both"/>
        <w:rPr>
          <w:rFonts w:ascii="Times New Roman" w:hAnsi="Times New Roman" w:cs="Times New Roman"/>
          <w:lang w:val="es-MX"/>
        </w:rPr>
      </w:pPr>
      <w:r w:rsidRPr="00690145">
        <w:rPr>
          <w:rFonts w:ascii="Times New Roman" w:hAnsi="Times New Roman" w:cs="Times New Roman"/>
        </w:rPr>
        <w:t xml:space="preserve">Teniendo en consideración que el lema general del encuentro es </w:t>
      </w:r>
      <w:r w:rsidRPr="00690145">
        <w:rPr>
          <w:rFonts w:ascii="Times New Roman" w:hAnsi="Times New Roman" w:cs="Times New Roman"/>
          <w:i/>
        </w:rPr>
        <w:t>Nuevos y viejos desafíos para la universidad en tiempos de crisis globales</w:t>
      </w:r>
      <w:r w:rsidRPr="00690145">
        <w:rPr>
          <w:rFonts w:ascii="Times New Roman" w:hAnsi="Times New Roman" w:cs="Times New Roman"/>
        </w:rPr>
        <w:t xml:space="preserve">, el análisis de la </w:t>
      </w:r>
      <w:r w:rsidRPr="00690145">
        <w:rPr>
          <w:rFonts w:ascii="Times New Roman" w:hAnsi="Times New Roman" w:cs="Times New Roman"/>
          <w:lang w:val="es-MX"/>
        </w:rPr>
        <w:t>dimensión institucional, pedagógica  y didáctica, con énfasis en lo  curricular, y en la enseñanza  en los espacios de teóricos de la cátedra en estudio, permitió comprender que en ella  se hacen evidentes los viejos asuntos todavía no resueltos del aula universitaria y de la institución en su conjunto…</w:t>
      </w:r>
    </w:p>
    <w:p w:rsidR="00386AC5" w:rsidRPr="00690145" w:rsidRDefault="00DD379D" w:rsidP="00581304">
      <w:pPr>
        <w:pStyle w:val="Prrafodelista1"/>
        <w:spacing w:before="200" w:after="0" w:line="240" w:lineRule="auto"/>
        <w:ind w:left="0"/>
        <w:jc w:val="both"/>
        <w:rPr>
          <w:rFonts w:eastAsia="Century Gothic"/>
          <w:szCs w:val="24"/>
          <w:lang w:eastAsia="es-AR"/>
        </w:rPr>
      </w:pPr>
      <w:r w:rsidRPr="00690145">
        <w:rPr>
          <w:lang w:val="es-MX"/>
        </w:rPr>
        <w:t xml:space="preserve">La escisión del tiempo en clases teóricas y prácticas, antigua pauta de organización que sobrevive en nuestras instituciones  universitarias, se manifiesta en el caso estudiado. Esta fractura, propia de una lógica aplicacionista se condice con lo observado en la distribución y secuencia de los contenidos al  comenzar el abordaje por aquellos  más abstractos dejando para un segundo momento los </w:t>
      </w:r>
      <w:r w:rsidRPr="00690145">
        <w:rPr>
          <w:rFonts w:eastAsia="Century Gothic"/>
          <w:szCs w:val="24"/>
          <w:lang w:eastAsia="es-AR"/>
        </w:rPr>
        <w:t xml:space="preserve">más ligados a la práctica profesional. </w:t>
      </w:r>
    </w:p>
    <w:p w:rsidR="00386AC5" w:rsidRPr="00690145" w:rsidRDefault="00386AC5" w:rsidP="00581304">
      <w:pPr>
        <w:pStyle w:val="Prrafodelista1"/>
        <w:spacing w:before="200" w:after="0" w:line="240" w:lineRule="auto"/>
        <w:ind w:left="0"/>
        <w:jc w:val="both"/>
        <w:rPr>
          <w:rFonts w:eastAsia="Century Gothic"/>
          <w:szCs w:val="24"/>
          <w:lang w:eastAsia="es-AR"/>
        </w:rPr>
      </w:pPr>
    </w:p>
    <w:p w:rsidR="00DD379D" w:rsidRPr="00690145" w:rsidRDefault="00DD379D" w:rsidP="00581304">
      <w:pPr>
        <w:pStyle w:val="Prrafodelista1"/>
        <w:spacing w:before="200" w:after="0" w:line="240" w:lineRule="auto"/>
        <w:ind w:left="0"/>
        <w:jc w:val="both"/>
        <w:rPr>
          <w:rFonts w:eastAsia="Century Gothic"/>
          <w:szCs w:val="24"/>
          <w:lang w:eastAsia="es-AR"/>
        </w:rPr>
      </w:pPr>
      <w:r w:rsidRPr="00690145">
        <w:rPr>
          <w:rFonts w:eastAsia="Century Gothic"/>
          <w:szCs w:val="24"/>
          <w:lang w:eastAsia="es-AR"/>
        </w:rPr>
        <w:t xml:space="preserve">El desarrollo de las clases teóricas a través de grabaciones en videos subidos al campus no favorece la articulación entre ambas esferas del conocimiento, dificultando a la vez   la inclusión en ellas, de problemas, dudas, aciertos  propios de los aprendizajes que están logrando los estudiantes simultáneamente en otros espacios de la asignatura,  como son las prácticas hospitalarias. </w:t>
      </w:r>
    </w:p>
    <w:p w:rsidR="00DD379D" w:rsidRPr="00690145" w:rsidRDefault="00DD379D" w:rsidP="00581304">
      <w:pPr>
        <w:pStyle w:val="Prrafodelista1"/>
        <w:spacing w:before="200" w:after="0" w:line="240" w:lineRule="auto"/>
        <w:ind w:left="0"/>
        <w:jc w:val="both"/>
        <w:rPr>
          <w:rFonts w:eastAsia="Arial Unicode MS"/>
          <w:kern w:val="2"/>
          <w:szCs w:val="24"/>
          <w:lang w:val="es-ES" w:eastAsia="ar-SA"/>
        </w:rPr>
      </w:pPr>
      <w:r w:rsidRPr="00690145">
        <w:rPr>
          <w:rFonts w:eastAsia="Arial Unicode MS"/>
          <w:kern w:val="2"/>
          <w:szCs w:val="24"/>
          <w:lang w:val="es-ES" w:eastAsia="ar-SA"/>
        </w:rPr>
        <w:t>El énfasis en las clases teóricas de los contenidos conceptuales científicotécnicos  y procedimentales (estos úl</w:t>
      </w:r>
      <w:r w:rsidR="00386AC5" w:rsidRPr="00690145">
        <w:rPr>
          <w:rFonts w:eastAsia="Arial Unicode MS"/>
          <w:kern w:val="2"/>
          <w:szCs w:val="24"/>
          <w:lang w:val="es-ES" w:eastAsia="ar-SA"/>
        </w:rPr>
        <w:t xml:space="preserve">timos a través de una modalidad </w:t>
      </w:r>
      <w:r w:rsidRPr="00690145">
        <w:rPr>
          <w:rFonts w:eastAsia="Arial Unicode MS"/>
          <w:kern w:val="2"/>
          <w:szCs w:val="24"/>
          <w:lang w:val="es-ES" w:eastAsia="ar-SA"/>
        </w:rPr>
        <w:t xml:space="preserve">predominantemente  discursiva), relativiza el propósito de encauzar la  formación del futuro kinesiólogo en el dominio de aprendizajes complejos de su práctica profesional. Esta aseveración  se sostiene en un doble constatación: la escasa presencia de  contenidos actitudinales, y el poco espacio que se otorga a los contenidos relativos al </w:t>
      </w:r>
      <w:r w:rsidRPr="00690145">
        <w:rPr>
          <w:rFonts w:eastAsia="Arial Unicode MS"/>
          <w:i/>
          <w:kern w:val="2"/>
          <w:szCs w:val="24"/>
          <w:lang w:val="es-ES" w:eastAsia="ar-SA"/>
        </w:rPr>
        <w:t>campo curricular crítico social</w:t>
      </w:r>
      <w:r w:rsidRPr="00690145">
        <w:rPr>
          <w:rFonts w:eastAsia="Arial Unicode MS"/>
          <w:kern w:val="2"/>
          <w:szCs w:val="24"/>
          <w:lang w:val="es-ES" w:eastAsia="ar-SA"/>
        </w:rPr>
        <w:t xml:space="preserve"> (De Alba,</w:t>
      </w:r>
      <w:r w:rsidR="0098076C" w:rsidRPr="00690145">
        <w:rPr>
          <w:rFonts w:eastAsia="Arial Unicode MS"/>
          <w:kern w:val="2"/>
          <w:szCs w:val="24"/>
          <w:lang w:val="es-ES" w:eastAsia="ar-SA"/>
        </w:rPr>
        <w:t xml:space="preserve"> 1993</w:t>
      </w:r>
      <w:r w:rsidRPr="00690145">
        <w:rPr>
          <w:rFonts w:eastAsia="Arial Unicode MS"/>
          <w:kern w:val="2"/>
          <w:szCs w:val="24"/>
          <w:lang w:val="es-ES" w:eastAsia="ar-SA"/>
        </w:rPr>
        <w:t>) en el desarrollo de estas clases.</w:t>
      </w:r>
    </w:p>
    <w:p w:rsidR="00386AC5" w:rsidRPr="00690145" w:rsidRDefault="00386AC5" w:rsidP="00581304">
      <w:pPr>
        <w:pStyle w:val="Prrafodelista1"/>
        <w:spacing w:before="200" w:after="0" w:line="240" w:lineRule="auto"/>
        <w:ind w:left="0"/>
        <w:jc w:val="both"/>
        <w:rPr>
          <w:rFonts w:eastAsia="Century Gothic"/>
          <w:szCs w:val="24"/>
          <w:lang w:eastAsia="es-AR"/>
        </w:rPr>
      </w:pPr>
    </w:p>
    <w:p w:rsidR="00DD379D" w:rsidRPr="00690145" w:rsidRDefault="00DD379D" w:rsidP="00581304">
      <w:pPr>
        <w:pStyle w:val="Prrafodelista1"/>
        <w:spacing w:before="200" w:after="0" w:line="240" w:lineRule="auto"/>
        <w:ind w:left="0"/>
        <w:jc w:val="both"/>
        <w:rPr>
          <w:rFonts w:eastAsia="Arial Unicode MS"/>
          <w:kern w:val="2"/>
          <w:szCs w:val="24"/>
          <w:lang w:val="es-ES" w:eastAsia="ar-SA"/>
        </w:rPr>
      </w:pPr>
      <w:r w:rsidRPr="00690145">
        <w:rPr>
          <w:rFonts w:eastAsia="Century Gothic"/>
          <w:szCs w:val="24"/>
          <w:lang w:eastAsia="es-AR"/>
        </w:rPr>
        <w:t xml:space="preserve">En un </w:t>
      </w:r>
      <w:r w:rsidRPr="00690145">
        <w:rPr>
          <w:rFonts w:eastAsia="Century Gothic"/>
          <w:i/>
          <w:szCs w:val="24"/>
          <w:lang w:eastAsia="es-AR"/>
        </w:rPr>
        <w:t>contexto de crisis global</w:t>
      </w:r>
      <w:r w:rsidRPr="00690145">
        <w:rPr>
          <w:rFonts w:eastAsia="Century Gothic"/>
          <w:szCs w:val="24"/>
          <w:lang w:eastAsia="es-AR"/>
        </w:rPr>
        <w:t xml:space="preserve"> y en una institución desvalorizada y desfinanciada como lo es  la universidad nacional argentina en la actualidad, la cátedra intenta  aggiornarse haciendo del aula virtual su principal recurso estratégico.  La modalidad de enseñanza  remota, es valorada positivamente por los estudiantes, pues reconocen  la oportunidad </w:t>
      </w:r>
      <w:r w:rsidRPr="00690145">
        <w:rPr>
          <w:rFonts w:eastAsia="Century Gothic"/>
          <w:szCs w:val="24"/>
          <w:lang w:eastAsia="es-AR"/>
        </w:rPr>
        <w:lastRenderedPageBreak/>
        <w:t xml:space="preserve">que les brinda esta cátedra de disponer de un material audiovisual al cual pueden acceder de manera autónoma sin horario fijo; sin embargo ellos  manifiestan su inquietud por </w:t>
      </w:r>
      <w:r w:rsidRPr="00690145">
        <w:rPr>
          <w:rFonts w:eastAsia="Arial Unicode MS"/>
          <w:kern w:val="2"/>
          <w:szCs w:val="24"/>
          <w:lang w:val="es-ES" w:eastAsia="ar-SA"/>
        </w:rPr>
        <w:t xml:space="preserve">contar con </w:t>
      </w:r>
      <w:r w:rsidR="0098076C" w:rsidRPr="00690145">
        <w:rPr>
          <w:rFonts w:eastAsia="Arial Unicode MS"/>
          <w:kern w:val="2"/>
          <w:szCs w:val="24"/>
          <w:lang w:val="es-ES" w:eastAsia="ar-SA"/>
        </w:rPr>
        <w:t xml:space="preserve">algunas </w:t>
      </w:r>
      <w:r w:rsidRPr="00690145">
        <w:rPr>
          <w:rFonts w:eastAsia="Arial Unicode MS"/>
          <w:kern w:val="2"/>
          <w:szCs w:val="24"/>
          <w:lang w:val="es-ES" w:eastAsia="ar-SA"/>
        </w:rPr>
        <w:t xml:space="preserve">instancias de intercambio y andamiaje junto a los docentes. </w:t>
      </w:r>
    </w:p>
    <w:p w:rsidR="00386AC5" w:rsidRPr="00690145" w:rsidRDefault="00386AC5" w:rsidP="00581304">
      <w:pPr>
        <w:pStyle w:val="Prrafodelista1"/>
        <w:spacing w:before="200" w:after="0" w:line="240" w:lineRule="auto"/>
        <w:ind w:left="0"/>
        <w:jc w:val="both"/>
        <w:rPr>
          <w:rFonts w:eastAsia="Arial Unicode MS"/>
          <w:kern w:val="2"/>
          <w:szCs w:val="24"/>
          <w:lang w:val="es-ES" w:eastAsia="ar-SA"/>
        </w:rPr>
      </w:pPr>
    </w:p>
    <w:p w:rsidR="00DD379D" w:rsidRPr="00690145" w:rsidRDefault="00DD379D" w:rsidP="00581304">
      <w:pPr>
        <w:pStyle w:val="Prrafodelista1"/>
        <w:spacing w:before="200" w:after="0" w:line="240" w:lineRule="auto"/>
        <w:ind w:left="0"/>
        <w:jc w:val="both"/>
        <w:rPr>
          <w:rFonts w:eastAsia="Arial Unicode MS"/>
          <w:kern w:val="2"/>
          <w:szCs w:val="24"/>
          <w:lang w:val="es-ES" w:eastAsia="ar-SA"/>
        </w:rPr>
      </w:pPr>
      <w:r w:rsidRPr="00690145">
        <w:rPr>
          <w:rFonts w:eastAsia="Arial Unicode MS"/>
          <w:kern w:val="2"/>
          <w:szCs w:val="24"/>
          <w:lang w:val="es-ES" w:eastAsia="ar-SA"/>
        </w:rPr>
        <w:t xml:space="preserve">Esto nos lleva a concluir que en tiempos </w:t>
      </w:r>
      <w:r w:rsidRPr="00690145">
        <w:t xml:space="preserve">de </w:t>
      </w:r>
      <w:r w:rsidRPr="00690145">
        <w:rPr>
          <w:i/>
        </w:rPr>
        <w:t>emergencia y desarrollo de la Inteligencia Artificial,</w:t>
      </w:r>
      <w:r w:rsidRPr="00690145">
        <w:t xml:space="preserve"> sigue siendo importante (e innovador) articular dialécticamente teoría y práctica, a través de formatos apropiados para estos contextos de crisis. Uno de ellos podría ser incluir</w:t>
      </w:r>
      <w:r w:rsidR="008D4184" w:rsidRPr="00690145">
        <w:t>,</w:t>
      </w:r>
      <w:r w:rsidRPr="00690145">
        <w:t xml:space="preserve"> en el desarrollo de la enseñanza</w:t>
      </w:r>
      <w:r w:rsidR="008D4184" w:rsidRPr="00690145">
        <w:t>,</w:t>
      </w:r>
      <w:r w:rsidRPr="00690145">
        <w:t xml:space="preserve"> espacios donde los sujetos del aula (docentes y estudiantes) pongan en acción procesos</w:t>
      </w:r>
      <w:r w:rsidR="00581304" w:rsidRPr="00690145">
        <w:t xml:space="preserve"> que posibiliten un entramado de </w:t>
      </w:r>
      <w:r w:rsidR="00581304" w:rsidRPr="00690145">
        <w:rPr>
          <w:i/>
        </w:rPr>
        <w:t>aprendizajes complejos.</w:t>
      </w:r>
      <w:r w:rsidR="00581304" w:rsidRPr="00690145">
        <w:t xml:space="preserve"> Espacios que se orienten a</w:t>
      </w:r>
      <w:r w:rsidRPr="00690145">
        <w:t xml:space="preserve">l análisis reflexivo de las experiencias vividas en </w:t>
      </w:r>
      <w:r w:rsidR="00581304" w:rsidRPr="00690145">
        <w:t>las situaciones</w:t>
      </w:r>
      <w:r w:rsidRPr="00690145">
        <w:t xml:space="preserve"> de práctica, de los conocimientos que esas prácticas cuestionan por su presencia o ausencia, de los temores y placeres que se  suscitan en el anticipo formativo  al ejercicio profesional autónomo.</w:t>
      </w:r>
    </w:p>
    <w:p w:rsidR="00916ABA" w:rsidRPr="00690145" w:rsidRDefault="00916ABA" w:rsidP="00581304">
      <w:pPr>
        <w:spacing w:before="200" w:after="0" w:line="240" w:lineRule="auto"/>
        <w:rPr>
          <w:lang w:val="es-ES"/>
        </w:rPr>
      </w:pPr>
    </w:p>
    <w:p w:rsidR="00916ABA" w:rsidRDefault="00916ABA" w:rsidP="00916ABA">
      <w:pPr>
        <w:pStyle w:val="Ttulo1"/>
        <w:spacing w:before="1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Referencias bibliográficas</w:t>
      </w:r>
    </w:p>
    <w:p w:rsidR="00916ABA" w:rsidRDefault="00916ABA" w:rsidP="00916ABA">
      <w:pPr>
        <w:pStyle w:val="NormalWeb"/>
        <w:jc w:val="both"/>
      </w:pPr>
      <w:r>
        <w:rPr>
          <w:bCs/>
        </w:rPr>
        <w:t>Coll, C. et al.</w:t>
      </w:r>
      <w:r>
        <w:t xml:space="preserve"> (1994). </w:t>
      </w:r>
      <w:r>
        <w:rPr>
          <w:i/>
          <w:iCs/>
        </w:rPr>
        <w:t>Los contenidos en la reforma: Enseñanza y aprendizaje de conceptos, procedimientos y actitudes</w:t>
      </w:r>
      <w:r>
        <w:t>. Santillana.</w:t>
      </w:r>
    </w:p>
    <w:p w:rsidR="00916ABA" w:rsidRDefault="00916ABA" w:rsidP="00916ABA">
      <w:pPr>
        <w:pStyle w:val="NormalWeb"/>
        <w:jc w:val="both"/>
      </w:pPr>
      <w:r>
        <w:rPr>
          <w:bCs/>
        </w:rPr>
        <w:t>Da Cunha, M. I.</w:t>
      </w:r>
      <w:r>
        <w:t xml:space="preserve"> (1997). Aula universitaria: innovación e investigación. En D. Leite y M. Morosini (Orgs.), </w:t>
      </w:r>
      <w:r>
        <w:rPr>
          <w:i/>
          <w:iCs/>
        </w:rPr>
        <w:t>Universidade futurante</w:t>
      </w:r>
      <w:r>
        <w:t>. Papirus. (Publicado como Ficha de cátedra “Universidad futurante” en OPFYL. Trad. C. Faranda).</w:t>
      </w:r>
    </w:p>
    <w:p w:rsidR="0098076C" w:rsidRPr="00690145" w:rsidRDefault="0098076C" w:rsidP="0098076C">
      <w:pPr>
        <w:spacing w:after="0" w:line="240" w:lineRule="auto"/>
        <w:jc w:val="both"/>
        <w:rPr>
          <w:rFonts w:ascii="Times New Roman" w:hAnsi="Times New Roman" w:cs="Times New Roman"/>
        </w:rPr>
      </w:pPr>
      <w:r w:rsidRPr="00690145">
        <w:rPr>
          <w:rFonts w:ascii="Times New Roman" w:hAnsi="Times New Roman" w:cs="Times New Roman"/>
        </w:rPr>
        <w:t xml:space="preserve">De Alba, A.(1993) </w:t>
      </w:r>
      <w:r w:rsidRPr="00690145">
        <w:rPr>
          <w:rFonts w:ascii="Times New Roman" w:hAnsi="Times New Roman" w:cs="Times New Roman"/>
          <w:i/>
        </w:rPr>
        <w:t>El currículum universitario ante los retos del siglo XXl: la paradoja entre posmodernismo, ausencia de utopía y determinación curricular</w:t>
      </w:r>
      <w:r w:rsidRPr="00690145">
        <w:rPr>
          <w:rFonts w:ascii="Times New Roman" w:hAnsi="Times New Roman" w:cs="Times New Roman"/>
          <w:u w:val="single"/>
        </w:rPr>
        <w:t>.</w:t>
      </w:r>
      <w:r w:rsidRPr="00690145">
        <w:rPr>
          <w:rFonts w:ascii="Times New Roman" w:hAnsi="Times New Roman" w:cs="Times New Roman"/>
        </w:rPr>
        <w:t xml:space="preserve"> En De Alba, A. (coord) El currículum universitario de cara al nuevo milenio</w:t>
      </w:r>
      <w:r w:rsidRPr="00690145">
        <w:rPr>
          <w:rFonts w:ascii="Times New Roman" w:hAnsi="Times New Roman" w:cs="Times New Roman"/>
          <w:u w:val="single"/>
        </w:rPr>
        <w:t>.</w:t>
      </w:r>
      <w:r w:rsidRPr="00690145">
        <w:rPr>
          <w:rFonts w:ascii="Times New Roman" w:hAnsi="Times New Roman" w:cs="Times New Roman"/>
        </w:rPr>
        <w:t xml:space="preserve"> UNAM. U de Guadalajara. Secretaría de Desarrollo Social.</w:t>
      </w:r>
    </w:p>
    <w:p w:rsidR="00916ABA" w:rsidRDefault="00916ABA" w:rsidP="00916ABA">
      <w:pPr>
        <w:pStyle w:val="NormalWeb"/>
        <w:jc w:val="both"/>
      </w:pPr>
      <w:r>
        <w:rPr>
          <w:bCs/>
        </w:rPr>
        <w:t>Eggen, P. y Kauchak, D.</w:t>
      </w:r>
      <w:r>
        <w:t xml:space="preserve"> (2002). </w:t>
      </w:r>
      <w:r>
        <w:rPr>
          <w:i/>
          <w:iCs/>
        </w:rPr>
        <w:t>Enseñanza de contenidos curriculares y desarrollo de habilidades de pensamiento</w:t>
      </w:r>
      <w:r>
        <w:t>. Fondo de Cultura Económica.</w:t>
      </w:r>
    </w:p>
    <w:p w:rsidR="00916ABA" w:rsidRDefault="00916ABA" w:rsidP="00916ABA">
      <w:pPr>
        <w:pStyle w:val="NormalWeb"/>
        <w:jc w:val="both"/>
      </w:pPr>
      <w:r>
        <w:rPr>
          <w:bCs/>
        </w:rPr>
        <w:t>Enríquez, E. (2002).</w:t>
      </w:r>
      <w:r>
        <w:t xml:space="preserve"> </w:t>
      </w:r>
      <w:r>
        <w:rPr>
          <w:i/>
          <w:iCs/>
        </w:rPr>
        <w:t>La institución y las organizaciones en la educación y la formación</w:t>
      </w:r>
      <w:r>
        <w:t>. Novedades Educativas - U.B.A.</w:t>
      </w:r>
    </w:p>
    <w:p w:rsidR="00916ABA" w:rsidRDefault="00916ABA" w:rsidP="00916ABA">
      <w:pPr>
        <w:pStyle w:val="NormalWeb"/>
        <w:jc w:val="both"/>
      </w:pPr>
      <w:r>
        <w:rPr>
          <w:bCs/>
        </w:rPr>
        <w:t>Eva, K. W.</w:t>
      </w:r>
      <w:r>
        <w:t xml:space="preserve"> (2005). Lo que todo profesor necesita saber sobre el razonamiento clínico. </w:t>
      </w:r>
      <w:r>
        <w:rPr>
          <w:i/>
          <w:iCs/>
        </w:rPr>
        <w:t>Educación Médica</w:t>
      </w:r>
      <w:r>
        <w:t xml:space="preserve">, </w:t>
      </w:r>
      <w:r>
        <w:rPr>
          <w:i/>
          <w:iCs/>
        </w:rPr>
        <w:t>8</w:t>
      </w:r>
      <w:r>
        <w:t>(2).</w:t>
      </w:r>
    </w:p>
    <w:p w:rsidR="00916ABA" w:rsidRDefault="00916ABA" w:rsidP="00916ABA">
      <w:pPr>
        <w:shd w:val="clear" w:color="auto" w:fill="FFFFFF"/>
        <w:spacing w:before="100" w:beforeAutospacing="1" w:after="0" w:line="288" w:lineRule="atLeast"/>
        <w:jc w:val="both"/>
        <w:rPr>
          <w:rFonts w:ascii="Times New Roman" w:eastAsia="Times New Roman" w:hAnsi="Times New Roman" w:cs="Times New Roman"/>
          <w:color w:val="1D1D1D"/>
          <w:lang w:val="es-ES" w:eastAsia="es-ES"/>
        </w:rPr>
      </w:pPr>
      <w:r>
        <w:rPr>
          <w:rFonts w:ascii="Times New Roman" w:eastAsia="Times New Roman" w:hAnsi="Times New Roman" w:cs="Times New Roman"/>
          <w:color w:val="1D1D1D"/>
          <w:lang w:val="es-ES" w:eastAsia="es-ES"/>
        </w:rPr>
        <w:t>Feldman, D. (2010). </w:t>
      </w:r>
      <w:r>
        <w:rPr>
          <w:rFonts w:ascii="Times New Roman" w:eastAsia="Times New Roman" w:hAnsi="Times New Roman" w:cs="Times New Roman"/>
          <w:i/>
          <w:iCs/>
          <w:color w:val="1D1D1D"/>
          <w:lang w:val="es-ES" w:eastAsia="es-ES"/>
        </w:rPr>
        <w:t>Didáctica General. Aportes para el desarrollo curricular</w:t>
      </w:r>
      <w:r>
        <w:rPr>
          <w:rFonts w:ascii="Times New Roman" w:eastAsia="Times New Roman" w:hAnsi="Times New Roman" w:cs="Times New Roman"/>
          <w:color w:val="1D1D1D"/>
          <w:lang w:val="es-ES" w:eastAsia="es-ES"/>
        </w:rPr>
        <w:t xml:space="preserve">. INFOD. Ministerio de Educación de la República Argentina. </w:t>
      </w:r>
    </w:p>
    <w:p w:rsidR="00690145" w:rsidRPr="00690145" w:rsidRDefault="00690145" w:rsidP="00916ABA">
      <w:pPr>
        <w:pStyle w:val="NormalWeb"/>
        <w:jc w:val="both"/>
        <w:rPr>
          <w:color w:val="1D1D1D"/>
          <w:kern w:val="2"/>
        </w:rPr>
      </w:pPr>
      <w:r w:rsidRPr="00690145">
        <w:rPr>
          <w:color w:val="1D1D1D"/>
          <w:kern w:val="2"/>
        </w:rPr>
        <w:t>Fernández, L. (1994). Instituciones educativas: Dinámicas institucionales en situaciones críticas. Paidós.</w:t>
      </w:r>
    </w:p>
    <w:p w:rsidR="00916ABA" w:rsidRDefault="00690145" w:rsidP="00916ABA">
      <w:pPr>
        <w:pStyle w:val="NormalWeb"/>
        <w:jc w:val="both"/>
      </w:pPr>
      <w:r>
        <w:rPr>
          <w:bCs/>
        </w:rPr>
        <w:lastRenderedPageBreak/>
        <w:t>F</w:t>
      </w:r>
      <w:r w:rsidR="00916ABA">
        <w:rPr>
          <w:bCs/>
        </w:rPr>
        <w:t>inkelstein, C.</w:t>
      </w:r>
      <w:r w:rsidR="00916ABA">
        <w:t xml:space="preserve"> (2007). </w:t>
      </w:r>
      <w:r w:rsidR="00916ABA">
        <w:rPr>
          <w:i/>
          <w:iCs/>
        </w:rPr>
        <w:t>La comunicación en el aula y su vinculación con las estrategias de enseñanza: la clase expositiva y la interrogación didáctica</w:t>
      </w:r>
      <w:r w:rsidR="00916ABA">
        <w:t xml:space="preserve"> (Colección Cuadernos de Cátedra). Secretaría de Publicaciones de la Facultad de Filosofía y Letras, Universidad de Buenos Aires.</w:t>
      </w:r>
    </w:p>
    <w:p w:rsidR="00E9145B" w:rsidRPr="00E9145B" w:rsidRDefault="00E9145B" w:rsidP="00E9145B">
      <w:pPr>
        <w:pStyle w:val="NormalWeb"/>
        <w:jc w:val="both"/>
        <w:rPr>
          <w:lang w:val="es-AR"/>
        </w:rPr>
      </w:pPr>
      <w:r>
        <w:rPr>
          <w:bCs/>
        </w:rPr>
        <w:t>Garay, L. (1994).</w:t>
      </w:r>
      <w:r>
        <w:t xml:space="preserve"> </w:t>
      </w:r>
      <w:r>
        <w:rPr>
          <w:i/>
          <w:iCs/>
        </w:rPr>
        <w:t>Análisis institucional de la educación y sus organizaciones</w:t>
      </w:r>
      <w:r>
        <w:t xml:space="preserve"> [Cuadernillo de curso de posgrado]. </w:t>
      </w:r>
      <w:r w:rsidRPr="00E9145B">
        <w:rPr>
          <w:lang w:val="es-AR"/>
        </w:rPr>
        <w:t>La Luna.</w:t>
      </w:r>
    </w:p>
    <w:p w:rsidR="00E9145B" w:rsidRPr="00690145" w:rsidRDefault="00E9145B" w:rsidP="00E9145B">
      <w:pPr>
        <w:spacing w:after="0" w:line="240" w:lineRule="auto"/>
        <w:jc w:val="both"/>
        <w:rPr>
          <w:rFonts w:ascii="Times New Roman" w:hAnsi="Times New Roman" w:cs="Times New Roman"/>
        </w:rPr>
      </w:pPr>
      <w:r w:rsidRPr="00690145">
        <w:rPr>
          <w:rFonts w:ascii="Times New Roman" w:hAnsi="Times New Roman" w:cs="Times New Roman"/>
        </w:rPr>
        <w:t xml:space="preserve">Gómez Campo, V. y Tenti Fanfani, E. (1982): </w:t>
      </w:r>
      <w:r w:rsidRPr="00690145">
        <w:rPr>
          <w:rFonts w:ascii="Times New Roman" w:hAnsi="Times New Roman" w:cs="Times New Roman"/>
          <w:i/>
        </w:rPr>
        <w:t xml:space="preserve">Universidad y profesiones. Crisis y alternativas. </w:t>
      </w:r>
      <w:r w:rsidRPr="00690145">
        <w:rPr>
          <w:rFonts w:ascii="Times New Roman" w:hAnsi="Times New Roman" w:cs="Times New Roman"/>
        </w:rPr>
        <w:t xml:space="preserve">Miño Dávila. </w:t>
      </w:r>
    </w:p>
    <w:p w:rsidR="00916ABA" w:rsidRPr="00690145" w:rsidRDefault="00916ABA" w:rsidP="00916ABA">
      <w:pPr>
        <w:pStyle w:val="NormalWeb"/>
        <w:jc w:val="both"/>
      </w:pPr>
      <w:r w:rsidRPr="00690145">
        <w:rPr>
          <w:bCs/>
        </w:rPr>
        <w:t>Gudiol Munté, F.</w:t>
      </w:r>
      <w:r w:rsidRPr="00690145">
        <w:t xml:space="preserve"> (2006). Ojo clínico y evidencia científica. </w:t>
      </w:r>
      <w:r w:rsidRPr="00690145">
        <w:rPr>
          <w:i/>
          <w:iCs/>
        </w:rPr>
        <w:t>Educación Médica</w:t>
      </w:r>
      <w:r w:rsidRPr="00690145">
        <w:t xml:space="preserve">, </w:t>
      </w:r>
      <w:r w:rsidRPr="00690145">
        <w:rPr>
          <w:i/>
          <w:iCs/>
        </w:rPr>
        <w:t xml:space="preserve">9 </w:t>
      </w:r>
      <w:r w:rsidRPr="00690145">
        <w:t>(Supl. 1).</w:t>
      </w:r>
    </w:p>
    <w:p w:rsidR="00916ABA" w:rsidRPr="00690145" w:rsidRDefault="00916ABA" w:rsidP="00916ABA">
      <w:pPr>
        <w:pStyle w:val="NormalWeb"/>
        <w:jc w:val="both"/>
      </w:pPr>
      <w:r w:rsidRPr="00690145">
        <w:rPr>
          <w:bCs/>
        </w:rPr>
        <w:t>Lucarelli, E.</w:t>
      </w:r>
      <w:r w:rsidRPr="00690145">
        <w:t xml:space="preserve"> (2005). </w:t>
      </w:r>
      <w:r w:rsidRPr="00690145">
        <w:rPr>
          <w:i/>
          <w:iCs/>
        </w:rPr>
        <w:t>Innovación en el aula: El eje de la articulación teoría-práctica en la universidad</w:t>
      </w:r>
      <w:r w:rsidRPr="00690145">
        <w:t xml:space="preserve"> (Cuadernillo OPFyL). Facultad de Filosofía y Letras, Universidad de Buenos Aires.</w:t>
      </w:r>
    </w:p>
    <w:p w:rsidR="008D4184" w:rsidRPr="00690145" w:rsidRDefault="008D4184" w:rsidP="0098076C">
      <w:pPr>
        <w:spacing w:after="0" w:line="240" w:lineRule="auto"/>
        <w:jc w:val="both"/>
        <w:rPr>
          <w:rFonts w:ascii="Times New Roman" w:hAnsi="Times New Roman" w:cs="Times New Roman"/>
        </w:rPr>
      </w:pPr>
      <w:r w:rsidRPr="00690145">
        <w:rPr>
          <w:rFonts w:ascii="Times New Roman" w:hAnsi="Times New Roman" w:cs="Times New Roman"/>
        </w:rPr>
        <w:t xml:space="preserve">Lucarelli, E. (2009): </w:t>
      </w:r>
      <w:r w:rsidRPr="00690145">
        <w:rPr>
          <w:rFonts w:ascii="Times New Roman" w:hAnsi="Times New Roman" w:cs="Times New Roman"/>
          <w:i/>
        </w:rPr>
        <w:t>La teoría y la práctica en la universidad: la innovación en las aulas</w:t>
      </w:r>
      <w:r w:rsidRPr="00690145">
        <w:rPr>
          <w:rFonts w:ascii="Times New Roman" w:hAnsi="Times New Roman" w:cs="Times New Roman"/>
          <w:u w:val="single"/>
        </w:rPr>
        <w:t>.</w:t>
      </w:r>
      <w:r w:rsidRPr="00690145">
        <w:rPr>
          <w:rFonts w:ascii="Times New Roman" w:hAnsi="Times New Roman" w:cs="Times New Roman"/>
        </w:rPr>
        <w:t xml:space="preserve"> Miño y Dávila. </w:t>
      </w:r>
    </w:p>
    <w:p w:rsidR="00916ABA" w:rsidRPr="00690145" w:rsidRDefault="00916ABA" w:rsidP="00916ABA">
      <w:pPr>
        <w:pStyle w:val="NormalWeb"/>
        <w:jc w:val="both"/>
      </w:pPr>
      <w:bookmarkStart w:id="0" w:name="_GoBack"/>
      <w:bookmarkEnd w:id="0"/>
      <w:r w:rsidRPr="00690145">
        <w:rPr>
          <w:lang w:val="es-AR"/>
        </w:rPr>
        <w:t xml:space="preserve">Harden, R. M., y Crosby, J. (2000). </w:t>
      </w:r>
      <w:r w:rsidRPr="00690145">
        <w:rPr>
          <w:lang w:val="en-US"/>
        </w:rPr>
        <w:t xml:space="preserve">AMEE Guide No. 20: The good teacher is more than a lecturer - the twelve roles of the teacher. </w:t>
      </w:r>
      <w:r w:rsidRPr="00690145">
        <w:rPr>
          <w:i/>
          <w:iCs/>
        </w:rPr>
        <w:t>Medical Teacher</w:t>
      </w:r>
      <w:r w:rsidRPr="00690145">
        <w:t xml:space="preserve">, </w:t>
      </w:r>
      <w:r w:rsidRPr="00690145">
        <w:rPr>
          <w:i/>
          <w:iCs/>
        </w:rPr>
        <w:t>22</w:t>
      </w:r>
      <w:r w:rsidRPr="00690145">
        <w:t xml:space="preserve">(4), 334–347. </w:t>
      </w:r>
      <w:hyperlink r:id="rId8" w:tgtFrame="_blank" w:history="1">
        <w:r w:rsidRPr="00690145">
          <w:rPr>
            <w:rStyle w:val="Hipervnculo"/>
            <w:rFonts w:eastAsiaTheme="majorEastAsia"/>
            <w:color w:val="auto"/>
          </w:rPr>
          <w:t>https://doi.org/10.1080/014215900409429</w:t>
        </w:r>
      </w:hyperlink>
    </w:p>
    <w:p w:rsidR="00916ABA" w:rsidRPr="00690145" w:rsidRDefault="00916ABA" w:rsidP="00916ABA">
      <w:pPr>
        <w:pStyle w:val="NormalWeb"/>
        <w:jc w:val="both"/>
      </w:pPr>
      <w:r w:rsidRPr="00690145">
        <w:rPr>
          <w:bCs/>
        </w:rPr>
        <w:t>Hassoun, J. (1997).</w:t>
      </w:r>
      <w:r w:rsidRPr="00690145">
        <w:t xml:space="preserve"> </w:t>
      </w:r>
      <w:r w:rsidRPr="00690145">
        <w:rPr>
          <w:i/>
          <w:iCs/>
        </w:rPr>
        <w:t>Los contrabandistas de la memoria</w:t>
      </w:r>
      <w:r w:rsidRPr="00690145">
        <w:t>. Ed. de la Flor.</w:t>
      </w:r>
    </w:p>
    <w:p w:rsidR="00916ABA" w:rsidRPr="00690145" w:rsidRDefault="00916ABA" w:rsidP="00916ABA">
      <w:pPr>
        <w:pStyle w:val="NormalWeb"/>
        <w:jc w:val="both"/>
      </w:pPr>
      <w:r w:rsidRPr="00690145">
        <w:rPr>
          <w:bCs/>
        </w:rPr>
        <w:t>Nicastro, S. (1997).</w:t>
      </w:r>
      <w:r w:rsidRPr="00690145">
        <w:t xml:space="preserve"> </w:t>
      </w:r>
      <w:r w:rsidRPr="00690145">
        <w:rPr>
          <w:i/>
          <w:iCs/>
        </w:rPr>
        <w:t>La historia institucional y el director en la escuela: versiones y relatos</w:t>
      </w:r>
      <w:r w:rsidRPr="00690145">
        <w:t>. Paidós.</w:t>
      </w:r>
    </w:p>
    <w:p w:rsidR="008D4184" w:rsidRPr="00690145" w:rsidRDefault="008D4184" w:rsidP="00916ABA">
      <w:pPr>
        <w:pStyle w:val="NormalWeb"/>
        <w:jc w:val="both"/>
      </w:pPr>
      <w:r w:rsidRPr="00690145">
        <w:t>Panaia, M.</w:t>
      </w:r>
      <w:r w:rsidR="00690145" w:rsidRPr="00690145">
        <w:t xml:space="preserve"> </w:t>
      </w:r>
      <w:r w:rsidRPr="00690145">
        <w:t>(2007)</w:t>
      </w:r>
      <w:r w:rsidR="0098076C" w:rsidRPr="00690145">
        <w:t xml:space="preserve">: </w:t>
      </w:r>
      <w:r w:rsidR="0098076C" w:rsidRPr="00690145">
        <w:rPr>
          <w:i/>
        </w:rPr>
        <w:t>Una revisión de la sociología de las profesiones desde la teoría crítica del trabajo en la Argentina.</w:t>
      </w:r>
      <w:r w:rsidR="0098076C" w:rsidRPr="00690145">
        <w:t xml:space="preserve"> Comisión Económica para Amé</w:t>
      </w:r>
      <w:r w:rsidR="00690145" w:rsidRPr="00690145">
        <w:t>rica Latina y el Caribe (CEPAL)</w:t>
      </w:r>
      <w:r w:rsidR="0098076C" w:rsidRPr="00690145">
        <w:t>.</w:t>
      </w:r>
    </w:p>
    <w:p w:rsidR="00916ABA" w:rsidRDefault="00916ABA" w:rsidP="00916ABA">
      <w:pPr>
        <w:pStyle w:val="NormalWeb"/>
        <w:jc w:val="both"/>
      </w:pPr>
      <w:r>
        <w:rPr>
          <w:bCs/>
        </w:rPr>
        <w:t>Rajadell, N. y Serrat, N.</w:t>
      </w:r>
      <w:r>
        <w:t xml:space="preserve"> (2002). La interrogación didáctica. En </w:t>
      </w:r>
      <w:r>
        <w:rPr>
          <w:i/>
          <w:iCs/>
        </w:rPr>
        <w:t>Estrategias didácticas innovadoras</w:t>
      </w:r>
      <w:r>
        <w:t>. Octaedro.</w:t>
      </w:r>
    </w:p>
    <w:p w:rsidR="00E9145B" w:rsidRDefault="00E9145B" w:rsidP="00E9145B">
      <w:pPr>
        <w:pStyle w:val="NormalWeb"/>
        <w:jc w:val="both"/>
      </w:pPr>
      <w:r>
        <w:rPr>
          <w:bCs/>
        </w:rPr>
        <w:t>Sirvent, M. T., y Rigal, L. (2023).</w:t>
      </w:r>
      <w:r>
        <w:t xml:space="preserve"> </w:t>
      </w:r>
      <w:r>
        <w:rPr>
          <w:i/>
          <w:iCs/>
        </w:rPr>
        <w:t>La investigación social en educación: diferentes caminos epistemológicos, lógicos y metodológicos de producción de conocimiento</w:t>
      </w:r>
      <w:r>
        <w:t>. Miño y Dávila.</w:t>
      </w:r>
    </w:p>
    <w:p w:rsidR="00E9145B" w:rsidRDefault="00E9145B" w:rsidP="00916ABA">
      <w:pPr>
        <w:pStyle w:val="NormalWeb"/>
        <w:jc w:val="both"/>
      </w:pPr>
    </w:p>
    <w:p w:rsidR="00916ABA" w:rsidRDefault="00916ABA" w:rsidP="00916ABA">
      <w:pPr>
        <w:pStyle w:val="NormalWeb"/>
        <w:jc w:val="both"/>
        <w:rPr>
          <w:bCs/>
          <w:color w:val="00B050"/>
        </w:rPr>
      </w:pPr>
    </w:p>
    <w:p w:rsidR="00916ABA" w:rsidRDefault="00916ABA" w:rsidP="00916ABA"/>
    <w:p w:rsidR="00916ABA" w:rsidRDefault="00916ABA" w:rsidP="00916ABA"/>
    <w:p w:rsidR="00916ABA" w:rsidRDefault="00916ABA" w:rsidP="00916ABA"/>
    <w:p w:rsidR="00916ABA" w:rsidRDefault="00916ABA" w:rsidP="00916ABA"/>
    <w:p w:rsidR="00916ABA" w:rsidRDefault="00916ABA" w:rsidP="00916ABA"/>
    <w:sectPr w:rsidR="00916ABA"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BB6" w:rsidRPr="00BA642E" w:rsidRDefault="006E6BB6" w:rsidP="00C802F5">
      <w:pPr>
        <w:spacing w:after="0" w:line="240" w:lineRule="auto"/>
      </w:pPr>
      <w:r w:rsidRPr="00BA642E">
        <w:separator/>
      </w:r>
    </w:p>
  </w:endnote>
  <w:endnote w:type="continuationSeparator" w:id="0">
    <w:p w:rsidR="006E6BB6" w:rsidRPr="00BA642E" w:rsidRDefault="006E6BB6" w:rsidP="00C802F5">
      <w:pPr>
        <w:spacing w:after="0" w:line="240" w:lineRule="auto"/>
      </w:pPr>
      <w:r w:rsidRPr="00BA642E">
        <w:continuationSeparator/>
      </w:r>
    </w:p>
  </w:endnote>
  <w:endnote w:id="1">
    <w:p w:rsidR="00916ABA" w:rsidRDefault="00916ABA" w:rsidP="00916ABA">
      <w:pPr>
        <w:pStyle w:val="Textonotaalfinal"/>
        <w:jc w:val="both"/>
        <w:rPr>
          <w:lang w:val="es-MX"/>
        </w:rPr>
      </w:pPr>
      <w:r>
        <w:rPr>
          <w:rStyle w:val="Refdenotaalfinal"/>
        </w:rPr>
        <w:endnoteRef/>
      </w:r>
      <w:r>
        <w:t xml:space="preserve"> </w:t>
      </w:r>
      <w:r>
        <w:rPr>
          <w:rFonts w:ascii="Times New Roman" w:hAnsi="Times New Roman" w:cs="Times New Roman"/>
          <w:sz w:val="16"/>
          <w:szCs w:val="16"/>
          <w:shd w:val="clear" w:color="auto" w:fill="FFFFFF"/>
        </w:rPr>
        <w:t>La Figura del </w:t>
      </w:r>
      <w:r>
        <w:rPr>
          <w:rStyle w:val="Textoennegrita"/>
          <w:rFonts w:ascii="Times New Roman" w:hAnsi="Times New Roman" w:cs="Times New Roman"/>
          <w:sz w:val="16"/>
          <w:szCs w:val="16"/>
          <w:shd w:val="clear" w:color="auto" w:fill="FFFFFF"/>
        </w:rPr>
        <w:t>Hospital Asociado</w:t>
      </w:r>
      <w:r>
        <w:rPr>
          <w:rFonts w:ascii="Times New Roman" w:hAnsi="Times New Roman" w:cs="Times New Roman"/>
          <w:sz w:val="16"/>
          <w:szCs w:val="16"/>
          <w:shd w:val="clear" w:color="auto" w:fill="FFFFFF"/>
        </w:rPr>
        <w:t> fue creada en 1990 por la Facultad de Medicina para profundizar la descentralización de la enseñanza con el objeto de conformar centros de Educación Médica con autonomía creciente</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F64" w:rsidRPr="00BA642E" w:rsidRDefault="00BA642E">
    <w:pPr>
      <w:pStyle w:val="Piedepgina"/>
    </w:pPr>
    <w:r w:rsidRPr="00BA642E">
      <w:rPr>
        <w:noProof/>
        <w:lang w:val="es-ES" w:eastAsia="es-ES"/>
      </w:rPr>
      <w:drawing>
        <wp:inline distT="0" distB="0" distL="0" distR="0">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rsidR="00C802F5" w:rsidRPr="00BA642E" w:rsidRDefault="00C802F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BB6" w:rsidRPr="00BA642E" w:rsidRDefault="006E6BB6" w:rsidP="00C802F5">
      <w:pPr>
        <w:spacing w:after="0" w:line="240" w:lineRule="auto"/>
      </w:pPr>
      <w:r w:rsidRPr="00BA642E">
        <w:separator/>
      </w:r>
    </w:p>
  </w:footnote>
  <w:footnote w:type="continuationSeparator" w:id="0">
    <w:p w:rsidR="006E6BB6" w:rsidRPr="00BA642E" w:rsidRDefault="006E6BB6" w:rsidP="00C802F5">
      <w:pPr>
        <w:spacing w:after="0" w:line="240" w:lineRule="auto"/>
      </w:pPr>
      <w:r w:rsidRPr="00BA642E">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2F5" w:rsidRPr="00BA642E" w:rsidRDefault="00C802F5" w:rsidP="00C802F5">
    <w:pPr>
      <w:pStyle w:val="Encabezado"/>
      <w:jc w:val="center"/>
    </w:pPr>
    <w:r w:rsidRPr="00BA642E">
      <w:rPr>
        <w:noProof/>
        <w:lang w:val="es-ES" w:eastAsia="es-ES"/>
      </w:rPr>
      <w:drawing>
        <wp:inline distT="0" distB="0" distL="0" distR="0">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771FE"/>
    <w:multiLevelType w:val="hybridMultilevel"/>
    <w:tmpl w:val="98B01DCA"/>
    <w:lvl w:ilvl="0" w:tplc="A5A07F76">
      <w:start w:val="1"/>
      <w:numFmt w:val="bullet"/>
      <w:lvlText w:val=""/>
      <w:lvlJc w:val="left"/>
      <w:pPr>
        <w:ind w:left="72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139D1A32"/>
    <w:multiLevelType w:val="hybridMultilevel"/>
    <w:tmpl w:val="F2AAFDAC"/>
    <w:lvl w:ilvl="0" w:tplc="A5A07F76">
      <w:start w:val="1"/>
      <w:numFmt w:val="bullet"/>
      <w:lvlText w:val=""/>
      <w:lvlJc w:val="left"/>
      <w:pPr>
        <w:ind w:left="72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4D8823A9"/>
    <w:multiLevelType w:val="hybridMultilevel"/>
    <w:tmpl w:val="88665C8E"/>
    <w:lvl w:ilvl="0" w:tplc="A5A07F76">
      <w:start w:val="1"/>
      <w:numFmt w:val="bullet"/>
      <w:lvlText w:val=""/>
      <w:lvlJc w:val="left"/>
      <w:pPr>
        <w:ind w:left="72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1923DC"/>
    <w:rsid w:val="00006C18"/>
    <w:rsid w:val="00036977"/>
    <w:rsid w:val="00123F0D"/>
    <w:rsid w:val="001816D6"/>
    <w:rsid w:val="00185F5E"/>
    <w:rsid w:val="001923DC"/>
    <w:rsid w:val="001D6756"/>
    <w:rsid w:val="00231611"/>
    <w:rsid w:val="002327C3"/>
    <w:rsid w:val="002818D4"/>
    <w:rsid w:val="002D2F86"/>
    <w:rsid w:val="00312392"/>
    <w:rsid w:val="00342640"/>
    <w:rsid w:val="00386AC5"/>
    <w:rsid w:val="004040C0"/>
    <w:rsid w:val="00437E9C"/>
    <w:rsid w:val="004A0632"/>
    <w:rsid w:val="004A7B8D"/>
    <w:rsid w:val="00550766"/>
    <w:rsid w:val="00581304"/>
    <w:rsid w:val="005F3B2E"/>
    <w:rsid w:val="00690145"/>
    <w:rsid w:val="006D3AAB"/>
    <w:rsid w:val="006E3AE6"/>
    <w:rsid w:val="006E6BB6"/>
    <w:rsid w:val="00701F64"/>
    <w:rsid w:val="0071246B"/>
    <w:rsid w:val="007B5B5F"/>
    <w:rsid w:val="007D233B"/>
    <w:rsid w:val="00816FF4"/>
    <w:rsid w:val="0085070B"/>
    <w:rsid w:val="008D4184"/>
    <w:rsid w:val="00916ABA"/>
    <w:rsid w:val="0097180E"/>
    <w:rsid w:val="0098076C"/>
    <w:rsid w:val="009A1F6E"/>
    <w:rsid w:val="00A17247"/>
    <w:rsid w:val="00A72BF8"/>
    <w:rsid w:val="00AF0B8E"/>
    <w:rsid w:val="00B62EC7"/>
    <w:rsid w:val="00BA642E"/>
    <w:rsid w:val="00BC236F"/>
    <w:rsid w:val="00C177D9"/>
    <w:rsid w:val="00C802F5"/>
    <w:rsid w:val="00C96B2C"/>
    <w:rsid w:val="00CC04C1"/>
    <w:rsid w:val="00D15D23"/>
    <w:rsid w:val="00D2079B"/>
    <w:rsid w:val="00D779A9"/>
    <w:rsid w:val="00D843EC"/>
    <w:rsid w:val="00DD379D"/>
    <w:rsid w:val="00E42DCA"/>
    <w:rsid w:val="00E9145B"/>
    <w:rsid w:val="00F926D0"/>
    <w:rsid w:val="00FA02D0"/>
    <w:rsid w:val="00FC399B"/>
    <w:rsid w:val="00FD04D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A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D23"/>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aliases w:val="dR Viñ 1"/>
    <w:basedOn w:val="Normal"/>
    <w:link w:val="PrrafodelistaCar"/>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9A1F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1F6E"/>
    <w:rPr>
      <w:rFonts w:ascii="Tahoma" w:hAnsi="Tahoma" w:cs="Tahoma"/>
      <w:sz w:val="16"/>
      <w:szCs w:val="16"/>
    </w:rPr>
  </w:style>
  <w:style w:type="paragraph" w:styleId="NormalWeb">
    <w:name w:val="Normal (Web)"/>
    <w:basedOn w:val="Normal"/>
    <w:uiPriority w:val="99"/>
    <w:semiHidden/>
    <w:unhideWhenUsed/>
    <w:rsid w:val="00916ABA"/>
    <w:pPr>
      <w:spacing w:before="100" w:beforeAutospacing="1" w:after="100" w:afterAutospacing="1" w:line="240" w:lineRule="auto"/>
    </w:pPr>
    <w:rPr>
      <w:rFonts w:ascii="Times New Roman" w:eastAsia="Times New Roman" w:hAnsi="Times New Roman" w:cs="Times New Roman"/>
      <w:kern w:val="0"/>
      <w:lang w:val="es-ES" w:eastAsia="es-ES"/>
    </w:rPr>
  </w:style>
  <w:style w:type="paragraph" w:styleId="Textonotaalfinal">
    <w:name w:val="endnote text"/>
    <w:basedOn w:val="Normal"/>
    <w:link w:val="TextonotaalfinalCar"/>
    <w:uiPriority w:val="99"/>
    <w:semiHidden/>
    <w:unhideWhenUsed/>
    <w:rsid w:val="00916ABA"/>
    <w:pPr>
      <w:spacing w:after="0" w:line="240" w:lineRule="auto"/>
    </w:pPr>
    <w:rPr>
      <w:kern w:val="0"/>
      <w:sz w:val="20"/>
      <w:szCs w:val="20"/>
    </w:rPr>
  </w:style>
  <w:style w:type="character" w:customStyle="1" w:styleId="TextonotaalfinalCar">
    <w:name w:val="Texto nota al final Car"/>
    <w:basedOn w:val="Fuentedeprrafopredeter"/>
    <w:link w:val="Textonotaalfinal"/>
    <w:uiPriority w:val="99"/>
    <w:semiHidden/>
    <w:rsid w:val="00916ABA"/>
    <w:rPr>
      <w:kern w:val="0"/>
      <w:sz w:val="20"/>
      <w:szCs w:val="20"/>
    </w:rPr>
  </w:style>
  <w:style w:type="paragraph" w:styleId="Textoindependiente">
    <w:name w:val="Body Text"/>
    <w:basedOn w:val="Normal"/>
    <w:link w:val="TextoindependienteCar"/>
    <w:uiPriority w:val="99"/>
    <w:semiHidden/>
    <w:unhideWhenUsed/>
    <w:qFormat/>
    <w:rsid w:val="00916ABA"/>
    <w:pPr>
      <w:spacing w:after="120" w:line="240" w:lineRule="auto"/>
    </w:pPr>
    <w:rPr>
      <w:rFonts w:ascii="Times New Roman" w:eastAsia="Times New Roman" w:hAnsi="Times New Roman" w:cs="Times New Roman"/>
      <w:kern w:val="0"/>
      <w:lang w:eastAsia="es-ES"/>
    </w:rPr>
  </w:style>
  <w:style w:type="character" w:customStyle="1" w:styleId="TextoindependienteCar">
    <w:name w:val="Texto independiente Car"/>
    <w:basedOn w:val="Fuentedeprrafopredeter"/>
    <w:link w:val="Textoindependiente"/>
    <w:uiPriority w:val="99"/>
    <w:semiHidden/>
    <w:rsid w:val="00916ABA"/>
    <w:rPr>
      <w:rFonts w:ascii="Times New Roman" w:eastAsia="Times New Roman" w:hAnsi="Times New Roman" w:cs="Times New Roman"/>
      <w:kern w:val="0"/>
      <w:lang w:eastAsia="es-ES"/>
    </w:rPr>
  </w:style>
  <w:style w:type="character" w:customStyle="1" w:styleId="PrrafodelistaCar">
    <w:name w:val="Párrafo de lista Car"/>
    <w:aliases w:val="dR Viñ 1 Car"/>
    <w:link w:val="Prrafodelista"/>
    <w:uiPriority w:val="34"/>
    <w:locked/>
    <w:rsid w:val="00916ABA"/>
  </w:style>
  <w:style w:type="paragraph" w:customStyle="1" w:styleId="Prrafodelista1">
    <w:name w:val="Párrafo de lista1"/>
    <w:basedOn w:val="Normal"/>
    <w:uiPriority w:val="99"/>
    <w:semiHidden/>
    <w:rsid w:val="00916ABA"/>
    <w:pPr>
      <w:spacing w:after="200" w:line="276" w:lineRule="auto"/>
      <w:ind w:left="720"/>
      <w:contextualSpacing/>
    </w:pPr>
    <w:rPr>
      <w:rFonts w:ascii="Times New Roman" w:eastAsia="Times New Roman" w:hAnsi="Times New Roman" w:cs="Times New Roman"/>
      <w:kern w:val="0"/>
      <w:szCs w:val="22"/>
    </w:rPr>
  </w:style>
  <w:style w:type="paragraph" w:customStyle="1" w:styleId="Normal1">
    <w:name w:val="Normal1"/>
    <w:uiPriority w:val="99"/>
    <w:semiHidden/>
    <w:rsid w:val="00916ABA"/>
    <w:pPr>
      <w:spacing w:after="200" w:line="276" w:lineRule="auto"/>
    </w:pPr>
    <w:rPr>
      <w:rFonts w:ascii="Calibri" w:eastAsia="Calibri" w:hAnsi="Calibri" w:cs="Calibri"/>
      <w:kern w:val="0"/>
      <w:sz w:val="22"/>
      <w:szCs w:val="22"/>
      <w:lang w:eastAsia="es-ES"/>
    </w:rPr>
  </w:style>
  <w:style w:type="character" w:styleId="Refdenotaalfinal">
    <w:name w:val="endnote reference"/>
    <w:basedOn w:val="Fuentedeprrafopredeter"/>
    <w:uiPriority w:val="99"/>
    <w:semiHidden/>
    <w:unhideWhenUsed/>
    <w:rsid w:val="00916ABA"/>
    <w:rPr>
      <w:vertAlign w:val="superscript"/>
    </w:rPr>
  </w:style>
  <w:style w:type="character" w:styleId="Textoennegrita">
    <w:name w:val="Strong"/>
    <w:basedOn w:val="Fuentedeprrafopredeter"/>
    <w:uiPriority w:val="99"/>
    <w:qFormat/>
    <w:rsid w:val="00916AB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D23"/>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aliases w:val="dR Viñ 1"/>
    <w:basedOn w:val="Normal"/>
    <w:link w:val="PrrafodelistaCar"/>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9A1F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1F6E"/>
    <w:rPr>
      <w:rFonts w:ascii="Tahoma" w:hAnsi="Tahoma" w:cs="Tahoma"/>
      <w:sz w:val="16"/>
      <w:szCs w:val="16"/>
    </w:rPr>
  </w:style>
  <w:style w:type="paragraph" w:styleId="NormalWeb">
    <w:name w:val="Normal (Web)"/>
    <w:basedOn w:val="Normal"/>
    <w:uiPriority w:val="99"/>
    <w:semiHidden/>
    <w:unhideWhenUsed/>
    <w:rsid w:val="00916ABA"/>
    <w:pPr>
      <w:spacing w:before="100" w:beforeAutospacing="1" w:after="100" w:afterAutospacing="1" w:line="240" w:lineRule="auto"/>
    </w:pPr>
    <w:rPr>
      <w:rFonts w:ascii="Times New Roman" w:eastAsia="Times New Roman" w:hAnsi="Times New Roman" w:cs="Times New Roman"/>
      <w:kern w:val="0"/>
      <w:lang w:val="es-ES" w:eastAsia="es-ES"/>
    </w:rPr>
  </w:style>
  <w:style w:type="paragraph" w:styleId="Textonotaalfinal">
    <w:name w:val="endnote text"/>
    <w:basedOn w:val="Normal"/>
    <w:link w:val="TextonotaalfinalCar"/>
    <w:uiPriority w:val="99"/>
    <w:semiHidden/>
    <w:unhideWhenUsed/>
    <w:rsid w:val="00916ABA"/>
    <w:pPr>
      <w:spacing w:after="0" w:line="240" w:lineRule="auto"/>
    </w:pPr>
    <w:rPr>
      <w:kern w:val="0"/>
      <w:sz w:val="20"/>
      <w:szCs w:val="20"/>
    </w:rPr>
  </w:style>
  <w:style w:type="character" w:customStyle="1" w:styleId="TextonotaalfinalCar">
    <w:name w:val="Texto nota al final Car"/>
    <w:basedOn w:val="Fuentedeprrafopredeter"/>
    <w:link w:val="Textonotaalfinal"/>
    <w:uiPriority w:val="99"/>
    <w:semiHidden/>
    <w:rsid w:val="00916ABA"/>
    <w:rPr>
      <w:kern w:val="0"/>
      <w:sz w:val="20"/>
      <w:szCs w:val="20"/>
    </w:rPr>
  </w:style>
  <w:style w:type="paragraph" w:styleId="Textoindependiente">
    <w:name w:val="Body Text"/>
    <w:basedOn w:val="Normal"/>
    <w:link w:val="TextoindependienteCar"/>
    <w:uiPriority w:val="99"/>
    <w:semiHidden/>
    <w:unhideWhenUsed/>
    <w:qFormat/>
    <w:rsid w:val="00916ABA"/>
    <w:pPr>
      <w:spacing w:after="120" w:line="240" w:lineRule="auto"/>
    </w:pPr>
    <w:rPr>
      <w:rFonts w:ascii="Times New Roman" w:eastAsia="Times New Roman" w:hAnsi="Times New Roman" w:cs="Times New Roman"/>
      <w:kern w:val="0"/>
      <w:lang w:eastAsia="es-ES"/>
    </w:rPr>
  </w:style>
  <w:style w:type="character" w:customStyle="1" w:styleId="TextoindependienteCar">
    <w:name w:val="Texto independiente Car"/>
    <w:basedOn w:val="Fuentedeprrafopredeter"/>
    <w:link w:val="Textoindependiente"/>
    <w:uiPriority w:val="99"/>
    <w:semiHidden/>
    <w:rsid w:val="00916ABA"/>
    <w:rPr>
      <w:rFonts w:ascii="Times New Roman" w:eastAsia="Times New Roman" w:hAnsi="Times New Roman" w:cs="Times New Roman"/>
      <w:kern w:val="0"/>
      <w:lang w:eastAsia="es-ES"/>
    </w:rPr>
  </w:style>
  <w:style w:type="character" w:customStyle="1" w:styleId="PrrafodelistaCar">
    <w:name w:val="Párrafo de lista Car"/>
    <w:aliases w:val="dR Viñ 1 Car"/>
    <w:link w:val="Prrafodelista"/>
    <w:uiPriority w:val="34"/>
    <w:locked/>
    <w:rsid w:val="00916ABA"/>
  </w:style>
  <w:style w:type="paragraph" w:customStyle="1" w:styleId="Prrafodelista1">
    <w:name w:val="Párrafo de lista1"/>
    <w:basedOn w:val="Normal"/>
    <w:uiPriority w:val="99"/>
    <w:semiHidden/>
    <w:rsid w:val="00916ABA"/>
    <w:pPr>
      <w:spacing w:after="200" w:line="276" w:lineRule="auto"/>
      <w:ind w:left="720"/>
      <w:contextualSpacing/>
    </w:pPr>
    <w:rPr>
      <w:rFonts w:ascii="Times New Roman" w:eastAsia="Times New Roman" w:hAnsi="Times New Roman" w:cs="Times New Roman"/>
      <w:kern w:val="0"/>
      <w:szCs w:val="22"/>
    </w:rPr>
  </w:style>
  <w:style w:type="paragraph" w:customStyle="1" w:styleId="Normal1">
    <w:name w:val="Normal1"/>
    <w:uiPriority w:val="99"/>
    <w:semiHidden/>
    <w:rsid w:val="00916ABA"/>
    <w:pPr>
      <w:spacing w:after="200" w:line="276" w:lineRule="auto"/>
    </w:pPr>
    <w:rPr>
      <w:rFonts w:ascii="Calibri" w:eastAsia="Calibri" w:hAnsi="Calibri" w:cs="Calibri"/>
      <w:kern w:val="0"/>
      <w:sz w:val="22"/>
      <w:szCs w:val="22"/>
      <w:lang w:eastAsia="es-ES"/>
    </w:rPr>
  </w:style>
  <w:style w:type="character" w:styleId="Refdenotaalfinal">
    <w:name w:val="endnote reference"/>
    <w:basedOn w:val="Fuentedeprrafopredeter"/>
    <w:uiPriority w:val="99"/>
    <w:semiHidden/>
    <w:unhideWhenUsed/>
    <w:rsid w:val="00916ABA"/>
    <w:rPr>
      <w:vertAlign w:val="superscript"/>
    </w:rPr>
  </w:style>
  <w:style w:type="character" w:styleId="Textoennegrita">
    <w:name w:val="Strong"/>
    <w:basedOn w:val="Fuentedeprrafopredeter"/>
    <w:uiPriority w:val="99"/>
    <w:qFormat/>
    <w:rsid w:val="00916ABA"/>
    <w:rPr>
      <w:b/>
      <w:bCs/>
    </w:rPr>
  </w:style>
</w:styles>
</file>

<file path=word/webSettings.xml><?xml version="1.0" encoding="utf-8"?>
<w:webSettings xmlns:r="http://schemas.openxmlformats.org/officeDocument/2006/relationships" xmlns:w="http://schemas.openxmlformats.org/wordprocessingml/2006/main">
  <w:divs>
    <w:div w:id="464157564">
      <w:bodyDiv w:val="1"/>
      <w:marLeft w:val="0"/>
      <w:marRight w:val="0"/>
      <w:marTop w:val="0"/>
      <w:marBottom w:val="0"/>
      <w:divBdr>
        <w:top w:val="none" w:sz="0" w:space="0" w:color="auto"/>
        <w:left w:val="none" w:sz="0" w:space="0" w:color="auto"/>
        <w:bottom w:val="none" w:sz="0" w:space="0" w:color="auto"/>
        <w:right w:val="none" w:sz="0" w:space="0" w:color="auto"/>
      </w:divBdr>
    </w:div>
    <w:div w:id="534971528">
      <w:bodyDiv w:val="1"/>
      <w:marLeft w:val="0"/>
      <w:marRight w:val="0"/>
      <w:marTop w:val="0"/>
      <w:marBottom w:val="0"/>
      <w:divBdr>
        <w:top w:val="none" w:sz="0" w:space="0" w:color="auto"/>
        <w:left w:val="none" w:sz="0" w:space="0" w:color="auto"/>
        <w:bottom w:val="none" w:sz="0" w:space="0" w:color="auto"/>
        <w:right w:val="none" w:sz="0" w:space="0" w:color="auto"/>
      </w:divBdr>
    </w:div>
    <w:div w:id="971904611">
      <w:bodyDiv w:val="1"/>
      <w:marLeft w:val="0"/>
      <w:marRight w:val="0"/>
      <w:marTop w:val="0"/>
      <w:marBottom w:val="0"/>
      <w:divBdr>
        <w:top w:val="none" w:sz="0" w:space="0" w:color="auto"/>
        <w:left w:val="none" w:sz="0" w:space="0" w:color="auto"/>
        <w:bottom w:val="none" w:sz="0" w:space="0" w:color="auto"/>
        <w:right w:val="none" w:sz="0" w:space="0" w:color="auto"/>
      </w:divBdr>
    </w:div>
    <w:div w:id="100705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https://doi.org/10.1080/014215900409429"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23885-652F-4C80-A426-311A2586D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5788</Words>
  <Characters>31838</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37551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www.intercambiosvirtuales.org</cp:lastModifiedBy>
  <cp:revision>2</cp:revision>
  <dcterms:created xsi:type="dcterms:W3CDTF">2026-06-26T16:08:00Z</dcterms:created>
  <dcterms:modified xsi:type="dcterms:W3CDTF">2026-06-26T16:08:00Z</dcterms:modified>
</cp:coreProperties>
</file>