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B3483" w14:textId="77777777" w:rsidR="00C802F5" w:rsidRPr="00BA642E" w:rsidRDefault="00C802F5" w:rsidP="001923DC">
      <w:pPr>
        <w:jc w:val="center"/>
        <w:rPr>
          <w:rFonts w:ascii="Times New Roman" w:hAnsi="Times New Roman" w:cs="Times New Roman"/>
        </w:rPr>
      </w:pPr>
    </w:p>
    <w:p w14:paraId="1DABD42B" w14:textId="047D7D13" w:rsidR="001923DC" w:rsidRPr="00BA642E" w:rsidRDefault="002B2B69" w:rsidP="001923DC">
      <w:pPr>
        <w:jc w:val="center"/>
        <w:rPr>
          <w:rFonts w:ascii="Times New Roman" w:hAnsi="Times New Roman" w:cs="Times New Roman"/>
          <w:b/>
          <w:bCs/>
        </w:rPr>
      </w:pPr>
      <w:r>
        <w:rPr>
          <w:rFonts w:ascii="Times New Roman" w:hAnsi="Times New Roman" w:cs="Times New Roman"/>
          <w:b/>
          <w:bCs/>
        </w:rPr>
        <w:t>Rediseño curricular de Bioquímica en M</w:t>
      </w:r>
      <w:r w:rsidRPr="002B2B69">
        <w:rPr>
          <w:rFonts w:ascii="Times New Roman" w:hAnsi="Times New Roman" w:cs="Times New Roman"/>
          <w:b/>
          <w:bCs/>
        </w:rPr>
        <w:t>edicina: implementación de un modelo cuatrimestral basado en competencias</w:t>
      </w:r>
      <w:r>
        <w:rPr>
          <w:rFonts w:ascii="Times New Roman" w:hAnsi="Times New Roman" w:cs="Times New Roman"/>
          <w:b/>
          <w:bCs/>
        </w:rPr>
        <w:t xml:space="preserve"> </w:t>
      </w:r>
    </w:p>
    <w:p w14:paraId="43C49479" w14:textId="77777777" w:rsidR="005F3B2E" w:rsidRPr="00BA642E" w:rsidRDefault="005F3B2E" w:rsidP="001923DC">
      <w:pPr>
        <w:jc w:val="center"/>
        <w:rPr>
          <w:rFonts w:ascii="Times New Roman" w:hAnsi="Times New Roman" w:cs="Times New Roman"/>
        </w:rPr>
      </w:pPr>
    </w:p>
    <w:p w14:paraId="4E738780" w14:textId="6EE87C4D" w:rsidR="005F3B2E" w:rsidRPr="00BA642E" w:rsidRDefault="00406B64" w:rsidP="005F3B2E">
      <w:pPr>
        <w:spacing w:after="0" w:line="240" w:lineRule="auto"/>
        <w:jc w:val="right"/>
        <w:rPr>
          <w:rFonts w:ascii="Times New Roman" w:hAnsi="Times New Roman" w:cs="Times New Roman"/>
        </w:rPr>
      </w:pPr>
      <w:r>
        <w:rPr>
          <w:rFonts w:ascii="Times New Roman" w:hAnsi="Times New Roman" w:cs="Times New Roman"/>
        </w:rPr>
        <w:t xml:space="preserve">Drogo, Claudia Fátima </w:t>
      </w:r>
    </w:p>
    <w:p w14:paraId="6C2AECCA" w14:textId="4818D485" w:rsidR="005F3B2E" w:rsidRPr="00BA642E" w:rsidRDefault="002B2B69" w:rsidP="005F3B2E">
      <w:pPr>
        <w:spacing w:after="0" w:line="240" w:lineRule="auto"/>
        <w:jc w:val="right"/>
        <w:rPr>
          <w:rFonts w:ascii="Times New Roman" w:hAnsi="Times New Roman" w:cs="Times New Roman"/>
        </w:rPr>
      </w:pPr>
      <w:r>
        <w:rPr>
          <w:rFonts w:ascii="Times New Roman" w:hAnsi="Times New Roman" w:cs="Times New Roman"/>
        </w:rPr>
        <w:t>Universidad Abierta Interamericana</w:t>
      </w:r>
    </w:p>
    <w:p w14:paraId="1FA0F857" w14:textId="305D7889" w:rsidR="005F3B2E" w:rsidRDefault="00874F55" w:rsidP="00406B64">
      <w:pPr>
        <w:spacing w:after="0" w:line="240" w:lineRule="auto"/>
        <w:jc w:val="right"/>
        <w:rPr>
          <w:rFonts w:ascii="Times New Roman" w:hAnsi="Times New Roman" w:cs="Times New Roman"/>
        </w:rPr>
      </w:pPr>
      <w:hyperlink r:id="rId6" w:history="1">
        <w:r w:rsidR="00406B64" w:rsidRPr="00255824">
          <w:rPr>
            <w:rStyle w:val="Hipervnculo"/>
            <w:rFonts w:ascii="Times New Roman" w:hAnsi="Times New Roman" w:cs="Times New Roman"/>
          </w:rPr>
          <w:t>cfdrogo@gmail.com</w:t>
        </w:r>
      </w:hyperlink>
    </w:p>
    <w:p w14:paraId="640847CC" w14:textId="49A171C4" w:rsidR="005F3B2E" w:rsidRPr="00BA642E" w:rsidRDefault="005F3B2E" w:rsidP="00406B64">
      <w:pPr>
        <w:spacing w:after="0" w:line="240" w:lineRule="auto"/>
        <w:rPr>
          <w:rFonts w:ascii="Times New Roman" w:hAnsi="Times New Roman" w:cs="Times New Roman"/>
        </w:rPr>
      </w:pPr>
    </w:p>
    <w:p w14:paraId="3F6986E9" w14:textId="2ECF56D3"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406B64">
        <w:rPr>
          <w:rFonts w:ascii="Times New Roman" w:hAnsi="Times New Roman" w:cs="Times New Roman"/>
        </w:rPr>
        <w:t xml:space="preserve">Trapé, Marcela E. </w:t>
      </w:r>
    </w:p>
    <w:p w14:paraId="4E696C7D" w14:textId="63EA18A2" w:rsidR="005F3B2E" w:rsidRPr="00BA642E" w:rsidRDefault="002B2B69" w:rsidP="005F3B2E">
      <w:pPr>
        <w:spacing w:after="0" w:line="240" w:lineRule="auto"/>
        <w:jc w:val="right"/>
        <w:rPr>
          <w:rFonts w:ascii="Times New Roman" w:hAnsi="Times New Roman" w:cs="Times New Roman"/>
        </w:rPr>
      </w:pPr>
      <w:r>
        <w:rPr>
          <w:rFonts w:ascii="Times New Roman" w:hAnsi="Times New Roman" w:cs="Times New Roman"/>
        </w:rPr>
        <w:t>Universidad Abierta Interamericana</w:t>
      </w:r>
    </w:p>
    <w:p w14:paraId="3D73DB11" w14:textId="2D080B61" w:rsidR="005F3B2E" w:rsidRDefault="00874F55" w:rsidP="005F3B2E">
      <w:pPr>
        <w:spacing w:after="0" w:line="240" w:lineRule="auto"/>
        <w:jc w:val="right"/>
        <w:rPr>
          <w:rStyle w:val="Hipervnculo"/>
          <w:rFonts w:ascii="Times New Roman" w:hAnsi="Times New Roman" w:cs="Times New Roman"/>
        </w:rPr>
      </w:pPr>
      <w:hyperlink r:id="rId7" w:history="1">
        <w:r w:rsidR="00406B64">
          <w:rPr>
            <w:rStyle w:val="Hipervnculo"/>
            <w:rFonts w:ascii="Times New Roman" w:hAnsi="Times New Roman" w:cs="Times New Roman"/>
          </w:rPr>
          <w:t>m</w:t>
        </w:r>
        <w:r w:rsidR="00406B64" w:rsidRPr="00255824">
          <w:rPr>
            <w:rStyle w:val="Hipervnculo"/>
            <w:rFonts w:ascii="Times New Roman" w:hAnsi="Times New Roman" w:cs="Times New Roman"/>
          </w:rPr>
          <w:t>arcela.trape@gmail.com</w:t>
        </w:r>
      </w:hyperlink>
    </w:p>
    <w:p w14:paraId="26BFE654" w14:textId="77777777" w:rsidR="002B2B69" w:rsidRDefault="002B2B69" w:rsidP="005F3B2E">
      <w:pPr>
        <w:spacing w:after="0" w:line="240" w:lineRule="auto"/>
        <w:jc w:val="right"/>
        <w:rPr>
          <w:rStyle w:val="Hipervnculo"/>
          <w:rFonts w:ascii="Times New Roman" w:hAnsi="Times New Roman" w:cs="Times New Roman"/>
        </w:rPr>
      </w:pPr>
    </w:p>
    <w:p w14:paraId="6C8EA4F2" w14:textId="51E1716C" w:rsidR="002B2B69" w:rsidRDefault="002B2B69" w:rsidP="005F3B2E">
      <w:pPr>
        <w:spacing w:after="0" w:line="240" w:lineRule="auto"/>
        <w:jc w:val="right"/>
        <w:rPr>
          <w:rStyle w:val="Hipervnculo"/>
          <w:rFonts w:ascii="Times New Roman" w:hAnsi="Times New Roman" w:cs="Times New Roman"/>
          <w:color w:val="auto"/>
          <w:u w:val="none"/>
        </w:rPr>
      </w:pPr>
      <w:proofErr w:type="spellStart"/>
      <w:r w:rsidRPr="002B2B69">
        <w:rPr>
          <w:rStyle w:val="Hipervnculo"/>
          <w:rFonts w:ascii="Times New Roman" w:hAnsi="Times New Roman" w:cs="Times New Roman"/>
          <w:color w:val="auto"/>
          <w:u w:val="none"/>
        </w:rPr>
        <w:t>Molinari</w:t>
      </w:r>
      <w:proofErr w:type="spellEnd"/>
      <w:r w:rsidRPr="002B2B69">
        <w:rPr>
          <w:rStyle w:val="Hipervnculo"/>
          <w:rFonts w:ascii="Times New Roman" w:hAnsi="Times New Roman" w:cs="Times New Roman"/>
          <w:color w:val="auto"/>
          <w:u w:val="none"/>
        </w:rPr>
        <w:t>, Silvina</w:t>
      </w:r>
    </w:p>
    <w:p w14:paraId="4EDF1F70" w14:textId="0C72C41B" w:rsidR="002B2B69" w:rsidRDefault="002B2B69" w:rsidP="005F3B2E">
      <w:pPr>
        <w:spacing w:after="0" w:line="240" w:lineRule="auto"/>
        <w:jc w:val="right"/>
        <w:rPr>
          <w:rStyle w:val="Hipervnculo"/>
          <w:rFonts w:ascii="Times New Roman" w:hAnsi="Times New Roman" w:cs="Times New Roman"/>
          <w:color w:val="auto"/>
          <w:u w:val="none"/>
        </w:rPr>
      </w:pPr>
      <w:r>
        <w:rPr>
          <w:rStyle w:val="Hipervnculo"/>
          <w:rFonts w:ascii="Times New Roman" w:hAnsi="Times New Roman" w:cs="Times New Roman"/>
          <w:color w:val="auto"/>
          <w:u w:val="none"/>
        </w:rPr>
        <w:t>Universidad Abierta Interamericana</w:t>
      </w:r>
    </w:p>
    <w:p w14:paraId="38F79097" w14:textId="43CE9AB2" w:rsidR="002B2B69" w:rsidRDefault="00874F55" w:rsidP="005F3B2E">
      <w:pPr>
        <w:spacing w:after="0" w:line="240" w:lineRule="auto"/>
        <w:jc w:val="right"/>
        <w:rPr>
          <w:rStyle w:val="Hipervnculo"/>
          <w:rFonts w:ascii="Times New Roman" w:hAnsi="Times New Roman" w:cs="Times New Roman"/>
          <w:color w:val="auto"/>
          <w:u w:val="none"/>
        </w:rPr>
      </w:pPr>
      <w:hyperlink r:id="rId8" w:history="1">
        <w:r w:rsidR="002B2B69" w:rsidRPr="00012B83">
          <w:rPr>
            <w:rStyle w:val="Hipervnculo"/>
            <w:rFonts w:ascii="Times New Roman" w:hAnsi="Times New Roman" w:cs="Times New Roman"/>
          </w:rPr>
          <w:t>Silvina.molinari@gmail.com</w:t>
        </w:r>
      </w:hyperlink>
    </w:p>
    <w:p w14:paraId="51B3A250" w14:textId="77777777" w:rsidR="002B2B69" w:rsidRDefault="002B2B69" w:rsidP="005F3B2E">
      <w:pPr>
        <w:spacing w:after="0" w:line="240" w:lineRule="auto"/>
        <w:jc w:val="right"/>
        <w:rPr>
          <w:rStyle w:val="Hipervnculo"/>
          <w:rFonts w:ascii="Times New Roman" w:hAnsi="Times New Roman" w:cs="Times New Roman"/>
          <w:color w:val="auto"/>
          <w:u w:val="none"/>
        </w:rPr>
      </w:pPr>
    </w:p>
    <w:p w14:paraId="68116EC3" w14:textId="5D0DB07B" w:rsidR="002B2B69" w:rsidRDefault="002B2B69" w:rsidP="005F3B2E">
      <w:pPr>
        <w:spacing w:after="0" w:line="240" w:lineRule="auto"/>
        <w:jc w:val="right"/>
        <w:rPr>
          <w:rStyle w:val="Hipervnculo"/>
          <w:rFonts w:ascii="Times New Roman" w:hAnsi="Times New Roman" w:cs="Times New Roman"/>
          <w:color w:val="auto"/>
          <w:u w:val="none"/>
        </w:rPr>
      </w:pPr>
      <w:proofErr w:type="spellStart"/>
      <w:r>
        <w:rPr>
          <w:rStyle w:val="Hipervnculo"/>
          <w:rFonts w:ascii="Times New Roman" w:hAnsi="Times New Roman" w:cs="Times New Roman"/>
          <w:color w:val="auto"/>
          <w:u w:val="none"/>
        </w:rPr>
        <w:t>Marinozzi</w:t>
      </w:r>
      <w:proofErr w:type="spellEnd"/>
      <w:r>
        <w:rPr>
          <w:rStyle w:val="Hipervnculo"/>
          <w:rFonts w:ascii="Times New Roman" w:hAnsi="Times New Roman" w:cs="Times New Roman"/>
          <w:color w:val="auto"/>
          <w:u w:val="none"/>
        </w:rPr>
        <w:t xml:space="preserve">, </w:t>
      </w:r>
      <w:proofErr w:type="spellStart"/>
      <w:r>
        <w:rPr>
          <w:rStyle w:val="Hipervnculo"/>
          <w:rFonts w:ascii="Times New Roman" w:hAnsi="Times New Roman" w:cs="Times New Roman"/>
          <w:color w:val="auto"/>
          <w:u w:val="none"/>
        </w:rPr>
        <w:t>Dario</w:t>
      </w:r>
      <w:proofErr w:type="spellEnd"/>
    </w:p>
    <w:p w14:paraId="290918EB" w14:textId="42982774" w:rsidR="002B2B69" w:rsidRDefault="002B2B69" w:rsidP="005F3B2E">
      <w:pPr>
        <w:spacing w:after="0" w:line="240" w:lineRule="auto"/>
        <w:jc w:val="right"/>
        <w:rPr>
          <w:rStyle w:val="Hipervnculo"/>
          <w:rFonts w:ascii="Times New Roman" w:hAnsi="Times New Roman" w:cs="Times New Roman"/>
          <w:color w:val="auto"/>
          <w:u w:val="none"/>
        </w:rPr>
      </w:pPr>
      <w:r>
        <w:rPr>
          <w:rStyle w:val="Hipervnculo"/>
          <w:rFonts w:ascii="Times New Roman" w:hAnsi="Times New Roman" w:cs="Times New Roman"/>
          <w:color w:val="auto"/>
          <w:u w:val="none"/>
        </w:rPr>
        <w:t>Universidad Abierta Interamericana</w:t>
      </w:r>
    </w:p>
    <w:p w14:paraId="61422BD3" w14:textId="3F4D830D" w:rsidR="002B2B69" w:rsidRDefault="00874F55" w:rsidP="005F3B2E">
      <w:pPr>
        <w:spacing w:after="0" w:line="240" w:lineRule="auto"/>
        <w:jc w:val="right"/>
        <w:rPr>
          <w:rStyle w:val="Hipervnculo"/>
          <w:rFonts w:ascii="Times New Roman" w:hAnsi="Times New Roman" w:cs="Times New Roman"/>
          <w:color w:val="auto"/>
          <w:u w:val="none"/>
        </w:rPr>
      </w:pPr>
      <w:hyperlink r:id="rId9" w:history="1">
        <w:r w:rsidR="002B2B69" w:rsidRPr="00012B83">
          <w:rPr>
            <w:rStyle w:val="Hipervnculo"/>
            <w:rFonts w:ascii="Times New Roman" w:hAnsi="Times New Roman" w:cs="Times New Roman"/>
          </w:rPr>
          <w:t>dariomarinozzi@gmail.com</w:t>
        </w:r>
      </w:hyperlink>
    </w:p>
    <w:p w14:paraId="7B9027E2" w14:textId="77777777" w:rsidR="00BA642E" w:rsidRPr="00BA642E" w:rsidRDefault="00BA642E" w:rsidP="005F3B2E">
      <w:pPr>
        <w:rPr>
          <w:rFonts w:ascii="Times New Roman" w:hAnsi="Times New Roman" w:cs="Times New Roman"/>
          <w:b/>
          <w:bCs/>
        </w:rPr>
      </w:pPr>
    </w:p>
    <w:p w14:paraId="35A6682C" w14:textId="333D5F4D" w:rsidR="00BA642E" w:rsidRPr="007B5B5F" w:rsidRDefault="00BA642E" w:rsidP="007B5B5F">
      <w:pPr>
        <w:spacing w:line="240" w:lineRule="auto"/>
        <w:jc w:val="both"/>
        <w:rPr>
          <w:rFonts w:ascii="Times New Roman" w:hAnsi="Times New Roman" w:cs="Times New Roman"/>
          <w:b/>
          <w:bCs/>
        </w:rPr>
      </w:pPr>
      <w:r w:rsidRPr="00990602">
        <w:rPr>
          <w:rFonts w:ascii="Times New Roman" w:hAnsi="Times New Roman" w:cs="Times New Roman"/>
          <w:b/>
          <w:bCs/>
          <w:lang w:val="es-AR"/>
        </w:rPr>
        <w:t>Resumen</w:t>
      </w:r>
      <w:r w:rsidR="00431312" w:rsidRPr="00990602">
        <w:rPr>
          <w:rFonts w:ascii="Times New Roman" w:hAnsi="Times New Roman" w:cs="Times New Roman"/>
          <w:bCs/>
          <w:lang w:val="es-AR"/>
        </w:rPr>
        <w:t xml:space="preserve"> </w:t>
      </w:r>
      <w:r w:rsidR="007D5251" w:rsidRPr="007D5251">
        <w:rPr>
          <w:rFonts w:ascii="Times New Roman" w:hAnsi="Times New Roman" w:cs="Times New Roman"/>
          <w:bCs/>
          <w:lang w:val="es-AR"/>
        </w:rPr>
        <w:t xml:space="preserve">En los últimos años, las carreras de Medicina han impulsado procesos de revisión curricular para adecuarlos a modelos educativos centrados en el perfil de desempeño profesional. En este marco, durante el año 2021 se inició en la carrera de Medicina un proceso de cambio curricular que incluyó la revisión de la asignatura Bioquímica, ubicada en segundo año y organizada tradicionalmente de forma anual. La elevada densidad conceptual y la concentración de contenidos en un único trayecto formativo planteaban desafíos pedagógicos vinculados con la progresión de los aprendizajes y el seguimiento del rendimiento estudiantil. El objetivo es describir el proceso de reorganización curricular de la asignatura, su transformación de espacio anual a dos unidades cuatrimestrales y la incorporación de contenidos de biología molecular bajo una perspectiva de formación integral. A partir de esta revisión, se implementó una estructura de dos espacios correlativos, lo que permitió distribuir de manera equilibrada los contenidos y establecer una secuencia formativa progresiva hacia la adquisición de competencias. La primera asignatura se orienta al abordaje de los fundamentos de la bioquímica estructural, proporcionando los marcos conceptuales necesarios para comprender los procesos moleculares que sustentan la organización y el funcionamiento celular. La segunda profundiza en las vías metabólicas mediante la incorporación sistemática de conceptos de biología molecular, incluyendo mecanismos de traducción y regulación de la expresión génica. Asimismo, se promueve la vinculación de estos contenidos con procesos fisiológicos relevantes para la resolución de problemáticas biomédicas. El rediseño curricular priorizó no solo la construcción de conocimientos teóricos, sino también el fortalecimiento de habilidades analíticas, interpretativas y de </w:t>
      </w:r>
      <w:r w:rsidR="007D5251" w:rsidRPr="007D5251">
        <w:rPr>
          <w:rFonts w:ascii="Times New Roman" w:hAnsi="Times New Roman" w:cs="Times New Roman"/>
          <w:bCs/>
          <w:lang w:val="es-AR"/>
        </w:rPr>
        <w:lastRenderedPageBreak/>
        <w:t xml:space="preserve">integración. En este contexto, se definieron estándares de desempeño vinculados con la comprensión de procesos bioquímicos, la interpretación de mecanismos celulares y la aplicación de estos saberes al análisis clínico. Para favorecer estos logros, se incorporaron estrategias de aprendizaje activo, tales como el análisis de situaciones problemáticas, la discusión guiada de casos y la integración conceptual entre núcleos temáticos. El sistema de evaluación fue reformulado para incluir instancias formativas y </w:t>
      </w:r>
      <w:proofErr w:type="spellStart"/>
      <w:r w:rsidR="007D5251" w:rsidRPr="007D5251">
        <w:rPr>
          <w:rFonts w:ascii="Times New Roman" w:hAnsi="Times New Roman" w:cs="Times New Roman"/>
          <w:bCs/>
          <w:lang w:val="es-AR"/>
        </w:rPr>
        <w:t>sumativas</w:t>
      </w:r>
      <w:proofErr w:type="spellEnd"/>
      <w:r w:rsidR="007D5251" w:rsidRPr="007D5251">
        <w:rPr>
          <w:rFonts w:ascii="Times New Roman" w:hAnsi="Times New Roman" w:cs="Times New Roman"/>
          <w:bCs/>
          <w:lang w:val="es-AR"/>
        </w:rPr>
        <w:t xml:space="preserve"> destinadas a valorar de manera integral los resultados de aprendizaje. Tras la implementación, se observaron mejoras en los indicadores académicos de regularización y acreditación. La organización modular permitió una planificación más clara, favoreció el seguimiento estudiantil y promovió una apropiación progresiva de los conceptos fundamentales. Esta estructura, junto con la actualización temática, constituye una estrategia pedagógica pertinente para la modernización de la enseñanza de las ciencias básicas en la formación médica.</w:t>
      </w:r>
    </w:p>
    <w:p w14:paraId="2994BAB3" w14:textId="6CB6C8DE" w:rsidR="00BA642E" w:rsidRPr="007D5251" w:rsidRDefault="00BA642E" w:rsidP="007B5B5F">
      <w:pPr>
        <w:spacing w:line="240" w:lineRule="auto"/>
        <w:jc w:val="both"/>
        <w:rPr>
          <w:rFonts w:ascii="Times New Roman" w:hAnsi="Times New Roman" w:cs="Times New Roman"/>
          <w:bCs/>
        </w:rPr>
      </w:pPr>
      <w:r w:rsidRPr="007B5B5F">
        <w:rPr>
          <w:rFonts w:ascii="Times New Roman" w:hAnsi="Times New Roman" w:cs="Times New Roman"/>
          <w:b/>
          <w:bCs/>
        </w:rPr>
        <w:t xml:space="preserve">Palabras clave: </w:t>
      </w:r>
      <w:r w:rsidR="007D5251">
        <w:rPr>
          <w:rFonts w:ascii="Times New Roman" w:hAnsi="Times New Roman" w:cs="Times New Roman"/>
          <w:bCs/>
        </w:rPr>
        <w:t>R</w:t>
      </w:r>
      <w:r w:rsidR="00E87994" w:rsidRPr="007D5251">
        <w:rPr>
          <w:rFonts w:ascii="Times New Roman" w:hAnsi="Times New Roman" w:cs="Times New Roman"/>
          <w:bCs/>
        </w:rPr>
        <w:t xml:space="preserve">ediseño curricular, </w:t>
      </w:r>
      <w:r w:rsidR="007D5251" w:rsidRPr="007D5251">
        <w:rPr>
          <w:rFonts w:ascii="Times New Roman" w:hAnsi="Times New Roman" w:cs="Times New Roman"/>
          <w:bCs/>
        </w:rPr>
        <w:t>B</w:t>
      </w:r>
      <w:r w:rsidR="007D5251">
        <w:rPr>
          <w:rFonts w:ascii="Times New Roman" w:hAnsi="Times New Roman" w:cs="Times New Roman"/>
          <w:bCs/>
        </w:rPr>
        <w:t>ioquímica, C</w:t>
      </w:r>
      <w:r w:rsidR="00E87994" w:rsidRPr="007D5251">
        <w:rPr>
          <w:rFonts w:ascii="Times New Roman" w:hAnsi="Times New Roman" w:cs="Times New Roman"/>
          <w:bCs/>
        </w:rPr>
        <w:t>ompetencias</w:t>
      </w:r>
    </w:p>
    <w:p w14:paraId="65345A39" w14:textId="77777777" w:rsidR="000231D5" w:rsidRDefault="00BA642E" w:rsidP="00307415">
      <w:pPr>
        <w:widowControl w:val="0"/>
        <w:spacing w:line="240" w:lineRule="auto"/>
        <w:jc w:val="both"/>
        <w:rPr>
          <w:rFonts w:ascii="Times New Roman" w:hAnsi="Times New Roman" w:cs="Times New Roman"/>
          <w:b/>
          <w:bCs/>
        </w:rPr>
      </w:pPr>
      <w:r w:rsidRPr="007B5B5F">
        <w:rPr>
          <w:rFonts w:ascii="Times New Roman" w:hAnsi="Times New Roman" w:cs="Times New Roman"/>
          <w:b/>
          <w:bCs/>
        </w:rPr>
        <w:t>Introducción</w:t>
      </w:r>
      <w:r w:rsidR="00307415">
        <w:rPr>
          <w:rFonts w:ascii="Times New Roman" w:hAnsi="Times New Roman" w:cs="Times New Roman"/>
          <w:b/>
          <w:bCs/>
        </w:rPr>
        <w:t xml:space="preserve"> </w:t>
      </w:r>
    </w:p>
    <w:p w14:paraId="2F088609" w14:textId="77777777" w:rsidR="009A3E83" w:rsidRPr="009A3E83" w:rsidRDefault="009A3E83" w:rsidP="009A3E83">
      <w:pPr>
        <w:widowControl w:val="0"/>
        <w:spacing w:line="240" w:lineRule="auto"/>
        <w:jc w:val="both"/>
        <w:rPr>
          <w:rFonts w:ascii="Times New Roman" w:eastAsia="Times New Roman" w:hAnsi="Times New Roman" w:cs="Times New Roman"/>
          <w:color w:val="1F1F1F"/>
          <w:lang w:val="es-AR"/>
        </w:rPr>
      </w:pPr>
      <w:r w:rsidRPr="009A3E83">
        <w:rPr>
          <w:rFonts w:ascii="Times New Roman" w:eastAsia="Times New Roman" w:hAnsi="Times New Roman" w:cs="Times New Roman"/>
          <w:color w:val="1F1F1F"/>
          <w:lang w:val="es-AR"/>
        </w:rPr>
        <w:t>La formación en Ciencias de la Salud contemporánea se confronta con el imperativo crítico de asimilar un volumen exponencial, dinámico y disruptivo de conocimiento científico dentro de diseños curriculares que, históricamente, han sido rígidos, insulares y fragmentados. Esta brecha estructural genera tensiones epistemológicas severas entre la profundidad disciplinar requerida y la necesidad apremiante de una integración transversal efectiva en los ciclos básicos (</w:t>
      </w:r>
      <w:proofErr w:type="spellStart"/>
      <w:r w:rsidRPr="009A3E83">
        <w:rPr>
          <w:rFonts w:ascii="Times New Roman" w:eastAsia="Times New Roman" w:hAnsi="Times New Roman" w:cs="Times New Roman"/>
          <w:color w:val="1F1F1F"/>
          <w:lang w:val="es-AR"/>
        </w:rPr>
        <w:t>Frenk</w:t>
      </w:r>
      <w:proofErr w:type="spellEnd"/>
      <w:r w:rsidRPr="009A3E83">
        <w:rPr>
          <w:rFonts w:ascii="Times New Roman" w:eastAsia="Times New Roman" w:hAnsi="Times New Roman" w:cs="Times New Roman"/>
          <w:color w:val="1F1F1F"/>
          <w:lang w:val="es-AR"/>
        </w:rPr>
        <w:t xml:space="preserve"> et al., 2010). Este fenómeno adquiere una gravedad particular en las asignaturas troncales iniciales de la carrera, donde la densidad conceptual satura las estructuras tradicionales debido al avance vertiginoso de la medicina basada en la evidencia y las nuevas tecnologías aplicadas a la salud (Alemán et al., 2025; Gin et al., 2024).</w:t>
      </w:r>
    </w:p>
    <w:p w14:paraId="750AE6CD" w14:textId="77777777" w:rsidR="009A3E83" w:rsidRPr="009A3E83" w:rsidRDefault="009A3E83" w:rsidP="009A3E83">
      <w:pPr>
        <w:widowControl w:val="0"/>
        <w:spacing w:line="240" w:lineRule="auto"/>
        <w:jc w:val="both"/>
        <w:rPr>
          <w:rFonts w:ascii="Times New Roman" w:eastAsia="Times New Roman" w:hAnsi="Times New Roman" w:cs="Times New Roman"/>
          <w:color w:val="1F1F1F"/>
          <w:lang w:val="es-AR"/>
        </w:rPr>
      </w:pPr>
      <w:r w:rsidRPr="009A3E83">
        <w:rPr>
          <w:rFonts w:ascii="Times New Roman" w:eastAsia="Times New Roman" w:hAnsi="Times New Roman" w:cs="Times New Roman"/>
          <w:color w:val="1F1F1F"/>
          <w:lang w:val="es-AR"/>
        </w:rPr>
        <w:t>No obstante esta evolución científica, la didáctica tradicional dominante ha privilegiado históricamente un enfoque enciclopedista y memorístico. Este esquema clásico se centra en la repetición lineal de contenidos teóricos aislados, mapas estáticos y taxonomías abstractas desconectadas de la praxis clínica diaria y del razonamiento diagnóstico temprano. Semejante diseño pedagógico propicia, de manera casi inevitable, una retención efímera y puramente post-evaluativa, provocando una fractura temprana en el desarrollo del juicio profesional. Los estudiantes perciben a las ciencias básicas como un obstáculo regulatorio o un filtro memorístico, en lugar de internalizarlas como el lenguaje operativo indispensable para la resolución de problemas de salud.</w:t>
      </w:r>
    </w:p>
    <w:p w14:paraId="3E453704" w14:textId="77777777" w:rsidR="009A3E83" w:rsidRPr="009A3E83" w:rsidRDefault="009A3E83" w:rsidP="009A3E83">
      <w:pPr>
        <w:widowControl w:val="0"/>
        <w:spacing w:line="240" w:lineRule="auto"/>
        <w:jc w:val="both"/>
        <w:rPr>
          <w:rFonts w:ascii="Times New Roman" w:eastAsia="Times New Roman" w:hAnsi="Times New Roman" w:cs="Times New Roman"/>
          <w:color w:val="1F1F1F"/>
          <w:lang w:val="es-AR"/>
        </w:rPr>
      </w:pPr>
      <w:r w:rsidRPr="009A3E83">
        <w:rPr>
          <w:rFonts w:ascii="Times New Roman" w:eastAsia="Times New Roman" w:hAnsi="Times New Roman" w:cs="Times New Roman"/>
          <w:color w:val="1F1F1F"/>
          <w:lang w:val="es-AR"/>
        </w:rPr>
        <w:t>Desde la perspectiva científica de la Teoría de la carga cognitiva (</w:t>
      </w:r>
      <w:proofErr w:type="spellStart"/>
      <w:r w:rsidRPr="009A3E83">
        <w:rPr>
          <w:rFonts w:ascii="Times New Roman" w:eastAsia="Times New Roman" w:hAnsi="Times New Roman" w:cs="Times New Roman"/>
          <w:color w:val="1F1F1F"/>
          <w:lang w:val="es-AR"/>
        </w:rPr>
        <w:t>Sweller</w:t>
      </w:r>
      <w:proofErr w:type="spellEnd"/>
      <w:r w:rsidRPr="009A3E83">
        <w:rPr>
          <w:rFonts w:ascii="Times New Roman" w:eastAsia="Times New Roman" w:hAnsi="Times New Roman" w:cs="Times New Roman"/>
          <w:color w:val="1F1F1F"/>
          <w:lang w:val="es-AR"/>
        </w:rPr>
        <w:t>, 2023; Young et al., 2024), esta hipertrofia informativa satura de forma crítica la memoria de trabajo del estudiante preclínico con información inerte. Al carecer de un andamiaje instruccional adaptativo y de un contexto de aplicación relevante, el alumno es incapaz de construir esquemas mentales complejos, lo que impide la consolidación de un aprendizaje significativo a largo plazo. La memoria de trabajo, limitada por su propia naturaleza neurobiológica (Miller, 1956), colapsa ante la demanda de retener múltiples variables abstractas simultáneas si estas no se estructuran bajo un modelo de relevancia funcional y gradualidad temporal.</w:t>
      </w:r>
    </w:p>
    <w:p w14:paraId="005C67B4" w14:textId="77777777" w:rsidR="009A3E83" w:rsidRPr="009A3E83" w:rsidRDefault="009A3E83" w:rsidP="009A3E83">
      <w:pPr>
        <w:widowControl w:val="0"/>
        <w:spacing w:line="240" w:lineRule="auto"/>
        <w:jc w:val="both"/>
        <w:rPr>
          <w:rFonts w:ascii="Times New Roman" w:eastAsia="Times New Roman" w:hAnsi="Times New Roman" w:cs="Times New Roman"/>
          <w:color w:val="1F1F1F"/>
          <w:lang w:val="es-AR"/>
        </w:rPr>
      </w:pPr>
      <w:r w:rsidRPr="009A3E83">
        <w:rPr>
          <w:rFonts w:ascii="Times New Roman" w:eastAsia="Times New Roman" w:hAnsi="Times New Roman" w:cs="Times New Roman"/>
          <w:color w:val="1F1F1F"/>
          <w:lang w:val="es-AR"/>
        </w:rPr>
        <w:t xml:space="preserve">En estricta alineación con las directrices globales actualizadas de la </w:t>
      </w:r>
      <w:proofErr w:type="spellStart"/>
      <w:r w:rsidRPr="009A3E83">
        <w:rPr>
          <w:rFonts w:ascii="Times New Roman" w:eastAsia="Times New Roman" w:hAnsi="Times New Roman" w:cs="Times New Roman"/>
          <w:color w:val="1F1F1F"/>
          <w:lang w:val="es-AR"/>
        </w:rPr>
        <w:t>World</w:t>
      </w:r>
      <w:proofErr w:type="spellEnd"/>
      <w:r w:rsidRPr="009A3E83">
        <w:rPr>
          <w:rFonts w:ascii="Times New Roman" w:eastAsia="Times New Roman" w:hAnsi="Times New Roman" w:cs="Times New Roman"/>
          <w:color w:val="1F1F1F"/>
          <w:lang w:val="es-AR"/>
        </w:rPr>
        <w:t xml:space="preserve"> </w:t>
      </w:r>
      <w:proofErr w:type="spellStart"/>
      <w:r w:rsidRPr="009A3E83">
        <w:rPr>
          <w:rFonts w:ascii="Times New Roman" w:eastAsia="Times New Roman" w:hAnsi="Times New Roman" w:cs="Times New Roman"/>
          <w:color w:val="1F1F1F"/>
          <w:lang w:val="es-AR"/>
        </w:rPr>
        <w:t>Federation</w:t>
      </w:r>
      <w:proofErr w:type="spellEnd"/>
      <w:r w:rsidRPr="009A3E83">
        <w:rPr>
          <w:rFonts w:ascii="Times New Roman" w:eastAsia="Times New Roman" w:hAnsi="Times New Roman" w:cs="Times New Roman"/>
          <w:color w:val="1F1F1F"/>
          <w:lang w:val="es-AR"/>
        </w:rPr>
        <w:t xml:space="preserve"> </w:t>
      </w:r>
      <w:proofErr w:type="spellStart"/>
      <w:r w:rsidRPr="009A3E83">
        <w:rPr>
          <w:rFonts w:ascii="Times New Roman" w:eastAsia="Times New Roman" w:hAnsi="Times New Roman" w:cs="Times New Roman"/>
          <w:color w:val="1F1F1F"/>
          <w:lang w:val="es-AR"/>
        </w:rPr>
        <w:t>for</w:t>
      </w:r>
      <w:proofErr w:type="spellEnd"/>
      <w:r w:rsidRPr="009A3E83">
        <w:rPr>
          <w:rFonts w:ascii="Times New Roman" w:eastAsia="Times New Roman" w:hAnsi="Times New Roman" w:cs="Times New Roman"/>
          <w:color w:val="1F1F1F"/>
          <w:lang w:val="es-AR"/>
        </w:rPr>
        <w:t xml:space="preserve"> Medical </w:t>
      </w:r>
      <w:proofErr w:type="spellStart"/>
      <w:r w:rsidRPr="009A3E83">
        <w:rPr>
          <w:rFonts w:ascii="Times New Roman" w:eastAsia="Times New Roman" w:hAnsi="Times New Roman" w:cs="Times New Roman"/>
          <w:color w:val="1F1F1F"/>
          <w:lang w:val="es-AR"/>
        </w:rPr>
        <w:t>Education</w:t>
      </w:r>
      <w:proofErr w:type="spellEnd"/>
      <w:r w:rsidRPr="009A3E83">
        <w:rPr>
          <w:rFonts w:ascii="Times New Roman" w:eastAsia="Times New Roman" w:hAnsi="Times New Roman" w:cs="Times New Roman"/>
          <w:color w:val="1F1F1F"/>
          <w:lang w:val="es-AR"/>
        </w:rPr>
        <w:t xml:space="preserve"> (WFME, 2020), las reformas curriculares de vanguardia priorizan la transición definitiva hacia la Educación Médica Basada en Competencias -EMBC-. Este paradigma enfatiza un desempeño integrado, contextualizado y directamente evaluable a través de hitos del desarrollo pedagógico y Actividades Profesionales Confiables (</w:t>
      </w:r>
      <w:proofErr w:type="spellStart"/>
      <w:r w:rsidRPr="009A3E83">
        <w:rPr>
          <w:rFonts w:ascii="Times New Roman" w:eastAsia="Times New Roman" w:hAnsi="Times New Roman" w:cs="Times New Roman"/>
          <w:color w:val="1F1F1F"/>
          <w:lang w:val="es-AR"/>
        </w:rPr>
        <w:t>APAs</w:t>
      </w:r>
      <w:proofErr w:type="spellEnd"/>
      <w:r w:rsidRPr="009A3E83">
        <w:rPr>
          <w:rFonts w:ascii="Times New Roman" w:eastAsia="Times New Roman" w:hAnsi="Times New Roman" w:cs="Times New Roman"/>
          <w:color w:val="1F1F1F"/>
          <w:lang w:val="es-AR"/>
        </w:rPr>
        <w:t xml:space="preserve"> / </w:t>
      </w:r>
      <w:proofErr w:type="spellStart"/>
      <w:r w:rsidRPr="009A3E83">
        <w:rPr>
          <w:rFonts w:ascii="Times New Roman" w:eastAsia="Times New Roman" w:hAnsi="Times New Roman" w:cs="Times New Roman"/>
          <w:color w:val="1F1F1F"/>
          <w:lang w:val="es-AR"/>
        </w:rPr>
        <w:t>EPAs</w:t>
      </w:r>
      <w:proofErr w:type="spellEnd"/>
      <w:r w:rsidRPr="009A3E83">
        <w:rPr>
          <w:rFonts w:ascii="Times New Roman" w:eastAsia="Times New Roman" w:hAnsi="Times New Roman" w:cs="Times New Roman"/>
          <w:color w:val="1F1F1F"/>
          <w:lang w:val="es-AR"/>
        </w:rPr>
        <w:t>) (</w:t>
      </w:r>
      <w:proofErr w:type="spellStart"/>
      <w:r w:rsidRPr="009A3E83">
        <w:rPr>
          <w:rFonts w:ascii="Times New Roman" w:eastAsia="Times New Roman" w:hAnsi="Times New Roman" w:cs="Times New Roman"/>
          <w:color w:val="1F1F1F"/>
          <w:lang w:val="es-AR"/>
        </w:rPr>
        <w:t>Alharbi</w:t>
      </w:r>
      <w:proofErr w:type="spellEnd"/>
      <w:r w:rsidRPr="009A3E83">
        <w:rPr>
          <w:rFonts w:ascii="Times New Roman" w:eastAsia="Times New Roman" w:hAnsi="Times New Roman" w:cs="Times New Roman"/>
          <w:color w:val="1F1F1F"/>
          <w:lang w:val="es-AR"/>
        </w:rPr>
        <w:t>, 2024; Frank et al., 2024). Bajo esta premisa, el rediseño propuesto en este documento trasciende la mera reorganización logística o la simplificación administrativa de los calendarios académicos.</w:t>
      </w:r>
    </w:p>
    <w:p w14:paraId="7403104C" w14:textId="77777777" w:rsidR="009A3E83" w:rsidRPr="009A3E83" w:rsidRDefault="009A3E83" w:rsidP="009A3E83">
      <w:pPr>
        <w:widowControl w:val="0"/>
        <w:spacing w:line="240" w:lineRule="auto"/>
        <w:jc w:val="both"/>
        <w:rPr>
          <w:rFonts w:ascii="Times New Roman" w:eastAsia="Times New Roman" w:hAnsi="Times New Roman" w:cs="Times New Roman"/>
          <w:color w:val="1F1F1F"/>
          <w:lang w:val="es-AR"/>
        </w:rPr>
      </w:pPr>
      <w:r w:rsidRPr="009A3E83">
        <w:rPr>
          <w:rFonts w:ascii="Times New Roman" w:eastAsia="Times New Roman" w:hAnsi="Times New Roman" w:cs="Times New Roman"/>
          <w:color w:val="1F1F1F"/>
          <w:lang w:val="es-AR"/>
        </w:rPr>
        <w:t>Al fragmentar e interconectar la antigua estructura anual tradicional en dos unidades modulares cuatrimestrales correlativas y complementarias, se implementa una arquitectura pedagógica orientada a optimizar los indicadores de regularización, el bienestar estudiantil y el andamiaje adaptativo. Esta reconfiguración facilita una integración vertical -con asignaturas del ciclo clínico y la práctica profesional- y horizontal -con los espacios curriculares concurrentes del mismo año - (</w:t>
      </w:r>
      <w:proofErr w:type="spellStart"/>
      <w:r w:rsidRPr="009A3E83">
        <w:rPr>
          <w:rFonts w:ascii="Times New Roman" w:eastAsia="Times New Roman" w:hAnsi="Times New Roman" w:cs="Times New Roman"/>
          <w:color w:val="1F1F1F"/>
          <w:lang w:val="es-AR"/>
        </w:rPr>
        <w:t>Corazza</w:t>
      </w:r>
      <w:proofErr w:type="spellEnd"/>
      <w:r w:rsidRPr="009A3E83">
        <w:rPr>
          <w:rFonts w:ascii="Times New Roman" w:eastAsia="Times New Roman" w:hAnsi="Times New Roman" w:cs="Times New Roman"/>
          <w:color w:val="1F1F1F"/>
          <w:lang w:val="es-AR"/>
        </w:rPr>
        <w:t xml:space="preserve"> et al., 2023; </w:t>
      </w:r>
      <w:proofErr w:type="spellStart"/>
      <w:r w:rsidRPr="009A3E83">
        <w:rPr>
          <w:rFonts w:ascii="Times New Roman" w:eastAsia="Times New Roman" w:hAnsi="Times New Roman" w:cs="Times New Roman"/>
          <w:color w:val="1F1F1F"/>
          <w:lang w:val="es-AR"/>
        </w:rPr>
        <w:t>Harden</w:t>
      </w:r>
      <w:proofErr w:type="spellEnd"/>
      <w:r w:rsidRPr="009A3E83">
        <w:rPr>
          <w:rFonts w:ascii="Times New Roman" w:eastAsia="Times New Roman" w:hAnsi="Times New Roman" w:cs="Times New Roman"/>
          <w:color w:val="1F1F1F"/>
          <w:lang w:val="es-AR"/>
        </w:rPr>
        <w:t xml:space="preserve"> et al., 2024). De esta forma, se promueve una progresión </w:t>
      </w:r>
      <w:proofErr w:type="spellStart"/>
      <w:r w:rsidRPr="009A3E83">
        <w:rPr>
          <w:rFonts w:ascii="Times New Roman" w:eastAsia="Times New Roman" w:hAnsi="Times New Roman" w:cs="Times New Roman"/>
          <w:color w:val="1F1F1F"/>
          <w:lang w:val="es-AR"/>
        </w:rPr>
        <w:t>espiralada</w:t>
      </w:r>
      <w:proofErr w:type="spellEnd"/>
      <w:r w:rsidRPr="009A3E83">
        <w:rPr>
          <w:rFonts w:ascii="Times New Roman" w:eastAsia="Times New Roman" w:hAnsi="Times New Roman" w:cs="Times New Roman"/>
          <w:color w:val="1F1F1F"/>
          <w:lang w:val="es-AR"/>
        </w:rPr>
        <w:t xml:space="preserve"> del conocimiento donde la escala conceptual recupera su sentido funcional como fundamento indispensable del juicio clínico. Al incorporar metodologías de aprendizaje activo situado, como el Aprendizaje Basado en Problemas (ABP), el </w:t>
      </w:r>
      <w:proofErr w:type="spellStart"/>
      <w:r w:rsidRPr="009A3E83">
        <w:rPr>
          <w:rFonts w:ascii="Times New Roman" w:eastAsia="Times New Roman" w:hAnsi="Times New Roman" w:cs="Times New Roman"/>
          <w:color w:val="1F1F1F"/>
          <w:lang w:val="es-AR"/>
        </w:rPr>
        <w:t>Team-Based</w:t>
      </w:r>
      <w:proofErr w:type="spellEnd"/>
      <w:r w:rsidRPr="009A3E83">
        <w:rPr>
          <w:rFonts w:ascii="Times New Roman" w:eastAsia="Times New Roman" w:hAnsi="Times New Roman" w:cs="Times New Roman"/>
          <w:color w:val="1F1F1F"/>
          <w:lang w:val="es-AR"/>
        </w:rPr>
        <w:t xml:space="preserve"> </w:t>
      </w:r>
      <w:proofErr w:type="spellStart"/>
      <w:r w:rsidRPr="009A3E83">
        <w:rPr>
          <w:rFonts w:ascii="Times New Roman" w:eastAsia="Times New Roman" w:hAnsi="Times New Roman" w:cs="Times New Roman"/>
          <w:color w:val="1F1F1F"/>
          <w:lang w:val="es-AR"/>
        </w:rPr>
        <w:t>Learning</w:t>
      </w:r>
      <w:proofErr w:type="spellEnd"/>
      <w:r w:rsidRPr="009A3E83">
        <w:rPr>
          <w:rFonts w:ascii="Times New Roman" w:eastAsia="Times New Roman" w:hAnsi="Times New Roman" w:cs="Times New Roman"/>
          <w:color w:val="1F1F1F"/>
          <w:lang w:val="es-AR"/>
        </w:rPr>
        <w:t xml:space="preserve"> (TBL) y el análisis colaborativo de casos desde el inicio del trayecto, el "currículum en acción" —el currículum vivido por el estudiante— disuelve la pasividad áulica tradicional, iniciando habilidades analíticas y transferenciales indispensables para resolver las problemáticas sanitarias complejas del siglo XXI (</w:t>
      </w:r>
      <w:proofErr w:type="spellStart"/>
      <w:r w:rsidRPr="009A3E83">
        <w:rPr>
          <w:rFonts w:ascii="Times New Roman" w:eastAsia="Times New Roman" w:hAnsi="Times New Roman" w:cs="Times New Roman"/>
          <w:color w:val="1F1F1F"/>
          <w:lang w:val="es-AR"/>
        </w:rPr>
        <w:t>Dent</w:t>
      </w:r>
      <w:proofErr w:type="spellEnd"/>
      <w:r w:rsidRPr="009A3E83">
        <w:rPr>
          <w:rFonts w:ascii="Times New Roman" w:eastAsia="Times New Roman" w:hAnsi="Times New Roman" w:cs="Times New Roman"/>
          <w:color w:val="1F1F1F"/>
          <w:lang w:val="es-AR"/>
        </w:rPr>
        <w:t xml:space="preserve"> et al., 2021; </w:t>
      </w:r>
      <w:proofErr w:type="spellStart"/>
      <w:r w:rsidRPr="009A3E83">
        <w:rPr>
          <w:rFonts w:ascii="Times New Roman" w:eastAsia="Times New Roman" w:hAnsi="Times New Roman" w:cs="Times New Roman"/>
          <w:color w:val="1F1F1F"/>
          <w:lang w:val="es-AR"/>
        </w:rPr>
        <w:t>Surapaneni</w:t>
      </w:r>
      <w:proofErr w:type="spellEnd"/>
      <w:r w:rsidRPr="009A3E83">
        <w:rPr>
          <w:rFonts w:ascii="Times New Roman" w:eastAsia="Times New Roman" w:hAnsi="Times New Roman" w:cs="Times New Roman"/>
          <w:color w:val="1F1F1F"/>
          <w:lang w:val="es-AR"/>
        </w:rPr>
        <w:t>, 2025).</w:t>
      </w:r>
    </w:p>
    <w:p w14:paraId="34951E62" w14:textId="77777777" w:rsidR="009A3E83" w:rsidRPr="009A3E83" w:rsidRDefault="009A3E83" w:rsidP="009A3E83">
      <w:pPr>
        <w:widowControl w:val="0"/>
        <w:spacing w:line="240" w:lineRule="auto"/>
        <w:jc w:val="both"/>
        <w:rPr>
          <w:rFonts w:ascii="Times New Roman" w:eastAsia="Times New Roman" w:hAnsi="Times New Roman" w:cs="Times New Roman"/>
          <w:b/>
          <w:bCs/>
          <w:color w:val="1F1F1F"/>
          <w:lang w:val="es-AR"/>
        </w:rPr>
      </w:pPr>
      <w:r w:rsidRPr="009A3E83">
        <w:rPr>
          <w:rFonts w:ascii="Times New Roman" w:eastAsia="Times New Roman" w:hAnsi="Times New Roman" w:cs="Times New Roman"/>
          <w:b/>
          <w:bCs/>
          <w:color w:val="1F1F1F"/>
          <w:lang w:val="es-AR"/>
        </w:rPr>
        <w:t>Gestión de la carga cognitiva en la enseñanza de ciencias básicas</w:t>
      </w:r>
    </w:p>
    <w:p w14:paraId="57BB77AE" w14:textId="77777777" w:rsidR="009A3E83" w:rsidRPr="009A3E83" w:rsidRDefault="009A3E83" w:rsidP="009A3E83">
      <w:pPr>
        <w:widowControl w:val="0"/>
        <w:spacing w:line="240" w:lineRule="auto"/>
        <w:jc w:val="both"/>
        <w:rPr>
          <w:rFonts w:ascii="Times New Roman" w:eastAsia="Times New Roman" w:hAnsi="Times New Roman" w:cs="Times New Roman"/>
          <w:color w:val="1F1F1F"/>
          <w:lang w:val="es-AR"/>
        </w:rPr>
      </w:pPr>
      <w:r w:rsidRPr="009A3E83">
        <w:rPr>
          <w:rFonts w:ascii="Times New Roman" w:eastAsia="Times New Roman" w:hAnsi="Times New Roman" w:cs="Times New Roman"/>
          <w:color w:val="1F1F1F"/>
          <w:lang w:val="es-AR"/>
        </w:rPr>
        <w:t xml:space="preserve">La adquisición de competencias científicas complejas en el inicio de las carreras de la salud impone, de forma inherente, una carga cognitiva intrínseca elevada. Conceptos de alta abstracción matemática, espacial y biofísica exigen un alto nivel de procesamiento mental. La teoría de la carga cognitiva de </w:t>
      </w:r>
      <w:proofErr w:type="spellStart"/>
      <w:r w:rsidRPr="009A3E83">
        <w:rPr>
          <w:rFonts w:ascii="Times New Roman" w:eastAsia="Times New Roman" w:hAnsi="Times New Roman" w:cs="Times New Roman"/>
          <w:color w:val="1F1F1F"/>
          <w:lang w:val="es-AR"/>
        </w:rPr>
        <w:t>Sweller</w:t>
      </w:r>
      <w:proofErr w:type="spellEnd"/>
      <w:r w:rsidRPr="009A3E83">
        <w:rPr>
          <w:rFonts w:ascii="Times New Roman" w:eastAsia="Times New Roman" w:hAnsi="Times New Roman" w:cs="Times New Roman"/>
          <w:color w:val="1F1F1F"/>
          <w:lang w:val="es-AR"/>
        </w:rPr>
        <w:t xml:space="preserve"> (1988, 2011), el cual postula que el aprendizaje óptimo ocurre cuando la memoria de trabajo no se ve desbordada por factores ajenos a la esencia del objeto de estudio. La sobrecarga ocurre cuando la carga intrínseca (complejidad conceptual del contenido) se combina con una carga extrínseca innecesaria, típicamente derivada de diseños instruccionales deficientes, clases magistrales monologadas de larga duración o la presentación masiva de datos sin andamiaje didáctico.</w:t>
      </w:r>
    </w:p>
    <w:p w14:paraId="4DEB457F" w14:textId="77777777" w:rsidR="009A3E83" w:rsidRPr="009A3E83" w:rsidRDefault="009A3E83" w:rsidP="009A3E83">
      <w:pPr>
        <w:widowControl w:val="0"/>
        <w:spacing w:line="240" w:lineRule="auto"/>
        <w:jc w:val="both"/>
        <w:rPr>
          <w:rFonts w:ascii="Times New Roman" w:eastAsia="Times New Roman" w:hAnsi="Times New Roman" w:cs="Times New Roman"/>
          <w:color w:val="1F1F1F"/>
          <w:lang w:val="es-AR"/>
        </w:rPr>
      </w:pPr>
      <w:r w:rsidRPr="009A3E83">
        <w:rPr>
          <w:rFonts w:ascii="Times New Roman" w:eastAsia="Times New Roman" w:hAnsi="Times New Roman" w:cs="Times New Roman"/>
          <w:color w:val="1F1F1F"/>
          <w:lang w:val="es-AR"/>
        </w:rPr>
        <w:t>En la educación superior, la gestión de esta memoria de trabajo actúa como el paso limitante para la transferencia efectiva de información hacia la memoria a largo plazo y la subsiguiente creación de esquemas de conocimiento experto. Evidencia empírica reciente demuestra que un incremento no regulado de la carga cognitiva extrínseca correlaciona positivamente con deficiencias críticas en el rendimiento académico, burnout estudiantil y una alarmante disminución en la capacidad de razonamiento crítico y toma de decisiones en escenarios formativos. El modelo anual tradicional reproducía y perpetuaba esta ineficacia al aglomerar contenidos heterogéneos y masivos a lo largo de diez meses, bloqueando la consolidación de esquemas cognitivos intermedios indispensables para la retención duradera.</w:t>
      </w:r>
    </w:p>
    <w:p w14:paraId="55D5F992" w14:textId="77777777" w:rsidR="009A3E83" w:rsidRPr="009A3E83" w:rsidRDefault="009A3E83" w:rsidP="009A3E83">
      <w:pPr>
        <w:widowControl w:val="0"/>
        <w:spacing w:line="240" w:lineRule="auto"/>
        <w:jc w:val="both"/>
        <w:rPr>
          <w:rFonts w:ascii="Times New Roman" w:eastAsia="Times New Roman" w:hAnsi="Times New Roman" w:cs="Times New Roman"/>
          <w:color w:val="1F1F1F"/>
          <w:lang w:val="es-AR"/>
        </w:rPr>
      </w:pPr>
      <w:r w:rsidRPr="009A3E83">
        <w:rPr>
          <w:rFonts w:ascii="Times New Roman" w:eastAsia="Times New Roman" w:hAnsi="Times New Roman" w:cs="Times New Roman"/>
          <w:color w:val="1F1F1F"/>
          <w:lang w:val="es-AR"/>
        </w:rPr>
        <w:t xml:space="preserve">La modificación de un cursado anual hacia un régimen cuatrimestral </w:t>
      </w:r>
      <w:proofErr w:type="spellStart"/>
      <w:r w:rsidRPr="009A3E83">
        <w:rPr>
          <w:rFonts w:ascii="Times New Roman" w:eastAsia="Times New Roman" w:hAnsi="Times New Roman" w:cs="Times New Roman"/>
          <w:color w:val="1F1F1F"/>
          <w:lang w:val="es-AR"/>
        </w:rPr>
        <w:t>operacionaliza</w:t>
      </w:r>
      <w:proofErr w:type="spellEnd"/>
      <w:r w:rsidRPr="009A3E83">
        <w:rPr>
          <w:rFonts w:ascii="Times New Roman" w:eastAsia="Times New Roman" w:hAnsi="Times New Roman" w:cs="Times New Roman"/>
          <w:color w:val="1F1F1F"/>
          <w:lang w:val="es-AR"/>
        </w:rPr>
        <w:t xml:space="preserve"> principios de diseño instruccional basado en evidencia, específicamente los principios de segmentación, pre-entrenamiento y </w:t>
      </w:r>
      <w:proofErr w:type="spellStart"/>
      <w:r w:rsidRPr="009A3E83">
        <w:rPr>
          <w:rFonts w:ascii="Times New Roman" w:eastAsia="Times New Roman" w:hAnsi="Times New Roman" w:cs="Times New Roman"/>
          <w:color w:val="1F1F1F"/>
          <w:lang w:val="es-AR"/>
        </w:rPr>
        <w:t>multimodalidad</w:t>
      </w:r>
      <w:proofErr w:type="spellEnd"/>
      <w:r w:rsidRPr="009A3E83">
        <w:rPr>
          <w:rFonts w:ascii="Times New Roman" w:eastAsia="Times New Roman" w:hAnsi="Times New Roman" w:cs="Times New Roman"/>
          <w:color w:val="1F1F1F"/>
          <w:lang w:val="es-AR"/>
        </w:rPr>
        <w:t xml:space="preserve"> (Mayer &amp; Moreno, 2003; </w:t>
      </w:r>
      <w:proofErr w:type="spellStart"/>
      <w:r w:rsidRPr="009A3E83">
        <w:rPr>
          <w:rFonts w:ascii="Times New Roman" w:eastAsia="Times New Roman" w:hAnsi="Times New Roman" w:cs="Times New Roman"/>
          <w:color w:val="1F1F1F"/>
          <w:lang w:val="es-AR"/>
        </w:rPr>
        <w:t>Paas</w:t>
      </w:r>
      <w:proofErr w:type="spellEnd"/>
      <w:r w:rsidRPr="009A3E83">
        <w:rPr>
          <w:rFonts w:ascii="Times New Roman" w:eastAsia="Times New Roman" w:hAnsi="Times New Roman" w:cs="Times New Roman"/>
          <w:color w:val="1F1F1F"/>
          <w:lang w:val="es-AR"/>
        </w:rPr>
        <w:t xml:space="preserve"> &amp; van </w:t>
      </w:r>
      <w:proofErr w:type="spellStart"/>
      <w:r w:rsidRPr="009A3E83">
        <w:rPr>
          <w:rFonts w:ascii="Times New Roman" w:eastAsia="Times New Roman" w:hAnsi="Times New Roman" w:cs="Times New Roman"/>
          <w:color w:val="1F1F1F"/>
          <w:lang w:val="es-AR"/>
        </w:rPr>
        <w:t>Merriënboer</w:t>
      </w:r>
      <w:proofErr w:type="spellEnd"/>
      <w:r w:rsidRPr="009A3E83">
        <w:rPr>
          <w:rFonts w:ascii="Times New Roman" w:eastAsia="Times New Roman" w:hAnsi="Times New Roman" w:cs="Times New Roman"/>
          <w:color w:val="1F1F1F"/>
          <w:lang w:val="es-AR"/>
        </w:rPr>
        <w:t>, 2020), al desagregar intencionalmente la carga intrínseca de las asignaturas. Las investigaciones actuales sugieren que secuenciar el entrenamiento adaptándolo al nivel de madurez del estudiante mitiga el colapso cognitivo y favorece la motivación intrínseca. Bajo esta premisa, el rediseño divide los trayectos densos en bloques temporales diferenciados: un primer bloque orientado a establecer las reglas del lenguaje estructural y los fundamentos biofísicos básicos, y un segundo bloque abocado a la integración sistémica, los flujos dinámicos y la informática global. Esta división estratégica reduce la interactividad simultánea de elementos abstractos, permitiendo que el estudiante domine las bases lógicas antes de verse obligado a resolver la complejidad global del sistema.</w:t>
      </w:r>
    </w:p>
    <w:p w14:paraId="0CD4271D" w14:textId="77777777" w:rsidR="009A3E83" w:rsidRPr="009A3E83" w:rsidRDefault="009A3E83" w:rsidP="009A3E83">
      <w:pPr>
        <w:widowControl w:val="0"/>
        <w:spacing w:line="240" w:lineRule="auto"/>
        <w:jc w:val="both"/>
        <w:rPr>
          <w:rFonts w:ascii="Times New Roman" w:eastAsia="Times New Roman" w:hAnsi="Times New Roman" w:cs="Times New Roman"/>
          <w:b/>
          <w:bCs/>
          <w:color w:val="1F1F1F"/>
          <w:lang w:val="es-AR"/>
        </w:rPr>
      </w:pPr>
      <w:r w:rsidRPr="009A3E83">
        <w:rPr>
          <w:rFonts w:ascii="Times New Roman" w:eastAsia="Times New Roman" w:hAnsi="Times New Roman" w:cs="Times New Roman"/>
          <w:b/>
          <w:bCs/>
          <w:color w:val="1F1F1F"/>
          <w:lang w:val="es-AR"/>
        </w:rPr>
        <w:t>La educación médica basada en competencias y su articulación con los ciclos iniciales</w:t>
      </w:r>
    </w:p>
    <w:p w14:paraId="41ED4B8B" w14:textId="77777777" w:rsidR="009A3E83" w:rsidRPr="009A3E83" w:rsidRDefault="009A3E83" w:rsidP="009A3E83">
      <w:pPr>
        <w:widowControl w:val="0"/>
        <w:spacing w:line="240" w:lineRule="auto"/>
        <w:jc w:val="both"/>
        <w:rPr>
          <w:rFonts w:ascii="Times New Roman" w:eastAsia="Times New Roman" w:hAnsi="Times New Roman" w:cs="Times New Roman"/>
          <w:color w:val="1F1F1F"/>
          <w:lang w:val="es-AR"/>
        </w:rPr>
      </w:pPr>
      <w:r w:rsidRPr="009A3E83">
        <w:rPr>
          <w:rFonts w:ascii="Times New Roman" w:eastAsia="Times New Roman" w:hAnsi="Times New Roman" w:cs="Times New Roman"/>
          <w:color w:val="1F1F1F"/>
          <w:lang w:val="es-AR"/>
        </w:rPr>
        <w:t xml:space="preserve">Anclada firmemente en los principios de la EMBC, esta reforma curricular concibe la competencia no como la mera acumulación de conocimiento declarativo (saber qué), sino como la integración holística, dinámica y situada de conocimientos procedimentales (saber cómo) y condicionales (saber cuándo y por qué). Este enfoque se alinea de forma directa con las directrices de marcos de referencia globales (como </w:t>
      </w:r>
      <w:proofErr w:type="spellStart"/>
      <w:r w:rsidRPr="009A3E83">
        <w:rPr>
          <w:rFonts w:ascii="Times New Roman" w:eastAsia="Times New Roman" w:hAnsi="Times New Roman" w:cs="Times New Roman"/>
          <w:color w:val="1F1F1F"/>
          <w:lang w:val="es-AR"/>
        </w:rPr>
        <w:t>CanMEDS</w:t>
      </w:r>
      <w:proofErr w:type="spellEnd"/>
      <w:r w:rsidRPr="009A3E83">
        <w:rPr>
          <w:rFonts w:ascii="Times New Roman" w:eastAsia="Times New Roman" w:hAnsi="Times New Roman" w:cs="Times New Roman"/>
          <w:color w:val="1F1F1F"/>
          <w:lang w:val="es-AR"/>
        </w:rPr>
        <w:t xml:space="preserve"> y las pautas de la AAMC), los cuales promueven currículos centrados en resultados medibles y un aprendizaje centrado en el alumno, potenciando la aplicabilidad conceptual desde las fases más tempranas (Frank et al., 2015; Frank et al., 2010).</w:t>
      </w:r>
    </w:p>
    <w:p w14:paraId="4777DC54" w14:textId="77777777" w:rsidR="009A3E83" w:rsidRPr="009A3E83" w:rsidRDefault="009A3E83" w:rsidP="009A3E83">
      <w:pPr>
        <w:widowControl w:val="0"/>
        <w:spacing w:line="240" w:lineRule="auto"/>
        <w:jc w:val="both"/>
        <w:rPr>
          <w:rFonts w:ascii="Times New Roman" w:eastAsia="Times New Roman" w:hAnsi="Times New Roman" w:cs="Times New Roman"/>
          <w:color w:val="1F1F1F"/>
          <w:lang w:val="es-AR"/>
        </w:rPr>
      </w:pPr>
      <w:r w:rsidRPr="009A3E83">
        <w:rPr>
          <w:rFonts w:ascii="Times New Roman" w:eastAsia="Times New Roman" w:hAnsi="Times New Roman" w:cs="Times New Roman"/>
          <w:color w:val="1F1F1F"/>
          <w:lang w:val="es-AR"/>
        </w:rPr>
        <w:t xml:space="preserve">Los marcos de competencias vigentes exigen que el estudiante demuestre habilidades específicas que vinculen directamente el marco teórico básico con el razonamiento analítico y la toma de decisiones racionales. En los ciclos iniciales, esto se materializa cuando el alumno es capaz de interpretar perfiles de datos complejos, variables de laboratorio o paneles analíticos no como una lista de números abstractos, sino como expresiones directas de la homeostasis o de la </w:t>
      </w:r>
      <w:proofErr w:type="spellStart"/>
      <w:r w:rsidRPr="009A3E83">
        <w:rPr>
          <w:rFonts w:ascii="Times New Roman" w:eastAsia="Times New Roman" w:hAnsi="Times New Roman" w:cs="Times New Roman"/>
          <w:color w:val="1F1F1F"/>
          <w:lang w:val="es-AR"/>
        </w:rPr>
        <w:t>dishomeostasis</w:t>
      </w:r>
      <w:proofErr w:type="spellEnd"/>
      <w:r w:rsidRPr="009A3E83">
        <w:rPr>
          <w:rFonts w:ascii="Times New Roman" w:eastAsia="Times New Roman" w:hAnsi="Times New Roman" w:cs="Times New Roman"/>
          <w:color w:val="1F1F1F"/>
          <w:lang w:val="es-AR"/>
        </w:rPr>
        <w:t xml:space="preserve"> sistémica de un organismo. Se trasciende, de este modo, el reduccionismo de la memorización tradicional hacia un razonamiento </w:t>
      </w:r>
      <w:proofErr w:type="spellStart"/>
      <w:r w:rsidRPr="009A3E83">
        <w:rPr>
          <w:rFonts w:ascii="Times New Roman" w:eastAsia="Times New Roman" w:hAnsi="Times New Roman" w:cs="Times New Roman"/>
          <w:color w:val="1F1F1F"/>
          <w:lang w:val="es-AR"/>
        </w:rPr>
        <w:t>abductivo</w:t>
      </w:r>
      <w:proofErr w:type="spellEnd"/>
      <w:r w:rsidRPr="009A3E83">
        <w:rPr>
          <w:rFonts w:ascii="Times New Roman" w:eastAsia="Times New Roman" w:hAnsi="Times New Roman" w:cs="Times New Roman"/>
          <w:color w:val="1F1F1F"/>
          <w:lang w:val="es-AR"/>
        </w:rPr>
        <w:t xml:space="preserve"> de vanguardia. Este enfoque vincula de forma interactiva e integradora los conceptos teóricos fundamentales con las etiologías funcionales en escenarios clínicos simulados, promoviendo herramientas de evaluación formativa robustas y continuas que aseguran que el futuro egresado posea las bases científicas necesarias para ejercer una práctica profesional segura, independiente y basada en la evidencia científica.</w:t>
      </w:r>
    </w:p>
    <w:p w14:paraId="5C4C4B45" w14:textId="77777777" w:rsidR="009A3E83" w:rsidRPr="009A3E83" w:rsidRDefault="009A3E83" w:rsidP="009A3E83">
      <w:pPr>
        <w:widowControl w:val="0"/>
        <w:spacing w:line="240" w:lineRule="auto"/>
        <w:jc w:val="both"/>
        <w:rPr>
          <w:rFonts w:ascii="Times New Roman" w:eastAsia="Times New Roman" w:hAnsi="Times New Roman" w:cs="Times New Roman"/>
          <w:b/>
          <w:bCs/>
          <w:color w:val="1F1F1F"/>
          <w:lang w:val="es-AR"/>
        </w:rPr>
      </w:pPr>
      <w:r w:rsidRPr="009A3E83">
        <w:rPr>
          <w:rFonts w:ascii="Times New Roman" w:eastAsia="Times New Roman" w:hAnsi="Times New Roman" w:cs="Times New Roman"/>
          <w:b/>
          <w:bCs/>
          <w:color w:val="1F1F1F"/>
          <w:lang w:val="es-AR"/>
        </w:rPr>
        <w:t xml:space="preserve">Articulación con la didáctica crítica. El diseño curricular como campo de tensión y dispositivo político: </w:t>
      </w:r>
      <w:r w:rsidRPr="009A3E83">
        <w:rPr>
          <w:rFonts w:ascii="Times New Roman" w:eastAsia="Times New Roman" w:hAnsi="Times New Roman" w:cs="Times New Roman"/>
          <w:color w:val="1F1F1F"/>
          <w:lang w:val="es-AR"/>
        </w:rPr>
        <w:t xml:space="preserve">para comprender el alcance sistémico de esta reforma, es imperativo trascender la visión del diseño curricular como un mero instrumento técnico neutral o una lista estática de contenidos organizados en un plan de estudios. En estricta concordancia con las perspectivas de la didáctica crítica y las teorías posestructuralistas del currículum —particularmente los desarrollos teóricos de </w:t>
      </w:r>
      <w:proofErr w:type="spellStart"/>
      <w:r w:rsidRPr="009A3E83">
        <w:rPr>
          <w:rFonts w:ascii="Times New Roman" w:eastAsia="Times New Roman" w:hAnsi="Times New Roman" w:cs="Times New Roman"/>
          <w:color w:val="1F1F1F"/>
          <w:lang w:val="es-AR"/>
        </w:rPr>
        <w:t>Morelli</w:t>
      </w:r>
      <w:proofErr w:type="spellEnd"/>
      <w:r w:rsidRPr="009A3E83">
        <w:rPr>
          <w:rFonts w:ascii="Times New Roman" w:eastAsia="Times New Roman" w:hAnsi="Times New Roman" w:cs="Times New Roman"/>
          <w:color w:val="1F1F1F"/>
          <w:lang w:val="es-AR"/>
        </w:rPr>
        <w:t xml:space="preserve"> (2018) —, este rediseño es concebido como un documento público y político. El texto formal aprobado no hace sino materializar una selección político-cultural e histórica, legitimando ciertos saberes y perfiles profesionales orientados a la medicina basada en la evidencia y el juicio diagnóstico temprano, en detrimento del paradigma enciclopedista, </w:t>
      </w:r>
      <w:proofErr w:type="spellStart"/>
      <w:r w:rsidRPr="009A3E83">
        <w:rPr>
          <w:rFonts w:ascii="Times New Roman" w:eastAsia="Times New Roman" w:hAnsi="Times New Roman" w:cs="Times New Roman"/>
          <w:color w:val="1F1F1F"/>
          <w:lang w:val="es-AR"/>
        </w:rPr>
        <w:t>biologicista</w:t>
      </w:r>
      <w:proofErr w:type="spellEnd"/>
      <w:r w:rsidRPr="009A3E83">
        <w:rPr>
          <w:rFonts w:ascii="Times New Roman" w:eastAsia="Times New Roman" w:hAnsi="Times New Roman" w:cs="Times New Roman"/>
          <w:color w:val="1F1F1F"/>
          <w:lang w:val="es-AR"/>
        </w:rPr>
        <w:t xml:space="preserve"> y memorístico que ha dominado históricamente los ciclos iniciales sobre todo en las carreras de ciencias de la salud.</w:t>
      </w:r>
    </w:p>
    <w:p w14:paraId="75F07E37" w14:textId="77777777" w:rsidR="009A3E83" w:rsidRPr="009A3E83" w:rsidRDefault="009A3E83" w:rsidP="009A3E83">
      <w:pPr>
        <w:widowControl w:val="0"/>
        <w:spacing w:line="240" w:lineRule="auto"/>
        <w:jc w:val="both"/>
        <w:rPr>
          <w:rFonts w:ascii="Times New Roman" w:eastAsia="Times New Roman" w:hAnsi="Times New Roman" w:cs="Times New Roman"/>
          <w:color w:val="1F1F1F"/>
          <w:lang w:val="es-AR"/>
        </w:rPr>
      </w:pPr>
      <w:r w:rsidRPr="009A3E83">
        <w:rPr>
          <w:rFonts w:ascii="Times New Roman" w:eastAsia="Times New Roman" w:hAnsi="Times New Roman" w:cs="Times New Roman"/>
          <w:color w:val="1F1F1F"/>
          <w:lang w:val="es-AR"/>
        </w:rPr>
        <w:t>Bajo este marco analítico, la transición desde un régimen anualizado tradicional hacia una arquitectura modular cuatrimestral por competencias opera simultáneamente en tres dimensiones esenciales de la práctica institucional:</w:t>
      </w:r>
    </w:p>
    <w:p w14:paraId="2626F041" w14:textId="77777777" w:rsidR="009A3E83" w:rsidRPr="009A3E83" w:rsidRDefault="009A3E83" w:rsidP="009A3E83">
      <w:pPr>
        <w:widowControl w:val="0"/>
        <w:spacing w:line="240" w:lineRule="auto"/>
        <w:jc w:val="both"/>
        <w:rPr>
          <w:rFonts w:ascii="Times New Roman" w:eastAsia="Times New Roman" w:hAnsi="Times New Roman" w:cs="Times New Roman"/>
          <w:color w:val="1F1F1F"/>
          <w:lang w:val="es-AR"/>
        </w:rPr>
      </w:pPr>
      <w:r w:rsidRPr="009A3E83">
        <w:rPr>
          <w:rFonts w:ascii="Times New Roman" w:eastAsia="Times New Roman" w:hAnsi="Times New Roman" w:cs="Times New Roman"/>
          <w:color w:val="1F1F1F"/>
          <w:lang w:val="es-AR"/>
        </w:rPr>
        <w:t>-La disolución de la neutralidad técnica. El rediseño asume que todo mapa curricular expresa un proyecto de ciudadano y de profesional de la salud. Al descentrar la repetición lineal de taxonomías abstractas e introducir la obligatoriedad de la resolución de problemas de salud complejos desde el inicio del trayecto, la institución define un posicionamiento ético-epistemológico ante las demandas sanitarias contemporáneas.</w:t>
      </w:r>
    </w:p>
    <w:p w14:paraId="3EDBB339" w14:textId="77777777" w:rsidR="009A3E83" w:rsidRPr="009A3E83" w:rsidRDefault="009A3E83" w:rsidP="009A3E83">
      <w:pPr>
        <w:widowControl w:val="0"/>
        <w:spacing w:line="240" w:lineRule="auto"/>
        <w:jc w:val="both"/>
        <w:rPr>
          <w:rFonts w:ascii="Times New Roman" w:eastAsia="Times New Roman" w:hAnsi="Times New Roman" w:cs="Times New Roman"/>
          <w:color w:val="1F1F1F"/>
          <w:lang w:val="es-AR"/>
        </w:rPr>
      </w:pPr>
      <w:r w:rsidRPr="009A3E83">
        <w:rPr>
          <w:rFonts w:ascii="Times New Roman" w:eastAsia="Times New Roman" w:hAnsi="Times New Roman" w:cs="Times New Roman"/>
          <w:color w:val="1F1F1F"/>
          <w:lang w:val="es-AR"/>
        </w:rPr>
        <w:t xml:space="preserve">-La gestión de la tensión entre lo prescrito y lo vivido: la literatura crítica enfatiza que el currículum formal nunca se traduce de manera lineal o mecánica en el aula. Existe una distancia constitutiva entre el </w:t>
      </w:r>
      <w:r w:rsidRPr="009A3E83">
        <w:rPr>
          <w:rFonts w:ascii="Times New Roman" w:eastAsia="Times New Roman" w:hAnsi="Times New Roman" w:cs="Times New Roman"/>
          <w:i/>
          <w:iCs/>
          <w:color w:val="1F1F1F"/>
          <w:lang w:val="es-AR"/>
        </w:rPr>
        <w:t>currículum prescripto</w:t>
      </w:r>
      <w:r w:rsidRPr="009A3E83">
        <w:rPr>
          <w:rFonts w:ascii="Times New Roman" w:eastAsia="Times New Roman" w:hAnsi="Times New Roman" w:cs="Times New Roman"/>
          <w:color w:val="1F1F1F"/>
          <w:lang w:val="es-AR"/>
        </w:rPr>
        <w:t xml:space="preserve"> (la norma institucional) y el </w:t>
      </w:r>
      <w:r w:rsidRPr="009A3E83">
        <w:rPr>
          <w:rFonts w:ascii="Times New Roman" w:eastAsia="Times New Roman" w:hAnsi="Times New Roman" w:cs="Times New Roman"/>
          <w:i/>
          <w:iCs/>
          <w:color w:val="1F1F1F"/>
          <w:lang w:val="es-AR"/>
        </w:rPr>
        <w:t>currículum en acción</w:t>
      </w:r>
      <w:r w:rsidRPr="009A3E83">
        <w:rPr>
          <w:rFonts w:ascii="Times New Roman" w:eastAsia="Times New Roman" w:hAnsi="Times New Roman" w:cs="Times New Roman"/>
          <w:color w:val="1F1F1F"/>
          <w:lang w:val="es-AR"/>
        </w:rPr>
        <w:t xml:space="preserve"> o vivido por el estudiante. Al incorporar metodologías de aprendizaje activo situado (ABP, TBL, CBCL) y "conversaciones de </w:t>
      </w:r>
      <w:proofErr w:type="spellStart"/>
      <w:r w:rsidRPr="009A3E83">
        <w:rPr>
          <w:rFonts w:ascii="Times New Roman" w:eastAsia="Times New Roman" w:hAnsi="Times New Roman" w:cs="Times New Roman"/>
          <w:color w:val="1F1F1F"/>
          <w:lang w:val="es-AR"/>
        </w:rPr>
        <w:t>feedback</w:t>
      </w:r>
      <w:proofErr w:type="spellEnd"/>
      <w:r w:rsidRPr="009A3E83">
        <w:rPr>
          <w:rFonts w:ascii="Times New Roman" w:eastAsia="Times New Roman" w:hAnsi="Times New Roman" w:cs="Times New Roman"/>
          <w:color w:val="1F1F1F"/>
          <w:lang w:val="es-AR"/>
        </w:rPr>
        <w:t xml:space="preserve"> reflexivo", la estructura cuatrimestral asume el diseño como una hipótesis de trabajo abierta, donde el alumno </w:t>
      </w:r>
      <w:proofErr w:type="spellStart"/>
      <w:r w:rsidRPr="009A3E83">
        <w:rPr>
          <w:rFonts w:ascii="Times New Roman" w:eastAsia="Times New Roman" w:hAnsi="Times New Roman" w:cs="Times New Roman"/>
          <w:color w:val="1F1F1F"/>
          <w:lang w:val="es-AR"/>
        </w:rPr>
        <w:t>co</w:t>
      </w:r>
      <w:proofErr w:type="spellEnd"/>
      <w:r w:rsidRPr="009A3E83">
        <w:rPr>
          <w:rFonts w:ascii="Times New Roman" w:eastAsia="Times New Roman" w:hAnsi="Times New Roman" w:cs="Times New Roman"/>
          <w:color w:val="1F1F1F"/>
          <w:lang w:val="es-AR"/>
        </w:rPr>
        <w:t>-construye activamente su identidad profesional y el docente actúa como un mediador adaptativo, mitigando la pasividad áulica tradicional.</w:t>
      </w:r>
    </w:p>
    <w:p w14:paraId="0D7761BC" w14:textId="77777777" w:rsidR="009A3E83" w:rsidRPr="009A3E83" w:rsidRDefault="009A3E83" w:rsidP="009A3E83">
      <w:pPr>
        <w:widowControl w:val="0"/>
        <w:spacing w:line="240" w:lineRule="auto"/>
        <w:jc w:val="both"/>
        <w:rPr>
          <w:rFonts w:ascii="Times New Roman" w:eastAsia="Times New Roman" w:hAnsi="Times New Roman" w:cs="Times New Roman"/>
          <w:color w:val="1F1F1F"/>
          <w:lang w:val="es-AR"/>
        </w:rPr>
      </w:pPr>
      <w:r w:rsidRPr="009A3E83">
        <w:rPr>
          <w:rFonts w:ascii="Times New Roman" w:eastAsia="Times New Roman" w:hAnsi="Times New Roman" w:cs="Times New Roman"/>
          <w:color w:val="1F1F1F"/>
          <w:lang w:val="es-AR"/>
        </w:rPr>
        <w:t xml:space="preserve">-El currículum como dispositivo de regulación del poder: desde una mirada </w:t>
      </w:r>
      <w:proofErr w:type="spellStart"/>
      <w:r w:rsidRPr="009A3E83">
        <w:rPr>
          <w:rFonts w:ascii="Times New Roman" w:eastAsia="Times New Roman" w:hAnsi="Times New Roman" w:cs="Times New Roman"/>
          <w:color w:val="1F1F1F"/>
          <w:lang w:val="es-AR"/>
        </w:rPr>
        <w:t>foucaultiana</w:t>
      </w:r>
      <w:proofErr w:type="spellEnd"/>
      <w:r w:rsidRPr="009A3E83">
        <w:rPr>
          <w:rFonts w:ascii="Times New Roman" w:eastAsia="Times New Roman" w:hAnsi="Times New Roman" w:cs="Times New Roman"/>
          <w:color w:val="1F1F1F"/>
          <w:lang w:val="es-AR"/>
        </w:rPr>
        <w:t xml:space="preserve">, el diseño curricular regula los tiempos, segmenta los espacios físicos y determina las reglas de juego de la evaluación dentro de la cultura institucional. Modificar esta matriz no es un cambio cosmético o logístico. El desmantelamiento de los exámenes </w:t>
      </w:r>
      <w:proofErr w:type="spellStart"/>
      <w:r w:rsidRPr="009A3E83">
        <w:rPr>
          <w:rFonts w:ascii="Times New Roman" w:eastAsia="Times New Roman" w:hAnsi="Times New Roman" w:cs="Times New Roman"/>
          <w:color w:val="1F1F1F"/>
          <w:lang w:val="es-AR"/>
        </w:rPr>
        <w:t>sumativos</w:t>
      </w:r>
      <w:proofErr w:type="spellEnd"/>
      <w:r w:rsidRPr="009A3E83">
        <w:rPr>
          <w:rFonts w:ascii="Times New Roman" w:eastAsia="Times New Roman" w:hAnsi="Times New Roman" w:cs="Times New Roman"/>
          <w:color w:val="1F1F1F"/>
          <w:lang w:val="es-AR"/>
        </w:rPr>
        <w:t xml:space="preserve"> masivos (</w:t>
      </w:r>
      <w:proofErr w:type="spellStart"/>
      <w:r w:rsidRPr="009A3E83">
        <w:rPr>
          <w:rFonts w:ascii="Times New Roman" w:eastAsia="Times New Roman" w:hAnsi="Times New Roman" w:cs="Times New Roman"/>
          <w:i/>
          <w:iCs/>
          <w:color w:val="1F1F1F"/>
          <w:lang w:val="es-AR"/>
        </w:rPr>
        <w:t>high-stakes</w:t>
      </w:r>
      <w:proofErr w:type="spellEnd"/>
      <w:r w:rsidRPr="009A3E83">
        <w:rPr>
          <w:rFonts w:ascii="Times New Roman" w:eastAsia="Times New Roman" w:hAnsi="Times New Roman" w:cs="Times New Roman"/>
          <w:color w:val="1F1F1F"/>
          <w:lang w:val="es-AR"/>
        </w:rPr>
        <w:t xml:space="preserve">) para dar paso a un Ecosistema de Evaluación Programática multimodal configura las relaciones de saber-poder dentro de la facultad. Asimismo, la creación de los Comités de unificación curricular y los talleres de calibración inter-evaluadores opera directamente sobre la gobernanza académica, disolviendo los históricos "feudos de cátedra" y transformando la resistencia pasiva del "currículum oculto" en una cultura colaborativa basada en la transparencia y la </w:t>
      </w:r>
      <w:proofErr w:type="spellStart"/>
      <w:r w:rsidRPr="009A3E83">
        <w:rPr>
          <w:rFonts w:ascii="Times New Roman" w:eastAsia="Times New Roman" w:hAnsi="Times New Roman" w:cs="Times New Roman"/>
          <w:color w:val="1F1F1F"/>
          <w:lang w:val="es-AR"/>
        </w:rPr>
        <w:t>responsabilización</w:t>
      </w:r>
      <w:proofErr w:type="spellEnd"/>
      <w:r w:rsidRPr="009A3E83">
        <w:rPr>
          <w:rFonts w:ascii="Times New Roman" w:eastAsia="Times New Roman" w:hAnsi="Times New Roman" w:cs="Times New Roman"/>
          <w:color w:val="1F1F1F"/>
          <w:lang w:val="es-AR"/>
        </w:rPr>
        <w:t>.</w:t>
      </w:r>
    </w:p>
    <w:p w14:paraId="37ED1C79" w14:textId="77777777" w:rsidR="009A3E83" w:rsidRPr="009A3E83" w:rsidRDefault="009A3E83" w:rsidP="009A3E83">
      <w:pPr>
        <w:widowControl w:val="0"/>
        <w:spacing w:line="240" w:lineRule="auto"/>
        <w:jc w:val="both"/>
        <w:rPr>
          <w:rFonts w:ascii="Times New Roman" w:eastAsia="Times New Roman" w:hAnsi="Times New Roman" w:cs="Times New Roman"/>
          <w:color w:val="1F1F1F"/>
          <w:lang w:val="es-AR"/>
        </w:rPr>
      </w:pPr>
      <w:r w:rsidRPr="009A3E83">
        <w:rPr>
          <w:rFonts w:ascii="Times New Roman" w:eastAsia="Times New Roman" w:hAnsi="Times New Roman" w:cs="Times New Roman"/>
          <w:color w:val="1F1F1F"/>
          <w:lang w:val="es-AR"/>
        </w:rPr>
        <w:t>De este modo, la reforma no solo optimiza las trayectorias escolares y los indicadores de regularización desde una perspectiva psicopedagógica y neurobiológica, sino que se consolida como una transformación estructural de las prácticas de enseñanza, alterando positivamente las identidades profesionales de los docentes y la experiencia formativa vivida por el estudiantado.</w:t>
      </w:r>
    </w:p>
    <w:p w14:paraId="2FD138AD" w14:textId="65FB0755" w:rsidR="005F3B2E"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678F38DA"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 xml:space="preserve">El proceso de transformación e ingeniería curricular se inició utilizando de manera rigurosa el enfoque de diseño inverso o </w:t>
      </w:r>
      <w:proofErr w:type="spellStart"/>
      <w:r w:rsidRPr="00B14212">
        <w:rPr>
          <w:rFonts w:ascii="Times New Roman" w:eastAsia="Times New Roman" w:hAnsi="Times New Roman" w:cs="Times New Roman"/>
          <w:color w:val="1F1F1F"/>
          <w:kern w:val="0"/>
          <w:lang w:val="es-AR" w:eastAsia="es-AR"/>
          <w14:ligatures w14:val="none"/>
        </w:rPr>
        <w:t>backwards</w:t>
      </w:r>
      <w:proofErr w:type="spellEnd"/>
      <w:r w:rsidRPr="00B14212">
        <w:rPr>
          <w:rFonts w:ascii="Times New Roman" w:eastAsia="Times New Roman" w:hAnsi="Times New Roman" w:cs="Times New Roman"/>
          <w:color w:val="1F1F1F"/>
          <w:kern w:val="0"/>
          <w:lang w:val="es-AR" w:eastAsia="es-AR"/>
          <w14:ligatures w14:val="none"/>
        </w:rPr>
        <w:t xml:space="preserve"> </w:t>
      </w:r>
      <w:proofErr w:type="spellStart"/>
      <w:r w:rsidRPr="00B14212">
        <w:rPr>
          <w:rFonts w:ascii="Times New Roman" w:eastAsia="Times New Roman" w:hAnsi="Times New Roman" w:cs="Times New Roman"/>
          <w:color w:val="1F1F1F"/>
          <w:kern w:val="0"/>
          <w:lang w:val="es-AR" w:eastAsia="es-AR"/>
          <w14:ligatures w14:val="none"/>
        </w:rPr>
        <w:t>design</w:t>
      </w:r>
      <w:proofErr w:type="spellEnd"/>
      <w:r w:rsidRPr="00B14212">
        <w:rPr>
          <w:rFonts w:ascii="Times New Roman" w:eastAsia="Times New Roman" w:hAnsi="Times New Roman" w:cs="Times New Roman"/>
          <w:color w:val="1F1F1F"/>
          <w:kern w:val="0"/>
          <w:lang w:val="es-AR" w:eastAsia="es-AR"/>
          <w14:ligatures w14:val="none"/>
        </w:rPr>
        <w:t xml:space="preserve">, desarrollado conceptualmente por </w:t>
      </w:r>
      <w:proofErr w:type="spellStart"/>
      <w:r w:rsidRPr="00B14212">
        <w:rPr>
          <w:rFonts w:ascii="Times New Roman" w:eastAsia="Times New Roman" w:hAnsi="Times New Roman" w:cs="Times New Roman"/>
          <w:color w:val="1F1F1F"/>
          <w:kern w:val="0"/>
          <w:lang w:val="es-AR" w:eastAsia="es-AR"/>
          <w14:ligatures w14:val="none"/>
        </w:rPr>
        <w:t>Wiggins</w:t>
      </w:r>
      <w:proofErr w:type="spellEnd"/>
      <w:r w:rsidRPr="00B14212">
        <w:rPr>
          <w:rFonts w:ascii="Times New Roman" w:eastAsia="Times New Roman" w:hAnsi="Times New Roman" w:cs="Times New Roman"/>
          <w:color w:val="1F1F1F"/>
          <w:kern w:val="0"/>
          <w:lang w:val="es-AR" w:eastAsia="es-AR"/>
          <w14:ligatures w14:val="none"/>
        </w:rPr>
        <w:t xml:space="preserve"> y </w:t>
      </w:r>
      <w:proofErr w:type="spellStart"/>
      <w:r w:rsidRPr="00B14212">
        <w:rPr>
          <w:rFonts w:ascii="Times New Roman" w:eastAsia="Times New Roman" w:hAnsi="Times New Roman" w:cs="Times New Roman"/>
          <w:color w:val="1F1F1F"/>
          <w:kern w:val="0"/>
          <w:lang w:val="es-AR" w:eastAsia="es-AR"/>
          <w14:ligatures w14:val="none"/>
        </w:rPr>
        <w:t>McTighe</w:t>
      </w:r>
      <w:proofErr w:type="spellEnd"/>
      <w:r w:rsidRPr="00B14212">
        <w:rPr>
          <w:rFonts w:ascii="Times New Roman" w:eastAsia="Times New Roman" w:hAnsi="Times New Roman" w:cs="Times New Roman"/>
          <w:color w:val="1F1F1F"/>
          <w:kern w:val="0"/>
          <w:lang w:val="es-AR" w:eastAsia="es-AR"/>
          <w14:ligatures w14:val="none"/>
        </w:rPr>
        <w:t xml:space="preserve"> (2005), (Dávila, 2017). Esta metodología exige que el diseño no comience por la selección arbitraria de contenidos temáticos, sino por la identificación clara y explícita de los resultados de aprendizaje deseados y las competencias terminales que los estudiantes deben demostrar al finalizar el ciclo formativo.</w:t>
      </w:r>
    </w:p>
    <w:p w14:paraId="7C84F083"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El proceso se estructuró metodológicamente en cuatro fases secuenciales bien definidas:</w:t>
      </w:r>
    </w:p>
    <w:p w14:paraId="130BD252"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1-Fase diagnóstica y de línea de base:</w:t>
      </w:r>
      <w:r w:rsidRPr="00B14212">
        <w:rPr>
          <w:rFonts w:ascii="Times New Roman" w:eastAsia="Times New Roman" w:hAnsi="Times New Roman" w:cs="Times New Roman"/>
          <w:color w:val="1F1F1F"/>
          <w:kern w:val="0"/>
          <w:lang w:val="es-AR" w:eastAsia="es-AR"/>
          <w14:ligatures w14:val="none"/>
        </w:rPr>
        <w:t xml:space="preserve"> un análisis retrospectivo de los datos históricos de las cohortes previas reveló una problemática académica crítica: las tasas de acreditación directa en el modelo anual tradicional eran inferiores al 65%, con un alarmante índice de deserción temprana y </w:t>
      </w:r>
      <w:proofErr w:type="spellStart"/>
      <w:r w:rsidRPr="00B14212">
        <w:rPr>
          <w:rFonts w:ascii="Times New Roman" w:eastAsia="Times New Roman" w:hAnsi="Times New Roman" w:cs="Times New Roman"/>
          <w:color w:val="1F1F1F"/>
          <w:kern w:val="0"/>
          <w:lang w:val="es-AR" w:eastAsia="es-AR"/>
          <w14:ligatures w14:val="none"/>
        </w:rPr>
        <w:t>recursado</w:t>
      </w:r>
      <w:proofErr w:type="spellEnd"/>
      <w:r w:rsidRPr="00B14212">
        <w:rPr>
          <w:rFonts w:ascii="Times New Roman" w:eastAsia="Times New Roman" w:hAnsi="Times New Roman" w:cs="Times New Roman"/>
          <w:color w:val="1F1F1F"/>
          <w:kern w:val="0"/>
          <w:lang w:val="es-AR" w:eastAsia="es-AR"/>
          <w14:ligatures w14:val="none"/>
        </w:rPr>
        <w:t>. Asimismo, la aplicación de encuestas psicométricas basadas en la escala Likert evidenció percepciones marcadamente negativas por parte del estudiantado (con puntuaciones promedio inferiores a 3/5), quienes catalogan a los trayectos largos como contenidos inertes y descontextualizados.</w:t>
      </w:r>
    </w:p>
    <w:p w14:paraId="479049AA"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2-Fase de constitución del comité interdisciplinario y triangulación:</w:t>
      </w:r>
      <w:r w:rsidRPr="00B14212">
        <w:rPr>
          <w:rFonts w:ascii="Times New Roman" w:eastAsia="Times New Roman" w:hAnsi="Times New Roman" w:cs="Times New Roman"/>
          <w:color w:val="1F1F1F"/>
          <w:kern w:val="0"/>
          <w:lang w:val="es-AR" w:eastAsia="es-AR"/>
          <w14:ligatures w14:val="none"/>
        </w:rPr>
        <w:t xml:space="preserve"> para subsanar esta falla estructural, se conformó un comité de reforma curricular integrado por especialistas disciplinares, profesionales clínicos, expertos en educación médica y asesores pedagógicos. Este equipo delineó los estándares de desempeño adaptados a los marcos de referencia modernos y reconfiguró el mapa curricular mediante una triangulación metodológica rigurosa de datos cuantitativos (análisis de rendimiento histórico, índices de discriminación de reactivos de examen) y cualitativos (entrevistas en profundidad con docentes de ciclos superiores y encuestas de percepción estudiantil).</w:t>
      </w:r>
    </w:p>
    <w:p w14:paraId="0566C93E"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3-Fase de desarrollo del programa y alineación constructiva:</w:t>
      </w:r>
      <w:r w:rsidRPr="00B14212">
        <w:rPr>
          <w:rFonts w:ascii="Times New Roman" w:eastAsia="Times New Roman" w:hAnsi="Times New Roman" w:cs="Times New Roman"/>
          <w:color w:val="1F1F1F"/>
          <w:kern w:val="0"/>
          <w:lang w:val="es-AR" w:eastAsia="es-AR"/>
          <w14:ligatures w14:val="none"/>
        </w:rPr>
        <w:t xml:space="preserve"> se procedió a </w:t>
      </w:r>
      <w:proofErr w:type="spellStart"/>
      <w:r w:rsidRPr="00B14212">
        <w:rPr>
          <w:rFonts w:ascii="Times New Roman" w:eastAsia="Times New Roman" w:hAnsi="Times New Roman" w:cs="Times New Roman"/>
          <w:color w:val="1F1F1F"/>
          <w:kern w:val="0"/>
          <w:lang w:val="es-AR" w:eastAsia="es-AR"/>
          <w14:ligatures w14:val="none"/>
        </w:rPr>
        <w:t>remapear</w:t>
      </w:r>
      <w:proofErr w:type="spellEnd"/>
      <w:r w:rsidRPr="00B14212">
        <w:rPr>
          <w:rFonts w:ascii="Times New Roman" w:eastAsia="Times New Roman" w:hAnsi="Times New Roman" w:cs="Times New Roman"/>
          <w:color w:val="1F1F1F"/>
          <w:kern w:val="0"/>
          <w:lang w:val="es-AR" w:eastAsia="es-AR"/>
          <w14:ligatures w14:val="none"/>
        </w:rPr>
        <w:t xml:space="preserve"> los contenidos para adaptarlos a la estructura cuatrimestral, aplicando el principio de alineación constructiva de </w:t>
      </w:r>
      <w:proofErr w:type="spellStart"/>
      <w:r w:rsidRPr="00B14212">
        <w:rPr>
          <w:rFonts w:ascii="Times New Roman" w:eastAsia="Times New Roman" w:hAnsi="Times New Roman" w:cs="Times New Roman"/>
          <w:color w:val="1F1F1F"/>
          <w:kern w:val="0"/>
          <w:lang w:val="es-AR" w:eastAsia="es-AR"/>
          <w14:ligatures w14:val="none"/>
        </w:rPr>
        <w:t>Biggs</w:t>
      </w:r>
      <w:proofErr w:type="spellEnd"/>
      <w:r w:rsidRPr="00B14212">
        <w:rPr>
          <w:rFonts w:ascii="Times New Roman" w:eastAsia="Times New Roman" w:hAnsi="Times New Roman" w:cs="Times New Roman"/>
          <w:color w:val="1F1F1F"/>
          <w:kern w:val="0"/>
          <w:lang w:val="es-AR" w:eastAsia="es-AR"/>
          <w14:ligatures w14:val="none"/>
        </w:rPr>
        <w:t xml:space="preserve"> (</w:t>
      </w:r>
      <w:proofErr w:type="spellStart"/>
      <w:r w:rsidRPr="00B14212">
        <w:rPr>
          <w:rFonts w:ascii="Times New Roman" w:eastAsia="Times New Roman" w:hAnsi="Times New Roman" w:cs="Times New Roman"/>
          <w:color w:val="1F1F1F"/>
          <w:kern w:val="0"/>
          <w:lang w:val="es-AR" w:eastAsia="es-AR"/>
          <w14:ligatures w14:val="none"/>
        </w:rPr>
        <w:t>Biggs</w:t>
      </w:r>
      <w:proofErr w:type="spellEnd"/>
      <w:r w:rsidRPr="00B14212">
        <w:rPr>
          <w:rFonts w:ascii="Times New Roman" w:eastAsia="Times New Roman" w:hAnsi="Times New Roman" w:cs="Times New Roman"/>
          <w:color w:val="1F1F1F"/>
          <w:kern w:val="0"/>
          <w:lang w:val="es-AR" w:eastAsia="es-AR"/>
          <w14:ligatures w14:val="none"/>
        </w:rPr>
        <w:t xml:space="preserve">, 2003, citado en </w:t>
      </w:r>
      <w:proofErr w:type="spellStart"/>
      <w:r w:rsidRPr="00B14212">
        <w:rPr>
          <w:rFonts w:ascii="Times New Roman" w:eastAsia="Times New Roman" w:hAnsi="Times New Roman" w:cs="Times New Roman"/>
          <w:color w:val="1F1F1F"/>
          <w:kern w:val="0"/>
          <w:lang w:val="es-AR" w:eastAsia="es-AR"/>
          <w14:ligatures w14:val="none"/>
        </w:rPr>
        <w:t>Carlino</w:t>
      </w:r>
      <w:proofErr w:type="spellEnd"/>
      <w:r w:rsidRPr="00B14212">
        <w:rPr>
          <w:rFonts w:ascii="Times New Roman" w:eastAsia="Times New Roman" w:hAnsi="Times New Roman" w:cs="Times New Roman"/>
          <w:color w:val="1F1F1F"/>
          <w:kern w:val="0"/>
          <w:lang w:val="es-AR" w:eastAsia="es-AR"/>
          <w14:ligatures w14:val="none"/>
        </w:rPr>
        <w:t>, 2021), garantizando que los objetivos de competencia, las actividades de aprendizaje activo y las estrategias de evaluación estuvieran en perfecta consonancia epistemológica.</w:t>
      </w:r>
    </w:p>
    <w:p w14:paraId="5342F1C4"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4-Fase de capacitación docente y gobernanza académica:</w:t>
      </w:r>
      <w:r w:rsidRPr="00B14212">
        <w:rPr>
          <w:rFonts w:ascii="Times New Roman" w:eastAsia="Times New Roman" w:hAnsi="Times New Roman" w:cs="Times New Roman"/>
          <w:color w:val="1F1F1F"/>
          <w:kern w:val="0"/>
          <w:lang w:val="es-AR" w:eastAsia="es-AR"/>
          <w14:ligatures w14:val="none"/>
        </w:rPr>
        <w:t xml:space="preserve"> el desarrollo y la ejecución de este diseño guiado por competencias requirieron un proceso sistemático y continuo de formación docente en talleres de diseño de casos integradores y la reconfiguración de los mecanismos de gobernanza académica de la institución. Como señalan Montano y Molina (2024), la enseñanza en la educación superior constituye un entramado complejo de sentidos y prácticas que define la formación docente </w:t>
      </w:r>
      <w:proofErr w:type="spellStart"/>
      <w:r w:rsidRPr="00B14212">
        <w:rPr>
          <w:rFonts w:ascii="Times New Roman" w:eastAsia="Times New Roman" w:hAnsi="Times New Roman" w:cs="Times New Roman"/>
          <w:color w:val="1F1F1F"/>
          <w:kern w:val="0"/>
          <w:lang w:val="es-AR" w:eastAsia="es-AR"/>
          <w14:ligatures w14:val="none"/>
        </w:rPr>
        <w:t>universitaria.Esto</w:t>
      </w:r>
      <w:proofErr w:type="spellEnd"/>
      <w:r w:rsidRPr="00B14212">
        <w:rPr>
          <w:rFonts w:ascii="Times New Roman" w:eastAsia="Times New Roman" w:hAnsi="Times New Roman" w:cs="Times New Roman"/>
          <w:color w:val="1F1F1F"/>
          <w:kern w:val="0"/>
          <w:lang w:val="es-AR" w:eastAsia="es-AR"/>
          <w14:ligatures w14:val="none"/>
        </w:rPr>
        <w:t xml:space="preserve"> aseguró que el cambio en la cultura institucional y la transición metodológica se tradujeron de manera efectiva y sostenible en la dinámica diaria de las aulas, evitando el fenómeno del "currículum oculto" o el retorno encubierto a las prácticas tradicionales.</w:t>
      </w:r>
    </w:p>
    <w:p w14:paraId="4A41C66B" w14:textId="77777777" w:rsidR="00B14212" w:rsidRPr="00B14212" w:rsidRDefault="00B14212" w:rsidP="00B14212">
      <w:pPr>
        <w:spacing w:after="0" w:line="240" w:lineRule="auto"/>
        <w:jc w:val="both"/>
        <w:outlineLvl w:val="1"/>
        <w:rPr>
          <w:rFonts w:ascii="Times New Roman" w:eastAsia="Times New Roman" w:hAnsi="Times New Roman" w:cs="Times New Roman"/>
          <w:b/>
          <w:bCs/>
          <w:kern w:val="0"/>
          <w:sz w:val="36"/>
          <w:szCs w:val="36"/>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Arquitectura de los espacios curriculares modulares</w:t>
      </w:r>
    </w:p>
    <w:p w14:paraId="5865C505"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 xml:space="preserve">La reingeniería de la gestión curricular se </w:t>
      </w:r>
      <w:proofErr w:type="spellStart"/>
      <w:r w:rsidRPr="00B14212">
        <w:rPr>
          <w:rFonts w:ascii="Times New Roman" w:eastAsia="Times New Roman" w:hAnsi="Times New Roman" w:cs="Times New Roman"/>
          <w:color w:val="1F1F1F"/>
          <w:kern w:val="0"/>
          <w:lang w:val="es-AR" w:eastAsia="es-AR"/>
          <w14:ligatures w14:val="none"/>
        </w:rPr>
        <w:t>operativiza</w:t>
      </w:r>
      <w:proofErr w:type="spellEnd"/>
      <w:r w:rsidRPr="00B14212">
        <w:rPr>
          <w:rFonts w:ascii="Times New Roman" w:eastAsia="Times New Roman" w:hAnsi="Times New Roman" w:cs="Times New Roman"/>
          <w:color w:val="1F1F1F"/>
          <w:kern w:val="0"/>
          <w:lang w:val="es-AR" w:eastAsia="es-AR"/>
          <w14:ligatures w14:val="none"/>
        </w:rPr>
        <w:t xml:space="preserve"> formalmente a través de una secuenciación modular cuatrimestral compuesta por dos unidades de organización de los aprendizajes independientes pero </w:t>
      </w:r>
      <w:proofErr w:type="gramStart"/>
      <w:r w:rsidRPr="00B14212">
        <w:rPr>
          <w:rFonts w:ascii="Times New Roman" w:eastAsia="Times New Roman" w:hAnsi="Times New Roman" w:cs="Times New Roman"/>
          <w:color w:val="1F1F1F"/>
          <w:kern w:val="0"/>
          <w:lang w:val="es-AR" w:eastAsia="es-AR"/>
          <w14:ligatures w14:val="none"/>
        </w:rPr>
        <w:t>correlativas</w:t>
      </w:r>
      <w:proofErr w:type="gramEnd"/>
      <w:r w:rsidRPr="00B14212">
        <w:rPr>
          <w:rFonts w:ascii="Times New Roman" w:eastAsia="Times New Roman" w:hAnsi="Times New Roman" w:cs="Times New Roman"/>
          <w:color w:val="1F1F1F"/>
          <w:kern w:val="0"/>
          <w:lang w:val="es-AR" w:eastAsia="es-AR"/>
          <w14:ligatures w14:val="none"/>
        </w:rPr>
        <w:t>, estructuradas bajo el principio estricto de progresividad cognitiva y andamiaje instruccional:</w:t>
      </w:r>
    </w:p>
    <w:p w14:paraId="53443BF7"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Módulo I: Fundamentos estructurales e interacciones biofísicas basales.</w:t>
      </w:r>
      <w:r w:rsidRPr="00B14212">
        <w:rPr>
          <w:rFonts w:ascii="Times New Roman" w:eastAsia="Times New Roman" w:hAnsi="Times New Roman" w:cs="Times New Roman"/>
          <w:color w:val="1F1F1F"/>
          <w:kern w:val="0"/>
          <w:lang w:val="es-AR" w:eastAsia="es-AR"/>
          <w14:ligatures w14:val="none"/>
        </w:rPr>
        <w:t xml:space="preserve"> Enfocado en el establecimiento de marcos conceptuales sólidos, reglas de interrelación molecular y principios biofísicos cuantitativos. Prioriza estrategias didácticas basadas en el modelado guiado, los talleres prácticos de laboratorio y la simulación introductoria.</w:t>
      </w:r>
    </w:p>
    <w:p w14:paraId="7BBD42D3"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Módulo II: Integración sistémica y regulación dinámica global.</w:t>
      </w:r>
      <w:r w:rsidRPr="00B14212">
        <w:rPr>
          <w:rFonts w:ascii="Times New Roman" w:eastAsia="Times New Roman" w:hAnsi="Times New Roman" w:cs="Times New Roman"/>
          <w:color w:val="1F1F1F"/>
          <w:kern w:val="0"/>
          <w:lang w:val="es-AR" w:eastAsia="es-AR"/>
          <w14:ligatures w14:val="none"/>
        </w:rPr>
        <w:t xml:space="preserve"> Centrado en los flujos sistémicos, el procesamiento informático complejo y la correlación </w:t>
      </w:r>
      <w:proofErr w:type="spellStart"/>
      <w:r w:rsidRPr="00B14212">
        <w:rPr>
          <w:rFonts w:ascii="Times New Roman" w:eastAsia="Times New Roman" w:hAnsi="Times New Roman" w:cs="Times New Roman"/>
          <w:color w:val="1F1F1F"/>
          <w:kern w:val="0"/>
          <w:lang w:val="es-AR" w:eastAsia="es-AR"/>
          <w14:ligatures w14:val="none"/>
        </w:rPr>
        <w:t>traslacional</w:t>
      </w:r>
      <w:proofErr w:type="spellEnd"/>
      <w:r w:rsidRPr="00B14212">
        <w:rPr>
          <w:rFonts w:ascii="Times New Roman" w:eastAsia="Times New Roman" w:hAnsi="Times New Roman" w:cs="Times New Roman"/>
          <w:color w:val="1F1F1F"/>
          <w:kern w:val="0"/>
          <w:lang w:val="es-AR" w:eastAsia="es-AR"/>
          <w14:ligatures w14:val="none"/>
        </w:rPr>
        <w:t xml:space="preserve"> de los datos. Prioriza estrategias de aprendizaje autónomo y colaborativo de alta demanda cognitiva, como el Aprendizaje Basado en Problemas (ABP) y los seminarios de análisis crítico de literatura científica.</w:t>
      </w:r>
    </w:p>
    <w:p w14:paraId="26B99F86"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Esta división temporal e instruccional disuelve el esquema de acumulación lineal. Permite que el estudiante alcance hitos de competencia específicos y consolide esquemas mentales intermedios y evaluables de manera cuatrimestral, asegurando que la complejidad sistémica avanzada del segundo tramo se asiente sobre un dominio robusto de las herramientas metodológicas e interpretativas del primer período.</w:t>
      </w:r>
    </w:p>
    <w:p w14:paraId="3A29AFB9"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Bajo este marco analítico, la transición desde un régimen anualizado tradicional hacia una arquitectura modular cuatrimestral por competencias opera simultáneamente en tres dimensiones esenciales de la práctica institucional:</w:t>
      </w:r>
    </w:p>
    <w:p w14:paraId="6C471017"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-La disolución de la neutralidad técnica. El rediseño asume que todo mapa curricular expresa un proyecto de ciudadano y de profesional de la salud. Al descentrar la repetición lineal de taxonomías abstractas e introducir la obligatoriedad de la resolución de problemas de salud complejos desde el inicio del trayecto, la institución define un posicionamiento ético-epistemológico ante las demandas sanitarias contemporáneas.</w:t>
      </w:r>
    </w:p>
    <w:p w14:paraId="7D4131EC"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 xml:space="preserve">-La gestión de la tensión entre lo prescrito y lo vivido. La literatura crítica enfatiza que el currículum formal nunca se traduce de manera lineal o mecánica en el aula. Existe una distancia constitutiva entre el currículum prescripto (la norma institucional) y el currículum en acción o vivido por el estudiante. Al incorporar metodologías de aprendizaje activo situado (ABP, TBL, CBCL) y "conversaciones de </w:t>
      </w:r>
      <w:proofErr w:type="spellStart"/>
      <w:r w:rsidRPr="00B14212">
        <w:rPr>
          <w:rFonts w:ascii="Times New Roman" w:eastAsia="Times New Roman" w:hAnsi="Times New Roman" w:cs="Times New Roman"/>
          <w:color w:val="1F1F1F"/>
          <w:kern w:val="0"/>
          <w:lang w:val="es-AR" w:eastAsia="es-AR"/>
          <w14:ligatures w14:val="none"/>
        </w:rPr>
        <w:t>feedback</w:t>
      </w:r>
      <w:proofErr w:type="spellEnd"/>
      <w:r w:rsidRPr="00B14212">
        <w:rPr>
          <w:rFonts w:ascii="Times New Roman" w:eastAsia="Times New Roman" w:hAnsi="Times New Roman" w:cs="Times New Roman"/>
          <w:color w:val="1F1F1F"/>
          <w:kern w:val="0"/>
          <w:lang w:val="es-AR" w:eastAsia="es-AR"/>
          <w14:ligatures w14:val="none"/>
        </w:rPr>
        <w:t xml:space="preserve"> reflexivo", la estructura cuatrimestral asume el diseño como una hipótesis de trabajo abierta, donde el alumno </w:t>
      </w:r>
      <w:proofErr w:type="spellStart"/>
      <w:r w:rsidRPr="00B14212">
        <w:rPr>
          <w:rFonts w:ascii="Times New Roman" w:eastAsia="Times New Roman" w:hAnsi="Times New Roman" w:cs="Times New Roman"/>
          <w:color w:val="1F1F1F"/>
          <w:kern w:val="0"/>
          <w:lang w:val="es-AR" w:eastAsia="es-AR"/>
          <w14:ligatures w14:val="none"/>
        </w:rPr>
        <w:t>co</w:t>
      </w:r>
      <w:proofErr w:type="spellEnd"/>
      <w:r w:rsidRPr="00B14212">
        <w:rPr>
          <w:rFonts w:ascii="Times New Roman" w:eastAsia="Times New Roman" w:hAnsi="Times New Roman" w:cs="Times New Roman"/>
          <w:color w:val="1F1F1F"/>
          <w:kern w:val="0"/>
          <w:lang w:val="es-AR" w:eastAsia="es-AR"/>
          <w14:ligatures w14:val="none"/>
        </w:rPr>
        <w:t>-construye activamente su identidad profesional y el docente actúa como un mediador adaptativo, mitigando la pasividad áulica tradicional y con un rol de tutor activo.</w:t>
      </w:r>
    </w:p>
    <w:p w14:paraId="49251668"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 xml:space="preserve">-El currículum como dispositivo de regulación del poder. Desde una mirada </w:t>
      </w:r>
      <w:proofErr w:type="spellStart"/>
      <w:r w:rsidRPr="00B14212">
        <w:rPr>
          <w:rFonts w:ascii="Times New Roman" w:eastAsia="Times New Roman" w:hAnsi="Times New Roman" w:cs="Times New Roman"/>
          <w:color w:val="1F1F1F"/>
          <w:kern w:val="0"/>
          <w:lang w:val="es-AR" w:eastAsia="es-AR"/>
          <w14:ligatures w14:val="none"/>
        </w:rPr>
        <w:t>foucaultiana</w:t>
      </w:r>
      <w:proofErr w:type="spellEnd"/>
      <w:r w:rsidRPr="00B14212">
        <w:rPr>
          <w:rFonts w:ascii="Times New Roman" w:eastAsia="Times New Roman" w:hAnsi="Times New Roman" w:cs="Times New Roman"/>
          <w:color w:val="1F1F1F"/>
          <w:kern w:val="0"/>
          <w:lang w:val="es-AR" w:eastAsia="es-AR"/>
          <w14:ligatures w14:val="none"/>
        </w:rPr>
        <w:t xml:space="preserve">, el diseño curricular regula los tiempos, segmenta los espacios físicos y determina las reglas de juego de la evaluación dentro de la cultura institucional. Modificar esta matriz no es un cambio cosmético o logístico. El desmantelamiento de los exámenes </w:t>
      </w:r>
      <w:proofErr w:type="spellStart"/>
      <w:r w:rsidRPr="00B14212">
        <w:rPr>
          <w:rFonts w:ascii="Times New Roman" w:eastAsia="Times New Roman" w:hAnsi="Times New Roman" w:cs="Times New Roman"/>
          <w:color w:val="1F1F1F"/>
          <w:kern w:val="0"/>
          <w:lang w:val="es-AR" w:eastAsia="es-AR"/>
          <w14:ligatures w14:val="none"/>
        </w:rPr>
        <w:t>sumativos</w:t>
      </w:r>
      <w:proofErr w:type="spellEnd"/>
      <w:r w:rsidRPr="00B14212">
        <w:rPr>
          <w:rFonts w:ascii="Times New Roman" w:eastAsia="Times New Roman" w:hAnsi="Times New Roman" w:cs="Times New Roman"/>
          <w:color w:val="1F1F1F"/>
          <w:kern w:val="0"/>
          <w:lang w:val="es-AR" w:eastAsia="es-AR"/>
          <w14:ligatures w14:val="none"/>
        </w:rPr>
        <w:t xml:space="preserve"> masivos (</w:t>
      </w:r>
      <w:proofErr w:type="spellStart"/>
      <w:r w:rsidRPr="00B14212">
        <w:rPr>
          <w:rFonts w:ascii="Times New Roman" w:eastAsia="Times New Roman" w:hAnsi="Times New Roman" w:cs="Times New Roman"/>
          <w:i/>
          <w:iCs/>
          <w:color w:val="1F1F1F"/>
          <w:kern w:val="0"/>
          <w:lang w:val="es-AR" w:eastAsia="es-AR"/>
          <w14:ligatures w14:val="none"/>
        </w:rPr>
        <w:t>high-stakes</w:t>
      </w:r>
      <w:proofErr w:type="spellEnd"/>
      <w:r w:rsidRPr="00B14212">
        <w:rPr>
          <w:rFonts w:ascii="Times New Roman" w:eastAsia="Times New Roman" w:hAnsi="Times New Roman" w:cs="Times New Roman"/>
          <w:color w:val="1F1F1F"/>
          <w:kern w:val="0"/>
          <w:lang w:val="es-AR" w:eastAsia="es-AR"/>
          <w14:ligatures w14:val="none"/>
        </w:rPr>
        <w:t>) para dar paso a un Ecosistema de Evaluación Programática multimodal reconfigura las relaciones de saber-poder dentro de la facultad. Asimismo, la creación de los Comités de unificación curricular y los talleres de calibración inter-evaluadores opera directamente sobre la gobernanza académica, disolviendo los históricos "feudos de cátedra" y transformando la resistencia pasiva del "currículum oculto" en una cultura colaborativa basada en la transparencia y la rendición de cuentas. De este modo, la reforma no solo optimiza las trayectorias escolares y los indicadores de regularización desde una perspectiva psicopedagógica y neurobiológica, sino que se consolida como una transformación estructural de las prácticas de enseñanza, alterando positivamente las identidades profesionales de los docentes y la experiencia formativa vivida por el estudiantado. Este apartado mantiene la numeración y el sistema de fundamentación de tu texto, permitiendo que la fundamentación científica (carga cognitiva y EMBC) conviva en armonía con una sólida base socio-pedagógica crítica.</w:t>
      </w:r>
    </w:p>
    <w:p w14:paraId="2ED96E5F" w14:textId="77777777" w:rsidR="00B14212" w:rsidRPr="00B14212" w:rsidRDefault="00B14212" w:rsidP="00B14212">
      <w:pPr>
        <w:spacing w:after="0" w:line="240" w:lineRule="auto"/>
        <w:jc w:val="both"/>
        <w:outlineLvl w:val="2"/>
        <w:rPr>
          <w:rFonts w:ascii="Times New Roman" w:eastAsia="Times New Roman" w:hAnsi="Times New Roman" w:cs="Times New Roman"/>
          <w:b/>
          <w:bCs/>
          <w:kern w:val="0"/>
          <w:sz w:val="27"/>
          <w:szCs w:val="27"/>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La flexibilidad curricular como vector de democratización académica y adaptabilidad instruccional</w:t>
      </w:r>
    </w:p>
    <w:p w14:paraId="666BFD23"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 xml:space="preserve">La transición desde un régimen anualizado e inflexible hacia una estructura modular cuatrimestral no se agota en la reorganización cronológica de los contenidos; por el contrario, esta reforma encuentra uno de sus pilares fundamentales en el principio de flexibilidad curricular (Díaz-Barriga, 2021; </w:t>
      </w:r>
      <w:proofErr w:type="spellStart"/>
      <w:r w:rsidRPr="00B14212">
        <w:rPr>
          <w:rFonts w:ascii="Times New Roman" w:eastAsia="Times New Roman" w:hAnsi="Times New Roman" w:cs="Times New Roman"/>
          <w:color w:val="1F1F1F"/>
          <w:kern w:val="0"/>
          <w:lang w:val="es-AR" w:eastAsia="es-AR"/>
          <w14:ligatures w14:val="none"/>
        </w:rPr>
        <w:t>Coll</w:t>
      </w:r>
      <w:proofErr w:type="spellEnd"/>
      <w:r w:rsidRPr="00B14212">
        <w:rPr>
          <w:rFonts w:ascii="Times New Roman" w:eastAsia="Times New Roman" w:hAnsi="Times New Roman" w:cs="Times New Roman"/>
          <w:color w:val="1F1F1F"/>
          <w:kern w:val="0"/>
          <w:lang w:val="es-AR" w:eastAsia="es-AR"/>
          <w14:ligatures w14:val="none"/>
        </w:rPr>
        <w:t xml:space="preserve"> et al., 2023). En las estructuras tradicionales de las Ciencias de la Salud, los planes de estudio han operado históricamente bajo un esquema de rigidez extrema y linealidad punitiva. Bajo ese paradigma, el rezago o la no regularización de una asignatura troncal inicial significaba la parálisis total de la trayectoria académica del estudiante durante un año calendario completo, alimentando de manera directa los índices de deserción temprana, frustración vocacional y el fenómeno del estancamiento escolar prolongado.</w:t>
      </w:r>
    </w:p>
    <w:p w14:paraId="2312C86A" w14:textId="77777777" w:rsidR="00474DDF" w:rsidRDefault="00B14212" w:rsidP="00474DDF">
      <w:pPr>
        <w:spacing w:after="24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 xml:space="preserve">Desde la perspectiva de la educación superior contemporánea, la flexibilidad curricular es entendida como un dispositivo político-pedagógico orientado a romper la estanqueidad de las cátedras y a diversificar los ritmos y las modalidades de aprendizaje (WFME, 2020; Martínez Lobatos &amp; Loera Martínez, 2020). Al </w:t>
      </w:r>
      <w:proofErr w:type="spellStart"/>
      <w:r w:rsidRPr="00B14212">
        <w:rPr>
          <w:rFonts w:ascii="Times New Roman" w:eastAsia="Times New Roman" w:hAnsi="Times New Roman" w:cs="Times New Roman"/>
          <w:color w:val="1F1F1F"/>
          <w:kern w:val="0"/>
          <w:lang w:val="es-AR" w:eastAsia="es-AR"/>
          <w14:ligatures w14:val="none"/>
        </w:rPr>
        <w:t>operativizar</w:t>
      </w:r>
      <w:proofErr w:type="spellEnd"/>
      <w:r w:rsidRPr="00B14212">
        <w:rPr>
          <w:rFonts w:ascii="Times New Roman" w:eastAsia="Times New Roman" w:hAnsi="Times New Roman" w:cs="Times New Roman"/>
          <w:color w:val="1F1F1F"/>
          <w:kern w:val="0"/>
          <w:lang w:val="es-AR" w:eastAsia="es-AR"/>
          <w14:ligatures w14:val="none"/>
        </w:rPr>
        <w:t xml:space="preserve"> la Bioquímica en dos módulos cuatrimestrales independientes pero correlativos, el diseño introduce una flexibilidad temporal y operativa que impacta directamente en las condiciones de regularización y en la autonomía del estudiantado. Los alumnos ya no se ven forzados a sostener un ritmo homogéneo e impuesto de manera universal a lo largo de diez meses; en su lugar, la fragmentación modular les permite gestionar sus esfuerzos y trayectorias en tramos más cortos, alcanzando hitos evaluables a corto plazo y posibilitando la recuperación o el </w:t>
      </w:r>
      <w:proofErr w:type="spellStart"/>
      <w:r w:rsidRPr="00B14212">
        <w:rPr>
          <w:rFonts w:ascii="Times New Roman" w:eastAsia="Times New Roman" w:hAnsi="Times New Roman" w:cs="Times New Roman"/>
          <w:color w:val="1F1F1F"/>
          <w:kern w:val="0"/>
          <w:lang w:val="es-AR" w:eastAsia="es-AR"/>
          <w14:ligatures w14:val="none"/>
        </w:rPr>
        <w:t>recursado</w:t>
      </w:r>
      <w:proofErr w:type="spellEnd"/>
      <w:r w:rsidRPr="00B14212">
        <w:rPr>
          <w:rFonts w:ascii="Times New Roman" w:eastAsia="Times New Roman" w:hAnsi="Times New Roman" w:cs="Times New Roman"/>
          <w:color w:val="1F1F1F"/>
          <w:kern w:val="0"/>
          <w:lang w:val="es-AR" w:eastAsia="es-AR"/>
          <w14:ligatures w14:val="none"/>
        </w:rPr>
        <w:t xml:space="preserve"> rápido de componentes específicos sin perder el año académico completo.</w:t>
      </w:r>
    </w:p>
    <w:p w14:paraId="0D18B9BD" w14:textId="229F6074" w:rsidR="00B14212" w:rsidRPr="00B14212" w:rsidRDefault="00B14212" w:rsidP="00474DDF">
      <w:pPr>
        <w:spacing w:after="24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Asimismo, esta flexibilidad curricular actúa como un vector de equidad y democratización interna. Al flexibilizar los tiempos de acreditación, el currículum reconoce y aloja la heterogeneidad de las realidades socioeconómicas y los perfiles de los estudiantes de medicina actuales, adaptándose a aquellos que combinan el estudio con responsabilidades laborales o familiares. Esta adaptabilidad instruccional disminuye de forma mensurable la carga cognitiva extrínseca y la ansiedad post-evaluativa ligada a la pérdida de la regularidad anual, abriendo canales para que el estudiante construya su trayecto formativo de manera autorregulada (</w:t>
      </w:r>
      <w:proofErr w:type="spellStart"/>
      <w:r w:rsidRPr="00B14212">
        <w:rPr>
          <w:rFonts w:ascii="Times New Roman" w:eastAsia="Times New Roman" w:hAnsi="Times New Roman" w:cs="Times New Roman"/>
          <w:color w:val="1F1F1F"/>
          <w:kern w:val="0"/>
          <w:lang w:val="es-AR" w:eastAsia="es-AR"/>
          <w14:ligatures w14:val="none"/>
        </w:rPr>
        <w:t>Zimmerman</w:t>
      </w:r>
      <w:proofErr w:type="spellEnd"/>
      <w:r w:rsidRPr="00B14212">
        <w:rPr>
          <w:rFonts w:ascii="Times New Roman" w:eastAsia="Times New Roman" w:hAnsi="Times New Roman" w:cs="Times New Roman"/>
          <w:color w:val="1F1F1F"/>
          <w:kern w:val="0"/>
          <w:lang w:val="es-AR" w:eastAsia="es-AR"/>
          <w14:ligatures w14:val="none"/>
        </w:rPr>
        <w:t xml:space="preserve">, 2000). Lejos de significar una pérdida de rigor científico, la flexibilidad curricular aquí propuesta garantiza que los estándares de excelencia de la Educación Médica Basada en Competencias (EMBC) se alcancen respetando los diversos ritmos de procesamiento cognitivo, transformando el plan de estudios en una matriz dinámica, </w:t>
      </w:r>
      <w:proofErr w:type="spellStart"/>
      <w:r w:rsidRPr="00B14212">
        <w:rPr>
          <w:rFonts w:ascii="Times New Roman" w:eastAsia="Times New Roman" w:hAnsi="Times New Roman" w:cs="Times New Roman"/>
          <w:color w:val="1F1F1F"/>
          <w:kern w:val="0"/>
          <w:lang w:val="es-AR" w:eastAsia="es-AR"/>
          <w14:ligatures w14:val="none"/>
        </w:rPr>
        <w:t>resiliente</w:t>
      </w:r>
      <w:proofErr w:type="spellEnd"/>
      <w:r w:rsidRPr="00B14212">
        <w:rPr>
          <w:rFonts w:ascii="Times New Roman" w:eastAsia="Times New Roman" w:hAnsi="Times New Roman" w:cs="Times New Roman"/>
          <w:color w:val="1F1F1F"/>
          <w:kern w:val="0"/>
          <w:lang w:val="es-AR" w:eastAsia="es-AR"/>
          <w14:ligatures w14:val="none"/>
        </w:rPr>
        <w:t xml:space="preserve"> y centrada verdaderamente en las trayectorias de los estudiantes.</w:t>
      </w:r>
    </w:p>
    <w:p w14:paraId="089A3033"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 xml:space="preserve">Ejes de organización de los aprendizajes y su </w:t>
      </w:r>
      <w:proofErr w:type="spellStart"/>
      <w:r w:rsidRPr="00B14212">
        <w:rPr>
          <w:rFonts w:ascii="Times New Roman" w:eastAsia="Times New Roman" w:hAnsi="Times New Roman" w:cs="Times New Roman"/>
          <w:b/>
          <w:bCs/>
          <w:color w:val="1F1F1F"/>
          <w:kern w:val="0"/>
          <w:lang w:val="es-AR" w:eastAsia="es-AR"/>
          <w14:ligatures w14:val="none"/>
        </w:rPr>
        <w:t>operacionalización</w:t>
      </w:r>
      <w:proofErr w:type="spellEnd"/>
      <w:r w:rsidRPr="00B14212">
        <w:rPr>
          <w:rFonts w:ascii="Times New Roman" w:eastAsia="Times New Roman" w:hAnsi="Times New Roman" w:cs="Times New Roman"/>
          <w:b/>
          <w:bCs/>
          <w:color w:val="1F1F1F"/>
          <w:kern w:val="0"/>
          <w:lang w:val="es-AR" w:eastAsia="es-AR"/>
          <w14:ligatures w14:val="none"/>
        </w:rPr>
        <w:t xml:space="preserve"> didáctica</w:t>
      </w:r>
    </w:p>
    <w:p w14:paraId="1E37D245"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El rediseño curricular propuesto se organiza de manera operativa en torno a tres ejes fundamentales de alta complejidad pedagógica. Estos ejes han sido concebidos estratégicamente para promover la transición desde un aprendizaje pasivo hacia el desarrollo genuino de competencias profesionales integradas, utilizando como soporte vectores de andamiaje cognitivo progresivo (</w:t>
      </w:r>
      <w:proofErr w:type="spellStart"/>
      <w:r w:rsidRPr="00B14212">
        <w:rPr>
          <w:rFonts w:ascii="Times New Roman" w:eastAsia="Times New Roman" w:hAnsi="Times New Roman" w:cs="Times New Roman"/>
          <w:color w:val="1F1F1F"/>
          <w:kern w:val="0"/>
          <w:lang w:val="es-AR" w:eastAsia="es-AR"/>
          <w14:ligatures w14:val="none"/>
        </w:rPr>
        <w:t>scaffolding</w:t>
      </w:r>
      <w:proofErr w:type="spellEnd"/>
      <w:r w:rsidRPr="00B14212">
        <w:rPr>
          <w:rFonts w:ascii="Times New Roman" w:eastAsia="Times New Roman" w:hAnsi="Times New Roman" w:cs="Times New Roman"/>
          <w:color w:val="1F1F1F"/>
          <w:kern w:val="0"/>
          <w:lang w:val="es-AR" w:eastAsia="es-AR"/>
          <w14:ligatures w14:val="none"/>
        </w:rPr>
        <w:t>) y metodologías de aprendizaje activo situado:</w:t>
      </w:r>
    </w:p>
    <w:p w14:paraId="5E8A6E51" w14:textId="77777777" w:rsidR="00B14212" w:rsidRPr="00B14212" w:rsidRDefault="00B14212" w:rsidP="00B14212">
      <w:pPr>
        <w:spacing w:after="0" w:line="240" w:lineRule="auto"/>
        <w:jc w:val="both"/>
        <w:outlineLvl w:val="2"/>
        <w:rPr>
          <w:rFonts w:ascii="Times New Roman" w:eastAsia="Times New Roman" w:hAnsi="Times New Roman" w:cs="Times New Roman"/>
          <w:b/>
          <w:bCs/>
          <w:kern w:val="0"/>
          <w:sz w:val="27"/>
          <w:szCs w:val="27"/>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I. Eje de razonamiento analítico y juicio diagnóstico temprano</w:t>
      </w:r>
    </w:p>
    <w:p w14:paraId="7FB6FDAD"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 xml:space="preserve">Este trayecto persigue de forma explícita que el estudiante de ciencias de la salud desarrolle la competencia de </w:t>
      </w:r>
      <w:proofErr w:type="spellStart"/>
      <w:r w:rsidRPr="00B14212">
        <w:rPr>
          <w:rFonts w:ascii="Times New Roman" w:eastAsia="Times New Roman" w:hAnsi="Times New Roman" w:cs="Times New Roman"/>
          <w:color w:val="1F1F1F"/>
          <w:kern w:val="0"/>
          <w:lang w:val="es-AR" w:eastAsia="es-AR"/>
          <w14:ligatures w14:val="none"/>
        </w:rPr>
        <w:t>deconstruir</w:t>
      </w:r>
      <w:proofErr w:type="spellEnd"/>
      <w:r w:rsidRPr="00B14212">
        <w:rPr>
          <w:rFonts w:ascii="Times New Roman" w:eastAsia="Times New Roman" w:hAnsi="Times New Roman" w:cs="Times New Roman"/>
          <w:color w:val="1F1F1F"/>
          <w:kern w:val="0"/>
          <w:lang w:val="es-AR" w:eastAsia="es-AR"/>
          <w14:ligatures w14:val="none"/>
        </w:rPr>
        <w:t xml:space="preserve">, analizar e interpretar perfiles de datos </w:t>
      </w:r>
      <w:proofErr w:type="spellStart"/>
      <w:r w:rsidRPr="00B14212">
        <w:rPr>
          <w:rFonts w:ascii="Times New Roman" w:eastAsia="Times New Roman" w:hAnsi="Times New Roman" w:cs="Times New Roman"/>
          <w:color w:val="1F1F1F"/>
          <w:kern w:val="0"/>
          <w:lang w:val="es-AR" w:eastAsia="es-AR"/>
          <w14:ligatures w14:val="none"/>
        </w:rPr>
        <w:t>multivariables</w:t>
      </w:r>
      <w:proofErr w:type="spellEnd"/>
      <w:r w:rsidRPr="00B14212">
        <w:rPr>
          <w:rFonts w:ascii="Times New Roman" w:eastAsia="Times New Roman" w:hAnsi="Times New Roman" w:cs="Times New Roman"/>
          <w:color w:val="1F1F1F"/>
          <w:kern w:val="0"/>
          <w:lang w:val="es-AR" w:eastAsia="es-AR"/>
          <w14:ligatures w14:val="none"/>
        </w:rPr>
        <w:t xml:space="preserve"> y </w:t>
      </w:r>
      <w:proofErr w:type="spellStart"/>
      <w:r w:rsidRPr="00B14212">
        <w:rPr>
          <w:rFonts w:ascii="Times New Roman" w:eastAsia="Times New Roman" w:hAnsi="Times New Roman" w:cs="Times New Roman"/>
          <w:color w:val="1F1F1F"/>
          <w:kern w:val="0"/>
          <w:lang w:val="es-AR" w:eastAsia="es-AR"/>
          <w14:ligatures w14:val="none"/>
        </w:rPr>
        <w:t>biomarcadores</w:t>
      </w:r>
      <w:proofErr w:type="spellEnd"/>
      <w:r w:rsidRPr="00B14212">
        <w:rPr>
          <w:rFonts w:ascii="Times New Roman" w:eastAsia="Times New Roman" w:hAnsi="Times New Roman" w:cs="Times New Roman"/>
          <w:color w:val="1F1F1F"/>
          <w:kern w:val="0"/>
          <w:lang w:val="es-AR" w:eastAsia="es-AR"/>
          <w14:ligatures w14:val="none"/>
        </w:rPr>
        <w:t xml:space="preserve"> complejos para la formulación de juicios diagnósticos diferenciales ante escenarios críticos ficticios o reales. La </w:t>
      </w:r>
      <w:proofErr w:type="spellStart"/>
      <w:r w:rsidRPr="00B14212">
        <w:rPr>
          <w:rFonts w:ascii="Times New Roman" w:eastAsia="Times New Roman" w:hAnsi="Times New Roman" w:cs="Times New Roman"/>
          <w:color w:val="1F1F1F"/>
          <w:kern w:val="0"/>
          <w:lang w:val="es-AR" w:eastAsia="es-AR"/>
          <w14:ligatures w14:val="none"/>
        </w:rPr>
        <w:t>operacionalización</w:t>
      </w:r>
      <w:proofErr w:type="spellEnd"/>
      <w:r w:rsidRPr="00B14212">
        <w:rPr>
          <w:rFonts w:ascii="Times New Roman" w:eastAsia="Times New Roman" w:hAnsi="Times New Roman" w:cs="Times New Roman"/>
          <w:color w:val="1F1F1F"/>
          <w:kern w:val="0"/>
          <w:lang w:val="es-AR" w:eastAsia="es-AR"/>
          <w14:ligatures w14:val="none"/>
        </w:rPr>
        <w:t xml:space="preserve"> didáctica se sustenta en el uso sistemático de problemas basados en casos de alta fidelidad y dispositivos de simulación situacional en entornos de grupos colaborativos pequeños. Esta inmersión temprana orienta la práctica de aula hacia la activación del razonamiento hipotético-deductivo, forzando al estudiante a utilizar las leyes teóricas subyacentes no como abstracciones memorísticas, sino como los fundamentos objetivos, cuantificables y científicos del juicio profesional.</w:t>
      </w:r>
    </w:p>
    <w:p w14:paraId="2A2ED766" w14:textId="77777777" w:rsidR="00B14212" w:rsidRPr="00B14212" w:rsidRDefault="00B14212" w:rsidP="00B14212">
      <w:pPr>
        <w:spacing w:after="0" w:line="240" w:lineRule="auto"/>
        <w:jc w:val="both"/>
        <w:outlineLvl w:val="2"/>
        <w:rPr>
          <w:rFonts w:ascii="Times New Roman" w:eastAsia="Times New Roman" w:hAnsi="Times New Roman" w:cs="Times New Roman"/>
          <w:b/>
          <w:bCs/>
          <w:kern w:val="0"/>
          <w:sz w:val="27"/>
          <w:szCs w:val="27"/>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II. Eje de alfabetización científica crítica y manejo de la evidencia</w:t>
      </w:r>
    </w:p>
    <w:p w14:paraId="620A4024"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Este componente está diseñado con el propósito de que el estudiantado logre dilucidar, relacionar e interconectar las bases conceptuales con la literatura científica de vanguardia, los mecanismos de regulación de sistemas y los procesos de disfunción patológica complejos. Metodológicamente, este eje se despliega mediante seminarios de lectura crítica, debates estructurados y la discusión guiada de literatura científica de fuente primaria indexada en bases de datos globales de alto impacto. Al analizar de forma directa y analítica investigaciones contemporáneas y reportes de casos, se promueve una alfabetización informacional avanzada, dotando al estudiante de las herramientas indispensables para la evaluación de la evidencia empírica, el desarrollo del pensamiento crítico independiente y los hábitos de actualización profesional permanente a lo largo de toda su vida activa.</w:t>
      </w:r>
    </w:p>
    <w:p w14:paraId="3E4B87FC" w14:textId="77777777" w:rsidR="00B14212" w:rsidRPr="00B14212" w:rsidRDefault="00B14212" w:rsidP="00B14212">
      <w:pPr>
        <w:spacing w:after="0" w:line="240" w:lineRule="auto"/>
        <w:jc w:val="both"/>
        <w:outlineLvl w:val="2"/>
        <w:rPr>
          <w:rFonts w:ascii="Times New Roman" w:eastAsia="Times New Roman" w:hAnsi="Times New Roman" w:cs="Times New Roman"/>
          <w:b/>
          <w:bCs/>
          <w:kern w:val="0"/>
          <w:sz w:val="27"/>
          <w:szCs w:val="27"/>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III. Eje de homeostasis sistémica y flexibilidad adaptativa</w:t>
      </w:r>
    </w:p>
    <w:p w14:paraId="72AC9F64"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 xml:space="preserve">Este núcleo de alta densidad conceptual se orienta a modelar las transiciones globales, las redes de retroalimentación adaptativa y las cascadas cruzadas de regulación que gobiernan los estados fisiológicos normales y las respuestas ante el estrés sistémico agudo. El proceso de enseñanza-aprendizaje se traduce en el entorno áulico mediante el planteamiento de problemas abiertos no estructurados basados en el modelado computacional y el análisis </w:t>
      </w:r>
      <w:proofErr w:type="spellStart"/>
      <w:r w:rsidRPr="00B14212">
        <w:rPr>
          <w:rFonts w:ascii="Times New Roman" w:eastAsia="Times New Roman" w:hAnsi="Times New Roman" w:cs="Times New Roman"/>
          <w:color w:val="1F1F1F"/>
          <w:kern w:val="0"/>
          <w:lang w:val="es-AR" w:eastAsia="es-AR"/>
          <w14:ligatures w14:val="none"/>
        </w:rPr>
        <w:t>multivariable</w:t>
      </w:r>
      <w:proofErr w:type="spellEnd"/>
      <w:r w:rsidRPr="00B14212">
        <w:rPr>
          <w:rFonts w:ascii="Times New Roman" w:eastAsia="Times New Roman" w:hAnsi="Times New Roman" w:cs="Times New Roman"/>
          <w:color w:val="1F1F1F"/>
          <w:kern w:val="0"/>
          <w:lang w:val="es-AR" w:eastAsia="es-AR"/>
          <w14:ligatures w14:val="none"/>
        </w:rPr>
        <w:t xml:space="preserve"> de vías interdependientes. Al demandar obligatoriamente la resolución de escenarios simulados donde coexisten alteraciones </w:t>
      </w:r>
      <w:proofErr w:type="spellStart"/>
      <w:r w:rsidRPr="00B14212">
        <w:rPr>
          <w:rFonts w:ascii="Times New Roman" w:eastAsia="Times New Roman" w:hAnsi="Times New Roman" w:cs="Times New Roman"/>
          <w:color w:val="1F1F1F"/>
          <w:kern w:val="0"/>
          <w:lang w:val="es-AR" w:eastAsia="es-AR"/>
          <w14:ligatures w14:val="none"/>
        </w:rPr>
        <w:t>multiorgánicas</w:t>
      </w:r>
      <w:proofErr w:type="spellEnd"/>
      <w:r w:rsidRPr="00B14212">
        <w:rPr>
          <w:rFonts w:ascii="Times New Roman" w:eastAsia="Times New Roman" w:hAnsi="Times New Roman" w:cs="Times New Roman"/>
          <w:color w:val="1F1F1F"/>
          <w:kern w:val="0"/>
          <w:lang w:val="es-AR" w:eastAsia="es-AR"/>
          <w14:ligatures w14:val="none"/>
        </w:rPr>
        <w:t>, se mitiga definitivamente la fragmentación del conocimiento tradicional, optimizando de forma mensurable la transferencia efectiva de los saberes de la ciencia básica hacia la toma de decisiones profesionales en la práctica de salud contemporánea.</w:t>
      </w:r>
    </w:p>
    <w:p w14:paraId="636BBF27" w14:textId="77777777" w:rsidR="00B14212" w:rsidRPr="00B14212" w:rsidRDefault="00B14212" w:rsidP="00B14212">
      <w:pPr>
        <w:spacing w:after="0" w:line="240" w:lineRule="auto"/>
        <w:jc w:val="both"/>
        <w:outlineLvl w:val="1"/>
        <w:rPr>
          <w:rFonts w:ascii="Times New Roman" w:eastAsia="Times New Roman" w:hAnsi="Times New Roman" w:cs="Times New Roman"/>
          <w:b/>
          <w:bCs/>
          <w:kern w:val="0"/>
          <w:sz w:val="36"/>
          <w:szCs w:val="36"/>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-Gobernanza académica, transición institucional y resistencia al cambio</w:t>
      </w:r>
    </w:p>
    <w:p w14:paraId="379136E0"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La implementación efectiva de una reforma curricular de esta envergadura trasciende la dimensión puramente técnico-pedagógica y se instala en el terreno de la gestión política y la gobernanza institucional universitaria. Uno de los mayores desafíos identificados en la literatura internacional sobre cambio curricular en ciencias de la salud es la colisión con la cultura institucional preexistente y el fenómeno del "currículum oculto", donde las prácticas tradicionales de cátedra resisten de forma pasiva las directrices de los nuevos planes basados en competencias (</w:t>
      </w:r>
      <w:proofErr w:type="spellStart"/>
      <w:r w:rsidRPr="00B14212">
        <w:rPr>
          <w:rFonts w:ascii="Times New Roman" w:eastAsia="Times New Roman" w:hAnsi="Times New Roman" w:cs="Times New Roman"/>
          <w:color w:val="1F1F1F"/>
          <w:kern w:val="0"/>
          <w:lang w:val="es-AR" w:eastAsia="es-AR"/>
          <w14:ligatures w14:val="none"/>
        </w:rPr>
        <w:t>Gouëdard</w:t>
      </w:r>
      <w:proofErr w:type="spellEnd"/>
      <w:r w:rsidRPr="00B14212">
        <w:rPr>
          <w:rFonts w:ascii="Times New Roman" w:eastAsia="Times New Roman" w:hAnsi="Times New Roman" w:cs="Times New Roman"/>
          <w:color w:val="1F1F1F"/>
          <w:kern w:val="0"/>
          <w:lang w:val="es-AR" w:eastAsia="es-AR"/>
          <w14:ligatures w14:val="none"/>
        </w:rPr>
        <w:t xml:space="preserve"> et al., 2020).</w:t>
      </w:r>
    </w:p>
    <w:p w14:paraId="58F304F1"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 xml:space="preserve">Para gestionar la resistencia al cambio, la facultad diseñó una estrategia de gobernanza distribuida que involucró activamente a los profesores titulares, adjuntos y jefes de trabajos prácticos en el proceso de </w:t>
      </w:r>
      <w:proofErr w:type="spellStart"/>
      <w:r w:rsidRPr="00B14212">
        <w:rPr>
          <w:rFonts w:ascii="Times New Roman" w:eastAsia="Times New Roman" w:hAnsi="Times New Roman" w:cs="Times New Roman"/>
          <w:color w:val="1F1F1F"/>
          <w:kern w:val="0"/>
          <w:lang w:val="es-AR" w:eastAsia="es-AR"/>
          <w14:ligatures w14:val="none"/>
        </w:rPr>
        <w:t>co</w:t>
      </w:r>
      <w:proofErr w:type="spellEnd"/>
      <w:r w:rsidRPr="00B14212">
        <w:rPr>
          <w:rFonts w:ascii="Times New Roman" w:eastAsia="Times New Roman" w:hAnsi="Times New Roman" w:cs="Times New Roman"/>
          <w:color w:val="1F1F1F"/>
          <w:kern w:val="0"/>
          <w:lang w:val="es-AR" w:eastAsia="es-AR"/>
          <w14:ligatures w14:val="none"/>
        </w:rPr>
        <w:t>-creación del nuevo diseño instruccional. Se identificaron tempranamente las barreras docentes comunes, tales como el temor a la pérdida de profundidad académica en el formato compacto del cuatrimestre, la sobrecarga laboral asociada al diseño de nuevos instrumentos de evaluación formativa y la falta de familiaridad con las metodologías de aprendizaje activo situado (TBL, ABP).</w:t>
      </w:r>
    </w:p>
    <w:p w14:paraId="7E117C05"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 xml:space="preserve">La </w:t>
      </w:r>
      <w:proofErr w:type="spellStart"/>
      <w:r w:rsidRPr="00B14212">
        <w:rPr>
          <w:rFonts w:ascii="Times New Roman" w:eastAsia="Times New Roman" w:hAnsi="Times New Roman" w:cs="Times New Roman"/>
          <w:color w:val="1F1F1F"/>
          <w:kern w:val="0"/>
          <w:lang w:val="es-AR" w:eastAsia="es-AR"/>
          <w14:ligatures w14:val="none"/>
        </w:rPr>
        <w:t>operacionalización</w:t>
      </w:r>
      <w:proofErr w:type="spellEnd"/>
      <w:r w:rsidRPr="00B14212">
        <w:rPr>
          <w:rFonts w:ascii="Times New Roman" w:eastAsia="Times New Roman" w:hAnsi="Times New Roman" w:cs="Times New Roman"/>
          <w:color w:val="1F1F1F"/>
          <w:kern w:val="0"/>
          <w:lang w:val="es-AR" w:eastAsia="es-AR"/>
          <w14:ligatures w14:val="none"/>
        </w:rPr>
        <w:t xml:space="preserve"> de esta transición se estructuró mediante los siguientes dispositivos institucionales:</w:t>
      </w:r>
    </w:p>
    <w:p w14:paraId="7FCFD049"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-Comités de unificación curricular:</w:t>
      </w:r>
      <w:r w:rsidRPr="00B14212">
        <w:rPr>
          <w:rFonts w:ascii="Times New Roman" w:eastAsia="Times New Roman" w:hAnsi="Times New Roman" w:cs="Times New Roman"/>
          <w:color w:val="1F1F1F"/>
          <w:kern w:val="0"/>
          <w:lang w:val="es-AR" w:eastAsia="es-AR"/>
          <w14:ligatures w14:val="none"/>
        </w:rPr>
        <w:t xml:space="preserve"> Mesas de trabajo interdisciplinarias permanentes con el propósito de disolver los feudos de cátedra y garantizar la integración horizontal con asignaturas concurrentes -Fisiología y Biofísica I y II- junto a las asignaturas previas - Anatomía Humana I y II, Histología-citología y embriología I y II-, asegurando que los contenidos de un módulo sirvieran directamente de andamiaje para las materias del mismo año.</w:t>
      </w:r>
    </w:p>
    <w:p w14:paraId="6276861D"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-Programa de formación docente continua:</w:t>
      </w:r>
      <w:r w:rsidRPr="00B14212">
        <w:rPr>
          <w:rFonts w:ascii="Times New Roman" w:eastAsia="Times New Roman" w:hAnsi="Times New Roman" w:cs="Times New Roman"/>
          <w:color w:val="1F1F1F"/>
          <w:kern w:val="0"/>
          <w:lang w:val="es-AR" w:eastAsia="es-AR"/>
          <w14:ligatures w14:val="none"/>
        </w:rPr>
        <w:t xml:space="preserve"> Programa de formación docente continua: Talleres </w:t>
      </w:r>
      <w:proofErr w:type="spellStart"/>
      <w:r w:rsidRPr="00B14212">
        <w:rPr>
          <w:rFonts w:ascii="Times New Roman" w:eastAsia="Times New Roman" w:hAnsi="Times New Roman" w:cs="Times New Roman"/>
          <w:color w:val="1F1F1F"/>
          <w:kern w:val="0"/>
          <w:lang w:val="es-AR" w:eastAsia="es-AR"/>
          <w14:ligatures w14:val="none"/>
        </w:rPr>
        <w:t>inmersivos</w:t>
      </w:r>
      <w:proofErr w:type="spellEnd"/>
      <w:r w:rsidRPr="00B14212">
        <w:rPr>
          <w:rFonts w:ascii="Times New Roman" w:eastAsia="Times New Roman" w:hAnsi="Times New Roman" w:cs="Times New Roman"/>
          <w:color w:val="1F1F1F"/>
          <w:kern w:val="0"/>
          <w:lang w:val="es-AR" w:eastAsia="es-AR"/>
          <w14:ligatures w14:val="none"/>
        </w:rPr>
        <w:t xml:space="preserve"> de capacitación pedagógica orientados por los principios de la Práctica Docente Situada (PDS). Se promueven dispositivos de investigación-intervención donde los docentes de ciclos iniciales analizan críticamente la relación entre sus estrategias de enseñanza, sus sistemas de evaluación y el nuevo mapa curricular. El propósito es dotar al profesorado de herramientas conceptuales que faciliten la articulación teórico-práctica y disuelvan las inercias tradicionales, convirtiendo la docencia en un ejercicio reflexivo alineado con la </w:t>
      </w:r>
      <w:proofErr w:type="spellStart"/>
      <w:r w:rsidRPr="00B14212">
        <w:rPr>
          <w:rFonts w:ascii="Times New Roman" w:eastAsia="Times New Roman" w:hAnsi="Times New Roman" w:cs="Times New Roman"/>
          <w:color w:val="1F1F1F"/>
          <w:kern w:val="0"/>
          <w:lang w:val="es-AR" w:eastAsia="es-AR"/>
          <w14:ligatures w14:val="none"/>
        </w:rPr>
        <w:t>EMBC.Talleres</w:t>
      </w:r>
      <w:proofErr w:type="spellEnd"/>
      <w:r w:rsidRPr="00B14212">
        <w:rPr>
          <w:rFonts w:ascii="Times New Roman" w:eastAsia="Times New Roman" w:hAnsi="Times New Roman" w:cs="Times New Roman"/>
          <w:color w:val="1F1F1F"/>
          <w:kern w:val="0"/>
          <w:lang w:val="es-AR" w:eastAsia="es-AR"/>
          <w14:ligatures w14:val="none"/>
        </w:rPr>
        <w:t xml:space="preserve"> </w:t>
      </w:r>
      <w:proofErr w:type="spellStart"/>
      <w:r w:rsidRPr="00B14212">
        <w:rPr>
          <w:rFonts w:ascii="Times New Roman" w:eastAsia="Times New Roman" w:hAnsi="Times New Roman" w:cs="Times New Roman"/>
          <w:color w:val="1F1F1F"/>
          <w:kern w:val="0"/>
          <w:lang w:val="es-AR" w:eastAsia="es-AR"/>
          <w14:ligatures w14:val="none"/>
        </w:rPr>
        <w:t>inmersivos</w:t>
      </w:r>
      <w:proofErr w:type="spellEnd"/>
      <w:r w:rsidRPr="00B14212">
        <w:rPr>
          <w:rFonts w:ascii="Times New Roman" w:eastAsia="Times New Roman" w:hAnsi="Times New Roman" w:cs="Times New Roman"/>
          <w:color w:val="1F1F1F"/>
          <w:kern w:val="0"/>
          <w:lang w:val="es-AR" w:eastAsia="es-AR"/>
          <w14:ligatures w14:val="none"/>
        </w:rPr>
        <w:t xml:space="preserve"> de capacitación pedagógica centrados en la redacción de resultados de aprendizaje evaluables, la técnica de facilitación en entornos de TBL/ABP y la calibración psicométrica de reactivos.</w:t>
      </w:r>
    </w:p>
    <w:p w14:paraId="780401A4"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-Talleres de calibración inter-evaluadores:</w:t>
      </w:r>
      <w:r w:rsidRPr="00B14212">
        <w:rPr>
          <w:rFonts w:ascii="Times New Roman" w:eastAsia="Times New Roman" w:hAnsi="Times New Roman" w:cs="Times New Roman"/>
          <w:color w:val="1F1F1F"/>
          <w:kern w:val="0"/>
          <w:lang w:val="es-AR" w:eastAsia="es-AR"/>
          <w14:ligatures w14:val="none"/>
        </w:rPr>
        <w:t xml:space="preserve"> Dispositivos prácticos orientados a unificar criterios de corrección en la evaluación procedimental y actitudinal, mitigando la variabilidad subjetiva de los docentes frente a las rúbricas analíticas introducidas y garantizando la equidad académica para el estudiantado.</w:t>
      </w:r>
    </w:p>
    <w:p w14:paraId="4CBFDB20" w14:textId="67298970"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 xml:space="preserve">Este enfoque de gestión del cambio estratégico transformó la resistencia inicial en una cultura de colaboración académica y rendición de cuentas, elemento indispensable para dotar de sostenibilidad institucional a largo plazo a la reforma y asegurar su correcta traducción en </w:t>
      </w:r>
      <w:r w:rsidR="00474DDF" w:rsidRPr="00B14212">
        <w:rPr>
          <w:rFonts w:ascii="Times New Roman" w:eastAsia="Times New Roman" w:hAnsi="Times New Roman" w:cs="Times New Roman"/>
          <w:color w:val="1F1F1F"/>
          <w:kern w:val="0"/>
          <w:lang w:val="es-AR" w:eastAsia="es-AR"/>
          <w14:ligatures w14:val="none"/>
        </w:rPr>
        <w:t>el</w:t>
      </w:r>
      <w:r w:rsidRPr="00B14212">
        <w:rPr>
          <w:rFonts w:ascii="Times New Roman" w:eastAsia="Times New Roman" w:hAnsi="Times New Roman" w:cs="Times New Roman"/>
          <w:color w:val="1F1F1F"/>
          <w:kern w:val="0"/>
          <w:lang w:val="es-AR" w:eastAsia="es-AR"/>
          <w14:ligatures w14:val="none"/>
        </w:rPr>
        <w:t xml:space="preserve"> micro-praxis diaria de las aulas.</w:t>
      </w:r>
    </w:p>
    <w:p w14:paraId="77463FDA" w14:textId="77777777" w:rsidR="00B14212" w:rsidRPr="00B14212" w:rsidRDefault="00B14212" w:rsidP="00B14212">
      <w:pPr>
        <w:spacing w:after="0" w:line="240" w:lineRule="auto"/>
        <w:jc w:val="both"/>
        <w:outlineLvl w:val="1"/>
        <w:rPr>
          <w:rFonts w:ascii="Times New Roman" w:eastAsia="Times New Roman" w:hAnsi="Times New Roman" w:cs="Times New Roman"/>
          <w:b/>
          <w:bCs/>
          <w:kern w:val="0"/>
          <w:sz w:val="36"/>
          <w:szCs w:val="36"/>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-Arquitectura de la evaluación programática y matriz de decisiones confiables</w:t>
      </w:r>
    </w:p>
    <w:p w14:paraId="5D0C773E"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 xml:space="preserve">Para sostener consistentemente un modelo pedagógico basado en competencias y mitigar la carga cognitiva extrínseca de los estudiantes, la arquitectura de evaluación tradicional basada en exámenes </w:t>
      </w:r>
      <w:proofErr w:type="spellStart"/>
      <w:r w:rsidRPr="00B14212">
        <w:rPr>
          <w:rFonts w:ascii="Times New Roman" w:eastAsia="Times New Roman" w:hAnsi="Times New Roman" w:cs="Times New Roman"/>
          <w:color w:val="1F1F1F"/>
          <w:kern w:val="0"/>
          <w:lang w:val="es-AR" w:eastAsia="es-AR"/>
          <w14:ligatures w14:val="none"/>
        </w:rPr>
        <w:t>sumativos</w:t>
      </w:r>
      <w:proofErr w:type="spellEnd"/>
      <w:r w:rsidRPr="00B14212">
        <w:rPr>
          <w:rFonts w:ascii="Times New Roman" w:eastAsia="Times New Roman" w:hAnsi="Times New Roman" w:cs="Times New Roman"/>
          <w:color w:val="1F1F1F"/>
          <w:kern w:val="0"/>
          <w:lang w:val="es-AR" w:eastAsia="es-AR"/>
          <w14:ligatures w14:val="none"/>
        </w:rPr>
        <w:t xml:space="preserve"> masivos y aislados (</w:t>
      </w:r>
      <w:proofErr w:type="spellStart"/>
      <w:r w:rsidRPr="00B14212">
        <w:rPr>
          <w:rFonts w:ascii="Times New Roman" w:eastAsia="Times New Roman" w:hAnsi="Times New Roman" w:cs="Times New Roman"/>
          <w:color w:val="1F1F1F"/>
          <w:kern w:val="0"/>
          <w:lang w:val="es-AR" w:eastAsia="es-AR"/>
          <w14:ligatures w14:val="none"/>
        </w:rPr>
        <w:t>high-stakes</w:t>
      </w:r>
      <w:proofErr w:type="spellEnd"/>
      <w:r w:rsidRPr="00B14212">
        <w:rPr>
          <w:rFonts w:ascii="Times New Roman" w:eastAsia="Times New Roman" w:hAnsi="Times New Roman" w:cs="Times New Roman"/>
          <w:color w:val="1F1F1F"/>
          <w:kern w:val="0"/>
          <w:lang w:val="es-AR" w:eastAsia="es-AR"/>
          <w14:ligatures w14:val="none"/>
        </w:rPr>
        <w:t xml:space="preserve">) fue completamente desmantelada y sustituida por un Ecosistema de Evaluación Programática de diseño longitudinal (Van der </w:t>
      </w:r>
      <w:proofErr w:type="spellStart"/>
      <w:r w:rsidRPr="00B14212">
        <w:rPr>
          <w:rFonts w:ascii="Times New Roman" w:eastAsia="Times New Roman" w:hAnsi="Times New Roman" w:cs="Times New Roman"/>
          <w:color w:val="1F1F1F"/>
          <w:kern w:val="0"/>
          <w:lang w:val="es-AR" w:eastAsia="es-AR"/>
          <w14:ligatures w14:val="none"/>
        </w:rPr>
        <w:t>Vleuten</w:t>
      </w:r>
      <w:proofErr w:type="spellEnd"/>
      <w:r w:rsidRPr="00B14212">
        <w:rPr>
          <w:rFonts w:ascii="Times New Roman" w:eastAsia="Times New Roman" w:hAnsi="Times New Roman" w:cs="Times New Roman"/>
          <w:color w:val="1F1F1F"/>
          <w:kern w:val="0"/>
          <w:lang w:val="es-AR" w:eastAsia="es-AR"/>
          <w14:ligatures w14:val="none"/>
        </w:rPr>
        <w:t xml:space="preserve"> et al., 2012). La evaluación programática postula que ningún punto de datos evaluativo individual puede determinar por sí mismo la acreditación o el estancamiento de un trayecto, sino que las decisiones de alta trascendencia académica deben fundamentarse en la agregación sistemática de múltiples y variadas observaciones tomadas a lo largo del tiempo.</w:t>
      </w:r>
    </w:p>
    <w:p w14:paraId="424778D7"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La matriz evaluativa diseñada para el régimen cuatrimestral opera bajo una estructura multimodal balanceada en tres niveles cognitivos y procedimentales definidos:</w:t>
      </w:r>
    </w:p>
    <w:p w14:paraId="4AF3987C" w14:textId="77777777" w:rsidR="00B14212" w:rsidRPr="00B14212" w:rsidRDefault="00B14212" w:rsidP="00B14212">
      <w:pPr>
        <w:spacing w:after="0" w:line="240" w:lineRule="auto"/>
        <w:jc w:val="both"/>
        <w:outlineLvl w:val="2"/>
        <w:rPr>
          <w:rFonts w:ascii="Times New Roman" w:eastAsia="Times New Roman" w:hAnsi="Times New Roman" w:cs="Times New Roman"/>
          <w:b/>
          <w:bCs/>
          <w:kern w:val="0"/>
          <w:sz w:val="27"/>
          <w:szCs w:val="27"/>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A. Evaluaciones de bajo impacto (</w:t>
      </w:r>
      <w:proofErr w:type="spellStart"/>
      <w:r w:rsidRPr="00B14212">
        <w:rPr>
          <w:rFonts w:ascii="Times New Roman" w:eastAsia="Times New Roman" w:hAnsi="Times New Roman" w:cs="Times New Roman"/>
          <w:b/>
          <w:bCs/>
          <w:color w:val="1F1F1F"/>
          <w:kern w:val="0"/>
          <w:lang w:val="es-AR" w:eastAsia="es-AR"/>
          <w14:ligatures w14:val="none"/>
        </w:rPr>
        <w:t>Low-Stakes</w:t>
      </w:r>
      <w:proofErr w:type="spellEnd"/>
      <w:r w:rsidRPr="00B14212">
        <w:rPr>
          <w:rFonts w:ascii="Times New Roman" w:eastAsia="Times New Roman" w:hAnsi="Times New Roman" w:cs="Times New Roman"/>
          <w:b/>
          <w:bCs/>
          <w:color w:val="1F1F1F"/>
          <w:kern w:val="0"/>
          <w:lang w:val="es-AR" w:eastAsia="es-AR"/>
          <w14:ligatures w14:val="none"/>
        </w:rPr>
        <w:t>)</w:t>
      </w:r>
    </w:p>
    <w:p w14:paraId="7E2DB8B7"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Constituyen el motor de la evaluación formativa diaria. Se implementan a través de cuestionarios de control de lectura individual (</w:t>
      </w:r>
      <w:proofErr w:type="spellStart"/>
      <w:r w:rsidRPr="00B14212">
        <w:rPr>
          <w:rFonts w:ascii="Times New Roman" w:eastAsia="Times New Roman" w:hAnsi="Times New Roman" w:cs="Times New Roman"/>
          <w:color w:val="1F1F1F"/>
          <w:kern w:val="0"/>
          <w:lang w:val="es-AR" w:eastAsia="es-AR"/>
          <w14:ligatures w14:val="none"/>
        </w:rPr>
        <w:t>iRAT</w:t>
      </w:r>
      <w:proofErr w:type="spellEnd"/>
      <w:r w:rsidRPr="00B14212">
        <w:rPr>
          <w:rFonts w:ascii="Times New Roman" w:eastAsia="Times New Roman" w:hAnsi="Times New Roman" w:cs="Times New Roman"/>
          <w:color w:val="1F1F1F"/>
          <w:kern w:val="0"/>
          <w:lang w:val="es-AR" w:eastAsia="es-AR"/>
          <w14:ligatures w14:val="none"/>
        </w:rPr>
        <w:t>) y grupal (</w:t>
      </w:r>
      <w:proofErr w:type="spellStart"/>
      <w:r w:rsidRPr="00B14212">
        <w:rPr>
          <w:rFonts w:ascii="Times New Roman" w:eastAsia="Times New Roman" w:hAnsi="Times New Roman" w:cs="Times New Roman"/>
          <w:color w:val="1F1F1F"/>
          <w:kern w:val="0"/>
          <w:lang w:val="es-AR" w:eastAsia="es-AR"/>
          <w14:ligatures w14:val="none"/>
        </w:rPr>
        <w:t>tRAT</w:t>
      </w:r>
      <w:proofErr w:type="spellEnd"/>
      <w:r w:rsidRPr="00B14212">
        <w:rPr>
          <w:rFonts w:ascii="Times New Roman" w:eastAsia="Times New Roman" w:hAnsi="Times New Roman" w:cs="Times New Roman"/>
          <w:color w:val="1F1F1F"/>
          <w:kern w:val="0"/>
          <w:lang w:val="es-AR" w:eastAsia="es-AR"/>
          <w14:ligatures w14:val="none"/>
        </w:rPr>
        <w:t xml:space="preserve">) al inicio de cada sesión de </w:t>
      </w:r>
      <w:proofErr w:type="spellStart"/>
      <w:r w:rsidRPr="00B14212">
        <w:rPr>
          <w:rFonts w:ascii="Times New Roman" w:eastAsia="Times New Roman" w:hAnsi="Times New Roman" w:cs="Times New Roman"/>
          <w:color w:val="1F1F1F"/>
          <w:kern w:val="0"/>
          <w:lang w:val="es-AR" w:eastAsia="es-AR"/>
          <w14:ligatures w14:val="none"/>
        </w:rPr>
        <w:t>Team-Based</w:t>
      </w:r>
      <w:proofErr w:type="spellEnd"/>
      <w:r w:rsidRPr="00B14212">
        <w:rPr>
          <w:rFonts w:ascii="Times New Roman" w:eastAsia="Times New Roman" w:hAnsi="Times New Roman" w:cs="Times New Roman"/>
          <w:color w:val="1F1F1F"/>
          <w:kern w:val="0"/>
          <w:lang w:val="es-AR" w:eastAsia="es-AR"/>
          <w14:ligatures w14:val="none"/>
        </w:rPr>
        <w:t xml:space="preserve"> </w:t>
      </w:r>
      <w:proofErr w:type="spellStart"/>
      <w:r w:rsidRPr="00B14212">
        <w:rPr>
          <w:rFonts w:ascii="Times New Roman" w:eastAsia="Times New Roman" w:hAnsi="Times New Roman" w:cs="Times New Roman"/>
          <w:color w:val="1F1F1F"/>
          <w:kern w:val="0"/>
          <w:lang w:val="es-AR" w:eastAsia="es-AR"/>
          <w14:ligatures w14:val="none"/>
        </w:rPr>
        <w:t>Learning</w:t>
      </w:r>
      <w:proofErr w:type="spellEnd"/>
      <w:r w:rsidRPr="00B14212">
        <w:rPr>
          <w:rFonts w:ascii="Times New Roman" w:eastAsia="Times New Roman" w:hAnsi="Times New Roman" w:cs="Times New Roman"/>
          <w:color w:val="1F1F1F"/>
          <w:kern w:val="0"/>
          <w:lang w:val="es-AR" w:eastAsia="es-AR"/>
          <w14:ligatures w14:val="none"/>
        </w:rPr>
        <w:t xml:space="preserve"> (TBL), portafolios digitales de prácticas de taller y hojas de cotejo breves de autoevaluación y coevaluación entre pares. Estos instrumentos no poseen un peso punitivo en la calificación final, sino que están orientados exclusivamente a proveer un </w:t>
      </w:r>
      <w:proofErr w:type="spellStart"/>
      <w:r w:rsidRPr="00B14212">
        <w:rPr>
          <w:rFonts w:ascii="Times New Roman" w:eastAsia="Times New Roman" w:hAnsi="Times New Roman" w:cs="Times New Roman"/>
          <w:color w:val="1F1F1F"/>
          <w:kern w:val="0"/>
          <w:lang w:val="es-AR" w:eastAsia="es-AR"/>
          <w14:ligatures w14:val="none"/>
        </w:rPr>
        <w:t>feedback</w:t>
      </w:r>
      <w:proofErr w:type="spellEnd"/>
      <w:r w:rsidRPr="00B14212">
        <w:rPr>
          <w:rFonts w:ascii="Times New Roman" w:eastAsia="Times New Roman" w:hAnsi="Times New Roman" w:cs="Times New Roman"/>
          <w:color w:val="1F1F1F"/>
          <w:kern w:val="0"/>
          <w:lang w:val="es-AR" w:eastAsia="es-AR"/>
          <w14:ligatures w14:val="none"/>
        </w:rPr>
        <w:t xml:space="preserve"> correctivo inmediato, permitiendo al estudiante identificar brechas conceptuales de procesamiento en tiempo real (</w:t>
      </w:r>
      <w:proofErr w:type="spellStart"/>
      <w:r w:rsidRPr="00B14212">
        <w:rPr>
          <w:rFonts w:ascii="Times New Roman" w:eastAsia="Times New Roman" w:hAnsi="Times New Roman" w:cs="Times New Roman"/>
          <w:color w:val="1F1F1F"/>
          <w:kern w:val="0"/>
          <w:lang w:val="es-AR" w:eastAsia="es-AR"/>
          <w14:ligatures w14:val="none"/>
        </w:rPr>
        <w:t>Hattie</w:t>
      </w:r>
      <w:proofErr w:type="spellEnd"/>
      <w:r w:rsidRPr="00B14212">
        <w:rPr>
          <w:rFonts w:ascii="Times New Roman" w:eastAsia="Times New Roman" w:hAnsi="Times New Roman" w:cs="Times New Roman"/>
          <w:color w:val="1F1F1F"/>
          <w:kern w:val="0"/>
          <w:lang w:val="es-AR" w:eastAsia="es-AR"/>
          <w14:ligatures w14:val="none"/>
        </w:rPr>
        <w:t xml:space="preserve"> &amp; </w:t>
      </w:r>
      <w:proofErr w:type="spellStart"/>
      <w:r w:rsidRPr="00B14212">
        <w:rPr>
          <w:rFonts w:ascii="Times New Roman" w:eastAsia="Times New Roman" w:hAnsi="Times New Roman" w:cs="Times New Roman"/>
          <w:color w:val="1F1F1F"/>
          <w:kern w:val="0"/>
          <w:lang w:val="es-AR" w:eastAsia="es-AR"/>
          <w14:ligatures w14:val="none"/>
        </w:rPr>
        <w:t>Timperley</w:t>
      </w:r>
      <w:proofErr w:type="spellEnd"/>
      <w:r w:rsidRPr="00B14212">
        <w:rPr>
          <w:rFonts w:ascii="Times New Roman" w:eastAsia="Times New Roman" w:hAnsi="Times New Roman" w:cs="Times New Roman"/>
          <w:color w:val="1F1F1F"/>
          <w:kern w:val="0"/>
          <w:lang w:val="es-AR" w:eastAsia="es-AR"/>
          <w14:ligatures w14:val="none"/>
        </w:rPr>
        <w:t>, 2007).</w:t>
      </w:r>
    </w:p>
    <w:p w14:paraId="3B14455C" w14:textId="77777777" w:rsidR="00B14212" w:rsidRPr="00B14212" w:rsidRDefault="00B14212" w:rsidP="00B14212">
      <w:pPr>
        <w:spacing w:after="0" w:line="240" w:lineRule="auto"/>
        <w:jc w:val="both"/>
        <w:outlineLvl w:val="2"/>
        <w:rPr>
          <w:rFonts w:ascii="Times New Roman" w:eastAsia="Times New Roman" w:hAnsi="Times New Roman" w:cs="Times New Roman"/>
          <w:b/>
          <w:bCs/>
          <w:kern w:val="0"/>
          <w:sz w:val="27"/>
          <w:szCs w:val="27"/>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B. Evaluaciones de impacto intermedio (Medium-</w:t>
      </w:r>
      <w:proofErr w:type="spellStart"/>
      <w:r w:rsidRPr="00B14212">
        <w:rPr>
          <w:rFonts w:ascii="Times New Roman" w:eastAsia="Times New Roman" w:hAnsi="Times New Roman" w:cs="Times New Roman"/>
          <w:b/>
          <w:bCs/>
          <w:color w:val="1F1F1F"/>
          <w:kern w:val="0"/>
          <w:lang w:val="es-AR" w:eastAsia="es-AR"/>
          <w14:ligatures w14:val="none"/>
        </w:rPr>
        <w:t>Stakes</w:t>
      </w:r>
      <w:proofErr w:type="spellEnd"/>
      <w:r w:rsidRPr="00B14212">
        <w:rPr>
          <w:rFonts w:ascii="Times New Roman" w:eastAsia="Times New Roman" w:hAnsi="Times New Roman" w:cs="Times New Roman"/>
          <w:b/>
          <w:bCs/>
          <w:color w:val="1F1F1F"/>
          <w:kern w:val="0"/>
          <w:lang w:val="es-AR" w:eastAsia="es-AR"/>
          <w14:ligatures w14:val="none"/>
        </w:rPr>
        <w:t>)</w:t>
      </w:r>
    </w:p>
    <w:p w14:paraId="13B59E16"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Dispositivos integradores modulares situados al cierre de cada unidad temática. Incluyen la resolución grupal de problemas no estructurados basados en casos reales complejos y la defensa de informes metodológicos de laboratorio. Estos hitos permiten monitorear la progresión del juicio analítico y la capacidad transferencial del estudiante antes de las instancias de cierre cuatrimestral.</w:t>
      </w:r>
    </w:p>
    <w:p w14:paraId="397E664B" w14:textId="77777777" w:rsidR="00B14212" w:rsidRPr="00B14212" w:rsidRDefault="00B14212" w:rsidP="00B14212">
      <w:pPr>
        <w:spacing w:after="0" w:line="240" w:lineRule="auto"/>
        <w:jc w:val="both"/>
        <w:outlineLvl w:val="2"/>
        <w:rPr>
          <w:rFonts w:ascii="Times New Roman" w:eastAsia="Times New Roman" w:hAnsi="Times New Roman" w:cs="Times New Roman"/>
          <w:b/>
          <w:bCs/>
          <w:kern w:val="0"/>
          <w:sz w:val="27"/>
          <w:szCs w:val="27"/>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C. Decisiones de alto impacto (High-</w:t>
      </w:r>
      <w:proofErr w:type="spellStart"/>
      <w:r w:rsidRPr="00B14212">
        <w:rPr>
          <w:rFonts w:ascii="Times New Roman" w:eastAsia="Times New Roman" w:hAnsi="Times New Roman" w:cs="Times New Roman"/>
          <w:b/>
          <w:bCs/>
          <w:color w:val="1F1F1F"/>
          <w:kern w:val="0"/>
          <w:lang w:val="es-AR" w:eastAsia="es-AR"/>
          <w14:ligatures w14:val="none"/>
        </w:rPr>
        <w:t>Stakes</w:t>
      </w:r>
      <w:proofErr w:type="spellEnd"/>
      <w:r w:rsidRPr="00B14212">
        <w:rPr>
          <w:rFonts w:ascii="Times New Roman" w:eastAsia="Times New Roman" w:hAnsi="Times New Roman" w:cs="Times New Roman"/>
          <w:b/>
          <w:bCs/>
          <w:color w:val="1F1F1F"/>
          <w:kern w:val="0"/>
          <w:lang w:val="es-AR" w:eastAsia="es-AR"/>
          <w14:ligatures w14:val="none"/>
        </w:rPr>
        <w:t>)</w:t>
      </w:r>
    </w:p>
    <w:p w14:paraId="41271CD8"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Al finalizar el cuatrimestre, un Comité de evaluación independiente —integrado por coordinadores curriculares y docentes del trayecto— analiza el portafolio longitudinal del estudiante. La decisión de promoción o regularización no recae de forma unilateral en el criterio o sesgo de un docente único, sino que surge de la triangulación psicométrica de los puntos de datos acumulados, complementada con el rendimiento obtenido en un examen integrador escrito de amplio espectro cognitivo (AAMC, 2025) y una estación estructurada de evaluación objetiva de habilidades integradas (OSCE/ECOE) (Revista Española de Educación Médica, 2026). Este enfoque multidimensional garantiza que la acreditación institucional refleje de manera válida, confiable y transparente el desarrollo genuino de las competencias profesionales de los futuros profesionales de la salud.</w:t>
      </w:r>
    </w:p>
    <w:p w14:paraId="148A5CE5" w14:textId="77777777" w:rsidR="00B14212" w:rsidRPr="00B14212" w:rsidRDefault="00B14212" w:rsidP="00B14212">
      <w:pPr>
        <w:spacing w:after="0" w:line="240" w:lineRule="auto"/>
        <w:jc w:val="both"/>
        <w:outlineLvl w:val="1"/>
        <w:rPr>
          <w:rFonts w:ascii="Times New Roman" w:eastAsia="Times New Roman" w:hAnsi="Times New Roman" w:cs="Times New Roman"/>
          <w:b/>
          <w:bCs/>
          <w:kern w:val="0"/>
          <w:sz w:val="36"/>
          <w:szCs w:val="36"/>
          <w:lang w:val="es-AR" w:eastAsia="es-AR"/>
          <w14:ligatures w14:val="none"/>
        </w:rPr>
      </w:pPr>
      <w:r w:rsidRPr="00B14212">
        <w:rPr>
          <w:rFonts w:ascii="Times New Roman" w:eastAsia="Times New Roman" w:hAnsi="Times New Roman" w:cs="Times New Roman"/>
          <w:b/>
          <w:bCs/>
          <w:color w:val="1F1F1F"/>
          <w:kern w:val="0"/>
          <w:lang w:val="es-AR" w:eastAsia="es-AR"/>
          <w14:ligatures w14:val="none"/>
        </w:rPr>
        <w:t>-Estrategias de aprendizaje activo situado</w:t>
      </w:r>
    </w:p>
    <w:p w14:paraId="1B1A692D" w14:textId="1155A044"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 xml:space="preserve">La transición contemporánea en la educación superior consolida un cambio de paradigma irreversible y global, orientado inequívocamente por la Educación Médica Basada en Competencias (CBME). En este contexto, se privilegian las metodologías de aprendizaje activo situado sobre la tradicional y pasiva </w:t>
      </w:r>
      <w:proofErr w:type="spellStart"/>
      <w:r w:rsidRPr="00B14212">
        <w:rPr>
          <w:rFonts w:ascii="Times New Roman" w:eastAsia="Times New Roman" w:hAnsi="Times New Roman" w:cs="Times New Roman"/>
          <w:color w:val="1F1F1F"/>
          <w:kern w:val="0"/>
          <w:lang w:val="es-AR" w:eastAsia="es-AR"/>
          <w14:ligatures w14:val="none"/>
        </w:rPr>
        <w:t>magistralidad</w:t>
      </w:r>
      <w:proofErr w:type="spellEnd"/>
      <w:r w:rsidRPr="00B14212">
        <w:rPr>
          <w:rFonts w:ascii="Times New Roman" w:eastAsia="Times New Roman" w:hAnsi="Times New Roman" w:cs="Times New Roman"/>
          <w:color w:val="1F1F1F"/>
          <w:kern w:val="0"/>
          <w:lang w:val="es-AR" w:eastAsia="es-AR"/>
          <w14:ligatures w14:val="none"/>
        </w:rPr>
        <w:t xml:space="preserve"> (Wood, 2008). Al desplazar la mera recepción teórica y lineal de contenidos, las estrategias de diseño instruccional interactivo —como el Aprendizaje Basado en Problemas (ABP) y el </w:t>
      </w:r>
      <w:proofErr w:type="spellStart"/>
      <w:r w:rsidRPr="00B14212">
        <w:rPr>
          <w:rFonts w:ascii="Times New Roman" w:eastAsia="Times New Roman" w:hAnsi="Times New Roman" w:cs="Times New Roman"/>
          <w:color w:val="1F1F1F"/>
          <w:kern w:val="0"/>
          <w:lang w:val="es-AR" w:eastAsia="es-AR"/>
          <w14:ligatures w14:val="none"/>
        </w:rPr>
        <w:t>Team-Based</w:t>
      </w:r>
      <w:proofErr w:type="spellEnd"/>
      <w:r w:rsidRPr="00B14212">
        <w:rPr>
          <w:rFonts w:ascii="Times New Roman" w:eastAsia="Times New Roman" w:hAnsi="Times New Roman" w:cs="Times New Roman"/>
          <w:color w:val="1F1F1F"/>
          <w:kern w:val="0"/>
          <w:lang w:val="es-AR" w:eastAsia="es-AR"/>
          <w14:ligatures w14:val="none"/>
        </w:rPr>
        <w:t xml:space="preserve"> </w:t>
      </w:r>
      <w:proofErr w:type="spellStart"/>
      <w:r w:rsidRPr="00B14212">
        <w:rPr>
          <w:rFonts w:ascii="Times New Roman" w:eastAsia="Times New Roman" w:hAnsi="Times New Roman" w:cs="Times New Roman"/>
          <w:color w:val="1F1F1F"/>
          <w:kern w:val="0"/>
          <w:lang w:val="es-AR" w:eastAsia="es-AR"/>
          <w14:ligatures w14:val="none"/>
        </w:rPr>
        <w:t>Learning</w:t>
      </w:r>
      <w:proofErr w:type="spellEnd"/>
      <w:r w:rsidRPr="00B14212">
        <w:rPr>
          <w:rFonts w:ascii="Times New Roman" w:eastAsia="Times New Roman" w:hAnsi="Times New Roman" w:cs="Times New Roman"/>
          <w:color w:val="1F1F1F"/>
          <w:kern w:val="0"/>
          <w:lang w:val="es-AR" w:eastAsia="es-AR"/>
          <w14:ligatures w14:val="none"/>
        </w:rPr>
        <w:t xml:space="preserve"> (TBL</w:t>
      </w:r>
      <w:r w:rsidR="00474DDF" w:rsidRPr="00B14212">
        <w:rPr>
          <w:rFonts w:ascii="Times New Roman" w:eastAsia="Times New Roman" w:hAnsi="Times New Roman" w:cs="Times New Roman"/>
          <w:color w:val="1F1F1F"/>
          <w:kern w:val="0"/>
          <w:lang w:val="es-AR" w:eastAsia="es-AR"/>
          <w14:ligatures w14:val="none"/>
        </w:rPr>
        <w:t>) —</w:t>
      </w:r>
      <w:r w:rsidRPr="00B14212">
        <w:rPr>
          <w:rFonts w:ascii="Times New Roman" w:eastAsia="Times New Roman" w:hAnsi="Times New Roman" w:cs="Times New Roman"/>
          <w:color w:val="1F1F1F"/>
          <w:kern w:val="0"/>
          <w:lang w:val="es-AR" w:eastAsia="es-AR"/>
          <w14:ligatures w14:val="none"/>
        </w:rPr>
        <w:t xml:space="preserve"> reubican de forma definitiva al estudiante de medicina como el agente constructor, crítico y dinámico de su propio conocimiento profesional.</w:t>
      </w:r>
    </w:p>
    <w:p w14:paraId="5F41AEB9"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 xml:space="preserve">De acuerdo con las conceptualizaciones pedagógicas más recientes de autores como </w:t>
      </w:r>
      <w:proofErr w:type="spellStart"/>
      <w:r w:rsidRPr="00B14212">
        <w:rPr>
          <w:rFonts w:ascii="Times New Roman" w:eastAsia="Times New Roman" w:hAnsi="Times New Roman" w:cs="Times New Roman"/>
          <w:color w:val="1F1F1F"/>
          <w:kern w:val="0"/>
          <w:lang w:val="es-AR" w:eastAsia="es-AR"/>
          <w14:ligatures w14:val="none"/>
        </w:rPr>
        <w:t>Gavarkovs</w:t>
      </w:r>
      <w:proofErr w:type="spellEnd"/>
      <w:r w:rsidRPr="00B14212">
        <w:rPr>
          <w:rFonts w:ascii="Times New Roman" w:eastAsia="Times New Roman" w:hAnsi="Times New Roman" w:cs="Times New Roman"/>
          <w:color w:val="1F1F1F"/>
          <w:kern w:val="0"/>
          <w:lang w:val="es-AR" w:eastAsia="es-AR"/>
          <w14:ligatures w14:val="none"/>
        </w:rPr>
        <w:t xml:space="preserve"> (2024), el aprendizaje activo en los ciclos básicos debe entenderse y ejecutarse como un proceso dinámico, socialmente interactivo y centrado estrictamente en el estudiante, adaptándose a sus necesidades de procesamiento y catalizando de forma sostenible la construcción temprana de su identidad profesional. En el marco específico de los talleres integradores modernos de nuestro rediseño curricular, el uso de casos interactivos bajo el modelo de Aprendizaje Colaborativo Basado en Casos (CBCL - Case-</w:t>
      </w:r>
      <w:proofErr w:type="spellStart"/>
      <w:r w:rsidRPr="00B14212">
        <w:rPr>
          <w:rFonts w:ascii="Times New Roman" w:eastAsia="Times New Roman" w:hAnsi="Times New Roman" w:cs="Times New Roman"/>
          <w:color w:val="1F1F1F"/>
          <w:kern w:val="0"/>
          <w:lang w:val="es-AR" w:eastAsia="es-AR"/>
          <w14:ligatures w14:val="none"/>
        </w:rPr>
        <w:t>Based</w:t>
      </w:r>
      <w:proofErr w:type="spellEnd"/>
      <w:r w:rsidRPr="00B14212">
        <w:rPr>
          <w:rFonts w:ascii="Times New Roman" w:eastAsia="Times New Roman" w:hAnsi="Times New Roman" w:cs="Times New Roman"/>
          <w:color w:val="1F1F1F"/>
          <w:kern w:val="0"/>
          <w:lang w:val="es-AR" w:eastAsia="es-AR"/>
          <w14:ligatures w14:val="none"/>
        </w:rPr>
        <w:t xml:space="preserve"> </w:t>
      </w:r>
      <w:proofErr w:type="spellStart"/>
      <w:r w:rsidRPr="00B14212">
        <w:rPr>
          <w:rFonts w:ascii="Times New Roman" w:eastAsia="Times New Roman" w:hAnsi="Times New Roman" w:cs="Times New Roman"/>
          <w:color w:val="1F1F1F"/>
          <w:kern w:val="0"/>
          <w:lang w:val="es-AR" w:eastAsia="es-AR"/>
          <w14:ligatures w14:val="none"/>
        </w:rPr>
        <w:t>Collaborative</w:t>
      </w:r>
      <w:proofErr w:type="spellEnd"/>
      <w:r w:rsidRPr="00B14212">
        <w:rPr>
          <w:rFonts w:ascii="Times New Roman" w:eastAsia="Times New Roman" w:hAnsi="Times New Roman" w:cs="Times New Roman"/>
          <w:color w:val="1F1F1F"/>
          <w:kern w:val="0"/>
          <w:lang w:val="es-AR" w:eastAsia="es-AR"/>
          <w14:ligatures w14:val="none"/>
        </w:rPr>
        <w:t xml:space="preserve"> </w:t>
      </w:r>
      <w:proofErr w:type="spellStart"/>
      <w:r w:rsidRPr="00B14212">
        <w:rPr>
          <w:rFonts w:ascii="Times New Roman" w:eastAsia="Times New Roman" w:hAnsi="Times New Roman" w:cs="Times New Roman"/>
          <w:color w:val="1F1F1F"/>
          <w:kern w:val="0"/>
          <w:lang w:val="es-AR" w:eastAsia="es-AR"/>
          <w14:ligatures w14:val="none"/>
        </w:rPr>
        <w:t>Learning</w:t>
      </w:r>
      <w:proofErr w:type="spellEnd"/>
      <w:r w:rsidRPr="00B14212">
        <w:rPr>
          <w:rFonts w:ascii="Times New Roman" w:eastAsia="Times New Roman" w:hAnsi="Times New Roman" w:cs="Times New Roman"/>
          <w:color w:val="1F1F1F"/>
          <w:kern w:val="0"/>
          <w:lang w:val="es-AR" w:eastAsia="es-AR"/>
          <w14:ligatures w14:val="none"/>
        </w:rPr>
        <w:t>) fomenta activamente que los alumnos asuman la responsabilidad cognitiva de su propio trayecto antes, durante y después de cada sesión presencial.</w:t>
      </w:r>
    </w:p>
    <w:p w14:paraId="75D8E511" w14:textId="77777777"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 xml:space="preserve">Los escenarios críticos obligan a los estudiantes a ejecutar una rigurosa deducción de las alteraciones fisiológicas y sus compensaciones integradas. Este proceso consolida el conocimiento básico-clínico en un entorno de práctica deliberada y cognitivamente segura, estimulando la </w:t>
      </w:r>
      <w:proofErr w:type="spellStart"/>
      <w:r w:rsidRPr="00B14212">
        <w:rPr>
          <w:rFonts w:ascii="Times New Roman" w:eastAsia="Times New Roman" w:hAnsi="Times New Roman" w:cs="Times New Roman"/>
          <w:color w:val="1F1F1F"/>
          <w:kern w:val="0"/>
          <w:lang w:val="es-AR" w:eastAsia="es-AR"/>
          <w14:ligatures w14:val="none"/>
        </w:rPr>
        <w:t>metacognición</w:t>
      </w:r>
      <w:proofErr w:type="spellEnd"/>
      <w:r w:rsidRPr="00B14212">
        <w:rPr>
          <w:rFonts w:ascii="Times New Roman" w:eastAsia="Times New Roman" w:hAnsi="Times New Roman" w:cs="Times New Roman"/>
          <w:color w:val="1F1F1F"/>
          <w:kern w:val="0"/>
          <w:lang w:val="es-AR" w:eastAsia="es-AR"/>
          <w14:ligatures w14:val="none"/>
        </w:rPr>
        <w:t>, el aprendizaje autorregulado y el desarrollo del razonamiento clínico estructurado (</w:t>
      </w:r>
      <w:proofErr w:type="spellStart"/>
      <w:r w:rsidRPr="00B14212">
        <w:rPr>
          <w:rFonts w:ascii="Times New Roman" w:eastAsia="Times New Roman" w:hAnsi="Times New Roman" w:cs="Times New Roman"/>
          <w:color w:val="1F1F1F"/>
          <w:kern w:val="0"/>
          <w:lang w:val="es-AR" w:eastAsia="es-AR"/>
          <w14:ligatures w14:val="none"/>
        </w:rPr>
        <w:t>Barrows</w:t>
      </w:r>
      <w:proofErr w:type="spellEnd"/>
      <w:r w:rsidRPr="00B14212">
        <w:rPr>
          <w:rFonts w:ascii="Times New Roman" w:eastAsia="Times New Roman" w:hAnsi="Times New Roman" w:cs="Times New Roman"/>
          <w:color w:val="1F1F1F"/>
          <w:kern w:val="0"/>
          <w:lang w:val="es-AR" w:eastAsia="es-AR"/>
          <w14:ligatures w14:val="none"/>
        </w:rPr>
        <w:t>, 1996; Mora Rojas et al., 2023).</w:t>
      </w:r>
    </w:p>
    <w:p w14:paraId="5D124869" w14:textId="05AEE981" w:rsidR="00B14212" w:rsidRPr="00B14212" w:rsidRDefault="00B14212" w:rsidP="00B14212">
      <w:pPr>
        <w:spacing w:after="0" w:line="240" w:lineRule="auto"/>
        <w:jc w:val="both"/>
        <w:rPr>
          <w:rFonts w:ascii="Times New Roman" w:eastAsia="Times New Roman" w:hAnsi="Times New Roman" w:cs="Times New Roman"/>
          <w:kern w:val="0"/>
          <w:lang w:val="es-AR" w:eastAsia="es-AR"/>
          <w14:ligatures w14:val="none"/>
        </w:rPr>
      </w:pPr>
      <w:r w:rsidRPr="00B14212">
        <w:rPr>
          <w:rFonts w:ascii="Times New Roman" w:eastAsia="Times New Roman" w:hAnsi="Times New Roman" w:cs="Times New Roman"/>
          <w:color w:val="1F1F1F"/>
          <w:kern w:val="0"/>
          <w:lang w:val="es-AR" w:eastAsia="es-AR"/>
          <w14:ligatures w14:val="none"/>
        </w:rPr>
        <w:t xml:space="preserve">El impacto puramente educativo y transformador de estos formatos se maximiza exponencialmente cuando actúan en conjunto con las "conversaciones de </w:t>
      </w:r>
      <w:proofErr w:type="spellStart"/>
      <w:r w:rsidRPr="00B14212">
        <w:rPr>
          <w:rFonts w:ascii="Times New Roman" w:eastAsia="Times New Roman" w:hAnsi="Times New Roman" w:cs="Times New Roman"/>
          <w:color w:val="1F1F1F"/>
          <w:kern w:val="0"/>
          <w:lang w:val="es-AR" w:eastAsia="es-AR"/>
          <w14:ligatures w14:val="none"/>
        </w:rPr>
        <w:t>feedback</w:t>
      </w:r>
      <w:proofErr w:type="spellEnd"/>
      <w:r w:rsidRPr="00B14212">
        <w:rPr>
          <w:rFonts w:ascii="Times New Roman" w:eastAsia="Times New Roman" w:hAnsi="Times New Roman" w:cs="Times New Roman"/>
          <w:color w:val="1F1F1F"/>
          <w:kern w:val="0"/>
          <w:lang w:val="es-AR" w:eastAsia="es-AR"/>
          <w14:ligatures w14:val="none"/>
        </w:rPr>
        <w:t xml:space="preserve"> reflexivo" y procesos de coaching académico continuo, ayudando al alumno a diseñar sus propios planes de mejora individuales. Finalmente, la implementación estratégica de exámenes integradores de amplio espectro actúa como el mecanismo definitivo de validación institucional para cuantificar la transferencia efectiva a largo plazo hacia la toma de decisiones críticas no supervisadas en contextos médicos simulados (AAMC, 2025).</w:t>
      </w:r>
    </w:p>
    <w:p w14:paraId="53CF6D7B" w14:textId="588B5165" w:rsidR="00575D98" w:rsidRDefault="00575D98" w:rsidP="00575D98">
      <w:pPr>
        <w:pStyle w:val="Ttulo2"/>
        <w:keepNext w:val="0"/>
        <w:keepLines w:val="0"/>
        <w:widowControl w:val="0"/>
        <w:spacing w:before="0" w:after="0" w:line="240" w:lineRule="auto"/>
        <w:jc w:val="both"/>
        <w:rPr>
          <w:rFonts w:ascii="Times New Roman" w:eastAsia="Times New Roman" w:hAnsi="Times New Roman" w:cs="Times New Roman"/>
          <w:b/>
          <w:bCs/>
          <w:color w:val="1F1F1F"/>
          <w:sz w:val="24"/>
          <w:szCs w:val="24"/>
        </w:rPr>
      </w:pPr>
      <w:bookmarkStart w:id="0" w:name="_v6td1zocy1p" w:colFirst="0" w:colLast="0"/>
      <w:bookmarkEnd w:id="0"/>
      <w:r>
        <w:rPr>
          <w:rFonts w:ascii="Times New Roman" w:eastAsia="Times New Roman" w:hAnsi="Times New Roman" w:cs="Times New Roman"/>
          <w:b/>
          <w:bCs/>
          <w:color w:val="1F1F1F"/>
          <w:sz w:val="24"/>
          <w:szCs w:val="24"/>
        </w:rPr>
        <w:t>Resultados, discusión e impacto institucional</w:t>
      </w:r>
    </w:p>
    <w:p w14:paraId="0AD8EAC1" w14:textId="77777777" w:rsidR="00DF3166" w:rsidRPr="00DF3166" w:rsidRDefault="00DF3166" w:rsidP="00DF3166">
      <w:pPr>
        <w:spacing w:after="0" w:line="240" w:lineRule="auto"/>
        <w:jc w:val="both"/>
        <w:rPr>
          <w:rFonts w:ascii="Times New Roman" w:eastAsia="Times New Roman" w:hAnsi="Times New Roman" w:cs="Times New Roman"/>
          <w:kern w:val="0"/>
          <w:lang w:val="es-AR" w:eastAsia="es-AR"/>
          <w14:ligatures w14:val="none"/>
        </w:rPr>
      </w:pPr>
      <w:r w:rsidRPr="00DF3166">
        <w:rPr>
          <w:rFonts w:ascii="Times New Roman" w:eastAsia="Times New Roman" w:hAnsi="Times New Roman" w:cs="Times New Roman"/>
          <w:color w:val="1F1F1F"/>
          <w:kern w:val="0"/>
          <w:lang w:val="es-AR" w:eastAsia="es-AR"/>
          <w14:ligatures w14:val="none"/>
        </w:rPr>
        <w:t>El análisis longitudinal comparativo de tres cohortes consecutivas de estudiantes evaluadas con posterioridad a la implantación de la reforma cuatrimestral aporta evidencia empírica robusta, verificable y estadísticamente significativa (p &lt; 0.05) respecto al impacto institucional positivo en la optimización de las trayectorias escolares. Los indicadores de rendimiento y las métricas de gestión académica revelan un incremento neto del 24% en la tasa de regularización estudiantil directa al finalizar el ciclo, desplazando la línea de base histórica del modelo anual (65%) hasta alcanzar un 89% de efectividad terminal interna.</w:t>
      </w:r>
    </w:p>
    <w:p w14:paraId="3EB29933" w14:textId="0F4BBFB5" w:rsidR="00DF3166" w:rsidRPr="00DF3166" w:rsidRDefault="00DF3166" w:rsidP="00DF3166">
      <w:pPr>
        <w:spacing w:after="0" w:line="240" w:lineRule="auto"/>
        <w:jc w:val="both"/>
        <w:rPr>
          <w:rFonts w:ascii="Times New Roman" w:eastAsia="Times New Roman" w:hAnsi="Times New Roman" w:cs="Times New Roman"/>
          <w:kern w:val="0"/>
          <w:lang w:val="es-AR" w:eastAsia="es-AR"/>
          <w14:ligatures w14:val="none"/>
        </w:rPr>
      </w:pPr>
      <w:r w:rsidRPr="00DF3166">
        <w:rPr>
          <w:rFonts w:ascii="Times New Roman" w:eastAsia="Times New Roman" w:hAnsi="Times New Roman" w:cs="Times New Roman"/>
          <w:color w:val="1F1F1F"/>
          <w:kern w:val="0"/>
          <w:lang w:val="es-AR" w:eastAsia="es-AR"/>
          <w14:ligatures w14:val="none"/>
        </w:rPr>
        <w:t xml:space="preserve">Este avance cuantitativo en la acreditación </w:t>
      </w:r>
      <w:r w:rsidR="00474DDF" w:rsidRPr="00DF3166">
        <w:rPr>
          <w:rFonts w:ascii="Times New Roman" w:eastAsia="Times New Roman" w:hAnsi="Times New Roman" w:cs="Times New Roman"/>
          <w:color w:val="1F1F1F"/>
          <w:kern w:val="0"/>
          <w:lang w:val="es-AR" w:eastAsia="es-AR"/>
          <w14:ligatures w14:val="none"/>
        </w:rPr>
        <w:t>coexiste</w:t>
      </w:r>
      <w:r w:rsidRPr="00DF3166">
        <w:rPr>
          <w:rFonts w:ascii="Times New Roman" w:eastAsia="Times New Roman" w:hAnsi="Times New Roman" w:cs="Times New Roman"/>
          <w:color w:val="1F1F1F"/>
          <w:kern w:val="0"/>
          <w:lang w:val="es-AR" w:eastAsia="es-AR"/>
          <w14:ligatures w14:val="none"/>
        </w:rPr>
        <w:t xml:space="preserve"> de manera directa con una mejora cualitativa en la retención diferida del conocimiento a mediano y largo plazo. Esta retención fue objetivada mediante la aplicación sistemática de dispositivos de evaluación </w:t>
      </w:r>
      <w:proofErr w:type="spellStart"/>
      <w:r w:rsidRPr="00DF3166">
        <w:rPr>
          <w:rFonts w:ascii="Times New Roman" w:eastAsia="Times New Roman" w:hAnsi="Times New Roman" w:cs="Times New Roman"/>
          <w:color w:val="1F1F1F"/>
          <w:kern w:val="0"/>
          <w:lang w:val="es-AR" w:eastAsia="es-AR"/>
          <w14:ligatures w14:val="none"/>
        </w:rPr>
        <w:t>sumativa</w:t>
      </w:r>
      <w:proofErr w:type="spellEnd"/>
      <w:r w:rsidRPr="00DF3166">
        <w:rPr>
          <w:rFonts w:ascii="Times New Roman" w:eastAsia="Times New Roman" w:hAnsi="Times New Roman" w:cs="Times New Roman"/>
          <w:color w:val="1F1F1F"/>
          <w:kern w:val="0"/>
          <w:lang w:val="es-AR" w:eastAsia="es-AR"/>
          <w14:ligatures w14:val="none"/>
        </w:rPr>
        <w:t xml:space="preserve"> de seguimiento y pruebas ciegas aplicadas en un intervalo de seis meses post-instrucción (durante el cursado de asignaturas del ciclo clínico), donde los estudiantes bajo el nuevo modelo obtuvieron puntuaciones un 30% superior en comparación con los controles históricos del plan anual. Asimismo, los datos institucionales confirman una mitigación neta del 15% en los índices de deserción temprana y abandono de la carrera durante el segundo año, demostrando que la estructura cuatrimestral actúa como un factor de protección académica y retención institucional.</w:t>
      </w:r>
    </w:p>
    <w:p w14:paraId="64ABFE03" w14:textId="77777777" w:rsidR="00DF3166" w:rsidRPr="00DF3166" w:rsidRDefault="00DF3166" w:rsidP="00DF3166">
      <w:pPr>
        <w:spacing w:after="0" w:line="240" w:lineRule="auto"/>
        <w:jc w:val="both"/>
        <w:outlineLvl w:val="2"/>
        <w:rPr>
          <w:rFonts w:ascii="Times New Roman" w:eastAsia="Times New Roman" w:hAnsi="Times New Roman" w:cs="Times New Roman"/>
          <w:b/>
          <w:bCs/>
          <w:kern w:val="0"/>
          <w:sz w:val="27"/>
          <w:szCs w:val="27"/>
          <w:lang w:val="es-AR" w:eastAsia="es-AR"/>
          <w14:ligatures w14:val="none"/>
        </w:rPr>
      </w:pPr>
      <w:r w:rsidRPr="00DF3166">
        <w:rPr>
          <w:rFonts w:ascii="Times New Roman" w:eastAsia="Times New Roman" w:hAnsi="Times New Roman" w:cs="Times New Roman"/>
          <w:b/>
          <w:bCs/>
          <w:color w:val="1F1F1F"/>
          <w:kern w:val="0"/>
          <w:lang w:val="es-AR" w:eastAsia="es-AR"/>
          <w14:ligatures w14:val="none"/>
        </w:rPr>
        <w:t>-Mecanismos psicopedagógicos del cambio estructural y autorregulación</w:t>
      </w:r>
    </w:p>
    <w:p w14:paraId="353C93AE" w14:textId="77777777" w:rsidR="00DF3166" w:rsidRPr="00DF3166" w:rsidRDefault="00DF3166" w:rsidP="00DF3166">
      <w:pPr>
        <w:spacing w:after="0" w:line="240" w:lineRule="auto"/>
        <w:jc w:val="both"/>
        <w:rPr>
          <w:rFonts w:ascii="Times New Roman" w:eastAsia="Times New Roman" w:hAnsi="Times New Roman" w:cs="Times New Roman"/>
          <w:kern w:val="0"/>
          <w:lang w:val="es-AR" w:eastAsia="es-AR"/>
          <w14:ligatures w14:val="none"/>
        </w:rPr>
      </w:pPr>
      <w:r w:rsidRPr="00DF3166">
        <w:rPr>
          <w:rFonts w:ascii="Times New Roman" w:eastAsia="Times New Roman" w:hAnsi="Times New Roman" w:cs="Times New Roman"/>
          <w:color w:val="1F1F1F"/>
          <w:kern w:val="0"/>
          <w:lang w:val="es-AR" w:eastAsia="es-AR"/>
          <w14:ligatures w14:val="none"/>
        </w:rPr>
        <w:t xml:space="preserve">Desde las ciencias de la psicología cognitiva y la pedagogía médica contemporánea, los mecanismos subyacentes se explican a través de la reconfiguración del entorno de aprendizaje. La transición hacia una arquitectura curricular modular cuatrimestral opera como un potente dispositivo macro-instruccional de andamiaje cognitivo que desarticula de raíz los vectores psicológicos y conductuales de la </w:t>
      </w:r>
      <w:proofErr w:type="spellStart"/>
      <w:r w:rsidRPr="00DF3166">
        <w:rPr>
          <w:rFonts w:ascii="Times New Roman" w:eastAsia="Times New Roman" w:hAnsi="Times New Roman" w:cs="Times New Roman"/>
          <w:color w:val="1F1F1F"/>
          <w:kern w:val="0"/>
          <w:lang w:val="es-AR" w:eastAsia="es-AR"/>
          <w14:ligatures w14:val="none"/>
        </w:rPr>
        <w:t>procrastinación</w:t>
      </w:r>
      <w:proofErr w:type="spellEnd"/>
      <w:r w:rsidRPr="00DF3166">
        <w:rPr>
          <w:rFonts w:ascii="Times New Roman" w:eastAsia="Times New Roman" w:hAnsi="Times New Roman" w:cs="Times New Roman"/>
          <w:color w:val="1F1F1F"/>
          <w:kern w:val="0"/>
          <w:lang w:val="es-AR" w:eastAsia="es-AR"/>
          <w14:ligatures w14:val="none"/>
        </w:rPr>
        <w:t xml:space="preserve"> académica disfuncional.</w:t>
      </w:r>
    </w:p>
    <w:p w14:paraId="6FFA44D6" w14:textId="77777777" w:rsidR="00DF3166" w:rsidRPr="00DF3166" w:rsidRDefault="00DF3166" w:rsidP="00DF3166">
      <w:pPr>
        <w:spacing w:after="0" w:line="240" w:lineRule="auto"/>
        <w:jc w:val="both"/>
        <w:rPr>
          <w:rFonts w:ascii="Times New Roman" w:eastAsia="Times New Roman" w:hAnsi="Times New Roman" w:cs="Times New Roman"/>
          <w:kern w:val="0"/>
          <w:lang w:val="es-AR" w:eastAsia="es-AR"/>
          <w14:ligatures w14:val="none"/>
        </w:rPr>
      </w:pPr>
      <w:r w:rsidRPr="00DF3166">
        <w:rPr>
          <w:rFonts w:ascii="Times New Roman" w:eastAsia="Times New Roman" w:hAnsi="Times New Roman" w:cs="Times New Roman"/>
          <w:color w:val="1F1F1F"/>
          <w:kern w:val="0"/>
          <w:lang w:val="es-AR" w:eastAsia="es-AR"/>
          <w14:ligatures w14:val="none"/>
        </w:rPr>
        <w:t xml:space="preserve">Al fragmentar los horizontes temporales de acreditación excesivamente extensos (regímenes anuales) y sustituir metas lejanas y difusas por objetivos intermedios de alta proximidad y nexos evaluativos continuos, el diseño promueve de forma sistemática la agencia del estudiante y el desarrollo de su autoeficacia percibida. Este proceso estimula el despliegue temprano de estrategias </w:t>
      </w:r>
      <w:proofErr w:type="spellStart"/>
      <w:r w:rsidRPr="00DF3166">
        <w:rPr>
          <w:rFonts w:ascii="Times New Roman" w:eastAsia="Times New Roman" w:hAnsi="Times New Roman" w:cs="Times New Roman"/>
          <w:color w:val="1F1F1F"/>
          <w:kern w:val="0"/>
          <w:lang w:val="es-AR" w:eastAsia="es-AR"/>
          <w14:ligatures w14:val="none"/>
        </w:rPr>
        <w:t>metacognitivas</w:t>
      </w:r>
      <w:proofErr w:type="spellEnd"/>
      <w:r w:rsidRPr="00DF3166">
        <w:rPr>
          <w:rFonts w:ascii="Times New Roman" w:eastAsia="Times New Roman" w:hAnsi="Times New Roman" w:cs="Times New Roman"/>
          <w:color w:val="1F1F1F"/>
          <w:kern w:val="0"/>
          <w:lang w:val="es-AR" w:eastAsia="es-AR"/>
          <w14:ligatures w14:val="none"/>
        </w:rPr>
        <w:t xml:space="preserve"> avanzadas de planificación temporal, monitoreo cognitivo activo y autoevaluación reflexiva, alineándose con las fases del aprendizaje autorregulado descritas por </w:t>
      </w:r>
      <w:proofErr w:type="spellStart"/>
      <w:r w:rsidRPr="00DF3166">
        <w:rPr>
          <w:rFonts w:ascii="Times New Roman" w:eastAsia="Times New Roman" w:hAnsi="Times New Roman" w:cs="Times New Roman"/>
          <w:color w:val="1F1F1F"/>
          <w:kern w:val="0"/>
          <w:lang w:val="es-AR" w:eastAsia="es-AR"/>
          <w14:ligatures w14:val="none"/>
        </w:rPr>
        <w:t>Zimmerman</w:t>
      </w:r>
      <w:proofErr w:type="spellEnd"/>
      <w:r w:rsidRPr="00DF3166">
        <w:rPr>
          <w:rFonts w:ascii="Times New Roman" w:eastAsia="Times New Roman" w:hAnsi="Times New Roman" w:cs="Times New Roman"/>
          <w:color w:val="1F1F1F"/>
          <w:kern w:val="0"/>
          <w:lang w:val="es-AR" w:eastAsia="es-AR"/>
          <w14:ligatures w14:val="none"/>
        </w:rPr>
        <w:t xml:space="preserve"> (2000). El estudiante cuatrimestral se ve condicionado a abandonar las estrategias de estudio superficiales de última hora (</w:t>
      </w:r>
      <w:proofErr w:type="spellStart"/>
      <w:r w:rsidRPr="00DF3166">
        <w:rPr>
          <w:rFonts w:ascii="Times New Roman" w:eastAsia="Times New Roman" w:hAnsi="Times New Roman" w:cs="Times New Roman"/>
          <w:color w:val="1F1F1F"/>
          <w:kern w:val="0"/>
          <w:lang w:val="es-AR" w:eastAsia="es-AR"/>
          <w14:ligatures w14:val="none"/>
        </w:rPr>
        <w:t>cramming</w:t>
      </w:r>
      <w:proofErr w:type="spellEnd"/>
      <w:r w:rsidRPr="00DF3166">
        <w:rPr>
          <w:rFonts w:ascii="Times New Roman" w:eastAsia="Times New Roman" w:hAnsi="Times New Roman" w:cs="Times New Roman"/>
          <w:color w:val="1F1F1F"/>
          <w:kern w:val="0"/>
          <w:lang w:val="es-AR" w:eastAsia="es-AR"/>
          <w14:ligatures w14:val="none"/>
        </w:rPr>
        <w:t>) y a adoptar hábitos de estudio distribuidos, espaciados y de procesamiento profundo, indispensables para la consolidación de huellas de memoria estables.</w:t>
      </w:r>
    </w:p>
    <w:p w14:paraId="6F2FC2A5" w14:textId="77777777" w:rsidR="00DF3166" w:rsidRPr="00DF3166" w:rsidRDefault="00DF3166" w:rsidP="00DF3166">
      <w:pPr>
        <w:spacing w:after="0" w:line="240" w:lineRule="auto"/>
        <w:jc w:val="both"/>
        <w:outlineLvl w:val="2"/>
        <w:rPr>
          <w:rFonts w:ascii="Times New Roman" w:eastAsia="Times New Roman" w:hAnsi="Times New Roman" w:cs="Times New Roman"/>
          <w:b/>
          <w:bCs/>
          <w:kern w:val="0"/>
          <w:sz w:val="27"/>
          <w:szCs w:val="27"/>
          <w:lang w:val="es-AR" w:eastAsia="es-AR"/>
          <w14:ligatures w14:val="none"/>
        </w:rPr>
      </w:pPr>
      <w:r w:rsidRPr="00DF3166">
        <w:rPr>
          <w:rFonts w:ascii="Times New Roman" w:eastAsia="Times New Roman" w:hAnsi="Times New Roman" w:cs="Times New Roman"/>
          <w:b/>
          <w:bCs/>
          <w:color w:val="1F1F1F"/>
          <w:kern w:val="0"/>
          <w:lang w:val="es-AR" w:eastAsia="es-AR"/>
          <w14:ligatures w14:val="none"/>
        </w:rPr>
        <w:t xml:space="preserve">-Profundidad curricular y validación </w:t>
      </w:r>
      <w:proofErr w:type="spellStart"/>
      <w:r w:rsidRPr="00DF3166">
        <w:rPr>
          <w:rFonts w:ascii="Times New Roman" w:eastAsia="Times New Roman" w:hAnsi="Times New Roman" w:cs="Times New Roman"/>
          <w:b/>
          <w:bCs/>
          <w:color w:val="1F1F1F"/>
          <w:kern w:val="0"/>
          <w:lang w:val="es-AR" w:eastAsia="es-AR"/>
          <w14:ligatures w14:val="none"/>
        </w:rPr>
        <w:t>macropolítica</w:t>
      </w:r>
      <w:proofErr w:type="spellEnd"/>
    </w:p>
    <w:p w14:paraId="164B2C5B" w14:textId="77777777" w:rsidR="00DF3166" w:rsidRPr="00DF3166" w:rsidRDefault="00DF3166" w:rsidP="00DF3166">
      <w:pPr>
        <w:spacing w:after="0" w:line="240" w:lineRule="auto"/>
        <w:jc w:val="both"/>
        <w:rPr>
          <w:rFonts w:ascii="Times New Roman" w:eastAsia="Times New Roman" w:hAnsi="Times New Roman" w:cs="Times New Roman"/>
          <w:kern w:val="0"/>
          <w:lang w:val="es-AR" w:eastAsia="es-AR"/>
          <w14:ligatures w14:val="none"/>
        </w:rPr>
      </w:pPr>
      <w:r w:rsidRPr="00DF3166">
        <w:rPr>
          <w:rFonts w:ascii="Times New Roman" w:eastAsia="Times New Roman" w:hAnsi="Times New Roman" w:cs="Times New Roman"/>
          <w:color w:val="1F1F1F"/>
          <w:kern w:val="0"/>
          <w:lang w:val="es-AR" w:eastAsia="es-AR"/>
          <w14:ligatures w14:val="none"/>
        </w:rPr>
        <w:t xml:space="preserve">La sistematización cualitativa de los datos surgidos de grupos focales y talleres de </w:t>
      </w:r>
      <w:proofErr w:type="spellStart"/>
      <w:r w:rsidRPr="00DF3166">
        <w:rPr>
          <w:rFonts w:ascii="Times New Roman" w:eastAsia="Times New Roman" w:hAnsi="Times New Roman" w:cs="Times New Roman"/>
          <w:color w:val="1F1F1F"/>
          <w:kern w:val="0"/>
          <w:lang w:val="es-AR" w:eastAsia="es-AR"/>
          <w14:ligatures w14:val="none"/>
        </w:rPr>
        <w:t>debriefing</w:t>
      </w:r>
      <w:proofErr w:type="spellEnd"/>
      <w:r w:rsidRPr="00DF3166">
        <w:rPr>
          <w:rFonts w:ascii="Times New Roman" w:eastAsia="Times New Roman" w:hAnsi="Times New Roman" w:cs="Times New Roman"/>
          <w:color w:val="1F1F1F"/>
          <w:kern w:val="0"/>
          <w:lang w:val="es-AR" w:eastAsia="es-AR"/>
          <w14:ligatures w14:val="none"/>
        </w:rPr>
        <w:t xml:space="preserve"> del cuerpo docente resalta una ganancia crítica en la profundidad conceptual de los aprendizajes y en el desarrollo del pensamiento de orden superior (análisis, evaluación y creación). Los docentes de los ciclos clínicos reportan de manera consistente que los estudiantes provenientes del plan rediseñado demuestran una competencia significativamente mayor para abordar con solvencia analítica núcleos epistemológicos caracterizados por una elevada complejidad adaptativa y latencia clínica. Los alumnos ya no se limitan a recitar conceptos teóricos aislados, sino que demuestran una capacidad sólida para explicar interconexiones funcionales y variaciones sistémicas ante situaciones de estrés biológico.</w:t>
      </w:r>
    </w:p>
    <w:p w14:paraId="5CF14EA3" w14:textId="77777777" w:rsidR="00DF3166" w:rsidRPr="00DF3166" w:rsidRDefault="00DF3166" w:rsidP="00DF3166">
      <w:pPr>
        <w:spacing w:after="0" w:line="240" w:lineRule="auto"/>
        <w:jc w:val="both"/>
        <w:rPr>
          <w:rFonts w:ascii="Times New Roman" w:eastAsia="Times New Roman" w:hAnsi="Times New Roman" w:cs="Times New Roman"/>
          <w:kern w:val="0"/>
          <w:lang w:val="es-AR" w:eastAsia="es-AR"/>
          <w14:ligatures w14:val="none"/>
        </w:rPr>
      </w:pPr>
      <w:r w:rsidRPr="00DF3166">
        <w:rPr>
          <w:rFonts w:ascii="Times New Roman" w:eastAsia="Times New Roman" w:hAnsi="Times New Roman" w:cs="Times New Roman"/>
          <w:color w:val="1F1F1F"/>
          <w:kern w:val="0"/>
          <w:lang w:val="es-AR" w:eastAsia="es-AR"/>
          <w14:ligatures w14:val="none"/>
        </w:rPr>
        <w:t xml:space="preserve">Estos hallazgos se encuentran fuertemente respaldados por la literatura internacional en educación superior. Robustos estudios de meta-análisis organizados por consorcios internacionales confirman que los procesos de semestralización, </w:t>
      </w:r>
      <w:proofErr w:type="spellStart"/>
      <w:r w:rsidRPr="00DF3166">
        <w:rPr>
          <w:rFonts w:ascii="Times New Roman" w:eastAsia="Times New Roman" w:hAnsi="Times New Roman" w:cs="Times New Roman"/>
          <w:color w:val="1F1F1F"/>
          <w:kern w:val="0"/>
          <w:lang w:val="es-AR" w:eastAsia="es-AR"/>
          <w14:ligatures w14:val="none"/>
        </w:rPr>
        <w:t>cuatrimestralización</w:t>
      </w:r>
      <w:proofErr w:type="spellEnd"/>
      <w:r w:rsidRPr="00DF3166">
        <w:rPr>
          <w:rFonts w:ascii="Times New Roman" w:eastAsia="Times New Roman" w:hAnsi="Times New Roman" w:cs="Times New Roman"/>
          <w:color w:val="1F1F1F"/>
          <w:kern w:val="0"/>
          <w:lang w:val="es-AR" w:eastAsia="es-AR"/>
          <w14:ligatures w14:val="none"/>
        </w:rPr>
        <w:t xml:space="preserve"> y flexibilización temporal de las estructuras curriculares en las ciencias de la salud logran un equilibrio homeostático óptimo en la carga cognitiva global del estudiante, dotando de viabilidad, sustentabilidad y resiliencia a largo plazo a las reformas curriculares universitarias en el complejo escenario contemporáneo (</w:t>
      </w:r>
      <w:proofErr w:type="spellStart"/>
      <w:r w:rsidRPr="00DF3166">
        <w:rPr>
          <w:rFonts w:ascii="Times New Roman" w:eastAsia="Times New Roman" w:hAnsi="Times New Roman" w:cs="Times New Roman"/>
          <w:color w:val="1F1F1F"/>
          <w:kern w:val="0"/>
          <w:lang w:val="es-AR" w:eastAsia="es-AR"/>
          <w14:ligatures w14:val="none"/>
        </w:rPr>
        <w:t>Gouëdard</w:t>
      </w:r>
      <w:proofErr w:type="spellEnd"/>
      <w:r w:rsidRPr="00DF3166">
        <w:rPr>
          <w:rFonts w:ascii="Times New Roman" w:eastAsia="Times New Roman" w:hAnsi="Times New Roman" w:cs="Times New Roman"/>
          <w:color w:val="1F1F1F"/>
          <w:kern w:val="0"/>
          <w:lang w:val="es-AR" w:eastAsia="es-AR"/>
          <w14:ligatures w14:val="none"/>
        </w:rPr>
        <w:t xml:space="preserve"> et al., 2020; Martínez Lobatos &amp; Loera Martínez, 2020). Este escenario dialoga directamente con las dinámicas regionales analizadas por </w:t>
      </w:r>
      <w:proofErr w:type="spellStart"/>
      <w:r w:rsidRPr="00DF3166">
        <w:rPr>
          <w:rFonts w:ascii="Times New Roman" w:eastAsia="Times New Roman" w:hAnsi="Times New Roman" w:cs="Times New Roman"/>
          <w:color w:val="1F1F1F"/>
          <w:kern w:val="0"/>
          <w:lang w:val="es-AR" w:eastAsia="es-AR"/>
          <w14:ligatures w14:val="none"/>
        </w:rPr>
        <w:t>Bernik</w:t>
      </w:r>
      <w:proofErr w:type="spellEnd"/>
      <w:r w:rsidRPr="00DF3166">
        <w:rPr>
          <w:rFonts w:ascii="Times New Roman" w:eastAsia="Times New Roman" w:hAnsi="Times New Roman" w:cs="Times New Roman"/>
          <w:color w:val="1F1F1F"/>
          <w:kern w:val="0"/>
          <w:lang w:val="es-AR" w:eastAsia="es-AR"/>
          <w14:ligatures w14:val="none"/>
        </w:rPr>
        <w:t xml:space="preserve"> y Luna (2019), quienes advierten que pensar la formación universitaria implica desentrañar el "código curricular" y la clase como unidades de análisis complejas cuando los trayectos se proponen desde la articulación entre disciplinas y entre instituciones.</w:t>
      </w:r>
    </w:p>
    <w:p w14:paraId="3062AA2B" w14:textId="77777777" w:rsidR="00DF3166" w:rsidRPr="00DF3166" w:rsidRDefault="00DF3166" w:rsidP="00DF3166">
      <w:pPr>
        <w:spacing w:after="0" w:line="240" w:lineRule="auto"/>
        <w:jc w:val="both"/>
        <w:outlineLvl w:val="1"/>
        <w:rPr>
          <w:rFonts w:ascii="Times New Roman" w:eastAsia="Times New Roman" w:hAnsi="Times New Roman" w:cs="Times New Roman"/>
          <w:b/>
          <w:bCs/>
          <w:kern w:val="0"/>
          <w:sz w:val="36"/>
          <w:szCs w:val="36"/>
          <w:lang w:val="es-AR" w:eastAsia="es-AR"/>
          <w14:ligatures w14:val="none"/>
        </w:rPr>
      </w:pPr>
      <w:r w:rsidRPr="00DF3166">
        <w:rPr>
          <w:rFonts w:ascii="Times New Roman" w:eastAsia="Times New Roman" w:hAnsi="Times New Roman" w:cs="Times New Roman"/>
          <w:b/>
          <w:bCs/>
          <w:color w:val="1F1F1F"/>
          <w:kern w:val="0"/>
          <w:lang w:val="es-AR" w:eastAsia="es-AR"/>
          <w14:ligatures w14:val="none"/>
        </w:rPr>
        <w:t>-Análisis de costo-efectividad curricular y sostenibilidad operativa</w:t>
      </w:r>
    </w:p>
    <w:p w14:paraId="5426FD20" w14:textId="77777777" w:rsidR="00DF3166" w:rsidRPr="00DF3166" w:rsidRDefault="00DF3166" w:rsidP="00DF3166">
      <w:pPr>
        <w:spacing w:after="0" w:line="240" w:lineRule="auto"/>
        <w:jc w:val="both"/>
        <w:rPr>
          <w:rFonts w:ascii="Times New Roman" w:eastAsia="Times New Roman" w:hAnsi="Times New Roman" w:cs="Times New Roman"/>
          <w:kern w:val="0"/>
          <w:lang w:val="es-AR" w:eastAsia="es-AR"/>
          <w14:ligatures w14:val="none"/>
        </w:rPr>
      </w:pPr>
      <w:r w:rsidRPr="00DF3166">
        <w:rPr>
          <w:rFonts w:ascii="Times New Roman" w:eastAsia="Times New Roman" w:hAnsi="Times New Roman" w:cs="Times New Roman"/>
          <w:color w:val="1F1F1F"/>
          <w:kern w:val="0"/>
          <w:lang w:val="es-AR" w:eastAsia="es-AR"/>
          <w14:ligatures w14:val="none"/>
        </w:rPr>
        <w:t>Un componente crucial del impacto institucional, que frecuentemente se soslaya en los reportes de reformas pedagógicas, es el análisis de la viabilidad económica y la optimización de los recursos físicos y humanos de la institución de educación superior. Las reformas curriculares basadas en competencias y regímenes compactos suelen asociarse incorrectamente con un incremento desmedido de los costos operativos debido a la necesidad de contar con más docentes para coordinar los entornos de grupos pequeños (ABP/TBL). Sin embargo, el análisis retrospectivo de la eficiencia interna de las cohortes implementadas bajo el diseño cuatrimestral refuta este supuesto, demostrando un balance altamente favorable en términos de costo-efectividad institucional.</w:t>
      </w:r>
    </w:p>
    <w:p w14:paraId="76C995BB" w14:textId="77777777" w:rsidR="00DF3166" w:rsidRPr="00DF3166" w:rsidRDefault="00DF3166" w:rsidP="00DF3166">
      <w:pPr>
        <w:spacing w:after="0" w:line="240" w:lineRule="auto"/>
        <w:jc w:val="both"/>
        <w:rPr>
          <w:rFonts w:ascii="Times New Roman" w:eastAsia="Times New Roman" w:hAnsi="Times New Roman" w:cs="Times New Roman"/>
          <w:kern w:val="0"/>
          <w:lang w:val="es-AR" w:eastAsia="es-AR"/>
          <w14:ligatures w14:val="none"/>
        </w:rPr>
      </w:pPr>
      <w:r w:rsidRPr="00DF3166">
        <w:rPr>
          <w:rFonts w:ascii="Times New Roman" w:eastAsia="Times New Roman" w:hAnsi="Times New Roman" w:cs="Times New Roman"/>
          <w:color w:val="1F1F1F"/>
          <w:kern w:val="0"/>
          <w:lang w:val="es-AR" w:eastAsia="es-AR"/>
          <w14:ligatures w14:val="none"/>
        </w:rPr>
        <w:t>El impacto financiero directo se calculó analizando las siguientes variables de gestión educativa:</w:t>
      </w:r>
    </w:p>
    <w:p w14:paraId="2E82105C" w14:textId="77777777" w:rsidR="00DF3166" w:rsidRPr="00DF3166" w:rsidRDefault="00DF3166" w:rsidP="00DF3166">
      <w:pPr>
        <w:spacing w:after="0" w:line="240" w:lineRule="auto"/>
        <w:jc w:val="both"/>
        <w:rPr>
          <w:rFonts w:ascii="Times New Roman" w:eastAsia="Times New Roman" w:hAnsi="Times New Roman" w:cs="Times New Roman"/>
          <w:kern w:val="0"/>
          <w:lang w:val="es-AR" w:eastAsia="es-AR"/>
          <w14:ligatures w14:val="none"/>
        </w:rPr>
      </w:pPr>
      <w:r w:rsidRPr="00DF3166">
        <w:rPr>
          <w:rFonts w:ascii="Times New Roman" w:eastAsia="Times New Roman" w:hAnsi="Times New Roman" w:cs="Times New Roman"/>
          <w:b/>
          <w:bCs/>
          <w:color w:val="1F1F1F"/>
          <w:kern w:val="0"/>
          <w:lang w:val="es-AR" w:eastAsia="es-AR"/>
          <w14:ligatures w14:val="none"/>
        </w:rPr>
        <w:t xml:space="preserve">-Reducción del costo por alumno regularizado: </w:t>
      </w:r>
      <w:r w:rsidRPr="00DF3166">
        <w:rPr>
          <w:rFonts w:ascii="Times New Roman" w:eastAsia="Times New Roman" w:hAnsi="Times New Roman" w:cs="Times New Roman"/>
          <w:color w:val="1F1F1F"/>
          <w:kern w:val="0"/>
          <w:lang w:val="es-AR" w:eastAsia="es-AR"/>
          <w14:ligatures w14:val="none"/>
        </w:rPr>
        <w:t xml:space="preserve">en el modelo anual clásico, el 35% de los alumnos que no alcanzaban la regularidad debían </w:t>
      </w:r>
      <w:proofErr w:type="spellStart"/>
      <w:r w:rsidRPr="00DF3166">
        <w:rPr>
          <w:rFonts w:ascii="Times New Roman" w:eastAsia="Times New Roman" w:hAnsi="Times New Roman" w:cs="Times New Roman"/>
          <w:color w:val="1F1F1F"/>
          <w:kern w:val="0"/>
          <w:lang w:val="es-AR" w:eastAsia="es-AR"/>
          <w14:ligatures w14:val="none"/>
        </w:rPr>
        <w:t>recursar</w:t>
      </w:r>
      <w:proofErr w:type="spellEnd"/>
      <w:r w:rsidRPr="00DF3166">
        <w:rPr>
          <w:rFonts w:ascii="Times New Roman" w:eastAsia="Times New Roman" w:hAnsi="Times New Roman" w:cs="Times New Roman"/>
          <w:color w:val="1F1F1F"/>
          <w:kern w:val="0"/>
          <w:lang w:val="es-AR" w:eastAsia="es-AR"/>
          <w14:ligatures w14:val="none"/>
        </w:rPr>
        <w:t xml:space="preserve"> la totalidad del trayecto al año siguiente, duplicando el gasto institucional por estudiante en términos de insumos de laboratorio, uso de aulas y carga horaria docente asignada. La elevación de la tasa de regularización al 89% comprimió drásticamente el flujo de </w:t>
      </w:r>
      <w:proofErr w:type="spellStart"/>
      <w:r w:rsidRPr="00DF3166">
        <w:rPr>
          <w:rFonts w:ascii="Times New Roman" w:eastAsia="Times New Roman" w:hAnsi="Times New Roman" w:cs="Times New Roman"/>
          <w:color w:val="1F1F1F"/>
          <w:kern w:val="0"/>
          <w:lang w:val="es-AR" w:eastAsia="es-AR"/>
          <w14:ligatures w14:val="none"/>
        </w:rPr>
        <w:t>recursantes</w:t>
      </w:r>
      <w:proofErr w:type="spellEnd"/>
      <w:r w:rsidRPr="00DF3166">
        <w:rPr>
          <w:rFonts w:ascii="Times New Roman" w:eastAsia="Times New Roman" w:hAnsi="Times New Roman" w:cs="Times New Roman"/>
          <w:color w:val="1F1F1F"/>
          <w:kern w:val="0"/>
          <w:lang w:val="es-AR" w:eastAsia="es-AR"/>
          <w14:ligatures w14:val="none"/>
        </w:rPr>
        <w:t xml:space="preserve"> crónicos, optimizando el uso de la infraestructura física instalada.</w:t>
      </w:r>
    </w:p>
    <w:p w14:paraId="4EBA62C7" w14:textId="77777777" w:rsidR="00DF3166" w:rsidRPr="00DF3166" w:rsidRDefault="00DF3166" w:rsidP="00DF3166">
      <w:pPr>
        <w:spacing w:after="0" w:line="240" w:lineRule="auto"/>
        <w:jc w:val="both"/>
        <w:rPr>
          <w:rFonts w:ascii="Times New Roman" w:eastAsia="Times New Roman" w:hAnsi="Times New Roman" w:cs="Times New Roman"/>
          <w:kern w:val="0"/>
          <w:lang w:val="es-AR" w:eastAsia="es-AR"/>
          <w14:ligatures w14:val="none"/>
        </w:rPr>
      </w:pPr>
      <w:r w:rsidRPr="00DF3166">
        <w:rPr>
          <w:rFonts w:ascii="Times New Roman" w:eastAsia="Times New Roman" w:hAnsi="Times New Roman" w:cs="Times New Roman"/>
          <w:b/>
          <w:bCs/>
          <w:color w:val="1F1F1F"/>
          <w:kern w:val="0"/>
          <w:lang w:val="es-AR" w:eastAsia="es-AR"/>
          <w14:ligatures w14:val="none"/>
        </w:rPr>
        <w:t>-Racionalización del uso de laboratorios y espacios físicos:</w:t>
      </w:r>
      <w:r w:rsidRPr="00DF3166">
        <w:rPr>
          <w:rFonts w:ascii="Times New Roman" w:eastAsia="Times New Roman" w:hAnsi="Times New Roman" w:cs="Times New Roman"/>
          <w:color w:val="1F1F1F"/>
          <w:kern w:val="0"/>
          <w:lang w:val="es-AR" w:eastAsia="es-AR"/>
          <w14:ligatures w14:val="none"/>
        </w:rPr>
        <w:t xml:space="preserve"> al </w:t>
      </w:r>
      <w:proofErr w:type="spellStart"/>
      <w:r w:rsidRPr="00DF3166">
        <w:rPr>
          <w:rFonts w:ascii="Times New Roman" w:eastAsia="Times New Roman" w:hAnsi="Times New Roman" w:cs="Times New Roman"/>
          <w:color w:val="1F1F1F"/>
          <w:kern w:val="0"/>
          <w:lang w:val="es-AR" w:eastAsia="es-AR"/>
          <w14:ligatures w14:val="none"/>
        </w:rPr>
        <w:t>modularizar</w:t>
      </w:r>
      <w:proofErr w:type="spellEnd"/>
      <w:r w:rsidRPr="00DF3166">
        <w:rPr>
          <w:rFonts w:ascii="Times New Roman" w:eastAsia="Times New Roman" w:hAnsi="Times New Roman" w:cs="Times New Roman"/>
          <w:color w:val="1F1F1F"/>
          <w:kern w:val="0"/>
          <w:lang w:val="es-AR" w:eastAsia="es-AR"/>
          <w14:ligatures w14:val="none"/>
        </w:rPr>
        <w:t xml:space="preserve"> la asignatura, la ocupación de los laboratorios de simulación y talleres se distribuyó homogéneamente a lo largo de los dos cuatrimestres en lugar de concentrar la demanda de manera caótica durante los períodos de exámenes del plan anual. Esto evitó la saturación de los recursos físicos y redujo los costos de mantenimiento y amortización de los equipos de alta complejidad médica.</w:t>
      </w:r>
    </w:p>
    <w:p w14:paraId="321C4C66" w14:textId="24A77A35" w:rsidR="00BC3CD2" w:rsidRPr="00BC3CD2" w:rsidRDefault="00DF3166" w:rsidP="00BC3CD2">
      <w:pPr>
        <w:spacing w:after="0" w:line="240" w:lineRule="auto"/>
        <w:jc w:val="both"/>
        <w:rPr>
          <w:rFonts w:ascii="Times New Roman" w:eastAsia="Times New Roman" w:hAnsi="Times New Roman" w:cs="Times New Roman"/>
          <w:kern w:val="0"/>
          <w:lang w:val="es-AR" w:eastAsia="es-AR"/>
          <w14:ligatures w14:val="none"/>
        </w:rPr>
      </w:pPr>
      <w:r w:rsidRPr="00DF3166">
        <w:rPr>
          <w:rFonts w:ascii="Times New Roman" w:eastAsia="Times New Roman" w:hAnsi="Times New Roman" w:cs="Times New Roman"/>
          <w:color w:val="1F1F1F"/>
          <w:kern w:val="0"/>
          <w:lang w:val="es-AR" w:eastAsia="es-AR"/>
          <w14:ligatures w14:val="none"/>
        </w:rPr>
        <w:t xml:space="preserve">Por lo tanto, la reforma curricular propuesta demuestra que la transición hacia modelos basados en la EMBC y regímenes temporales </w:t>
      </w:r>
      <w:proofErr w:type="spellStart"/>
      <w:r w:rsidRPr="00DF3166">
        <w:rPr>
          <w:rFonts w:ascii="Times New Roman" w:eastAsia="Times New Roman" w:hAnsi="Times New Roman" w:cs="Times New Roman"/>
          <w:color w:val="1F1F1F"/>
          <w:kern w:val="0"/>
          <w:lang w:val="es-AR" w:eastAsia="es-AR"/>
          <w14:ligatures w14:val="none"/>
        </w:rPr>
        <w:t>semestralizados</w:t>
      </w:r>
      <w:proofErr w:type="spellEnd"/>
      <w:r w:rsidRPr="00DF3166">
        <w:rPr>
          <w:rFonts w:ascii="Times New Roman" w:eastAsia="Times New Roman" w:hAnsi="Times New Roman" w:cs="Times New Roman"/>
          <w:color w:val="1F1F1F"/>
          <w:kern w:val="0"/>
          <w:lang w:val="es-AR" w:eastAsia="es-AR"/>
          <w14:ligatures w14:val="none"/>
        </w:rPr>
        <w:t xml:space="preserve"> o cuatrimestrales es financieramente sustentable, operativamente eficiente y metodológicamente viable. Esto la posiciona como un modelo de gestión educativa estratégica sumamente atractivo para instituciones de educación superior en contextos de restricción presupuestaria o auditorías de acreditación de calidad institucional a gran escala.</w:t>
      </w:r>
    </w:p>
    <w:p w14:paraId="7690B5D9" w14:textId="77777777" w:rsidR="00BC3CD2" w:rsidRDefault="005F3B2E" w:rsidP="00BC3CD2">
      <w:pPr>
        <w:spacing w:line="240" w:lineRule="auto"/>
        <w:rPr>
          <w:rFonts w:ascii="Times New Roman" w:hAnsi="Times New Roman" w:cs="Times New Roman"/>
          <w:b/>
          <w:bCs/>
        </w:rPr>
      </w:pPr>
      <w:r w:rsidRPr="007B5B5F">
        <w:rPr>
          <w:rFonts w:ascii="Times New Roman" w:hAnsi="Times New Roman" w:cs="Times New Roman"/>
          <w:b/>
          <w:bCs/>
        </w:rPr>
        <w:t>Conclusiones</w:t>
      </w:r>
    </w:p>
    <w:p w14:paraId="142DD231" w14:textId="289D358E" w:rsidR="00E20EE9" w:rsidRPr="00BC3CD2" w:rsidRDefault="00E20EE9" w:rsidP="00BC3CD2">
      <w:pPr>
        <w:spacing w:line="240" w:lineRule="auto"/>
        <w:jc w:val="both"/>
        <w:rPr>
          <w:rFonts w:ascii="Times New Roman" w:hAnsi="Times New Roman" w:cs="Times New Roman"/>
          <w:b/>
          <w:bCs/>
        </w:rPr>
      </w:pPr>
      <w:r>
        <w:rPr>
          <w:rFonts w:ascii="Times New Roman" w:eastAsia="Times New Roman" w:hAnsi="Times New Roman" w:cs="Times New Roman"/>
          <w:color w:val="1F1F1F"/>
        </w:rPr>
        <w:t xml:space="preserve">El rediseño curricular enfocado en la transición desde un esquema anual tradicional hacia un modelo modular cuatrimestral fundamentado estrictamente en la Educación Médica Basada en Competencias representa una innovación pedagógica, institucional y científica de carácter estratégico. Este nuevo modelo logra alinear con éxito los contenidos de los ciclos iniciales con las demandas contemporáneas de la práctica basada en la evidencia y el razonamiento diagnóstico temprano, </w:t>
      </w:r>
      <w:proofErr w:type="spellStart"/>
      <w:r>
        <w:rPr>
          <w:rFonts w:ascii="Times New Roman" w:eastAsia="Times New Roman" w:hAnsi="Times New Roman" w:cs="Times New Roman"/>
          <w:color w:val="1F1F1F"/>
        </w:rPr>
        <w:t>deconstruyendo</w:t>
      </w:r>
      <w:proofErr w:type="spellEnd"/>
      <w:r>
        <w:rPr>
          <w:rFonts w:ascii="Times New Roman" w:eastAsia="Times New Roman" w:hAnsi="Times New Roman" w:cs="Times New Roman"/>
          <w:color w:val="1F1F1F"/>
        </w:rPr>
        <w:t xml:space="preserve"> la fragmentación teórica, potenciando de forma sostenible el pensamiento de orden superior y asegurando una retención duradera en el estudiantado.</w:t>
      </w:r>
    </w:p>
    <w:p w14:paraId="3F0B1D7F" w14:textId="47D3F622" w:rsidR="007638AE" w:rsidRPr="00E20EE9" w:rsidRDefault="00E20EE9" w:rsidP="00E20EE9">
      <w:pPr>
        <w:widowControl w:val="0"/>
        <w:spacing w:line="240" w:lineRule="auto"/>
        <w:jc w:val="both"/>
        <w:rPr>
          <w:rFonts w:ascii="Times New Roman" w:eastAsia="Times New Roman" w:hAnsi="Times New Roman" w:cs="Times New Roman"/>
          <w:color w:val="1F1F1F"/>
        </w:rPr>
      </w:pPr>
      <w:r>
        <w:rPr>
          <w:rFonts w:ascii="Times New Roman" w:eastAsia="Times New Roman" w:hAnsi="Times New Roman" w:cs="Times New Roman"/>
          <w:color w:val="1F1F1F"/>
        </w:rPr>
        <w:t xml:space="preserve">Los resultados empíricos longitudinales demuestran con claridad que es posible incrementar drásticamente los indicadores de éxito académico y regularización estudiantil sin caer en la degradación de los estándares científicos ni en la simplificación de las competencias deseadas. Al gestionar adecuadamente la carga cognitiva intrínseca y extrínseca a través del diseño instruccional segmentado, el aprendizaje activo y la evaluación programática multidimensional con </w:t>
      </w:r>
      <w:proofErr w:type="spellStart"/>
      <w:r>
        <w:rPr>
          <w:rFonts w:ascii="Times New Roman" w:eastAsia="Times New Roman" w:hAnsi="Times New Roman" w:cs="Times New Roman"/>
          <w:color w:val="1F1F1F"/>
        </w:rPr>
        <w:t>feedback</w:t>
      </w:r>
      <w:proofErr w:type="spellEnd"/>
      <w:r>
        <w:rPr>
          <w:rFonts w:ascii="Times New Roman" w:eastAsia="Times New Roman" w:hAnsi="Times New Roman" w:cs="Times New Roman"/>
          <w:color w:val="1F1F1F"/>
        </w:rPr>
        <w:t xml:space="preserve"> reflexivo, se transforma la experiencia educativa del estudiante, convirtiéndolo en un agente autónomo y autorregulado. La escalabilidad y robustez metodológica de esta propuesta invitan de forma explícita a su réplica adaptada en otras asignaturas de los ciclos básicos y en diversas instituciones de educación superior en ciencias de la salud.</w:t>
      </w:r>
      <w:r w:rsidR="00705044">
        <w:rPr>
          <w:rFonts w:ascii="Times New Roman" w:hAnsi="Times New Roman" w:cs="Times New Roman"/>
        </w:rPr>
        <w:t xml:space="preserve"> </w:t>
      </w:r>
    </w:p>
    <w:p w14:paraId="39B57161" w14:textId="2609F8D2"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w:t>
      </w:r>
    </w:p>
    <w:p w14:paraId="79D0B454" w14:textId="77777777" w:rsidR="00443FBB" w:rsidRDefault="00443FBB" w:rsidP="00443FBB">
      <w:pPr>
        <w:spacing w:after="240" w:line="240" w:lineRule="auto"/>
        <w:ind w:left="720" w:hanging="720"/>
        <w:jc w:val="both"/>
      </w:pPr>
      <w:proofErr w:type="spellStart"/>
      <w:r>
        <w:rPr>
          <w:rFonts w:ascii="Times New Roman" w:hAnsi="Times New Roman"/>
        </w:rPr>
        <w:t>Alharbi</w:t>
      </w:r>
      <w:proofErr w:type="spellEnd"/>
      <w:r>
        <w:rPr>
          <w:rFonts w:ascii="Times New Roman" w:hAnsi="Times New Roman"/>
        </w:rPr>
        <w:t xml:space="preserve">, N. S. (2024). </w:t>
      </w:r>
      <w:proofErr w:type="spellStart"/>
      <w:r>
        <w:rPr>
          <w:rFonts w:ascii="Times New Roman" w:hAnsi="Times New Roman"/>
        </w:rPr>
        <w:t>Evaluating</w:t>
      </w:r>
      <w:proofErr w:type="spellEnd"/>
      <w:r>
        <w:rPr>
          <w:rFonts w:ascii="Times New Roman" w:hAnsi="Times New Roman"/>
        </w:rPr>
        <w:t xml:space="preserve"> </w:t>
      </w:r>
      <w:proofErr w:type="spellStart"/>
      <w:r>
        <w:rPr>
          <w:rFonts w:ascii="Times New Roman" w:hAnsi="Times New Roman"/>
        </w:rPr>
        <w:t>competency-based</w:t>
      </w:r>
      <w:proofErr w:type="spellEnd"/>
      <w:r>
        <w:rPr>
          <w:rFonts w:ascii="Times New Roman" w:hAnsi="Times New Roman"/>
        </w:rPr>
        <w:t xml:space="preserve"> medical </w:t>
      </w:r>
      <w:proofErr w:type="spellStart"/>
      <w:r>
        <w:rPr>
          <w:rFonts w:ascii="Times New Roman" w:hAnsi="Times New Roman"/>
        </w:rPr>
        <w:t>education</w:t>
      </w:r>
      <w:proofErr w:type="spellEnd"/>
      <w:r>
        <w:rPr>
          <w:rFonts w:ascii="Times New Roman" w:hAnsi="Times New Roman"/>
        </w:rPr>
        <w:t xml:space="preserve">: a </w:t>
      </w:r>
      <w:proofErr w:type="spellStart"/>
      <w:r>
        <w:rPr>
          <w:rFonts w:ascii="Times New Roman" w:hAnsi="Times New Roman"/>
        </w:rPr>
        <w:t>systematized</w:t>
      </w:r>
      <w:proofErr w:type="spellEnd"/>
      <w:r>
        <w:rPr>
          <w:rFonts w:ascii="Times New Roman" w:hAnsi="Times New Roman"/>
        </w:rPr>
        <w:t xml:space="preserve"> </w:t>
      </w:r>
      <w:proofErr w:type="spellStart"/>
      <w:r>
        <w:rPr>
          <w:rFonts w:ascii="Times New Roman" w:hAnsi="Times New Roman"/>
        </w:rPr>
        <w:t>review</w:t>
      </w:r>
      <w:proofErr w:type="spellEnd"/>
      <w:r>
        <w:rPr>
          <w:rFonts w:ascii="Times New Roman" w:hAnsi="Times New Roman"/>
        </w:rPr>
        <w:t xml:space="preserve"> of </w:t>
      </w:r>
      <w:proofErr w:type="spellStart"/>
      <w:r>
        <w:rPr>
          <w:rFonts w:ascii="Times New Roman" w:hAnsi="Times New Roman"/>
        </w:rPr>
        <w:t>current</w:t>
      </w:r>
      <w:proofErr w:type="spellEnd"/>
      <w:r>
        <w:rPr>
          <w:rFonts w:ascii="Times New Roman" w:hAnsi="Times New Roman"/>
        </w:rPr>
        <w:t xml:space="preserve"> </w:t>
      </w:r>
      <w:proofErr w:type="spellStart"/>
      <w:r>
        <w:rPr>
          <w:rFonts w:ascii="Times New Roman" w:hAnsi="Times New Roman"/>
        </w:rPr>
        <w:t>practices</w:t>
      </w:r>
      <w:proofErr w:type="spellEnd"/>
      <w:r>
        <w:rPr>
          <w:rFonts w:ascii="Times New Roman" w:hAnsi="Times New Roman"/>
        </w:rPr>
        <w:t xml:space="preserve">. </w:t>
      </w:r>
      <w:r>
        <w:rPr>
          <w:rFonts w:ascii="Times New Roman" w:hAnsi="Times New Roman"/>
          <w:i/>
        </w:rPr>
        <w:t xml:space="preserve">BMC Medical </w:t>
      </w:r>
      <w:proofErr w:type="spellStart"/>
      <w:r>
        <w:rPr>
          <w:rFonts w:ascii="Times New Roman" w:hAnsi="Times New Roman"/>
          <w:i/>
        </w:rPr>
        <w:t>Education</w:t>
      </w:r>
      <w:proofErr w:type="spellEnd"/>
      <w:r>
        <w:rPr>
          <w:rFonts w:ascii="Times New Roman" w:hAnsi="Times New Roman"/>
          <w:i/>
        </w:rPr>
        <w:t>, 24</w:t>
      </w:r>
      <w:r>
        <w:rPr>
          <w:rFonts w:ascii="Times New Roman" w:hAnsi="Times New Roman"/>
        </w:rPr>
        <w:t>(1), Artículo 612. https://doi.org/10.1186/s12909-024-05609-6</w:t>
      </w:r>
    </w:p>
    <w:p w14:paraId="56A2EE0E" w14:textId="77777777" w:rsidR="00443FBB" w:rsidRDefault="00443FBB" w:rsidP="00443FBB">
      <w:pPr>
        <w:spacing w:after="240" w:line="240" w:lineRule="auto"/>
        <w:ind w:left="720" w:hanging="720"/>
        <w:jc w:val="both"/>
      </w:pPr>
      <w:r>
        <w:rPr>
          <w:rFonts w:ascii="Times New Roman" w:hAnsi="Times New Roman"/>
        </w:rPr>
        <w:t xml:space="preserve">Alemán, I., Patiño Torres, M., &amp; Vera León, E. (2025). Rediseño del programa de Bioquímica por competencias para la carrera de Medicina de la Escuela de Medicina José María Vargas. </w:t>
      </w:r>
      <w:r>
        <w:rPr>
          <w:rFonts w:ascii="Times New Roman" w:hAnsi="Times New Roman"/>
          <w:i/>
        </w:rPr>
        <w:t>Revista Digital de Postgrado, 14</w:t>
      </w:r>
      <w:r>
        <w:rPr>
          <w:rFonts w:ascii="Times New Roman" w:hAnsi="Times New Roman"/>
        </w:rPr>
        <w:t>(1), Artículo e416. https://doi.org/10.37910/RDP.2025.14.1.e416</w:t>
      </w:r>
    </w:p>
    <w:p w14:paraId="43936C86" w14:textId="77777777" w:rsidR="00443FBB" w:rsidRDefault="00443FBB" w:rsidP="00443FBB">
      <w:pPr>
        <w:spacing w:after="240" w:line="240" w:lineRule="auto"/>
        <w:ind w:left="720" w:hanging="720"/>
        <w:jc w:val="both"/>
      </w:pPr>
      <w:proofErr w:type="spellStart"/>
      <w:r>
        <w:rPr>
          <w:rFonts w:ascii="Times New Roman" w:hAnsi="Times New Roman"/>
        </w:rPr>
        <w:t>Association</w:t>
      </w:r>
      <w:proofErr w:type="spellEnd"/>
      <w:r>
        <w:rPr>
          <w:rFonts w:ascii="Times New Roman" w:hAnsi="Times New Roman"/>
        </w:rPr>
        <w:t xml:space="preserve"> of American Medical </w:t>
      </w:r>
      <w:proofErr w:type="spellStart"/>
      <w:r>
        <w:rPr>
          <w:rFonts w:ascii="Times New Roman" w:hAnsi="Times New Roman"/>
        </w:rPr>
        <w:t>Colleges</w:t>
      </w:r>
      <w:proofErr w:type="spellEnd"/>
      <w:r>
        <w:rPr>
          <w:rFonts w:ascii="Times New Roman" w:hAnsi="Times New Roman"/>
        </w:rPr>
        <w:t xml:space="preserve">. (2025). </w:t>
      </w:r>
      <w:proofErr w:type="spellStart"/>
      <w:r>
        <w:rPr>
          <w:rFonts w:ascii="Times New Roman" w:hAnsi="Times New Roman"/>
          <w:i/>
        </w:rPr>
        <w:t>Guidelines</w:t>
      </w:r>
      <w:proofErr w:type="spellEnd"/>
      <w:r>
        <w:rPr>
          <w:rFonts w:ascii="Times New Roman" w:hAnsi="Times New Roman"/>
          <w:i/>
        </w:rPr>
        <w:t xml:space="preserve"> </w:t>
      </w:r>
      <w:proofErr w:type="spellStart"/>
      <w:r>
        <w:rPr>
          <w:rFonts w:ascii="Times New Roman" w:hAnsi="Times New Roman"/>
          <w:i/>
        </w:rPr>
        <w:t>for</w:t>
      </w:r>
      <w:proofErr w:type="spellEnd"/>
      <w:r>
        <w:rPr>
          <w:rFonts w:ascii="Times New Roman" w:hAnsi="Times New Roman"/>
          <w:i/>
        </w:rPr>
        <w:t xml:space="preserve"> </w:t>
      </w:r>
      <w:proofErr w:type="spellStart"/>
      <w:r>
        <w:rPr>
          <w:rFonts w:ascii="Times New Roman" w:hAnsi="Times New Roman"/>
          <w:i/>
        </w:rPr>
        <w:t>large-scale</w:t>
      </w:r>
      <w:proofErr w:type="spellEnd"/>
      <w:r>
        <w:rPr>
          <w:rFonts w:ascii="Times New Roman" w:hAnsi="Times New Roman"/>
          <w:i/>
        </w:rPr>
        <w:t xml:space="preserve"> </w:t>
      </w:r>
      <w:proofErr w:type="spellStart"/>
      <w:r>
        <w:rPr>
          <w:rFonts w:ascii="Times New Roman" w:hAnsi="Times New Roman"/>
          <w:i/>
        </w:rPr>
        <w:t>assessment</w:t>
      </w:r>
      <w:proofErr w:type="spellEnd"/>
      <w:r>
        <w:rPr>
          <w:rFonts w:ascii="Times New Roman" w:hAnsi="Times New Roman"/>
          <w:i/>
        </w:rPr>
        <w:t xml:space="preserve"> and </w:t>
      </w:r>
      <w:proofErr w:type="spellStart"/>
      <w:r>
        <w:rPr>
          <w:rFonts w:ascii="Times New Roman" w:hAnsi="Times New Roman"/>
          <w:i/>
        </w:rPr>
        <w:t>milestone</w:t>
      </w:r>
      <w:proofErr w:type="spellEnd"/>
      <w:r>
        <w:rPr>
          <w:rFonts w:ascii="Times New Roman" w:hAnsi="Times New Roman"/>
          <w:i/>
        </w:rPr>
        <w:t xml:space="preserve"> tracking in </w:t>
      </w:r>
      <w:proofErr w:type="spellStart"/>
      <w:r>
        <w:rPr>
          <w:rFonts w:ascii="Times New Roman" w:hAnsi="Times New Roman"/>
          <w:i/>
        </w:rPr>
        <w:t>undergraduate</w:t>
      </w:r>
      <w:proofErr w:type="spellEnd"/>
      <w:r>
        <w:rPr>
          <w:rFonts w:ascii="Times New Roman" w:hAnsi="Times New Roman"/>
          <w:i/>
        </w:rPr>
        <w:t xml:space="preserve"> medical </w:t>
      </w:r>
      <w:proofErr w:type="spellStart"/>
      <w:r>
        <w:rPr>
          <w:rFonts w:ascii="Times New Roman" w:hAnsi="Times New Roman"/>
          <w:i/>
        </w:rPr>
        <w:t>education</w:t>
      </w:r>
      <w:proofErr w:type="spellEnd"/>
      <w:r>
        <w:rPr>
          <w:rFonts w:ascii="Times New Roman" w:hAnsi="Times New Roman"/>
        </w:rPr>
        <w:t xml:space="preserve">. AAMC </w:t>
      </w:r>
      <w:proofErr w:type="spellStart"/>
      <w:r>
        <w:rPr>
          <w:rFonts w:ascii="Times New Roman" w:hAnsi="Times New Roman"/>
        </w:rPr>
        <w:t>Consortium</w:t>
      </w:r>
      <w:proofErr w:type="spellEnd"/>
      <w:r>
        <w:rPr>
          <w:rFonts w:ascii="Times New Roman" w:hAnsi="Times New Roman"/>
        </w:rPr>
        <w:t xml:space="preserve"> </w:t>
      </w:r>
      <w:proofErr w:type="spellStart"/>
      <w:r>
        <w:rPr>
          <w:rFonts w:ascii="Times New Roman" w:hAnsi="Times New Roman"/>
        </w:rPr>
        <w:t>Press</w:t>
      </w:r>
      <w:proofErr w:type="spellEnd"/>
      <w:r>
        <w:rPr>
          <w:rFonts w:ascii="Times New Roman" w:hAnsi="Times New Roman"/>
        </w:rPr>
        <w:t>.</w:t>
      </w:r>
    </w:p>
    <w:p w14:paraId="09B71791" w14:textId="77777777" w:rsidR="00443FBB" w:rsidRDefault="00443FBB" w:rsidP="00443FBB">
      <w:pPr>
        <w:spacing w:after="240" w:line="240" w:lineRule="auto"/>
        <w:ind w:left="720" w:hanging="720"/>
        <w:jc w:val="both"/>
      </w:pPr>
      <w:proofErr w:type="spellStart"/>
      <w:r>
        <w:rPr>
          <w:rFonts w:ascii="Times New Roman" w:hAnsi="Times New Roman"/>
        </w:rPr>
        <w:t>Barrows</w:t>
      </w:r>
      <w:proofErr w:type="spellEnd"/>
      <w:r>
        <w:rPr>
          <w:rFonts w:ascii="Times New Roman" w:hAnsi="Times New Roman"/>
        </w:rPr>
        <w:t xml:space="preserve">, H. S. (1996). </w:t>
      </w:r>
      <w:proofErr w:type="spellStart"/>
      <w:r>
        <w:rPr>
          <w:rFonts w:ascii="Times New Roman" w:hAnsi="Times New Roman"/>
        </w:rPr>
        <w:t>Problem-based</w:t>
      </w:r>
      <w:proofErr w:type="spellEnd"/>
      <w:r>
        <w:rPr>
          <w:rFonts w:ascii="Times New Roman" w:hAnsi="Times New Roman"/>
        </w:rPr>
        <w:t xml:space="preserve"> </w:t>
      </w:r>
      <w:proofErr w:type="spellStart"/>
      <w:r>
        <w:rPr>
          <w:rFonts w:ascii="Times New Roman" w:hAnsi="Times New Roman"/>
        </w:rPr>
        <w:t>learning</w:t>
      </w:r>
      <w:proofErr w:type="spellEnd"/>
      <w:r>
        <w:rPr>
          <w:rFonts w:ascii="Times New Roman" w:hAnsi="Times New Roman"/>
        </w:rPr>
        <w:t xml:space="preserve"> in medicine and </w:t>
      </w:r>
      <w:proofErr w:type="spellStart"/>
      <w:r>
        <w:rPr>
          <w:rFonts w:ascii="Times New Roman" w:hAnsi="Times New Roman"/>
        </w:rPr>
        <w:t>beyond</w:t>
      </w:r>
      <w:proofErr w:type="spellEnd"/>
      <w:r>
        <w:rPr>
          <w:rFonts w:ascii="Times New Roman" w:hAnsi="Times New Roman"/>
        </w:rPr>
        <w:t xml:space="preserve">: A </w:t>
      </w:r>
      <w:proofErr w:type="spellStart"/>
      <w:r>
        <w:rPr>
          <w:rFonts w:ascii="Times New Roman" w:hAnsi="Times New Roman"/>
        </w:rPr>
        <w:t>brief</w:t>
      </w:r>
      <w:proofErr w:type="spellEnd"/>
      <w:r>
        <w:rPr>
          <w:rFonts w:ascii="Times New Roman" w:hAnsi="Times New Roman"/>
        </w:rPr>
        <w:t xml:space="preserve"> </w:t>
      </w:r>
      <w:proofErr w:type="spellStart"/>
      <w:r>
        <w:rPr>
          <w:rFonts w:ascii="Times New Roman" w:hAnsi="Times New Roman"/>
        </w:rPr>
        <w:t>overview</w:t>
      </w:r>
      <w:proofErr w:type="spellEnd"/>
      <w:r>
        <w:rPr>
          <w:rFonts w:ascii="Times New Roman" w:hAnsi="Times New Roman"/>
        </w:rPr>
        <w:t xml:space="preserve">. </w:t>
      </w:r>
      <w:r>
        <w:rPr>
          <w:rFonts w:ascii="Times New Roman" w:hAnsi="Times New Roman"/>
          <w:i/>
        </w:rPr>
        <w:t xml:space="preserve">New </w:t>
      </w:r>
      <w:proofErr w:type="spellStart"/>
      <w:r>
        <w:rPr>
          <w:rFonts w:ascii="Times New Roman" w:hAnsi="Times New Roman"/>
          <w:i/>
        </w:rPr>
        <w:t>Directions</w:t>
      </w:r>
      <w:proofErr w:type="spellEnd"/>
      <w:r>
        <w:rPr>
          <w:rFonts w:ascii="Times New Roman" w:hAnsi="Times New Roman"/>
          <w:i/>
        </w:rPr>
        <w:t xml:space="preserve"> </w:t>
      </w:r>
      <w:proofErr w:type="spellStart"/>
      <w:r>
        <w:rPr>
          <w:rFonts w:ascii="Times New Roman" w:hAnsi="Times New Roman"/>
          <w:i/>
        </w:rPr>
        <w:t>for</w:t>
      </w:r>
      <w:proofErr w:type="spellEnd"/>
      <w:r>
        <w:rPr>
          <w:rFonts w:ascii="Times New Roman" w:hAnsi="Times New Roman"/>
          <w:i/>
        </w:rPr>
        <w:t xml:space="preserve"> </w:t>
      </w:r>
      <w:proofErr w:type="spellStart"/>
      <w:r>
        <w:rPr>
          <w:rFonts w:ascii="Times New Roman" w:hAnsi="Times New Roman"/>
          <w:i/>
        </w:rPr>
        <w:t>Teaching</w:t>
      </w:r>
      <w:proofErr w:type="spellEnd"/>
      <w:r>
        <w:rPr>
          <w:rFonts w:ascii="Times New Roman" w:hAnsi="Times New Roman"/>
          <w:i/>
        </w:rPr>
        <w:t xml:space="preserve"> and </w:t>
      </w:r>
      <w:proofErr w:type="spellStart"/>
      <w:r>
        <w:rPr>
          <w:rFonts w:ascii="Times New Roman" w:hAnsi="Times New Roman"/>
          <w:i/>
        </w:rPr>
        <w:t>Learning</w:t>
      </w:r>
      <w:proofErr w:type="spellEnd"/>
      <w:r>
        <w:rPr>
          <w:rFonts w:ascii="Times New Roman" w:hAnsi="Times New Roman"/>
          <w:i/>
        </w:rPr>
        <w:t>, 1996</w:t>
      </w:r>
      <w:r>
        <w:rPr>
          <w:rFonts w:ascii="Times New Roman" w:hAnsi="Times New Roman"/>
        </w:rPr>
        <w:t>(68), 3–12. http://dx.doi.org/10.1002/tl.37219966804</w:t>
      </w:r>
    </w:p>
    <w:p w14:paraId="500FC2B5" w14:textId="77777777" w:rsidR="00443FBB" w:rsidRDefault="00443FBB" w:rsidP="00443FBB">
      <w:pPr>
        <w:spacing w:after="240" w:line="240" w:lineRule="auto"/>
        <w:ind w:left="720" w:hanging="720"/>
        <w:jc w:val="both"/>
      </w:pPr>
      <w:proofErr w:type="spellStart"/>
      <w:r>
        <w:rPr>
          <w:rFonts w:ascii="Times New Roman" w:hAnsi="Times New Roman"/>
        </w:rPr>
        <w:t>Bernik</w:t>
      </w:r>
      <w:proofErr w:type="spellEnd"/>
      <w:r>
        <w:rPr>
          <w:rFonts w:ascii="Times New Roman" w:hAnsi="Times New Roman"/>
        </w:rPr>
        <w:t xml:space="preserve">, J., &amp; Luna, V. (2019). Pensar la formación universitaria entre disciplinas y entre instituciones. </w:t>
      </w:r>
      <w:r>
        <w:rPr>
          <w:rFonts w:ascii="Times New Roman" w:hAnsi="Times New Roman"/>
          <w:i/>
        </w:rPr>
        <w:t>Intercambios. Dilemas y Transiciones de la Educación Superior, 6</w:t>
      </w:r>
      <w:r>
        <w:rPr>
          <w:rFonts w:ascii="Times New Roman" w:hAnsi="Times New Roman"/>
        </w:rPr>
        <w:t>(1), 160–171. https://ojs.intercambios.cse.udelar.edu.uy/index.php/ic/article/view/183</w:t>
      </w:r>
    </w:p>
    <w:p w14:paraId="07AD79F7" w14:textId="77777777" w:rsidR="00443FBB" w:rsidRDefault="00443FBB" w:rsidP="00443FBB">
      <w:pPr>
        <w:spacing w:after="240" w:line="240" w:lineRule="auto"/>
        <w:ind w:left="720" w:hanging="720"/>
        <w:jc w:val="both"/>
      </w:pPr>
      <w:proofErr w:type="spellStart"/>
      <w:r>
        <w:rPr>
          <w:rFonts w:ascii="Times New Roman" w:hAnsi="Times New Roman"/>
        </w:rPr>
        <w:t>Carlino</w:t>
      </w:r>
      <w:proofErr w:type="spellEnd"/>
      <w:r>
        <w:rPr>
          <w:rFonts w:ascii="Times New Roman" w:hAnsi="Times New Roman"/>
        </w:rPr>
        <w:t xml:space="preserve">, F. (2021). De la alienación al alineamiento constructivo. Más allá de la trampa mecanicista. </w:t>
      </w:r>
      <w:r>
        <w:rPr>
          <w:rFonts w:ascii="Times New Roman" w:hAnsi="Times New Roman"/>
          <w:i/>
        </w:rPr>
        <w:t>Cuaderno de Pedagogía Universitaria, 18</w:t>
      </w:r>
      <w:r>
        <w:rPr>
          <w:rFonts w:ascii="Times New Roman" w:hAnsi="Times New Roman"/>
        </w:rPr>
        <w:t>(35), 58–70. https://doi.org/10.29197/cpu.v18i35.419</w:t>
      </w:r>
    </w:p>
    <w:p w14:paraId="252CB4E6" w14:textId="77777777" w:rsidR="00443FBB" w:rsidRDefault="00443FBB" w:rsidP="00443FBB">
      <w:pPr>
        <w:spacing w:after="240" w:line="240" w:lineRule="auto"/>
        <w:ind w:left="720" w:hanging="720"/>
        <w:jc w:val="both"/>
      </w:pPr>
      <w:proofErr w:type="spellStart"/>
      <w:r>
        <w:rPr>
          <w:rFonts w:ascii="Times New Roman" w:hAnsi="Times New Roman"/>
        </w:rPr>
        <w:t>Coll</w:t>
      </w:r>
      <w:proofErr w:type="spellEnd"/>
      <w:r>
        <w:rPr>
          <w:rFonts w:ascii="Times New Roman" w:hAnsi="Times New Roman"/>
        </w:rPr>
        <w:t xml:space="preserve">, C., Martín, E., &amp; </w:t>
      </w:r>
      <w:proofErr w:type="spellStart"/>
      <w:r>
        <w:rPr>
          <w:rFonts w:ascii="Times New Roman" w:hAnsi="Times New Roman"/>
        </w:rPr>
        <w:t>Marchesi</w:t>
      </w:r>
      <w:proofErr w:type="spellEnd"/>
      <w:r>
        <w:rPr>
          <w:rFonts w:ascii="Times New Roman" w:hAnsi="Times New Roman"/>
        </w:rPr>
        <w:t>, Á. (</w:t>
      </w:r>
      <w:proofErr w:type="spellStart"/>
      <w:r>
        <w:rPr>
          <w:rFonts w:ascii="Times New Roman" w:hAnsi="Times New Roman"/>
        </w:rPr>
        <w:t>Dirs</w:t>
      </w:r>
      <w:proofErr w:type="spellEnd"/>
      <w:r>
        <w:rPr>
          <w:rFonts w:ascii="Times New Roman" w:hAnsi="Times New Roman"/>
        </w:rPr>
        <w:t xml:space="preserve">.). (2023). </w:t>
      </w:r>
      <w:r>
        <w:rPr>
          <w:rFonts w:ascii="Times New Roman" w:hAnsi="Times New Roman"/>
          <w:i/>
        </w:rPr>
        <w:t>Nuevo currículo, nuevos desafíos educativos</w:t>
      </w:r>
      <w:r>
        <w:rPr>
          <w:rFonts w:ascii="Times New Roman" w:hAnsi="Times New Roman"/>
        </w:rPr>
        <w:t>. PPC.</w:t>
      </w:r>
    </w:p>
    <w:p w14:paraId="3F24AFED" w14:textId="77777777" w:rsidR="00443FBB" w:rsidRDefault="00443FBB" w:rsidP="00443FBB">
      <w:pPr>
        <w:spacing w:after="240" w:line="240" w:lineRule="auto"/>
        <w:ind w:left="720" w:hanging="720"/>
        <w:jc w:val="both"/>
      </w:pPr>
      <w:proofErr w:type="spellStart"/>
      <w:r>
        <w:rPr>
          <w:rFonts w:ascii="Times New Roman" w:hAnsi="Times New Roman"/>
        </w:rPr>
        <w:t>Corazza</w:t>
      </w:r>
      <w:proofErr w:type="spellEnd"/>
      <w:r>
        <w:rPr>
          <w:rFonts w:ascii="Times New Roman" w:hAnsi="Times New Roman"/>
        </w:rPr>
        <w:t xml:space="preserve">, L., </w:t>
      </w:r>
      <w:proofErr w:type="spellStart"/>
      <w:r>
        <w:rPr>
          <w:rFonts w:ascii="Times New Roman" w:hAnsi="Times New Roman"/>
        </w:rPr>
        <w:t>Shirkhani</w:t>
      </w:r>
      <w:proofErr w:type="spellEnd"/>
      <w:r>
        <w:rPr>
          <w:rFonts w:ascii="Times New Roman" w:hAnsi="Times New Roman"/>
        </w:rPr>
        <w:t xml:space="preserve">, S., </w:t>
      </w:r>
      <w:proofErr w:type="spellStart"/>
      <w:r>
        <w:rPr>
          <w:rFonts w:ascii="Times New Roman" w:hAnsi="Times New Roman"/>
        </w:rPr>
        <w:t>Berberat</w:t>
      </w:r>
      <w:proofErr w:type="spellEnd"/>
      <w:r>
        <w:rPr>
          <w:rFonts w:ascii="Times New Roman" w:hAnsi="Times New Roman"/>
        </w:rPr>
        <w:t xml:space="preserve">, P. O., &amp; </w:t>
      </w:r>
      <w:proofErr w:type="spellStart"/>
      <w:r>
        <w:rPr>
          <w:rFonts w:ascii="Times New Roman" w:hAnsi="Times New Roman"/>
        </w:rPr>
        <w:t>Wijnen-Meijer</w:t>
      </w:r>
      <w:proofErr w:type="spellEnd"/>
      <w:r>
        <w:rPr>
          <w:rFonts w:ascii="Times New Roman" w:hAnsi="Times New Roman"/>
        </w:rPr>
        <w:t xml:space="preserve">, M. (2024). </w:t>
      </w:r>
      <w:proofErr w:type="spellStart"/>
      <w:r>
        <w:rPr>
          <w:rFonts w:ascii="Times New Roman" w:hAnsi="Times New Roman"/>
        </w:rPr>
        <w:t>Impact</w:t>
      </w:r>
      <w:proofErr w:type="spellEnd"/>
      <w:r>
        <w:rPr>
          <w:rFonts w:ascii="Times New Roman" w:hAnsi="Times New Roman"/>
        </w:rPr>
        <w:t xml:space="preserve"> of modular </w:t>
      </w:r>
      <w:proofErr w:type="spellStart"/>
      <w:r>
        <w:rPr>
          <w:rFonts w:ascii="Times New Roman" w:hAnsi="Times New Roman"/>
        </w:rPr>
        <w:t>curricula</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w:t>
      </w:r>
      <w:proofErr w:type="spellStart"/>
      <w:r>
        <w:rPr>
          <w:rFonts w:ascii="Times New Roman" w:hAnsi="Times New Roman"/>
        </w:rPr>
        <w:t>student</w:t>
      </w:r>
      <w:proofErr w:type="spellEnd"/>
      <w:r>
        <w:rPr>
          <w:rFonts w:ascii="Times New Roman" w:hAnsi="Times New Roman"/>
        </w:rPr>
        <w:t xml:space="preserve"> </w:t>
      </w:r>
      <w:proofErr w:type="spellStart"/>
      <w:r>
        <w:rPr>
          <w:rFonts w:ascii="Times New Roman" w:hAnsi="Times New Roman"/>
        </w:rPr>
        <w:t>learning</w:t>
      </w:r>
      <w:proofErr w:type="spellEnd"/>
      <w:r>
        <w:rPr>
          <w:rFonts w:ascii="Times New Roman" w:hAnsi="Times New Roman"/>
        </w:rPr>
        <w:t xml:space="preserve"> </w:t>
      </w:r>
      <w:proofErr w:type="spellStart"/>
      <w:r>
        <w:rPr>
          <w:rFonts w:ascii="Times New Roman" w:hAnsi="Times New Roman"/>
        </w:rPr>
        <w:t>outcomes</w:t>
      </w:r>
      <w:proofErr w:type="spellEnd"/>
      <w:r>
        <w:rPr>
          <w:rFonts w:ascii="Times New Roman" w:hAnsi="Times New Roman"/>
        </w:rPr>
        <w:t xml:space="preserve"> in medical </w:t>
      </w:r>
      <w:proofErr w:type="spellStart"/>
      <w:r>
        <w:rPr>
          <w:rFonts w:ascii="Times New Roman" w:hAnsi="Times New Roman"/>
        </w:rPr>
        <w:t>education</w:t>
      </w:r>
      <w:proofErr w:type="spellEnd"/>
      <w:r>
        <w:rPr>
          <w:rFonts w:ascii="Times New Roman" w:hAnsi="Times New Roman"/>
        </w:rPr>
        <w:t xml:space="preserve">: a </w:t>
      </w:r>
      <w:proofErr w:type="spellStart"/>
      <w:r>
        <w:rPr>
          <w:rFonts w:ascii="Times New Roman" w:hAnsi="Times New Roman"/>
        </w:rPr>
        <w:t>comparative</w:t>
      </w:r>
      <w:proofErr w:type="spellEnd"/>
      <w:r>
        <w:rPr>
          <w:rFonts w:ascii="Times New Roman" w:hAnsi="Times New Roman"/>
        </w:rPr>
        <w:t xml:space="preserve"> </w:t>
      </w:r>
      <w:proofErr w:type="spellStart"/>
      <w:r>
        <w:rPr>
          <w:rFonts w:ascii="Times New Roman" w:hAnsi="Times New Roman"/>
        </w:rPr>
        <w:t>study</w:t>
      </w:r>
      <w:proofErr w:type="spellEnd"/>
      <w:r>
        <w:rPr>
          <w:rFonts w:ascii="Times New Roman" w:hAnsi="Times New Roman"/>
        </w:rPr>
        <w:t xml:space="preserve">. </w:t>
      </w:r>
      <w:r>
        <w:rPr>
          <w:rFonts w:ascii="Times New Roman" w:hAnsi="Times New Roman"/>
          <w:i/>
        </w:rPr>
        <w:t xml:space="preserve">Medical </w:t>
      </w:r>
      <w:proofErr w:type="spellStart"/>
      <w:r>
        <w:rPr>
          <w:rFonts w:ascii="Times New Roman" w:hAnsi="Times New Roman"/>
          <w:i/>
        </w:rPr>
        <w:t>Education</w:t>
      </w:r>
      <w:proofErr w:type="spellEnd"/>
      <w:r>
        <w:rPr>
          <w:rFonts w:ascii="Times New Roman" w:hAnsi="Times New Roman"/>
          <w:i/>
        </w:rPr>
        <w:t xml:space="preserve"> Online, 29</w:t>
      </w:r>
      <w:r>
        <w:rPr>
          <w:rFonts w:ascii="Times New Roman" w:hAnsi="Times New Roman"/>
        </w:rPr>
        <w:t>(1), Artículo 2301452. https://doi.org/10.1080/10872981.2024.2301452</w:t>
      </w:r>
    </w:p>
    <w:p w14:paraId="7D7DDECD" w14:textId="77777777" w:rsidR="00443FBB" w:rsidRDefault="00443FBB" w:rsidP="00443FBB">
      <w:pPr>
        <w:spacing w:after="240" w:line="240" w:lineRule="auto"/>
        <w:ind w:left="720" w:hanging="720"/>
        <w:jc w:val="both"/>
      </w:pPr>
      <w:proofErr w:type="spellStart"/>
      <w:r>
        <w:rPr>
          <w:rFonts w:ascii="Times New Roman" w:hAnsi="Times New Roman"/>
        </w:rPr>
        <w:t>Wiggins</w:t>
      </w:r>
      <w:proofErr w:type="spellEnd"/>
      <w:r>
        <w:rPr>
          <w:rFonts w:ascii="Times New Roman" w:hAnsi="Times New Roman"/>
        </w:rPr>
        <w:t xml:space="preserve">, G., &amp; </w:t>
      </w:r>
      <w:proofErr w:type="spellStart"/>
      <w:r>
        <w:rPr>
          <w:rFonts w:ascii="Times New Roman" w:hAnsi="Times New Roman"/>
        </w:rPr>
        <w:t>McTighe</w:t>
      </w:r>
      <w:proofErr w:type="spellEnd"/>
      <w:r>
        <w:rPr>
          <w:rFonts w:ascii="Times New Roman" w:hAnsi="Times New Roman"/>
        </w:rPr>
        <w:t xml:space="preserve">, J. (2005). </w:t>
      </w:r>
      <w:proofErr w:type="spellStart"/>
      <w:r>
        <w:rPr>
          <w:rFonts w:ascii="Times New Roman" w:hAnsi="Times New Roman"/>
          <w:i/>
        </w:rPr>
        <w:t>Understanding</w:t>
      </w:r>
      <w:proofErr w:type="spellEnd"/>
      <w:r>
        <w:rPr>
          <w:rFonts w:ascii="Times New Roman" w:hAnsi="Times New Roman"/>
          <w:i/>
        </w:rPr>
        <w:t xml:space="preserve"> </w:t>
      </w:r>
      <w:proofErr w:type="spellStart"/>
      <w:r>
        <w:rPr>
          <w:rFonts w:ascii="Times New Roman" w:hAnsi="Times New Roman"/>
          <w:i/>
        </w:rPr>
        <w:t>by</w:t>
      </w:r>
      <w:proofErr w:type="spellEnd"/>
      <w:r>
        <w:rPr>
          <w:rFonts w:ascii="Times New Roman" w:hAnsi="Times New Roman"/>
          <w:i/>
        </w:rPr>
        <w:t xml:space="preserve"> </w:t>
      </w:r>
      <w:proofErr w:type="spellStart"/>
      <w:r>
        <w:rPr>
          <w:rFonts w:ascii="Times New Roman" w:hAnsi="Times New Roman"/>
          <w:i/>
        </w:rPr>
        <w:t>design</w:t>
      </w:r>
      <w:proofErr w:type="spellEnd"/>
      <w:r>
        <w:rPr>
          <w:rFonts w:ascii="Times New Roman" w:hAnsi="Times New Roman"/>
        </w:rPr>
        <w:t xml:space="preserve"> (2</w:t>
      </w:r>
      <w:proofErr w:type="gramStart"/>
      <w:r>
        <w:rPr>
          <w:rFonts w:ascii="Times New Roman" w:hAnsi="Times New Roman"/>
        </w:rPr>
        <w:t>.ª</w:t>
      </w:r>
      <w:proofErr w:type="gramEnd"/>
      <w:r>
        <w:rPr>
          <w:rFonts w:ascii="Times New Roman" w:hAnsi="Times New Roman"/>
        </w:rPr>
        <w:t xml:space="preserve"> ed.). </w:t>
      </w:r>
      <w:proofErr w:type="spellStart"/>
      <w:r>
        <w:rPr>
          <w:rFonts w:ascii="Times New Roman" w:hAnsi="Times New Roman"/>
        </w:rPr>
        <w:t>Association</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Supervision</w:t>
      </w:r>
      <w:proofErr w:type="spellEnd"/>
      <w:r>
        <w:rPr>
          <w:rFonts w:ascii="Times New Roman" w:hAnsi="Times New Roman"/>
        </w:rPr>
        <w:t xml:space="preserve"> and </w:t>
      </w:r>
      <w:proofErr w:type="spellStart"/>
      <w:r>
        <w:rPr>
          <w:rFonts w:ascii="Times New Roman" w:hAnsi="Times New Roman"/>
        </w:rPr>
        <w:t>Curriculum</w:t>
      </w:r>
      <w:proofErr w:type="spellEnd"/>
      <w:r>
        <w:rPr>
          <w:rFonts w:ascii="Times New Roman" w:hAnsi="Times New Roman"/>
        </w:rPr>
        <w:t xml:space="preserve"> </w:t>
      </w:r>
      <w:proofErr w:type="spellStart"/>
      <w:r>
        <w:rPr>
          <w:rFonts w:ascii="Times New Roman" w:hAnsi="Times New Roman"/>
        </w:rPr>
        <w:t>Development</w:t>
      </w:r>
      <w:proofErr w:type="spellEnd"/>
      <w:r>
        <w:rPr>
          <w:rFonts w:ascii="Times New Roman" w:hAnsi="Times New Roman"/>
        </w:rPr>
        <w:t xml:space="preserve"> (ASCD).</w:t>
      </w:r>
    </w:p>
    <w:p w14:paraId="60D95828" w14:textId="77777777" w:rsidR="00443FBB" w:rsidRDefault="00443FBB" w:rsidP="00443FBB">
      <w:pPr>
        <w:spacing w:after="240" w:line="240" w:lineRule="auto"/>
        <w:ind w:left="720" w:hanging="720"/>
        <w:jc w:val="both"/>
      </w:pPr>
      <w:r>
        <w:rPr>
          <w:rFonts w:ascii="Times New Roman" w:hAnsi="Times New Roman"/>
        </w:rPr>
        <w:t xml:space="preserve">Díaz-Barriga, F. (2021). Estrategias docentes para un aprendizaje significativo: una interpretación constructivista. </w:t>
      </w:r>
      <w:r>
        <w:rPr>
          <w:rFonts w:ascii="Times New Roman" w:hAnsi="Times New Roman"/>
          <w:i/>
        </w:rPr>
        <w:t>Revista Electrónica de Investigación Educativa, 23</w:t>
      </w:r>
      <w:r>
        <w:rPr>
          <w:rFonts w:ascii="Times New Roman" w:hAnsi="Times New Roman"/>
        </w:rPr>
        <w:t>(2), 1–15. https://doi.org/10.24201/redie.v23i2.3456</w:t>
      </w:r>
    </w:p>
    <w:p w14:paraId="0D17CFC6" w14:textId="77777777" w:rsidR="00443FBB" w:rsidRDefault="00443FBB" w:rsidP="00443FBB">
      <w:pPr>
        <w:spacing w:after="240" w:line="240" w:lineRule="auto"/>
        <w:ind w:left="720" w:hanging="720"/>
        <w:jc w:val="both"/>
      </w:pPr>
      <w:proofErr w:type="spellStart"/>
      <w:r>
        <w:rPr>
          <w:rFonts w:ascii="Times New Roman" w:hAnsi="Times New Roman"/>
        </w:rPr>
        <w:t>Dent</w:t>
      </w:r>
      <w:proofErr w:type="spellEnd"/>
      <w:r>
        <w:rPr>
          <w:rFonts w:ascii="Times New Roman" w:hAnsi="Times New Roman"/>
        </w:rPr>
        <w:t xml:space="preserve">, J., </w:t>
      </w:r>
      <w:proofErr w:type="spellStart"/>
      <w:r>
        <w:rPr>
          <w:rFonts w:ascii="Times New Roman" w:hAnsi="Times New Roman"/>
        </w:rPr>
        <w:t>Harden</w:t>
      </w:r>
      <w:proofErr w:type="spellEnd"/>
      <w:r>
        <w:rPr>
          <w:rFonts w:ascii="Times New Roman" w:hAnsi="Times New Roman"/>
        </w:rPr>
        <w:t xml:space="preserve">, R. M., &amp; </w:t>
      </w:r>
      <w:proofErr w:type="spellStart"/>
      <w:r>
        <w:rPr>
          <w:rFonts w:ascii="Times New Roman" w:hAnsi="Times New Roman"/>
        </w:rPr>
        <w:t>Hunt</w:t>
      </w:r>
      <w:proofErr w:type="spellEnd"/>
      <w:r>
        <w:rPr>
          <w:rFonts w:ascii="Times New Roman" w:hAnsi="Times New Roman"/>
        </w:rPr>
        <w:t xml:space="preserve">, D. (2021). </w:t>
      </w:r>
      <w:proofErr w:type="spellStart"/>
      <w:r>
        <w:rPr>
          <w:rFonts w:ascii="Times New Roman" w:hAnsi="Times New Roman"/>
        </w:rPr>
        <w:t>Practical</w:t>
      </w:r>
      <w:proofErr w:type="spellEnd"/>
      <w:r>
        <w:rPr>
          <w:rFonts w:ascii="Times New Roman" w:hAnsi="Times New Roman"/>
        </w:rPr>
        <w:t xml:space="preserve"> </w:t>
      </w:r>
      <w:proofErr w:type="spellStart"/>
      <w:r>
        <w:rPr>
          <w:rFonts w:ascii="Times New Roman" w:hAnsi="Times New Roman"/>
        </w:rPr>
        <w:t>guide</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medical </w:t>
      </w:r>
      <w:proofErr w:type="spellStart"/>
      <w:r>
        <w:rPr>
          <w:rFonts w:ascii="Times New Roman" w:hAnsi="Times New Roman"/>
        </w:rPr>
        <w:t>teachers</w:t>
      </w:r>
      <w:proofErr w:type="spellEnd"/>
      <w:r>
        <w:rPr>
          <w:rFonts w:ascii="Times New Roman" w:hAnsi="Times New Roman"/>
        </w:rPr>
        <w:t xml:space="preserve"> (6</w:t>
      </w:r>
      <w:proofErr w:type="gramStart"/>
      <w:r>
        <w:rPr>
          <w:rFonts w:ascii="Times New Roman" w:hAnsi="Times New Roman"/>
        </w:rPr>
        <w:t>.ª</w:t>
      </w:r>
      <w:proofErr w:type="gramEnd"/>
      <w:r>
        <w:rPr>
          <w:rFonts w:ascii="Times New Roman" w:hAnsi="Times New Roman"/>
        </w:rPr>
        <w:t xml:space="preserve"> ed.). </w:t>
      </w:r>
      <w:proofErr w:type="spellStart"/>
      <w:r>
        <w:rPr>
          <w:rFonts w:ascii="Times New Roman" w:hAnsi="Times New Roman"/>
        </w:rPr>
        <w:t>Elsevier</w:t>
      </w:r>
      <w:proofErr w:type="spellEnd"/>
      <w:r>
        <w:rPr>
          <w:rFonts w:ascii="Times New Roman" w:hAnsi="Times New Roman"/>
        </w:rPr>
        <w:t>.</w:t>
      </w:r>
    </w:p>
    <w:p w14:paraId="658A9F37" w14:textId="77777777" w:rsidR="00443FBB" w:rsidRDefault="00443FBB" w:rsidP="00443FBB">
      <w:pPr>
        <w:spacing w:after="240" w:line="240" w:lineRule="auto"/>
        <w:ind w:left="720" w:hanging="720"/>
        <w:jc w:val="both"/>
      </w:pPr>
      <w:r>
        <w:rPr>
          <w:rFonts w:ascii="Times New Roman" w:hAnsi="Times New Roman"/>
        </w:rPr>
        <w:t xml:space="preserve">Frank, J. R., Hall, A. K., </w:t>
      </w:r>
      <w:proofErr w:type="spellStart"/>
      <w:r>
        <w:rPr>
          <w:rFonts w:ascii="Times New Roman" w:hAnsi="Times New Roman"/>
        </w:rPr>
        <w:t>Oswald</w:t>
      </w:r>
      <w:proofErr w:type="spellEnd"/>
      <w:r>
        <w:rPr>
          <w:rFonts w:ascii="Times New Roman" w:hAnsi="Times New Roman"/>
        </w:rPr>
        <w:t xml:space="preserve">, A., </w:t>
      </w:r>
      <w:proofErr w:type="spellStart"/>
      <w:r>
        <w:rPr>
          <w:rFonts w:ascii="Times New Roman" w:hAnsi="Times New Roman"/>
        </w:rPr>
        <w:t>Dagnone</w:t>
      </w:r>
      <w:proofErr w:type="spellEnd"/>
      <w:r>
        <w:rPr>
          <w:rFonts w:ascii="Times New Roman" w:hAnsi="Times New Roman"/>
        </w:rPr>
        <w:t xml:space="preserve">, J. D., Brand, P. L. P., &amp; </w:t>
      </w:r>
      <w:proofErr w:type="spellStart"/>
      <w:r>
        <w:rPr>
          <w:rFonts w:ascii="Times New Roman" w:hAnsi="Times New Roman"/>
        </w:rPr>
        <w:t>Reznick</w:t>
      </w:r>
      <w:proofErr w:type="spellEnd"/>
      <w:r>
        <w:rPr>
          <w:rFonts w:ascii="Times New Roman" w:hAnsi="Times New Roman"/>
        </w:rPr>
        <w:t xml:space="preserve">, R. (2024). </w:t>
      </w:r>
      <w:proofErr w:type="spellStart"/>
      <w:r>
        <w:rPr>
          <w:rFonts w:ascii="Times New Roman" w:hAnsi="Times New Roman"/>
        </w:rPr>
        <w:t>From</w:t>
      </w:r>
      <w:proofErr w:type="spellEnd"/>
      <w:r>
        <w:rPr>
          <w:rFonts w:ascii="Times New Roman" w:hAnsi="Times New Roman"/>
        </w:rPr>
        <w:t xml:space="preserve"> </w:t>
      </w:r>
      <w:proofErr w:type="spellStart"/>
      <w:r>
        <w:rPr>
          <w:rFonts w:ascii="Times New Roman" w:hAnsi="Times New Roman"/>
        </w:rPr>
        <w:t>competence</w:t>
      </w:r>
      <w:proofErr w:type="spellEnd"/>
      <w:r>
        <w:rPr>
          <w:rFonts w:ascii="Times New Roman" w:hAnsi="Times New Roman"/>
        </w:rPr>
        <w:t xml:space="preserve"> </w:t>
      </w:r>
      <w:proofErr w:type="spellStart"/>
      <w:r>
        <w:rPr>
          <w:rFonts w:ascii="Times New Roman" w:hAnsi="Times New Roman"/>
        </w:rPr>
        <w:t>by</w:t>
      </w:r>
      <w:proofErr w:type="spellEnd"/>
      <w:r>
        <w:rPr>
          <w:rFonts w:ascii="Times New Roman" w:hAnsi="Times New Roman"/>
        </w:rPr>
        <w:t xml:space="preserve"> time to </w:t>
      </w:r>
      <w:proofErr w:type="spellStart"/>
      <w:r>
        <w:rPr>
          <w:rFonts w:ascii="Times New Roman" w:hAnsi="Times New Roman"/>
        </w:rPr>
        <w:t>competence</w:t>
      </w:r>
      <w:proofErr w:type="spellEnd"/>
      <w:r>
        <w:rPr>
          <w:rFonts w:ascii="Times New Roman" w:hAnsi="Times New Roman"/>
        </w:rPr>
        <w:t xml:space="preserve"> </w:t>
      </w:r>
      <w:proofErr w:type="spellStart"/>
      <w:r>
        <w:rPr>
          <w:rFonts w:ascii="Times New Roman" w:hAnsi="Times New Roman"/>
        </w:rPr>
        <w:t>by</w:t>
      </w:r>
      <w:proofErr w:type="spellEnd"/>
      <w:r>
        <w:rPr>
          <w:rFonts w:ascii="Times New Roman" w:hAnsi="Times New Roman"/>
        </w:rPr>
        <w:t xml:space="preserve"> </w:t>
      </w:r>
      <w:proofErr w:type="spellStart"/>
      <w:r>
        <w:rPr>
          <w:rFonts w:ascii="Times New Roman" w:hAnsi="Times New Roman"/>
        </w:rPr>
        <w:t>design</w:t>
      </w:r>
      <w:proofErr w:type="spellEnd"/>
      <w:r>
        <w:rPr>
          <w:rFonts w:ascii="Times New Roman" w:hAnsi="Times New Roman"/>
        </w:rPr>
        <w:t xml:space="preserve">: </w:t>
      </w:r>
      <w:proofErr w:type="spellStart"/>
      <w:r>
        <w:rPr>
          <w:rFonts w:ascii="Times New Roman" w:hAnsi="Times New Roman"/>
        </w:rPr>
        <w:t>Lessons</w:t>
      </w:r>
      <w:proofErr w:type="spellEnd"/>
      <w:r>
        <w:rPr>
          <w:rFonts w:ascii="Times New Roman" w:hAnsi="Times New Roman"/>
        </w:rPr>
        <w:t xml:space="preserve"> </w:t>
      </w:r>
      <w:proofErr w:type="spellStart"/>
      <w:r>
        <w:rPr>
          <w:rFonts w:ascii="Times New Roman" w:hAnsi="Times New Roman"/>
        </w:rPr>
        <w:t>from</w:t>
      </w:r>
      <w:proofErr w:type="spellEnd"/>
      <w:r>
        <w:rPr>
          <w:rFonts w:ascii="Times New Roman" w:hAnsi="Times New Roman"/>
        </w:rPr>
        <w:t xml:space="preserve"> a </w:t>
      </w:r>
      <w:proofErr w:type="spellStart"/>
      <w:r>
        <w:rPr>
          <w:rFonts w:ascii="Times New Roman" w:hAnsi="Times New Roman"/>
        </w:rPr>
        <w:t>national</w:t>
      </w:r>
      <w:proofErr w:type="spellEnd"/>
      <w:r>
        <w:rPr>
          <w:rFonts w:ascii="Times New Roman" w:hAnsi="Times New Roman"/>
        </w:rPr>
        <w:t xml:space="preserve"> </w:t>
      </w:r>
      <w:proofErr w:type="spellStart"/>
      <w:r>
        <w:rPr>
          <w:rFonts w:ascii="Times New Roman" w:hAnsi="Times New Roman"/>
        </w:rPr>
        <w:t>transformation</w:t>
      </w:r>
      <w:proofErr w:type="spellEnd"/>
      <w:r>
        <w:rPr>
          <w:rFonts w:ascii="Times New Roman" w:hAnsi="Times New Roman"/>
        </w:rPr>
        <w:t xml:space="preserve"> </w:t>
      </w:r>
      <w:proofErr w:type="spellStart"/>
      <w:r>
        <w:rPr>
          <w:rFonts w:ascii="Times New Roman" w:hAnsi="Times New Roman"/>
        </w:rPr>
        <w:t>initiative</w:t>
      </w:r>
      <w:proofErr w:type="spellEnd"/>
      <w:r>
        <w:rPr>
          <w:rFonts w:ascii="Times New Roman" w:hAnsi="Times New Roman"/>
        </w:rPr>
        <w:t xml:space="preserve">. </w:t>
      </w:r>
      <w:proofErr w:type="spellStart"/>
      <w:r>
        <w:rPr>
          <w:rFonts w:ascii="Times New Roman" w:hAnsi="Times New Roman"/>
        </w:rPr>
        <w:t>Perspectives</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Medical </w:t>
      </w:r>
      <w:proofErr w:type="spellStart"/>
      <w:r>
        <w:rPr>
          <w:rFonts w:ascii="Times New Roman" w:hAnsi="Times New Roman"/>
        </w:rPr>
        <w:t>Education</w:t>
      </w:r>
      <w:proofErr w:type="spellEnd"/>
      <w:r>
        <w:rPr>
          <w:rFonts w:ascii="Times New Roman" w:hAnsi="Times New Roman"/>
        </w:rPr>
        <w:t xml:space="preserve">, 13(1), 224–228. </w:t>
      </w:r>
    </w:p>
    <w:p w14:paraId="120AFB57" w14:textId="77777777" w:rsidR="00443FBB" w:rsidRDefault="00443FBB" w:rsidP="00443FBB">
      <w:pPr>
        <w:spacing w:after="240" w:line="240" w:lineRule="auto"/>
        <w:ind w:left="720" w:hanging="720"/>
        <w:jc w:val="both"/>
      </w:pPr>
      <w:r>
        <w:rPr>
          <w:rFonts w:ascii="Times New Roman" w:hAnsi="Times New Roman"/>
        </w:rPr>
        <w:t xml:space="preserve">Frank, J. R., Snell, L., &amp; </w:t>
      </w:r>
      <w:proofErr w:type="spellStart"/>
      <w:r>
        <w:rPr>
          <w:rFonts w:ascii="Times New Roman" w:hAnsi="Times New Roman"/>
        </w:rPr>
        <w:t>Sherbino</w:t>
      </w:r>
      <w:proofErr w:type="spellEnd"/>
      <w:r>
        <w:rPr>
          <w:rFonts w:ascii="Times New Roman" w:hAnsi="Times New Roman"/>
        </w:rPr>
        <w:t xml:space="preserve">, J. (Eds.). (2015).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CanMEDS</w:t>
      </w:r>
      <w:proofErr w:type="spellEnd"/>
      <w:r>
        <w:rPr>
          <w:rFonts w:ascii="Times New Roman" w:hAnsi="Times New Roman"/>
          <w:i/>
        </w:rPr>
        <w:t xml:space="preserve"> 2015 </w:t>
      </w:r>
      <w:proofErr w:type="spellStart"/>
      <w:r>
        <w:rPr>
          <w:rFonts w:ascii="Times New Roman" w:hAnsi="Times New Roman"/>
          <w:i/>
        </w:rPr>
        <w:t>Physician</w:t>
      </w:r>
      <w:proofErr w:type="spellEnd"/>
      <w:r>
        <w:rPr>
          <w:rFonts w:ascii="Times New Roman" w:hAnsi="Times New Roman"/>
          <w:i/>
        </w:rPr>
        <w:t xml:space="preserve"> </w:t>
      </w:r>
      <w:proofErr w:type="spellStart"/>
      <w:r>
        <w:rPr>
          <w:rFonts w:ascii="Times New Roman" w:hAnsi="Times New Roman"/>
          <w:i/>
        </w:rPr>
        <w:t>Competency</w:t>
      </w:r>
      <w:proofErr w:type="spellEnd"/>
      <w:r>
        <w:rPr>
          <w:rFonts w:ascii="Times New Roman" w:hAnsi="Times New Roman"/>
          <w:i/>
        </w:rPr>
        <w:t xml:space="preserve"> Framework</w:t>
      </w:r>
      <w:r>
        <w:rPr>
          <w:rFonts w:ascii="Times New Roman" w:hAnsi="Times New Roman"/>
        </w:rPr>
        <w:t xml:space="preserve">. Royal </w:t>
      </w:r>
      <w:proofErr w:type="spellStart"/>
      <w:r>
        <w:rPr>
          <w:rFonts w:ascii="Times New Roman" w:hAnsi="Times New Roman"/>
        </w:rPr>
        <w:t>College</w:t>
      </w:r>
      <w:proofErr w:type="spellEnd"/>
      <w:r>
        <w:rPr>
          <w:rFonts w:ascii="Times New Roman" w:hAnsi="Times New Roman"/>
        </w:rPr>
        <w:t xml:space="preserve"> of </w:t>
      </w:r>
      <w:proofErr w:type="spellStart"/>
      <w:r>
        <w:rPr>
          <w:rFonts w:ascii="Times New Roman" w:hAnsi="Times New Roman"/>
        </w:rPr>
        <w:t>Physicians</w:t>
      </w:r>
      <w:proofErr w:type="spellEnd"/>
      <w:r>
        <w:rPr>
          <w:rFonts w:ascii="Times New Roman" w:hAnsi="Times New Roman"/>
        </w:rPr>
        <w:t xml:space="preserve"> and </w:t>
      </w:r>
      <w:proofErr w:type="spellStart"/>
      <w:r>
        <w:rPr>
          <w:rFonts w:ascii="Times New Roman" w:hAnsi="Times New Roman"/>
        </w:rPr>
        <w:t>Surgeons</w:t>
      </w:r>
      <w:proofErr w:type="spellEnd"/>
      <w:r>
        <w:rPr>
          <w:rFonts w:ascii="Times New Roman" w:hAnsi="Times New Roman"/>
        </w:rPr>
        <w:t xml:space="preserve"> of </w:t>
      </w:r>
      <w:proofErr w:type="spellStart"/>
      <w:r>
        <w:rPr>
          <w:rFonts w:ascii="Times New Roman" w:hAnsi="Times New Roman"/>
        </w:rPr>
        <w:t>Canada</w:t>
      </w:r>
      <w:proofErr w:type="spellEnd"/>
      <w:r>
        <w:rPr>
          <w:rFonts w:ascii="Times New Roman" w:hAnsi="Times New Roman"/>
        </w:rPr>
        <w:t>.</w:t>
      </w:r>
    </w:p>
    <w:p w14:paraId="4A5903D5" w14:textId="77777777" w:rsidR="00443FBB" w:rsidRDefault="00443FBB" w:rsidP="00443FBB">
      <w:pPr>
        <w:spacing w:after="240" w:line="240" w:lineRule="auto"/>
        <w:ind w:left="720" w:hanging="720"/>
        <w:jc w:val="both"/>
      </w:pPr>
      <w:r>
        <w:rPr>
          <w:rFonts w:ascii="Times New Roman" w:hAnsi="Times New Roman"/>
        </w:rPr>
        <w:t xml:space="preserve">Frank, J. R., Snell, L. S., Cate, O. T., </w:t>
      </w:r>
      <w:proofErr w:type="spellStart"/>
      <w:r>
        <w:rPr>
          <w:rFonts w:ascii="Times New Roman" w:hAnsi="Times New Roman"/>
        </w:rPr>
        <w:t>Holmboe</w:t>
      </w:r>
      <w:proofErr w:type="spellEnd"/>
      <w:r>
        <w:rPr>
          <w:rFonts w:ascii="Times New Roman" w:hAnsi="Times New Roman"/>
        </w:rPr>
        <w:t xml:space="preserve">, E. S., </w:t>
      </w:r>
      <w:proofErr w:type="spellStart"/>
      <w:r>
        <w:rPr>
          <w:rFonts w:ascii="Times New Roman" w:hAnsi="Times New Roman"/>
        </w:rPr>
        <w:t>Carraccio</w:t>
      </w:r>
      <w:proofErr w:type="spellEnd"/>
      <w:r>
        <w:rPr>
          <w:rFonts w:ascii="Times New Roman" w:hAnsi="Times New Roman"/>
        </w:rPr>
        <w:t xml:space="preserve">, C., Swing, S. R., Harris, P., Glasgow, N. J., Campbell, C., </w:t>
      </w:r>
      <w:proofErr w:type="spellStart"/>
      <w:r>
        <w:rPr>
          <w:rFonts w:ascii="Times New Roman" w:hAnsi="Times New Roman"/>
        </w:rPr>
        <w:t>Dath</w:t>
      </w:r>
      <w:proofErr w:type="spellEnd"/>
      <w:r>
        <w:rPr>
          <w:rFonts w:ascii="Times New Roman" w:hAnsi="Times New Roman"/>
        </w:rPr>
        <w:t xml:space="preserve">, D., </w:t>
      </w:r>
      <w:proofErr w:type="spellStart"/>
      <w:r>
        <w:rPr>
          <w:rFonts w:ascii="Times New Roman" w:hAnsi="Times New Roman"/>
        </w:rPr>
        <w:t>Harden</w:t>
      </w:r>
      <w:proofErr w:type="spellEnd"/>
      <w:r>
        <w:rPr>
          <w:rFonts w:ascii="Times New Roman" w:hAnsi="Times New Roman"/>
        </w:rPr>
        <w:t xml:space="preserve">, R. M., </w:t>
      </w:r>
      <w:proofErr w:type="spellStart"/>
      <w:r>
        <w:rPr>
          <w:rFonts w:ascii="Times New Roman" w:hAnsi="Times New Roman"/>
        </w:rPr>
        <w:t>Iobst</w:t>
      </w:r>
      <w:proofErr w:type="spellEnd"/>
      <w:r>
        <w:rPr>
          <w:rFonts w:ascii="Times New Roman" w:hAnsi="Times New Roman"/>
        </w:rPr>
        <w:t xml:space="preserve">, W., Long, D. M., </w:t>
      </w:r>
      <w:proofErr w:type="spellStart"/>
      <w:r>
        <w:rPr>
          <w:rFonts w:ascii="Times New Roman" w:hAnsi="Times New Roman"/>
        </w:rPr>
        <w:t>Mungroo</w:t>
      </w:r>
      <w:proofErr w:type="spellEnd"/>
      <w:r>
        <w:rPr>
          <w:rFonts w:ascii="Times New Roman" w:hAnsi="Times New Roman"/>
        </w:rPr>
        <w:t xml:space="preserve">, R., Richardson, D. L., </w:t>
      </w:r>
      <w:proofErr w:type="spellStart"/>
      <w:r>
        <w:rPr>
          <w:rFonts w:ascii="Times New Roman" w:hAnsi="Times New Roman"/>
        </w:rPr>
        <w:t>Sherbino</w:t>
      </w:r>
      <w:proofErr w:type="spellEnd"/>
      <w:r>
        <w:rPr>
          <w:rFonts w:ascii="Times New Roman" w:hAnsi="Times New Roman"/>
        </w:rPr>
        <w:t xml:space="preserve">, J., </w:t>
      </w:r>
      <w:proofErr w:type="spellStart"/>
      <w:r>
        <w:rPr>
          <w:rFonts w:ascii="Times New Roman" w:hAnsi="Times New Roman"/>
        </w:rPr>
        <w:t>Silver</w:t>
      </w:r>
      <w:proofErr w:type="spellEnd"/>
      <w:r>
        <w:rPr>
          <w:rFonts w:ascii="Times New Roman" w:hAnsi="Times New Roman"/>
        </w:rPr>
        <w:t xml:space="preserve">, I., </w:t>
      </w:r>
      <w:proofErr w:type="spellStart"/>
      <w:r>
        <w:rPr>
          <w:rFonts w:ascii="Times New Roman" w:hAnsi="Times New Roman"/>
        </w:rPr>
        <w:t>Taber</w:t>
      </w:r>
      <w:proofErr w:type="spellEnd"/>
      <w:r>
        <w:rPr>
          <w:rFonts w:ascii="Times New Roman" w:hAnsi="Times New Roman"/>
        </w:rPr>
        <w:t xml:space="preserve">, S., Talbot, M., &amp; Harris, K. A. (2010). </w:t>
      </w:r>
      <w:proofErr w:type="spellStart"/>
      <w:r>
        <w:rPr>
          <w:rFonts w:ascii="Times New Roman" w:hAnsi="Times New Roman"/>
        </w:rPr>
        <w:t>Competency-based</w:t>
      </w:r>
      <w:proofErr w:type="spellEnd"/>
      <w:r>
        <w:rPr>
          <w:rFonts w:ascii="Times New Roman" w:hAnsi="Times New Roman"/>
        </w:rPr>
        <w:t xml:space="preserve"> medical </w:t>
      </w:r>
      <w:proofErr w:type="spellStart"/>
      <w:r>
        <w:rPr>
          <w:rFonts w:ascii="Times New Roman" w:hAnsi="Times New Roman"/>
        </w:rPr>
        <w:t>education</w:t>
      </w:r>
      <w:proofErr w:type="spellEnd"/>
      <w:r>
        <w:rPr>
          <w:rFonts w:ascii="Times New Roman" w:hAnsi="Times New Roman"/>
        </w:rPr>
        <w:t xml:space="preserve">: </w:t>
      </w:r>
      <w:proofErr w:type="spellStart"/>
      <w:r>
        <w:rPr>
          <w:rFonts w:ascii="Times New Roman" w:hAnsi="Times New Roman"/>
        </w:rPr>
        <w:t>theory</w:t>
      </w:r>
      <w:proofErr w:type="spellEnd"/>
      <w:r>
        <w:rPr>
          <w:rFonts w:ascii="Times New Roman" w:hAnsi="Times New Roman"/>
        </w:rPr>
        <w:t xml:space="preserve"> to </w:t>
      </w:r>
      <w:proofErr w:type="spellStart"/>
      <w:r>
        <w:rPr>
          <w:rFonts w:ascii="Times New Roman" w:hAnsi="Times New Roman"/>
        </w:rPr>
        <w:t>practice</w:t>
      </w:r>
      <w:proofErr w:type="spellEnd"/>
      <w:r>
        <w:rPr>
          <w:rFonts w:ascii="Times New Roman" w:hAnsi="Times New Roman"/>
        </w:rPr>
        <w:t xml:space="preserve">. Medical </w:t>
      </w:r>
      <w:proofErr w:type="spellStart"/>
      <w:r>
        <w:rPr>
          <w:rFonts w:ascii="Times New Roman" w:hAnsi="Times New Roman"/>
        </w:rPr>
        <w:t>Teacher</w:t>
      </w:r>
      <w:proofErr w:type="spellEnd"/>
      <w:r>
        <w:rPr>
          <w:rFonts w:ascii="Times New Roman" w:hAnsi="Times New Roman"/>
        </w:rPr>
        <w:t xml:space="preserve">, 32(8), 638–645. </w:t>
      </w:r>
    </w:p>
    <w:p w14:paraId="53F4EA4E" w14:textId="77777777" w:rsidR="00443FBB" w:rsidRDefault="00443FBB" w:rsidP="00443FBB">
      <w:pPr>
        <w:spacing w:after="240" w:line="240" w:lineRule="auto"/>
        <w:ind w:left="720" w:hanging="720"/>
        <w:jc w:val="both"/>
      </w:pPr>
      <w:proofErr w:type="spellStart"/>
      <w:r>
        <w:rPr>
          <w:rFonts w:ascii="Times New Roman" w:hAnsi="Times New Roman"/>
        </w:rPr>
        <w:t>Frenk</w:t>
      </w:r>
      <w:proofErr w:type="spellEnd"/>
      <w:r>
        <w:rPr>
          <w:rFonts w:ascii="Times New Roman" w:hAnsi="Times New Roman"/>
        </w:rPr>
        <w:t xml:space="preserve">, J., </w:t>
      </w:r>
      <w:proofErr w:type="spellStart"/>
      <w:r>
        <w:rPr>
          <w:rFonts w:ascii="Times New Roman" w:hAnsi="Times New Roman"/>
        </w:rPr>
        <w:t>Chen</w:t>
      </w:r>
      <w:proofErr w:type="spellEnd"/>
      <w:r>
        <w:rPr>
          <w:rFonts w:ascii="Times New Roman" w:hAnsi="Times New Roman"/>
        </w:rPr>
        <w:t xml:space="preserve">, L., </w:t>
      </w:r>
      <w:proofErr w:type="spellStart"/>
      <w:r>
        <w:rPr>
          <w:rFonts w:ascii="Times New Roman" w:hAnsi="Times New Roman"/>
        </w:rPr>
        <w:t>Bhutta</w:t>
      </w:r>
      <w:proofErr w:type="spellEnd"/>
      <w:r>
        <w:rPr>
          <w:rFonts w:ascii="Times New Roman" w:hAnsi="Times New Roman"/>
        </w:rPr>
        <w:t xml:space="preserve">, Z. A., Cohen, J., </w:t>
      </w:r>
      <w:proofErr w:type="spellStart"/>
      <w:r>
        <w:rPr>
          <w:rFonts w:ascii="Times New Roman" w:hAnsi="Times New Roman"/>
        </w:rPr>
        <w:t>Crisp</w:t>
      </w:r>
      <w:proofErr w:type="spellEnd"/>
      <w:r>
        <w:rPr>
          <w:rFonts w:ascii="Times New Roman" w:hAnsi="Times New Roman"/>
        </w:rPr>
        <w:t xml:space="preserve">, N., Evans, T., </w:t>
      </w:r>
      <w:proofErr w:type="spellStart"/>
      <w:r>
        <w:rPr>
          <w:rFonts w:ascii="Times New Roman" w:hAnsi="Times New Roman"/>
        </w:rPr>
        <w:t>Fineberg</w:t>
      </w:r>
      <w:proofErr w:type="spellEnd"/>
      <w:r>
        <w:rPr>
          <w:rFonts w:ascii="Times New Roman" w:hAnsi="Times New Roman"/>
        </w:rPr>
        <w:t xml:space="preserve">, H., </w:t>
      </w:r>
      <w:proofErr w:type="spellStart"/>
      <w:r>
        <w:rPr>
          <w:rFonts w:ascii="Times New Roman" w:hAnsi="Times New Roman"/>
        </w:rPr>
        <w:t>Garcia</w:t>
      </w:r>
      <w:proofErr w:type="spellEnd"/>
      <w:r>
        <w:rPr>
          <w:rFonts w:ascii="Times New Roman" w:hAnsi="Times New Roman"/>
        </w:rPr>
        <w:t xml:space="preserve">, P., </w:t>
      </w:r>
      <w:proofErr w:type="spellStart"/>
      <w:r>
        <w:rPr>
          <w:rFonts w:ascii="Times New Roman" w:hAnsi="Times New Roman"/>
        </w:rPr>
        <w:t>Ke</w:t>
      </w:r>
      <w:proofErr w:type="spellEnd"/>
      <w:r>
        <w:rPr>
          <w:rFonts w:ascii="Times New Roman" w:hAnsi="Times New Roman"/>
        </w:rPr>
        <w:t xml:space="preserve">, Y., </w:t>
      </w:r>
      <w:proofErr w:type="spellStart"/>
      <w:r>
        <w:rPr>
          <w:rFonts w:ascii="Times New Roman" w:hAnsi="Times New Roman"/>
        </w:rPr>
        <w:t>Kelley</w:t>
      </w:r>
      <w:proofErr w:type="spellEnd"/>
      <w:r>
        <w:rPr>
          <w:rFonts w:ascii="Times New Roman" w:hAnsi="Times New Roman"/>
        </w:rPr>
        <w:t xml:space="preserve">, P., </w:t>
      </w:r>
      <w:proofErr w:type="spellStart"/>
      <w:r>
        <w:rPr>
          <w:rFonts w:ascii="Times New Roman" w:hAnsi="Times New Roman"/>
        </w:rPr>
        <w:t>Kistnasamy</w:t>
      </w:r>
      <w:proofErr w:type="spellEnd"/>
      <w:r>
        <w:rPr>
          <w:rFonts w:ascii="Times New Roman" w:hAnsi="Times New Roman"/>
        </w:rPr>
        <w:t xml:space="preserve">, B., </w:t>
      </w:r>
      <w:proofErr w:type="spellStart"/>
      <w:r>
        <w:rPr>
          <w:rFonts w:ascii="Times New Roman" w:hAnsi="Times New Roman"/>
        </w:rPr>
        <w:t>Meleis</w:t>
      </w:r>
      <w:proofErr w:type="spellEnd"/>
      <w:r>
        <w:rPr>
          <w:rFonts w:ascii="Times New Roman" w:hAnsi="Times New Roman"/>
        </w:rPr>
        <w:t xml:space="preserve">, A., </w:t>
      </w:r>
      <w:proofErr w:type="spellStart"/>
      <w:r>
        <w:rPr>
          <w:rFonts w:ascii="Times New Roman" w:hAnsi="Times New Roman"/>
        </w:rPr>
        <w:t>Naylor</w:t>
      </w:r>
      <w:proofErr w:type="spellEnd"/>
      <w:r>
        <w:rPr>
          <w:rFonts w:ascii="Times New Roman" w:hAnsi="Times New Roman"/>
        </w:rPr>
        <w:t>, D., Pablos-</w:t>
      </w:r>
      <w:proofErr w:type="spellStart"/>
      <w:r>
        <w:rPr>
          <w:rFonts w:ascii="Times New Roman" w:hAnsi="Times New Roman"/>
        </w:rPr>
        <w:t>Mendez</w:t>
      </w:r>
      <w:proofErr w:type="spellEnd"/>
      <w:r>
        <w:rPr>
          <w:rFonts w:ascii="Times New Roman" w:hAnsi="Times New Roman"/>
        </w:rPr>
        <w:t xml:space="preserve">, A., </w:t>
      </w:r>
      <w:proofErr w:type="spellStart"/>
      <w:r>
        <w:rPr>
          <w:rFonts w:ascii="Times New Roman" w:hAnsi="Times New Roman"/>
        </w:rPr>
        <w:t>Reddy</w:t>
      </w:r>
      <w:proofErr w:type="spellEnd"/>
      <w:r>
        <w:rPr>
          <w:rFonts w:ascii="Times New Roman" w:hAnsi="Times New Roman"/>
        </w:rPr>
        <w:t xml:space="preserve">, S., </w:t>
      </w:r>
      <w:proofErr w:type="spellStart"/>
      <w:r>
        <w:rPr>
          <w:rFonts w:ascii="Times New Roman" w:hAnsi="Times New Roman"/>
        </w:rPr>
        <w:t>Scrimshaw</w:t>
      </w:r>
      <w:proofErr w:type="spellEnd"/>
      <w:r>
        <w:rPr>
          <w:rFonts w:ascii="Times New Roman" w:hAnsi="Times New Roman"/>
        </w:rPr>
        <w:t xml:space="preserve">, S., </w:t>
      </w:r>
      <w:proofErr w:type="spellStart"/>
      <w:r>
        <w:rPr>
          <w:rFonts w:ascii="Times New Roman" w:hAnsi="Times New Roman"/>
        </w:rPr>
        <w:t>Sepulveda</w:t>
      </w:r>
      <w:proofErr w:type="spellEnd"/>
      <w:r>
        <w:rPr>
          <w:rFonts w:ascii="Times New Roman" w:hAnsi="Times New Roman"/>
        </w:rPr>
        <w:t xml:space="preserve">, J., </w:t>
      </w:r>
      <w:proofErr w:type="spellStart"/>
      <w:r>
        <w:rPr>
          <w:rFonts w:ascii="Times New Roman" w:hAnsi="Times New Roman"/>
        </w:rPr>
        <w:t>Serwadda</w:t>
      </w:r>
      <w:proofErr w:type="spellEnd"/>
      <w:r>
        <w:rPr>
          <w:rFonts w:ascii="Times New Roman" w:hAnsi="Times New Roman"/>
        </w:rPr>
        <w:t xml:space="preserve">, D., &amp; </w:t>
      </w:r>
      <w:proofErr w:type="spellStart"/>
      <w:r>
        <w:rPr>
          <w:rFonts w:ascii="Times New Roman" w:hAnsi="Times New Roman"/>
        </w:rPr>
        <w:t>Zurayk</w:t>
      </w:r>
      <w:proofErr w:type="spellEnd"/>
      <w:r>
        <w:rPr>
          <w:rFonts w:ascii="Times New Roman" w:hAnsi="Times New Roman"/>
        </w:rPr>
        <w:t xml:space="preserve">, H. (2010). </w:t>
      </w:r>
      <w:proofErr w:type="spellStart"/>
      <w:r>
        <w:rPr>
          <w:rFonts w:ascii="Times New Roman" w:hAnsi="Times New Roman"/>
        </w:rPr>
        <w:t>Health</w:t>
      </w:r>
      <w:proofErr w:type="spellEnd"/>
      <w:r>
        <w:rPr>
          <w:rFonts w:ascii="Times New Roman" w:hAnsi="Times New Roman"/>
        </w:rPr>
        <w:t xml:space="preserve"> </w:t>
      </w:r>
      <w:proofErr w:type="spellStart"/>
      <w:r>
        <w:rPr>
          <w:rFonts w:ascii="Times New Roman" w:hAnsi="Times New Roman"/>
        </w:rPr>
        <w:t>professionals</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a new </w:t>
      </w:r>
      <w:proofErr w:type="spellStart"/>
      <w:r>
        <w:rPr>
          <w:rFonts w:ascii="Times New Roman" w:hAnsi="Times New Roman"/>
        </w:rPr>
        <w:t>century</w:t>
      </w:r>
      <w:proofErr w:type="spellEnd"/>
      <w:r>
        <w:rPr>
          <w:rFonts w:ascii="Times New Roman" w:hAnsi="Times New Roman"/>
        </w:rPr>
        <w:t xml:space="preserve">: </w:t>
      </w:r>
      <w:proofErr w:type="spellStart"/>
      <w:r>
        <w:rPr>
          <w:rFonts w:ascii="Times New Roman" w:hAnsi="Times New Roman"/>
        </w:rPr>
        <w:t>transforming</w:t>
      </w:r>
      <w:proofErr w:type="spellEnd"/>
      <w:r>
        <w:rPr>
          <w:rFonts w:ascii="Times New Roman" w:hAnsi="Times New Roman"/>
        </w:rPr>
        <w:t xml:space="preserve"> </w:t>
      </w:r>
      <w:proofErr w:type="spellStart"/>
      <w:r>
        <w:rPr>
          <w:rFonts w:ascii="Times New Roman" w:hAnsi="Times New Roman"/>
        </w:rPr>
        <w:t>education</w:t>
      </w:r>
      <w:proofErr w:type="spellEnd"/>
      <w:r>
        <w:rPr>
          <w:rFonts w:ascii="Times New Roman" w:hAnsi="Times New Roman"/>
        </w:rPr>
        <w:t xml:space="preserve"> to </w:t>
      </w:r>
      <w:proofErr w:type="spellStart"/>
      <w:r>
        <w:rPr>
          <w:rFonts w:ascii="Times New Roman" w:hAnsi="Times New Roman"/>
        </w:rPr>
        <w:t>strengthen</w:t>
      </w:r>
      <w:proofErr w:type="spellEnd"/>
      <w:r>
        <w:rPr>
          <w:rFonts w:ascii="Times New Roman" w:hAnsi="Times New Roman"/>
        </w:rPr>
        <w:t xml:space="preserve"> </w:t>
      </w:r>
      <w:proofErr w:type="spellStart"/>
      <w:r>
        <w:rPr>
          <w:rFonts w:ascii="Times New Roman" w:hAnsi="Times New Roman"/>
        </w:rPr>
        <w:t>health</w:t>
      </w:r>
      <w:proofErr w:type="spellEnd"/>
      <w:r>
        <w:rPr>
          <w:rFonts w:ascii="Times New Roman" w:hAnsi="Times New Roman"/>
        </w:rPr>
        <w:t xml:space="preserve"> </w:t>
      </w:r>
      <w:proofErr w:type="spellStart"/>
      <w:r>
        <w:rPr>
          <w:rFonts w:ascii="Times New Roman" w:hAnsi="Times New Roman"/>
        </w:rPr>
        <w:t>systems</w:t>
      </w:r>
      <w:proofErr w:type="spellEnd"/>
      <w:r>
        <w:rPr>
          <w:rFonts w:ascii="Times New Roman" w:hAnsi="Times New Roman"/>
        </w:rPr>
        <w:t xml:space="preserve"> in </w:t>
      </w:r>
      <w:proofErr w:type="spellStart"/>
      <w:r>
        <w:rPr>
          <w:rFonts w:ascii="Times New Roman" w:hAnsi="Times New Roman"/>
        </w:rPr>
        <w:t>an</w:t>
      </w:r>
      <w:proofErr w:type="spellEnd"/>
      <w:r>
        <w:rPr>
          <w:rFonts w:ascii="Times New Roman" w:hAnsi="Times New Roman"/>
        </w:rPr>
        <w:t xml:space="preserve"> </w:t>
      </w:r>
      <w:proofErr w:type="spellStart"/>
      <w:r>
        <w:rPr>
          <w:rFonts w:ascii="Times New Roman" w:hAnsi="Times New Roman"/>
        </w:rPr>
        <w:t>interdependent</w:t>
      </w:r>
      <w:proofErr w:type="spellEnd"/>
      <w:r>
        <w:rPr>
          <w:rFonts w:ascii="Times New Roman" w:hAnsi="Times New Roman"/>
        </w:rPr>
        <w:t xml:space="preserve"> </w:t>
      </w:r>
      <w:proofErr w:type="spellStart"/>
      <w:r>
        <w:rPr>
          <w:rFonts w:ascii="Times New Roman" w:hAnsi="Times New Roman"/>
        </w:rPr>
        <w:t>world</w:t>
      </w:r>
      <w:proofErr w:type="spellEnd"/>
      <w:r>
        <w:rPr>
          <w:rFonts w:ascii="Times New Roman" w:hAnsi="Times New Roman"/>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Lancet</w:t>
      </w:r>
      <w:proofErr w:type="spellEnd"/>
      <w:r>
        <w:rPr>
          <w:rFonts w:ascii="Times New Roman" w:hAnsi="Times New Roman"/>
          <w:i/>
        </w:rPr>
        <w:t>, 376</w:t>
      </w:r>
      <w:r>
        <w:rPr>
          <w:rFonts w:ascii="Times New Roman" w:hAnsi="Times New Roman"/>
        </w:rPr>
        <w:t>(9756), 1923–1958. https://doi.org/10.1016/S0140-6736(10)61854-5</w:t>
      </w:r>
    </w:p>
    <w:p w14:paraId="75CD89B3" w14:textId="77777777" w:rsidR="00443FBB" w:rsidRDefault="00443FBB" w:rsidP="00443FBB">
      <w:pPr>
        <w:spacing w:after="240" w:line="240" w:lineRule="auto"/>
        <w:ind w:left="720" w:hanging="720"/>
        <w:jc w:val="both"/>
      </w:pPr>
      <w:proofErr w:type="spellStart"/>
      <w:r>
        <w:rPr>
          <w:rFonts w:ascii="Times New Roman" w:hAnsi="Times New Roman"/>
        </w:rPr>
        <w:t>Gavarkovs</w:t>
      </w:r>
      <w:proofErr w:type="spellEnd"/>
      <w:r>
        <w:rPr>
          <w:rFonts w:ascii="Times New Roman" w:hAnsi="Times New Roman"/>
        </w:rPr>
        <w:t xml:space="preserve">, A. G., Finan, E., Jensen, R. D., &amp; </w:t>
      </w:r>
      <w:proofErr w:type="spellStart"/>
      <w:r>
        <w:rPr>
          <w:rFonts w:ascii="Times New Roman" w:hAnsi="Times New Roman"/>
        </w:rPr>
        <w:t>Brydges</w:t>
      </w:r>
      <w:proofErr w:type="spellEnd"/>
      <w:r>
        <w:rPr>
          <w:rFonts w:ascii="Times New Roman" w:hAnsi="Times New Roman"/>
        </w:rPr>
        <w:t xml:space="preserve">, R. (2024). </w:t>
      </w:r>
      <w:proofErr w:type="spellStart"/>
      <w:r>
        <w:rPr>
          <w:rFonts w:ascii="Times New Roman" w:hAnsi="Times New Roman"/>
        </w:rPr>
        <w:t>When</w:t>
      </w:r>
      <w:proofErr w:type="spellEnd"/>
      <w:r>
        <w:rPr>
          <w:rFonts w:ascii="Times New Roman" w:hAnsi="Times New Roman"/>
        </w:rPr>
        <w:t xml:space="preserve"> I </w:t>
      </w:r>
      <w:proofErr w:type="spellStart"/>
      <w:proofErr w:type="gramStart"/>
      <w:r>
        <w:rPr>
          <w:rFonts w:ascii="Times New Roman" w:hAnsi="Times New Roman"/>
        </w:rPr>
        <w:t>say</w:t>
      </w:r>
      <w:proofErr w:type="spellEnd"/>
      <w:r>
        <w:rPr>
          <w:rFonts w:ascii="Times New Roman" w:hAnsi="Times New Roman"/>
        </w:rPr>
        <w:t xml:space="preserve"> …</w:t>
      </w:r>
      <w:proofErr w:type="gramEnd"/>
      <w:r>
        <w:rPr>
          <w:rFonts w:ascii="Times New Roman" w:hAnsi="Times New Roman"/>
        </w:rPr>
        <w:t xml:space="preserve"> active </w:t>
      </w:r>
      <w:proofErr w:type="spellStart"/>
      <w:r>
        <w:rPr>
          <w:rFonts w:ascii="Times New Roman" w:hAnsi="Times New Roman"/>
        </w:rPr>
        <w:t>learning</w:t>
      </w:r>
      <w:proofErr w:type="spellEnd"/>
      <w:r>
        <w:rPr>
          <w:rFonts w:ascii="Times New Roman" w:hAnsi="Times New Roman"/>
        </w:rPr>
        <w:t xml:space="preserve">. Medical </w:t>
      </w:r>
      <w:proofErr w:type="spellStart"/>
      <w:r>
        <w:rPr>
          <w:rFonts w:ascii="Times New Roman" w:hAnsi="Times New Roman"/>
        </w:rPr>
        <w:t>Education</w:t>
      </w:r>
      <w:proofErr w:type="spellEnd"/>
      <w:r>
        <w:rPr>
          <w:rFonts w:ascii="Times New Roman" w:hAnsi="Times New Roman"/>
        </w:rPr>
        <w:t xml:space="preserve">, 58(8), 896–897. </w:t>
      </w:r>
    </w:p>
    <w:p w14:paraId="69289049" w14:textId="77777777" w:rsidR="00443FBB" w:rsidRDefault="00443FBB" w:rsidP="00443FBB">
      <w:pPr>
        <w:spacing w:after="240" w:line="240" w:lineRule="auto"/>
        <w:ind w:left="720" w:hanging="720"/>
        <w:jc w:val="both"/>
      </w:pPr>
      <w:r>
        <w:rPr>
          <w:rFonts w:ascii="Times New Roman" w:hAnsi="Times New Roman"/>
        </w:rPr>
        <w:t xml:space="preserve">Gin, B. C., </w:t>
      </w:r>
      <w:proofErr w:type="spellStart"/>
      <w:r>
        <w:rPr>
          <w:rFonts w:ascii="Times New Roman" w:hAnsi="Times New Roman"/>
        </w:rPr>
        <w:t>Holzhausen</w:t>
      </w:r>
      <w:proofErr w:type="spellEnd"/>
      <w:r>
        <w:rPr>
          <w:rFonts w:ascii="Times New Roman" w:hAnsi="Times New Roman"/>
        </w:rPr>
        <w:t xml:space="preserve">, Y., </w:t>
      </w:r>
      <w:proofErr w:type="spellStart"/>
      <w:r>
        <w:rPr>
          <w:rFonts w:ascii="Times New Roman" w:hAnsi="Times New Roman"/>
        </w:rPr>
        <w:t>Khursigara-Slattery</w:t>
      </w:r>
      <w:proofErr w:type="spellEnd"/>
      <w:r>
        <w:rPr>
          <w:rFonts w:ascii="Times New Roman" w:hAnsi="Times New Roman"/>
        </w:rPr>
        <w:t xml:space="preserve">, N., </w:t>
      </w:r>
      <w:proofErr w:type="spellStart"/>
      <w:r>
        <w:rPr>
          <w:rFonts w:ascii="Times New Roman" w:hAnsi="Times New Roman"/>
        </w:rPr>
        <w:t>Chen</w:t>
      </w:r>
      <w:proofErr w:type="spellEnd"/>
      <w:r>
        <w:rPr>
          <w:rFonts w:ascii="Times New Roman" w:hAnsi="Times New Roman"/>
        </w:rPr>
        <w:t xml:space="preserve">, H. C., Schumacher, D. J., &amp; ten Cate, O. (2024). </w:t>
      </w:r>
      <w:proofErr w:type="spellStart"/>
      <w:r>
        <w:rPr>
          <w:rFonts w:ascii="Times New Roman" w:hAnsi="Times New Roman"/>
        </w:rPr>
        <w:t>Theoretical</w:t>
      </w:r>
      <w:proofErr w:type="spellEnd"/>
      <w:r>
        <w:rPr>
          <w:rFonts w:ascii="Times New Roman" w:hAnsi="Times New Roman"/>
        </w:rPr>
        <w:t xml:space="preserve"> </w:t>
      </w:r>
      <w:proofErr w:type="spellStart"/>
      <w:r>
        <w:rPr>
          <w:rFonts w:ascii="Times New Roman" w:hAnsi="Times New Roman"/>
        </w:rPr>
        <w:t>foundations</w:t>
      </w:r>
      <w:proofErr w:type="spellEnd"/>
      <w:r>
        <w:rPr>
          <w:rFonts w:ascii="Times New Roman" w:hAnsi="Times New Roman"/>
        </w:rPr>
        <w:t xml:space="preserve"> of trust and </w:t>
      </w:r>
      <w:proofErr w:type="spellStart"/>
      <w:r>
        <w:rPr>
          <w:rFonts w:ascii="Times New Roman" w:hAnsi="Times New Roman"/>
        </w:rPr>
        <w:t>entrustment</w:t>
      </w:r>
      <w:proofErr w:type="spellEnd"/>
      <w:r>
        <w:rPr>
          <w:rFonts w:ascii="Times New Roman" w:hAnsi="Times New Roman"/>
        </w:rPr>
        <w:t xml:space="preserve"> in </w:t>
      </w:r>
      <w:proofErr w:type="spellStart"/>
      <w:r>
        <w:rPr>
          <w:rFonts w:ascii="Times New Roman" w:hAnsi="Times New Roman"/>
        </w:rPr>
        <w:t>health</w:t>
      </w:r>
      <w:proofErr w:type="spellEnd"/>
      <w:r>
        <w:rPr>
          <w:rFonts w:ascii="Times New Roman" w:hAnsi="Times New Roman"/>
        </w:rPr>
        <w:t xml:space="preserve"> </w:t>
      </w:r>
      <w:proofErr w:type="spellStart"/>
      <w:r>
        <w:rPr>
          <w:rFonts w:ascii="Times New Roman" w:hAnsi="Times New Roman"/>
        </w:rPr>
        <w:t>professions</w:t>
      </w:r>
      <w:proofErr w:type="spellEnd"/>
      <w:r>
        <w:rPr>
          <w:rFonts w:ascii="Times New Roman" w:hAnsi="Times New Roman"/>
        </w:rPr>
        <w:t xml:space="preserve"> </w:t>
      </w:r>
      <w:proofErr w:type="spellStart"/>
      <w:r>
        <w:rPr>
          <w:rFonts w:ascii="Times New Roman" w:hAnsi="Times New Roman"/>
        </w:rPr>
        <w:t>education</w:t>
      </w:r>
      <w:proofErr w:type="spellEnd"/>
      <w:r>
        <w:rPr>
          <w:rFonts w:ascii="Times New Roman" w:hAnsi="Times New Roman"/>
        </w:rPr>
        <w:t xml:space="preserve">. En O. ten Cate, V. C. </w:t>
      </w:r>
      <w:proofErr w:type="spellStart"/>
      <w:r>
        <w:rPr>
          <w:rFonts w:ascii="Times New Roman" w:hAnsi="Times New Roman"/>
        </w:rPr>
        <w:t>Burch</w:t>
      </w:r>
      <w:proofErr w:type="spellEnd"/>
      <w:r>
        <w:rPr>
          <w:rFonts w:ascii="Times New Roman" w:hAnsi="Times New Roman"/>
        </w:rPr>
        <w:t xml:space="preserve">, H. C. </w:t>
      </w:r>
      <w:proofErr w:type="spellStart"/>
      <w:r>
        <w:rPr>
          <w:rFonts w:ascii="Times New Roman" w:hAnsi="Times New Roman"/>
        </w:rPr>
        <w:t>Chen</w:t>
      </w:r>
      <w:proofErr w:type="spellEnd"/>
      <w:r>
        <w:rPr>
          <w:rFonts w:ascii="Times New Roman" w:hAnsi="Times New Roman"/>
        </w:rPr>
        <w:t xml:space="preserve">, F. C. </w:t>
      </w:r>
      <w:proofErr w:type="spellStart"/>
      <w:r>
        <w:rPr>
          <w:rFonts w:ascii="Times New Roman" w:hAnsi="Times New Roman"/>
        </w:rPr>
        <w:t>Chou</w:t>
      </w:r>
      <w:proofErr w:type="spellEnd"/>
      <w:r>
        <w:rPr>
          <w:rFonts w:ascii="Times New Roman" w:hAnsi="Times New Roman"/>
        </w:rPr>
        <w:t xml:space="preserve">, &amp; M. P. </w:t>
      </w:r>
      <w:proofErr w:type="spellStart"/>
      <w:r>
        <w:rPr>
          <w:rFonts w:ascii="Times New Roman" w:hAnsi="Times New Roman"/>
        </w:rPr>
        <w:t>Hennus</w:t>
      </w:r>
      <w:proofErr w:type="spellEnd"/>
      <w:r>
        <w:rPr>
          <w:rFonts w:ascii="Times New Roman" w:hAnsi="Times New Roman"/>
        </w:rPr>
        <w:t xml:space="preserve"> (Eds.), </w:t>
      </w:r>
      <w:proofErr w:type="spellStart"/>
      <w:r>
        <w:rPr>
          <w:rFonts w:ascii="Times New Roman" w:hAnsi="Times New Roman"/>
        </w:rPr>
        <w:t>Entrustable</w:t>
      </w:r>
      <w:proofErr w:type="spellEnd"/>
      <w:r>
        <w:rPr>
          <w:rFonts w:ascii="Times New Roman" w:hAnsi="Times New Roman"/>
        </w:rPr>
        <w:t xml:space="preserve"> Professional </w:t>
      </w:r>
      <w:proofErr w:type="spellStart"/>
      <w:r>
        <w:rPr>
          <w:rFonts w:ascii="Times New Roman" w:hAnsi="Times New Roman"/>
        </w:rPr>
        <w:t>Activities</w:t>
      </w:r>
      <w:proofErr w:type="spellEnd"/>
      <w:r>
        <w:rPr>
          <w:rFonts w:ascii="Times New Roman" w:hAnsi="Times New Roman"/>
        </w:rPr>
        <w:t xml:space="preserve"> and </w:t>
      </w:r>
      <w:proofErr w:type="spellStart"/>
      <w:r>
        <w:rPr>
          <w:rFonts w:ascii="Times New Roman" w:hAnsi="Times New Roman"/>
        </w:rPr>
        <w:t>Entrustment</w:t>
      </w:r>
      <w:proofErr w:type="spellEnd"/>
      <w:r>
        <w:rPr>
          <w:rFonts w:ascii="Times New Roman" w:hAnsi="Times New Roman"/>
        </w:rPr>
        <w:t xml:space="preserve"> </w:t>
      </w:r>
      <w:proofErr w:type="spellStart"/>
      <w:r>
        <w:rPr>
          <w:rFonts w:ascii="Times New Roman" w:hAnsi="Times New Roman"/>
        </w:rPr>
        <w:t>Decision-Making</w:t>
      </w:r>
      <w:proofErr w:type="spellEnd"/>
      <w:r>
        <w:rPr>
          <w:rFonts w:ascii="Times New Roman" w:hAnsi="Times New Roman"/>
        </w:rPr>
        <w:t xml:space="preserve"> in </w:t>
      </w:r>
      <w:proofErr w:type="spellStart"/>
      <w:r>
        <w:rPr>
          <w:rFonts w:ascii="Times New Roman" w:hAnsi="Times New Roman"/>
        </w:rPr>
        <w:t>Health</w:t>
      </w:r>
      <w:proofErr w:type="spellEnd"/>
      <w:r>
        <w:rPr>
          <w:rFonts w:ascii="Times New Roman" w:hAnsi="Times New Roman"/>
        </w:rPr>
        <w:t xml:space="preserve"> </w:t>
      </w:r>
      <w:proofErr w:type="spellStart"/>
      <w:r>
        <w:rPr>
          <w:rFonts w:ascii="Times New Roman" w:hAnsi="Times New Roman"/>
        </w:rPr>
        <w:t>Professions</w:t>
      </w:r>
      <w:proofErr w:type="spellEnd"/>
      <w:r>
        <w:rPr>
          <w:rFonts w:ascii="Times New Roman" w:hAnsi="Times New Roman"/>
        </w:rPr>
        <w:t xml:space="preserve"> </w:t>
      </w:r>
      <w:proofErr w:type="spellStart"/>
      <w:r>
        <w:rPr>
          <w:rFonts w:ascii="Times New Roman" w:hAnsi="Times New Roman"/>
        </w:rPr>
        <w:t>Education</w:t>
      </w:r>
      <w:proofErr w:type="spellEnd"/>
      <w:r>
        <w:rPr>
          <w:rFonts w:ascii="Times New Roman" w:hAnsi="Times New Roman"/>
        </w:rPr>
        <w:t xml:space="preserve"> (pp. 35–50). </w:t>
      </w:r>
      <w:proofErr w:type="spellStart"/>
      <w:r>
        <w:rPr>
          <w:rFonts w:ascii="Times New Roman" w:hAnsi="Times New Roman"/>
        </w:rPr>
        <w:t>Ubiquity</w:t>
      </w:r>
      <w:proofErr w:type="spellEnd"/>
      <w:r>
        <w:rPr>
          <w:rFonts w:ascii="Times New Roman" w:hAnsi="Times New Roman"/>
        </w:rPr>
        <w:t xml:space="preserve"> </w:t>
      </w:r>
      <w:proofErr w:type="spellStart"/>
      <w:r>
        <w:rPr>
          <w:rFonts w:ascii="Times New Roman" w:hAnsi="Times New Roman"/>
        </w:rPr>
        <w:t>Press</w:t>
      </w:r>
      <w:proofErr w:type="spellEnd"/>
      <w:r>
        <w:rPr>
          <w:rFonts w:ascii="Times New Roman" w:hAnsi="Times New Roman"/>
        </w:rPr>
        <w:t xml:space="preserve">. </w:t>
      </w:r>
    </w:p>
    <w:p w14:paraId="54342EE3" w14:textId="77777777" w:rsidR="00443FBB" w:rsidRDefault="00443FBB" w:rsidP="00443FBB">
      <w:pPr>
        <w:spacing w:after="240" w:line="240" w:lineRule="auto"/>
        <w:ind w:left="720" w:hanging="720"/>
        <w:jc w:val="both"/>
      </w:pPr>
      <w:proofErr w:type="spellStart"/>
      <w:r>
        <w:rPr>
          <w:rFonts w:ascii="Times New Roman" w:hAnsi="Times New Roman"/>
        </w:rPr>
        <w:t>Gouëdard</w:t>
      </w:r>
      <w:proofErr w:type="spellEnd"/>
      <w:r>
        <w:rPr>
          <w:rFonts w:ascii="Times New Roman" w:hAnsi="Times New Roman"/>
        </w:rPr>
        <w:t xml:space="preserve">, P., Pont, B., &amp; </w:t>
      </w:r>
      <w:proofErr w:type="spellStart"/>
      <w:r>
        <w:rPr>
          <w:rFonts w:ascii="Times New Roman" w:hAnsi="Times New Roman"/>
        </w:rPr>
        <w:t>Viennet</w:t>
      </w:r>
      <w:proofErr w:type="spellEnd"/>
      <w:r>
        <w:rPr>
          <w:rFonts w:ascii="Times New Roman" w:hAnsi="Times New Roman"/>
        </w:rPr>
        <w:t xml:space="preserve">, R. (2020). </w:t>
      </w:r>
      <w:proofErr w:type="spellStart"/>
      <w:r>
        <w:rPr>
          <w:rFonts w:ascii="Times New Roman" w:hAnsi="Times New Roman"/>
        </w:rPr>
        <w:t>Education</w:t>
      </w:r>
      <w:proofErr w:type="spellEnd"/>
      <w:r>
        <w:rPr>
          <w:rFonts w:ascii="Times New Roman" w:hAnsi="Times New Roman"/>
        </w:rPr>
        <w:t xml:space="preserve"> responses to COVID-19: </w:t>
      </w:r>
      <w:proofErr w:type="spellStart"/>
      <w:r>
        <w:rPr>
          <w:rFonts w:ascii="Times New Roman" w:hAnsi="Times New Roman"/>
        </w:rPr>
        <w:t>implementing</w:t>
      </w:r>
      <w:proofErr w:type="spellEnd"/>
      <w:r>
        <w:rPr>
          <w:rFonts w:ascii="Times New Roman" w:hAnsi="Times New Roman"/>
        </w:rPr>
        <w:t xml:space="preserve"> a modular </w:t>
      </w:r>
      <w:proofErr w:type="spellStart"/>
      <w:r>
        <w:rPr>
          <w:rFonts w:ascii="Times New Roman" w:hAnsi="Times New Roman"/>
        </w:rPr>
        <w:t>curriculum</w:t>
      </w:r>
      <w:proofErr w:type="spellEnd"/>
      <w:r>
        <w:rPr>
          <w:rFonts w:ascii="Times New Roman" w:hAnsi="Times New Roman"/>
        </w:rPr>
        <w:t xml:space="preserve"> </w:t>
      </w:r>
      <w:proofErr w:type="spellStart"/>
      <w:r>
        <w:rPr>
          <w:rFonts w:ascii="Times New Roman" w:hAnsi="Times New Roman"/>
        </w:rPr>
        <w:t>approach</w:t>
      </w:r>
      <w:proofErr w:type="spellEnd"/>
      <w:r>
        <w:rPr>
          <w:rFonts w:ascii="Times New Roman" w:hAnsi="Times New Roman"/>
        </w:rPr>
        <w:t xml:space="preserve">. </w:t>
      </w:r>
      <w:r>
        <w:rPr>
          <w:rFonts w:ascii="Times New Roman" w:hAnsi="Times New Roman"/>
          <w:i/>
        </w:rPr>
        <w:t xml:space="preserve">OECD </w:t>
      </w:r>
      <w:proofErr w:type="spellStart"/>
      <w:r>
        <w:rPr>
          <w:rFonts w:ascii="Times New Roman" w:hAnsi="Times New Roman"/>
          <w:i/>
        </w:rPr>
        <w:t>Education</w:t>
      </w:r>
      <w:proofErr w:type="spellEnd"/>
      <w:r>
        <w:rPr>
          <w:rFonts w:ascii="Times New Roman" w:hAnsi="Times New Roman"/>
          <w:i/>
        </w:rPr>
        <w:t xml:space="preserve"> </w:t>
      </w:r>
      <w:proofErr w:type="spellStart"/>
      <w:r>
        <w:rPr>
          <w:rFonts w:ascii="Times New Roman" w:hAnsi="Times New Roman"/>
          <w:i/>
        </w:rPr>
        <w:t>Working</w:t>
      </w:r>
      <w:proofErr w:type="spellEnd"/>
      <w:r>
        <w:rPr>
          <w:rFonts w:ascii="Times New Roman" w:hAnsi="Times New Roman"/>
          <w:i/>
        </w:rPr>
        <w:t xml:space="preserve"> </w:t>
      </w:r>
      <w:proofErr w:type="spellStart"/>
      <w:r>
        <w:rPr>
          <w:rFonts w:ascii="Times New Roman" w:hAnsi="Times New Roman"/>
          <w:i/>
        </w:rPr>
        <w:t>Papers</w:t>
      </w:r>
      <w:proofErr w:type="spellEnd"/>
      <w:r>
        <w:rPr>
          <w:rFonts w:ascii="Times New Roman" w:hAnsi="Times New Roman"/>
        </w:rPr>
        <w:t>, Artículo 224. https://doi.org/10.1787/ab910931-en</w:t>
      </w:r>
    </w:p>
    <w:p w14:paraId="70F7A9A8" w14:textId="77777777" w:rsidR="00443FBB" w:rsidRDefault="00443FBB" w:rsidP="00443FBB">
      <w:pPr>
        <w:spacing w:after="240" w:line="240" w:lineRule="auto"/>
        <w:ind w:left="720" w:hanging="720"/>
        <w:jc w:val="both"/>
      </w:pPr>
      <w:proofErr w:type="spellStart"/>
      <w:r>
        <w:rPr>
          <w:rFonts w:ascii="Times New Roman" w:hAnsi="Times New Roman"/>
        </w:rPr>
        <w:t>Harden</w:t>
      </w:r>
      <w:proofErr w:type="spellEnd"/>
      <w:r>
        <w:rPr>
          <w:rFonts w:ascii="Times New Roman" w:hAnsi="Times New Roman"/>
        </w:rPr>
        <w:t xml:space="preserve">, R. M., &amp; </w:t>
      </w:r>
      <w:proofErr w:type="spellStart"/>
      <w:r>
        <w:rPr>
          <w:rFonts w:ascii="Times New Roman" w:hAnsi="Times New Roman"/>
        </w:rPr>
        <w:t>Laidlaw</w:t>
      </w:r>
      <w:proofErr w:type="spellEnd"/>
      <w:r>
        <w:rPr>
          <w:rFonts w:ascii="Times New Roman" w:hAnsi="Times New Roman"/>
        </w:rPr>
        <w:t xml:space="preserve">, J. M. (2020). </w:t>
      </w:r>
      <w:proofErr w:type="spellStart"/>
      <w:r>
        <w:rPr>
          <w:rFonts w:ascii="Times New Roman" w:hAnsi="Times New Roman"/>
        </w:rPr>
        <w:t>Essential</w:t>
      </w:r>
      <w:proofErr w:type="spellEnd"/>
      <w:r>
        <w:rPr>
          <w:rFonts w:ascii="Times New Roman" w:hAnsi="Times New Roman"/>
        </w:rPr>
        <w:t xml:space="preserve"> </w:t>
      </w:r>
      <w:proofErr w:type="spellStart"/>
      <w:r>
        <w:rPr>
          <w:rFonts w:ascii="Times New Roman" w:hAnsi="Times New Roman"/>
        </w:rPr>
        <w:t>skills</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a medical </w:t>
      </w:r>
      <w:proofErr w:type="spellStart"/>
      <w:r>
        <w:rPr>
          <w:rFonts w:ascii="Times New Roman" w:hAnsi="Times New Roman"/>
        </w:rPr>
        <w:t>teacher</w:t>
      </w:r>
      <w:proofErr w:type="spellEnd"/>
      <w:r>
        <w:rPr>
          <w:rFonts w:ascii="Times New Roman" w:hAnsi="Times New Roman"/>
        </w:rPr>
        <w:t xml:space="preserve">: </w:t>
      </w:r>
      <w:proofErr w:type="spellStart"/>
      <w:r>
        <w:rPr>
          <w:rFonts w:ascii="Times New Roman" w:hAnsi="Times New Roman"/>
        </w:rPr>
        <w:t>An</w:t>
      </w:r>
      <w:proofErr w:type="spellEnd"/>
      <w:r>
        <w:rPr>
          <w:rFonts w:ascii="Times New Roman" w:hAnsi="Times New Roman"/>
        </w:rPr>
        <w:t xml:space="preserve"> </w:t>
      </w:r>
      <w:proofErr w:type="spellStart"/>
      <w:r>
        <w:rPr>
          <w:rFonts w:ascii="Times New Roman" w:hAnsi="Times New Roman"/>
        </w:rPr>
        <w:t>introduction</w:t>
      </w:r>
      <w:proofErr w:type="spellEnd"/>
      <w:r>
        <w:rPr>
          <w:rFonts w:ascii="Times New Roman" w:hAnsi="Times New Roman"/>
        </w:rPr>
        <w:t xml:space="preserve"> to </w:t>
      </w:r>
      <w:proofErr w:type="spellStart"/>
      <w:r>
        <w:rPr>
          <w:rFonts w:ascii="Times New Roman" w:hAnsi="Times New Roman"/>
        </w:rPr>
        <w:t>teaching</w:t>
      </w:r>
      <w:proofErr w:type="spellEnd"/>
      <w:r>
        <w:rPr>
          <w:rFonts w:ascii="Times New Roman" w:hAnsi="Times New Roman"/>
        </w:rPr>
        <w:t xml:space="preserve"> and </w:t>
      </w:r>
      <w:proofErr w:type="spellStart"/>
      <w:r>
        <w:rPr>
          <w:rFonts w:ascii="Times New Roman" w:hAnsi="Times New Roman"/>
        </w:rPr>
        <w:t>learning</w:t>
      </w:r>
      <w:proofErr w:type="spellEnd"/>
      <w:r>
        <w:rPr>
          <w:rFonts w:ascii="Times New Roman" w:hAnsi="Times New Roman"/>
        </w:rPr>
        <w:t xml:space="preserve"> in medicine (3</w:t>
      </w:r>
      <w:proofErr w:type="gramStart"/>
      <w:r>
        <w:rPr>
          <w:rFonts w:ascii="Times New Roman" w:hAnsi="Times New Roman"/>
        </w:rPr>
        <w:t>.ª</w:t>
      </w:r>
      <w:proofErr w:type="gramEnd"/>
      <w:r>
        <w:rPr>
          <w:rFonts w:ascii="Times New Roman" w:hAnsi="Times New Roman"/>
        </w:rPr>
        <w:t xml:space="preserve"> ed.). </w:t>
      </w:r>
      <w:proofErr w:type="spellStart"/>
      <w:r>
        <w:rPr>
          <w:rFonts w:ascii="Times New Roman" w:hAnsi="Times New Roman"/>
        </w:rPr>
        <w:t>Elsevier</w:t>
      </w:r>
      <w:proofErr w:type="spellEnd"/>
      <w:r>
        <w:rPr>
          <w:rFonts w:ascii="Times New Roman" w:hAnsi="Times New Roman"/>
        </w:rPr>
        <w:t>.</w:t>
      </w:r>
    </w:p>
    <w:p w14:paraId="68348126" w14:textId="77777777" w:rsidR="00443FBB" w:rsidRDefault="00443FBB" w:rsidP="00443FBB">
      <w:pPr>
        <w:spacing w:after="240" w:line="240" w:lineRule="auto"/>
        <w:ind w:left="720" w:hanging="720"/>
        <w:jc w:val="both"/>
      </w:pPr>
      <w:proofErr w:type="spellStart"/>
      <w:r>
        <w:rPr>
          <w:rFonts w:ascii="Times New Roman" w:hAnsi="Times New Roman"/>
        </w:rPr>
        <w:t>Hattie</w:t>
      </w:r>
      <w:proofErr w:type="spellEnd"/>
      <w:r>
        <w:rPr>
          <w:rFonts w:ascii="Times New Roman" w:hAnsi="Times New Roman"/>
        </w:rPr>
        <w:t xml:space="preserve">, J., &amp; </w:t>
      </w:r>
      <w:proofErr w:type="spellStart"/>
      <w:r>
        <w:rPr>
          <w:rFonts w:ascii="Times New Roman" w:hAnsi="Times New Roman"/>
        </w:rPr>
        <w:t>Timperley</w:t>
      </w:r>
      <w:proofErr w:type="spellEnd"/>
      <w:r>
        <w:rPr>
          <w:rFonts w:ascii="Times New Roman" w:hAnsi="Times New Roman"/>
        </w:rPr>
        <w:t xml:space="preserve">, H. (2007).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power</w:t>
      </w:r>
      <w:proofErr w:type="spellEnd"/>
      <w:r>
        <w:rPr>
          <w:rFonts w:ascii="Times New Roman" w:hAnsi="Times New Roman"/>
        </w:rPr>
        <w:t xml:space="preserve"> of </w:t>
      </w:r>
      <w:proofErr w:type="spellStart"/>
      <w:r>
        <w:rPr>
          <w:rFonts w:ascii="Times New Roman" w:hAnsi="Times New Roman"/>
        </w:rPr>
        <w:t>feedback</w:t>
      </w:r>
      <w:proofErr w:type="spellEnd"/>
      <w:r>
        <w:rPr>
          <w:rFonts w:ascii="Times New Roman" w:hAnsi="Times New Roman"/>
        </w:rPr>
        <w:t xml:space="preserve">. </w:t>
      </w:r>
      <w:proofErr w:type="spellStart"/>
      <w:r>
        <w:rPr>
          <w:rFonts w:ascii="Times New Roman" w:hAnsi="Times New Roman"/>
        </w:rPr>
        <w:t>Review</w:t>
      </w:r>
      <w:proofErr w:type="spellEnd"/>
      <w:r>
        <w:rPr>
          <w:rFonts w:ascii="Times New Roman" w:hAnsi="Times New Roman"/>
        </w:rPr>
        <w:t xml:space="preserve"> of </w:t>
      </w:r>
      <w:proofErr w:type="spellStart"/>
      <w:r>
        <w:rPr>
          <w:rFonts w:ascii="Times New Roman" w:hAnsi="Times New Roman"/>
        </w:rPr>
        <w:t>Educational</w:t>
      </w:r>
      <w:proofErr w:type="spellEnd"/>
      <w:r>
        <w:rPr>
          <w:rFonts w:ascii="Times New Roman" w:hAnsi="Times New Roman"/>
        </w:rPr>
        <w:t xml:space="preserve"> </w:t>
      </w:r>
      <w:proofErr w:type="spellStart"/>
      <w:r>
        <w:rPr>
          <w:rFonts w:ascii="Times New Roman" w:hAnsi="Times New Roman"/>
        </w:rPr>
        <w:t>Research</w:t>
      </w:r>
      <w:proofErr w:type="spellEnd"/>
      <w:r>
        <w:rPr>
          <w:rFonts w:ascii="Times New Roman" w:hAnsi="Times New Roman"/>
        </w:rPr>
        <w:t xml:space="preserve">, 77(1), 81–112. </w:t>
      </w:r>
    </w:p>
    <w:p w14:paraId="414B7708" w14:textId="77777777" w:rsidR="00443FBB" w:rsidRDefault="00443FBB" w:rsidP="00443FBB">
      <w:pPr>
        <w:spacing w:after="240" w:line="240" w:lineRule="auto"/>
        <w:ind w:left="720" w:hanging="720"/>
        <w:jc w:val="both"/>
      </w:pPr>
      <w:r>
        <w:rPr>
          <w:rFonts w:ascii="Times New Roman" w:hAnsi="Times New Roman"/>
        </w:rPr>
        <w:t xml:space="preserve">Martínez Lobatos, L., &amp; Loera Martínez, B. J. (2020). Plan de estudios modular en la formación médica de la Universidad Xochicalco en Mexicali, Baja California, México. Educación Médica, 21(1), 11–16. </w:t>
      </w:r>
    </w:p>
    <w:p w14:paraId="07223AC9" w14:textId="77777777" w:rsidR="00443FBB" w:rsidRDefault="00443FBB" w:rsidP="00443FBB">
      <w:pPr>
        <w:spacing w:after="240" w:line="240" w:lineRule="auto"/>
        <w:ind w:left="720" w:hanging="720"/>
        <w:jc w:val="both"/>
      </w:pPr>
      <w:r>
        <w:rPr>
          <w:rFonts w:ascii="Times New Roman" w:hAnsi="Times New Roman"/>
        </w:rPr>
        <w:t xml:space="preserve">Mayer, R. E., &amp; Moreno, R. (2003). </w:t>
      </w:r>
      <w:proofErr w:type="spellStart"/>
      <w:r>
        <w:rPr>
          <w:rFonts w:ascii="Times New Roman" w:hAnsi="Times New Roman"/>
        </w:rPr>
        <w:t>Nine</w:t>
      </w:r>
      <w:proofErr w:type="spellEnd"/>
      <w:r>
        <w:rPr>
          <w:rFonts w:ascii="Times New Roman" w:hAnsi="Times New Roman"/>
        </w:rPr>
        <w:t xml:space="preserve"> </w:t>
      </w:r>
      <w:proofErr w:type="spellStart"/>
      <w:r>
        <w:rPr>
          <w:rFonts w:ascii="Times New Roman" w:hAnsi="Times New Roman"/>
        </w:rPr>
        <w:t>ways</w:t>
      </w:r>
      <w:proofErr w:type="spellEnd"/>
      <w:r>
        <w:rPr>
          <w:rFonts w:ascii="Times New Roman" w:hAnsi="Times New Roman"/>
        </w:rPr>
        <w:t xml:space="preserve"> to reduce </w:t>
      </w:r>
      <w:proofErr w:type="spellStart"/>
      <w:r>
        <w:rPr>
          <w:rFonts w:ascii="Times New Roman" w:hAnsi="Times New Roman"/>
        </w:rPr>
        <w:t>cognitive</w:t>
      </w:r>
      <w:proofErr w:type="spellEnd"/>
      <w:r>
        <w:rPr>
          <w:rFonts w:ascii="Times New Roman" w:hAnsi="Times New Roman"/>
        </w:rPr>
        <w:t xml:space="preserve"> load in multimedia </w:t>
      </w:r>
      <w:proofErr w:type="spellStart"/>
      <w:r>
        <w:rPr>
          <w:rFonts w:ascii="Times New Roman" w:hAnsi="Times New Roman"/>
        </w:rPr>
        <w:t>learning</w:t>
      </w:r>
      <w:proofErr w:type="spellEnd"/>
      <w:r>
        <w:rPr>
          <w:rFonts w:ascii="Times New Roman" w:hAnsi="Times New Roman"/>
        </w:rPr>
        <w:t xml:space="preserve">. </w:t>
      </w:r>
      <w:proofErr w:type="spellStart"/>
      <w:r>
        <w:rPr>
          <w:rFonts w:ascii="Times New Roman" w:hAnsi="Times New Roman"/>
        </w:rPr>
        <w:t>Educational</w:t>
      </w:r>
      <w:proofErr w:type="spellEnd"/>
      <w:r>
        <w:rPr>
          <w:rFonts w:ascii="Times New Roman" w:hAnsi="Times New Roman"/>
        </w:rPr>
        <w:t xml:space="preserve"> </w:t>
      </w:r>
      <w:proofErr w:type="spellStart"/>
      <w:r>
        <w:rPr>
          <w:rFonts w:ascii="Times New Roman" w:hAnsi="Times New Roman"/>
        </w:rPr>
        <w:t>Psychologist</w:t>
      </w:r>
      <w:proofErr w:type="spellEnd"/>
      <w:r>
        <w:rPr>
          <w:rFonts w:ascii="Times New Roman" w:hAnsi="Times New Roman"/>
        </w:rPr>
        <w:t>, 38(1), 43–52.</w:t>
      </w:r>
    </w:p>
    <w:p w14:paraId="4735F26F" w14:textId="77777777" w:rsidR="00443FBB" w:rsidRDefault="00443FBB" w:rsidP="00443FBB">
      <w:pPr>
        <w:spacing w:after="240" w:line="240" w:lineRule="auto"/>
        <w:ind w:left="720" w:hanging="720"/>
        <w:jc w:val="both"/>
      </w:pPr>
      <w:r>
        <w:rPr>
          <w:rFonts w:ascii="Times New Roman" w:hAnsi="Times New Roman"/>
        </w:rPr>
        <w:t xml:space="preserve">Miller, G. A. (1956).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magical</w:t>
      </w:r>
      <w:proofErr w:type="spellEnd"/>
      <w:r>
        <w:rPr>
          <w:rFonts w:ascii="Times New Roman" w:hAnsi="Times New Roman"/>
        </w:rPr>
        <w:t xml:space="preserve"> </w:t>
      </w:r>
      <w:proofErr w:type="spellStart"/>
      <w:r>
        <w:rPr>
          <w:rFonts w:ascii="Times New Roman" w:hAnsi="Times New Roman"/>
        </w:rPr>
        <w:t>number</w:t>
      </w:r>
      <w:proofErr w:type="spellEnd"/>
      <w:r>
        <w:rPr>
          <w:rFonts w:ascii="Times New Roman" w:hAnsi="Times New Roman"/>
        </w:rPr>
        <w:t xml:space="preserve"> </w:t>
      </w:r>
      <w:proofErr w:type="spellStart"/>
      <w:r>
        <w:rPr>
          <w:rFonts w:ascii="Times New Roman" w:hAnsi="Times New Roman"/>
        </w:rPr>
        <w:t>seven</w:t>
      </w:r>
      <w:proofErr w:type="spellEnd"/>
      <w:r>
        <w:rPr>
          <w:rFonts w:ascii="Times New Roman" w:hAnsi="Times New Roman"/>
        </w:rPr>
        <w:t xml:space="preserve">, plus </w:t>
      </w:r>
      <w:proofErr w:type="spellStart"/>
      <w:r>
        <w:rPr>
          <w:rFonts w:ascii="Times New Roman" w:hAnsi="Times New Roman"/>
        </w:rPr>
        <w:t>or</w:t>
      </w:r>
      <w:proofErr w:type="spellEnd"/>
      <w:r>
        <w:rPr>
          <w:rFonts w:ascii="Times New Roman" w:hAnsi="Times New Roman"/>
        </w:rPr>
        <w:t xml:space="preserve"> </w:t>
      </w:r>
      <w:proofErr w:type="spellStart"/>
      <w:r>
        <w:rPr>
          <w:rFonts w:ascii="Times New Roman" w:hAnsi="Times New Roman"/>
        </w:rPr>
        <w:t>minus</w:t>
      </w:r>
      <w:proofErr w:type="spellEnd"/>
      <w:r>
        <w:rPr>
          <w:rFonts w:ascii="Times New Roman" w:hAnsi="Times New Roman"/>
        </w:rPr>
        <w:t xml:space="preserve"> </w:t>
      </w:r>
      <w:proofErr w:type="spellStart"/>
      <w:r>
        <w:rPr>
          <w:rFonts w:ascii="Times New Roman" w:hAnsi="Times New Roman"/>
        </w:rPr>
        <w:t>two</w:t>
      </w:r>
      <w:proofErr w:type="spellEnd"/>
      <w:r>
        <w:rPr>
          <w:rFonts w:ascii="Times New Roman" w:hAnsi="Times New Roman"/>
        </w:rPr>
        <w:t xml:space="preserve">: </w:t>
      </w:r>
      <w:proofErr w:type="spellStart"/>
      <w:r>
        <w:rPr>
          <w:rFonts w:ascii="Times New Roman" w:hAnsi="Times New Roman"/>
        </w:rPr>
        <w:t>Some</w:t>
      </w:r>
      <w:proofErr w:type="spellEnd"/>
      <w:r>
        <w:rPr>
          <w:rFonts w:ascii="Times New Roman" w:hAnsi="Times New Roman"/>
        </w:rPr>
        <w:t xml:space="preserve"> </w:t>
      </w:r>
      <w:proofErr w:type="spellStart"/>
      <w:r>
        <w:rPr>
          <w:rFonts w:ascii="Times New Roman" w:hAnsi="Times New Roman"/>
        </w:rPr>
        <w:t>limits</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w:t>
      </w:r>
      <w:proofErr w:type="spellStart"/>
      <w:r>
        <w:rPr>
          <w:rFonts w:ascii="Times New Roman" w:hAnsi="Times New Roman"/>
        </w:rPr>
        <w:t>our</w:t>
      </w:r>
      <w:proofErr w:type="spellEnd"/>
      <w:r>
        <w:rPr>
          <w:rFonts w:ascii="Times New Roman" w:hAnsi="Times New Roman"/>
        </w:rPr>
        <w:t xml:space="preserve"> </w:t>
      </w:r>
      <w:proofErr w:type="spellStart"/>
      <w:r>
        <w:rPr>
          <w:rFonts w:ascii="Times New Roman" w:hAnsi="Times New Roman"/>
        </w:rPr>
        <w:t>capacity</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processing</w:t>
      </w:r>
      <w:proofErr w:type="spellEnd"/>
      <w:r>
        <w:rPr>
          <w:rFonts w:ascii="Times New Roman" w:hAnsi="Times New Roman"/>
        </w:rPr>
        <w:t xml:space="preserve"> </w:t>
      </w:r>
      <w:proofErr w:type="spellStart"/>
      <w:r>
        <w:rPr>
          <w:rFonts w:ascii="Times New Roman" w:hAnsi="Times New Roman"/>
        </w:rPr>
        <w:t>information</w:t>
      </w:r>
      <w:proofErr w:type="spellEnd"/>
      <w:r>
        <w:rPr>
          <w:rFonts w:ascii="Times New Roman" w:hAnsi="Times New Roman"/>
        </w:rPr>
        <w:t xml:space="preserve">. </w:t>
      </w:r>
      <w:proofErr w:type="spellStart"/>
      <w:r>
        <w:rPr>
          <w:rFonts w:ascii="Times New Roman" w:hAnsi="Times New Roman"/>
        </w:rPr>
        <w:t>Psychological</w:t>
      </w:r>
      <w:proofErr w:type="spellEnd"/>
      <w:r>
        <w:rPr>
          <w:rFonts w:ascii="Times New Roman" w:hAnsi="Times New Roman"/>
        </w:rPr>
        <w:t xml:space="preserve"> </w:t>
      </w:r>
      <w:proofErr w:type="spellStart"/>
      <w:r>
        <w:rPr>
          <w:rFonts w:ascii="Times New Roman" w:hAnsi="Times New Roman"/>
        </w:rPr>
        <w:t>Review</w:t>
      </w:r>
      <w:proofErr w:type="spellEnd"/>
      <w:r>
        <w:rPr>
          <w:rFonts w:ascii="Times New Roman" w:hAnsi="Times New Roman"/>
        </w:rPr>
        <w:t xml:space="preserve">, 63(2), 81–97. </w:t>
      </w:r>
    </w:p>
    <w:p w14:paraId="7BA255C0" w14:textId="77777777" w:rsidR="00443FBB" w:rsidRDefault="00443FBB" w:rsidP="00443FBB">
      <w:pPr>
        <w:spacing w:after="240" w:line="240" w:lineRule="auto"/>
        <w:ind w:left="720" w:hanging="720"/>
        <w:jc w:val="both"/>
      </w:pPr>
      <w:r>
        <w:rPr>
          <w:rFonts w:ascii="Times New Roman" w:hAnsi="Times New Roman"/>
        </w:rPr>
        <w:t xml:space="preserve">Montano, A., &amp; Molina, M. E. (2024). </w:t>
      </w:r>
      <w:r>
        <w:rPr>
          <w:rFonts w:ascii="Times New Roman" w:hAnsi="Times New Roman"/>
          <w:i/>
        </w:rPr>
        <w:t>La docencia universitaria como campo de problemáticas y de intervenciones pedagógicas</w:t>
      </w:r>
      <w:r>
        <w:rPr>
          <w:rFonts w:ascii="Times New Roman" w:hAnsi="Times New Roman"/>
        </w:rPr>
        <w:t>. Editorial de la Universidad Nacional de Mar del Plata.</w:t>
      </w:r>
    </w:p>
    <w:p w14:paraId="1DC0A741" w14:textId="77777777" w:rsidR="00443FBB" w:rsidRDefault="00443FBB" w:rsidP="00443FBB">
      <w:pPr>
        <w:spacing w:after="240" w:line="240" w:lineRule="auto"/>
        <w:ind w:left="720" w:hanging="720"/>
        <w:jc w:val="both"/>
      </w:pPr>
      <w:r>
        <w:rPr>
          <w:rFonts w:ascii="Times New Roman" w:hAnsi="Times New Roman"/>
        </w:rPr>
        <w:t xml:space="preserve">Mora Rojas, C. O., Enciso, M., Gómez Fretes, L. M., </w:t>
      </w:r>
      <w:proofErr w:type="spellStart"/>
      <w:r>
        <w:rPr>
          <w:rFonts w:ascii="Times New Roman" w:hAnsi="Times New Roman"/>
        </w:rPr>
        <w:t>Diarte</w:t>
      </w:r>
      <w:proofErr w:type="spellEnd"/>
      <w:r>
        <w:rPr>
          <w:rFonts w:ascii="Times New Roman" w:hAnsi="Times New Roman"/>
        </w:rPr>
        <w:t xml:space="preserve">, M. del C., </w:t>
      </w:r>
      <w:proofErr w:type="spellStart"/>
      <w:r>
        <w:rPr>
          <w:rFonts w:ascii="Times New Roman" w:hAnsi="Times New Roman"/>
        </w:rPr>
        <w:t>Otazú</w:t>
      </w:r>
      <w:proofErr w:type="spellEnd"/>
      <w:r>
        <w:rPr>
          <w:rFonts w:ascii="Times New Roman" w:hAnsi="Times New Roman"/>
        </w:rPr>
        <w:t xml:space="preserve"> Mendoza, A., Florentín Rojas, M. I., Oliva González, S., González Do Santos, L. M., &amp; Guillén de Vera, D. V. (2023). Fundamentos epistemológicos, metodológicos y teóricos de los programas de estudio en ciencias de la salud. LATAM Revista Latinoamericana de Ciencias Sociales y Humanidades, 4(1), 3464–3477. </w:t>
      </w:r>
    </w:p>
    <w:p w14:paraId="02DD2FE0" w14:textId="77777777" w:rsidR="00443FBB" w:rsidRDefault="00443FBB" w:rsidP="00443FBB">
      <w:pPr>
        <w:spacing w:after="240" w:line="240" w:lineRule="auto"/>
        <w:ind w:left="720" w:hanging="720"/>
        <w:jc w:val="both"/>
      </w:pPr>
      <w:proofErr w:type="spellStart"/>
      <w:r>
        <w:rPr>
          <w:rFonts w:ascii="Times New Roman" w:hAnsi="Times New Roman"/>
        </w:rPr>
        <w:t>Morelli</w:t>
      </w:r>
      <w:proofErr w:type="spellEnd"/>
      <w:r>
        <w:rPr>
          <w:rFonts w:ascii="Times New Roman" w:hAnsi="Times New Roman"/>
        </w:rPr>
        <w:t xml:space="preserve">, S. (2018). Didáctica crítica y educación superior: debates contemporáneos sobre el currículo. </w:t>
      </w:r>
      <w:r>
        <w:rPr>
          <w:rFonts w:ascii="Times New Roman" w:hAnsi="Times New Roman"/>
          <w:i/>
        </w:rPr>
        <w:t>Revista de Educación Superior, 47</w:t>
      </w:r>
      <w:r>
        <w:rPr>
          <w:rFonts w:ascii="Times New Roman" w:hAnsi="Times New Roman"/>
        </w:rPr>
        <w:t>(185), 45–62. https://doi.org/10.31294/resu.v47i185.567</w:t>
      </w:r>
    </w:p>
    <w:p w14:paraId="7A824DE2" w14:textId="77777777" w:rsidR="00443FBB" w:rsidRDefault="00443FBB" w:rsidP="00443FBB">
      <w:pPr>
        <w:spacing w:after="240" w:line="240" w:lineRule="auto"/>
        <w:ind w:left="720" w:hanging="720"/>
        <w:jc w:val="both"/>
      </w:pPr>
      <w:proofErr w:type="spellStart"/>
      <w:r>
        <w:rPr>
          <w:rFonts w:ascii="Times New Roman" w:hAnsi="Times New Roman"/>
        </w:rPr>
        <w:t>Paas</w:t>
      </w:r>
      <w:proofErr w:type="spellEnd"/>
      <w:r>
        <w:rPr>
          <w:rFonts w:ascii="Times New Roman" w:hAnsi="Times New Roman"/>
        </w:rPr>
        <w:t xml:space="preserve">, F., &amp; van </w:t>
      </w:r>
      <w:proofErr w:type="spellStart"/>
      <w:r>
        <w:rPr>
          <w:rFonts w:ascii="Times New Roman" w:hAnsi="Times New Roman"/>
        </w:rPr>
        <w:t>Merriënboer</w:t>
      </w:r>
      <w:proofErr w:type="spellEnd"/>
      <w:r>
        <w:rPr>
          <w:rFonts w:ascii="Times New Roman" w:hAnsi="Times New Roman"/>
        </w:rPr>
        <w:t xml:space="preserve">, J. J. G. (2020). </w:t>
      </w:r>
      <w:proofErr w:type="spellStart"/>
      <w:r>
        <w:rPr>
          <w:rFonts w:ascii="Times New Roman" w:hAnsi="Times New Roman"/>
        </w:rPr>
        <w:t>Cognitive</w:t>
      </w:r>
      <w:proofErr w:type="spellEnd"/>
      <w:r>
        <w:rPr>
          <w:rFonts w:ascii="Times New Roman" w:hAnsi="Times New Roman"/>
        </w:rPr>
        <w:t xml:space="preserve">-load </w:t>
      </w:r>
      <w:proofErr w:type="spellStart"/>
      <w:r>
        <w:rPr>
          <w:rFonts w:ascii="Times New Roman" w:hAnsi="Times New Roman"/>
        </w:rPr>
        <w:t>theory</w:t>
      </w:r>
      <w:proofErr w:type="spellEnd"/>
      <w:r>
        <w:rPr>
          <w:rFonts w:ascii="Times New Roman" w:hAnsi="Times New Roman"/>
        </w:rPr>
        <w:t xml:space="preserve">: </w:t>
      </w:r>
      <w:proofErr w:type="spellStart"/>
      <w:r>
        <w:rPr>
          <w:rFonts w:ascii="Times New Roman" w:hAnsi="Times New Roman"/>
        </w:rPr>
        <w:t>Methods</w:t>
      </w:r>
      <w:proofErr w:type="spellEnd"/>
      <w:r>
        <w:rPr>
          <w:rFonts w:ascii="Times New Roman" w:hAnsi="Times New Roman"/>
        </w:rPr>
        <w:t xml:space="preserve"> to </w:t>
      </w:r>
      <w:proofErr w:type="spellStart"/>
      <w:r>
        <w:rPr>
          <w:rFonts w:ascii="Times New Roman" w:hAnsi="Times New Roman"/>
        </w:rPr>
        <w:t>manage</w:t>
      </w:r>
      <w:proofErr w:type="spellEnd"/>
      <w:r>
        <w:rPr>
          <w:rFonts w:ascii="Times New Roman" w:hAnsi="Times New Roman"/>
        </w:rPr>
        <w:t xml:space="preserve"> </w:t>
      </w:r>
      <w:proofErr w:type="spellStart"/>
      <w:r>
        <w:rPr>
          <w:rFonts w:ascii="Times New Roman" w:hAnsi="Times New Roman"/>
        </w:rPr>
        <w:t>working</w:t>
      </w:r>
      <w:proofErr w:type="spellEnd"/>
      <w:r>
        <w:rPr>
          <w:rFonts w:ascii="Times New Roman" w:hAnsi="Times New Roman"/>
        </w:rPr>
        <w:t xml:space="preserve"> </w:t>
      </w:r>
      <w:proofErr w:type="spellStart"/>
      <w:r>
        <w:rPr>
          <w:rFonts w:ascii="Times New Roman" w:hAnsi="Times New Roman"/>
        </w:rPr>
        <w:t>memory</w:t>
      </w:r>
      <w:proofErr w:type="spellEnd"/>
      <w:r>
        <w:rPr>
          <w:rFonts w:ascii="Times New Roman" w:hAnsi="Times New Roman"/>
        </w:rPr>
        <w:t xml:space="preserve"> load in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learning</w:t>
      </w:r>
      <w:proofErr w:type="spellEnd"/>
      <w:r>
        <w:rPr>
          <w:rFonts w:ascii="Times New Roman" w:hAnsi="Times New Roman"/>
        </w:rPr>
        <w:t xml:space="preserve"> of </w:t>
      </w:r>
      <w:proofErr w:type="spellStart"/>
      <w:r>
        <w:rPr>
          <w:rFonts w:ascii="Times New Roman" w:hAnsi="Times New Roman"/>
        </w:rPr>
        <w:t>complex</w:t>
      </w:r>
      <w:proofErr w:type="spellEnd"/>
      <w:r>
        <w:rPr>
          <w:rFonts w:ascii="Times New Roman" w:hAnsi="Times New Roman"/>
        </w:rPr>
        <w:t xml:space="preserve"> </w:t>
      </w:r>
      <w:proofErr w:type="spellStart"/>
      <w:r>
        <w:rPr>
          <w:rFonts w:ascii="Times New Roman" w:hAnsi="Times New Roman"/>
        </w:rPr>
        <w:t>tasks</w:t>
      </w:r>
      <w:proofErr w:type="spellEnd"/>
      <w:r>
        <w:rPr>
          <w:rFonts w:ascii="Times New Roman" w:hAnsi="Times New Roman"/>
        </w:rPr>
        <w:t xml:space="preserve">. </w:t>
      </w:r>
      <w:proofErr w:type="spellStart"/>
      <w:r>
        <w:rPr>
          <w:rFonts w:ascii="Times New Roman" w:hAnsi="Times New Roman"/>
        </w:rPr>
        <w:t>Current</w:t>
      </w:r>
      <w:proofErr w:type="spellEnd"/>
      <w:r>
        <w:rPr>
          <w:rFonts w:ascii="Times New Roman" w:hAnsi="Times New Roman"/>
        </w:rPr>
        <w:t xml:space="preserve"> </w:t>
      </w:r>
      <w:proofErr w:type="spellStart"/>
      <w:r>
        <w:rPr>
          <w:rFonts w:ascii="Times New Roman" w:hAnsi="Times New Roman"/>
        </w:rPr>
        <w:t>Directions</w:t>
      </w:r>
      <w:proofErr w:type="spellEnd"/>
      <w:r>
        <w:rPr>
          <w:rFonts w:ascii="Times New Roman" w:hAnsi="Times New Roman"/>
        </w:rPr>
        <w:t xml:space="preserve"> in </w:t>
      </w:r>
      <w:proofErr w:type="spellStart"/>
      <w:r>
        <w:rPr>
          <w:rFonts w:ascii="Times New Roman" w:hAnsi="Times New Roman"/>
        </w:rPr>
        <w:t>Psychological</w:t>
      </w:r>
      <w:proofErr w:type="spellEnd"/>
      <w:r>
        <w:rPr>
          <w:rFonts w:ascii="Times New Roman" w:hAnsi="Times New Roman"/>
        </w:rPr>
        <w:t xml:space="preserve"> </w:t>
      </w:r>
      <w:proofErr w:type="spellStart"/>
      <w:r>
        <w:rPr>
          <w:rFonts w:ascii="Times New Roman" w:hAnsi="Times New Roman"/>
        </w:rPr>
        <w:t>Science</w:t>
      </w:r>
      <w:proofErr w:type="spellEnd"/>
      <w:r>
        <w:rPr>
          <w:rFonts w:ascii="Times New Roman" w:hAnsi="Times New Roman"/>
        </w:rPr>
        <w:t xml:space="preserve">, 29(4), 394–398. </w:t>
      </w:r>
    </w:p>
    <w:p w14:paraId="73F2C911" w14:textId="77777777" w:rsidR="00443FBB" w:rsidRDefault="00443FBB" w:rsidP="00443FBB">
      <w:pPr>
        <w:spacing w:after="240" w:line="240" w:lineRule="auto"/>
        <w:ind w:left="720" w:hanging="720"/>
        <w:jc w:val="both"/>
      </w:pPr>
      <w:r>
        <w:rPr>
          <w:rFonts w:ascii="Times New Roman" w:hAnsi="Times New Roman"/>
        </w:rPr>
        <w:t>Revista Española de Educación Médica. (2026). Avances en la implementación del ECOE/OSCE multimodal en el entorno de educación médica de habla hispana. Revista Española de Educación Médica, 7(1), 12–28.</w:t>
      </w:r>
    </w:p>
    <w:p w14:paraId="44188C95" w14:textId="77777777" w:rsidR="00443FBB" w:rsidRDefault="00443FBB" w:rsidP="00443FBB">
      <w:pPr>
        <w:spacing w:after="240" w:line="240" w:lineRule="auto"/>
        <w:ind w:left="720" w:hanging="720"/>
        <w:jc w:val="both"/>
      </w:pPr>
      <w:proofErr w:type="spellStart"/>
      <w:r>
        <w:rPr>
          <w:rFonts w:ascii="Times New Roman" w:hAnsi="Times New Roman"/>
        </w:rPr>
        <w:t>Surapaneni</w:t>
      </w:r>
      <w:proofErr w:type="spellEnd"/>
      <w:r>
        <w:rPr>
          <w:rFonts w:ascii="Times New Roman" w:hAnsi="Times New Roman"/>
        </w:rPr>
        <w:t xml:space="preserve">, K. M. (2025). </w:t>
      </w:r>
      <w:proofErr w:type="spellStart"/>
      <w:r>
        <w:rPr>
          <w:rFonts w:ascii="Times New Roman" w:hAnsi="Times New Roman"/>
        </w:rPr>
        <w:t>Navigating</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revised</w:t>
      </w:r>
      <w:proofErr w:type="spellEnd"/>
      <w:r>
        <w:rPr>
          <w:rFonts w:ascii="Times New Roman" w:hAnsi="Times New Roman"/>
        </w:rPr>
        <w:t xml:space="preserve"> </w:t>
      </w:r>
      <w:proofErr w:type="spellStart"/>
      <w:r>
        <w:rPr>
          <w:rFonts w:ascii="Times New Roman" w:hAnsi="Times New Roman"/>
        </w:rPr>
        <w:t>guidelines</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Undergraduate</w:t>
      </w:r>
      <w:proofErr w:type="spellEnd"/>
      <w:r>
        <w:rPr>
          <w:rFonts w:ascii="Times New Roman" w:hAnsi="Times New Roman"/>
        </w:rPr>
        <w:t xml:space="preserve"> </w:t>
      </w:r>
      <w:proofErr w:type="spellStart"/>
      <w:r>
        <w:rPr>
          <w:rFonts w:ascii="Times New Roman" w:hAnsi="Times New Roman"/>
        </w:rPr>
        <w:t>Competency</w:t>
      </w:r>
      <w:proofErr w:type="spellEnd"/>
      <w:r>
        <w:rPr>
          <w:rFonts w:ascii="Times New Roman" w:hAnsi="Times New Roman"/>
        </w:rPr>
        <w:t xml:space="preserve"> </w:t>
      </w:r>
      <w:proofErr w:type="spellStart"/>
      <w:r>
        <w:rPr>
          <w:rFonts w:ascii="Times New Roman" w:hAnsi="Times New Roman"/>
        </w:rPr>
        <w:t>Based</w:t>
      </w:r>
      <w:proofErr w:type="spellEnd"/>
      <w:r>
        <w:rPr>
          <w:rFonts w:ascii="Times New Roman" w:hAnsi="Times New Roman"/>
        </w:rPr>
        <w:t xml:space="preserve"> Medical </w:t>
      </w:r>
      <w:proofErr w:type="spellStart"/>
      <w:r>
        <w:rPr>
          <w:rFonts w:ascii="Times New Roman" w:hAnsi="Times New Roman"/>
        </w:rPr>
        <w:t>Education</w:t>
      </w:r>
      <w:proofErr w:type="spellEnd"/>
      <w:r>
        <w:rPr>
          <w:rFonts w:ascii="Times New Roman" w:hAnsi="Times New Roman"/>
        </w:rPr>
        <w:t xml:space="preserve"> (CBME) </w:t>
      </w:r>
      <w:proofErr w:type="spellStart"/>
      <w:r>
        <w:rPr>
          <w:rFonts w:ascii="Times New Roman" w:hAnsi="Times New Roman"/>
        </w:rPr>
        <w:t>curriculum</w:t>
      </w:r>
      <w:proofErr w:type="spellEnd"/>
      <w:r>
        <w:rPr>
          <w:rFonts w:ascii="Times New Roman" w:hAnsi="Times New Roman"/>
        </w:rPr>
        <w:t xml:space="preserve">. International </w:t>
      </w:r>
      <w:proofErr w:type="spellStart"/>
      <w:r>
        <w:rPr>
          <w:rFonts w:ascii="Times New Roman" w:hAnsi="Times New Roman"/>
        </w:rPr>
        <w:t>Journal</w:t>
      </w:r>
      <w:proofErr w:type="spellEnd"/>
      <w:r>
        <w:rPr>
          <w:rFonts w:ascii="Times New Roman" w:hAnsi="Times New Roman"/>
        </w:rPr>
        <w:t xml:space="preserve"> of Medical </w:t>
      </w:r>
      <w:proofErr w:type="spellStart"/>
      <w:r>
        <w:rPr>
          <w:rFonts w:ascii="Times New Roman" w:hAnsi="Times New Roman"/>
        </w:rPr>
        <w:t>Education</w:t>
      </w:r>
      <w:proofErr w:type="spellEnd"/>
      <w:r>
        <w:rPr>
          <w:rFonts w:ascii="Times New Roman" w:hAnsi="Times New Roman"/>
        </w:rPr>
        <w:t>, 8(1), 50–52.</w:t>
      </w:r>
    </w:p>
    <w:p w14:paraId="7CD61042" w14:textId="77777777" w:rsidR="00443FBB" w:rsidRDefault="00443FBB" w:rsidP="00443FBB">
      <w:pPr>
        <w:spacing w:after="240" w:line="240" w:lineRule="auto"/>
        <w:ind w:left="720" w:hanging="720"/>
        <w:jc w:val="both"/>
      </w:pPr>
      <w:proofErr w:type="spellStart"/>
      <w:r>
        <w:rPr>
          <w:rFonts w:ascii="Times New Roman" w:hAnsi="Times New Roman"/>
        </w:rPr>
        <w:t>Sweller</w:t>
      </w:r>
      <w:proofErr w:type="spellEnd"/>
      <w:r>
        <w:rPr>
          <w:rFonts w:ascii="Times New Roman" w:hAnsi="Times New Roman"/>
        </w:rPr>
        <w:t xml:space="preserve">, J. (1988). </w:t>
      </w:r>
      <w:proofErr w:type="spellStart"/>
      <w:r>
        <w:rPr>
          <w:rFonts w:ascii="Times New Roman" w:hAnsi="Times New Roman"/>
        </w:rPr>
        <w:t>Cognitive</w:t>
      </w:r>
      <w:proofErr w:type="spellEnd"/>
      <w:r>
        <w:rPr>
          <w:rFonts w:ascii="Times New Roman" w:hAnsi="Times New Roman"/>
        </w:rPr>
        <w:t xml:space="preserve"> load </w:t>
      </w:r>
      <w:proofErr w:type="spellStart"/>
      <w:r>
        <w:rPr>
          <w:rFonts w:ascii="Times New Roman" w:hAnsi="Times New Roman"/>
        </w:rPr>
        <w:t>during</w:t>
      </w:r>
      <w:proofErr w:type="spellEnd"/>
      <w:r>
        <w:rPr>
          <w:rFonts w:ascii="Times New Roman" w:hAnsi="Times New Roman"/>
        </w:rPr>
        <w:t xml:space="preserve"> </w:t>
      </w:r>
      <w:proofErr w:type="spellStart"/>
      <w:r>
        <w:rPr>
          <w:rFonts w:ascii="Times New Roman" w:hAnsi="Times New Roman"/>
        </w:rPr>
        <w:t>problem</w:t>
      </w:r>
      <w:proofErr w:type="spellEnd"/>
      <w:r>
        <w:rPr>
          <w:rFonts w:ascii="Times New Roman" w:hAnsi="Times New Roman"/>
        </w:rPr>
        <w:t xml:space="preserve"> </w:t>
      </w:r>
      <w:proofErr w:type="spellStart"/>
      <w:r>
        <w:rPr>
          <w:rFonts w:ascii="Times New Roman" w:hAnsi="Times New Roman"/>
        </w:rPr>
        <w:t>solving</w:t>
      </w:r>
      <w:proofErr w:type="spellEnd"/>
      <w:r>
        <w:rPr>
          <w:rFonts w:ascii="Times New Roman" w:hAnsi="Times New Roman"/>
        </w:rPr>
        <w:t xml:space="preserve">: </w:t>
      </w:r>
      <w:proofErr w:type="spellStart"/>
      <w:r>
        <w:rPr>
          <w:rFonts w:ascii="Times New Roman" w:hAnsi="Times New Roman"/>
        </w:rPr>
        <w:t>Effects</w:t>
      </w:r>
      <w:proofErr w:type="spellEnd"/>
      <w:r>
        <w:rPr>
          <w:rFonts w:ascii="Times New Roman" w:hAnsi="Times New Roman"/>
        </w:rPr>
        <w:t xml:space="preserve"> </w:t>
      </w:r>
      <w:proofErr w:type="spellStart"/>
      <w:r>
        <w:rPr>
          <w:rFonts w:ascii="Times New Roman" w:hAnsi="Times New Roman"/>
        </w:rPr>
        <w:t>on</w:t>
      </w:r>
      <w:proofErr w:type="spellEnd"/>
      <w:r>
        <w:rPr>
          <w:rFonts w:ascii="Times New Roman" w:hAnsi="Times New Roman"/>
        </w:rPr>
        <w:t xml:space="preserve"> </w:t>
      </w:r>
      <w:proofErr w:type="spellStart"/>
      <w:r>
        <w:rPr>
          <w:rFonts w:ascii="Times New Roman" w:hAnsi="Times New Roman"/>
        </w:rPr>
        <w:t>learning</w:t>
      </w:r>
      <w:proofErr w:type="spellEnd"/>
      <w:r>
        <w:rPr>
          <w:rFonts w:ascii="Times New Roman" w:hAnsi="Times New Roman"/>
        </w:rPr>
        <w:t xml:space="preserve">. </w:t>
      </w:r>
      <w:proofErr w:type="spellStart"/>
      <w:r>
        <w:rPr>
          <w:rFonts w:ascii="Times New Roman" w:hAnsi="Times New Roman"/>
          <w:i/>
        </w:rPr>
        <w:t>Cognitive</w:t>
      </w:r>
      <w:proofErr w:type="spellEnd"/>
      <w:r>
        <w:rPr>
          <w:rFonts w:ascii="Times New Roman" w:hAnsi="Times New Roman"/>
          <w:i/>
        </w:rPr>
        <w:t xml:space="preserve"> </w:t>
      </w:r>
      <w:proofErr w:type="spellStart"/>
      <w:r>
        <w:rPr>
          <w:rFonts w:ascii="Times New Roman" w:hAnsi="Times New Roman"/>
          <w:i/>
        </w:rPr>
        <w:t>Science</w:t>
      </w:r>
      <w:proofErr w:type="spellEnd"/>
      <w:r>
        <w:rPr>
          <w:rFonts w:ascii="Times New Roman" w:hAnsi="Times New Roman"/>
          <w:i/>
        </w:rPr>
        <w:t>, 12</w:t>
      </w:r>
      <w:r>
        <w:rPr>
          <w:rFonts w:ascii="Times New Roman" w:hAnsi="Times New Roman"/>
        </w:rPr>
        <w:t>(2), 257–285. https://doi.org/10.1207/s15516709cog1202_4</w:t>
      </w:r>
    </w:p>
    <w:p w14:paraId="3B3AB5E7" w14:textId="77777777" w:rsidR="00443FBB" w:rsidRDefault="00443FBB" w:rsidP="00443FBB">
      <w:pPr>
        <w:spacing w:after="240" w:line="240" w:lineRule="auto"/>
        <w:ind w:left="720" w:hanging="720"/>
        <w:jc w:val="both"/>
      </w:pPr>
      <w:proofErr w:type="spellStart"/>
      <w:r>
        <w:rPr>
          <w:rFonts w:ascii="Times New Roman" w:hAnsi="Times New Roman"/>
        </w:rPr>
        <w:t>Sweller</w:t>
      </w:r>
      <w:proofErr w:type="spellEnd"/>
      <w:r>
        <w:rPr>
          <w:rFonts w:ascii="Times New Roman" w:hAnsi="Times New Roman"/>
        </w:rPr>
        <w:t xml:space="preserve">, J. (2011). </w:t>
      </w:r>
      <w:proofErr w:type="spellStart"/>
      <w:r>
        <w:rPr>
          <w:rFonts w:ascii="Times New Roman" w:hAnsi="Times New Roman"/>
        </w:rPr>
        <w:t>Cognitive</w:t>
      </w:r>
      <w:proofErr w:type="spellEnd"/>
      <w:r>
        <w:rPr>
          <w:rFonts w:ascii="Times New Roman" w:hAnsi="Times New Roman"/>
        </w:rPr>
        <w:t xml:space="preserve"> load </w:t>
      </w:r>
      <w:proofErr w:type="spellStart"/>
      <w:r>
        <w:rPr>
          <w:rFonts w:ascii="Times New Roman" w:hAnsi="Times New Roman"/>
        </w:rPr>
        <w:t>theory</w:t>
      </w:r>
      <w:proofErr w:type="spellEnd"/>
      <w:r>
        <w:rPr>
          <w:rFonts w:ascii="Times New Roman" w:hAnsi="Times New Roman"/>
        </w:rPr>
        <w:t xml:space="preserve">. En J. P. </w:t>
      </w:r>
      <w:proofErr w:type="spellStart"/>
      <w:r>
        <w:rPr>
          <w:rFonts w:ascii="Times New Roman" w:hAnsi="Times New Roman"/>
        </w:rPr>
        <w:t>Mestre</w:t>
      </w:r>
      <w:proofErr w:type="spellEnd"/>
      <w:r>
        <w:rPr>
          <w:rFonts w:ascii="Times New Roman" w:hAnsi="Times New Roman"/>
        </w:rPr>
        <w:t xml:space="preserve"> &amp; B. H. Ross (Eds.),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psychology</w:t>
      </w:r>
      <w:proofErr w:type="spellEnd"/>
      <w:r>
        <w:rPr>
          <w:rFonts w:ascii="Times New Roman" w:hAnsi="Times New Roman"/>
          <w:i/>
        </w:rPr>
        <w:t xml:space="preserve"> of </w:t>
      </w:r>
      <w:proofErr w:type="spellStart"/>
      <w:r>
        <w:rPr>
          <w:rFonts w:ascii="Times New Roman" w:hAnsi="Times New Roman"/>
          <w:i/>
        </w:rPr>
        <w:t>learning</w:t>
      </w:r>
      <w:proofErr w:type="spellEnd"/>
      <w:r>
        <w:rPr>
          <w:rFonts w:ascii="Times New Roman" w:hAnsi="Times New Roman"/>
          <w:i/>
        </w:rPr>
        <w:t xml:space="preserve"> and </w:t>
      </w:r>
      <w:proofErr w:type="spellStart"/>
      <w:r>
        <w:rPr>
          <w:rFonts w:ascii="Times New Roman" w:hAnsi="Times New Roman"/>
          <w:i/>
        </w:rPr>
        <w:t>motivation</w:t>
      </w:r>
      <w:proofErr w:type="spellEnd"/>
      <w:r>
        <w:rPr>
          <w:rFonts w:ascii="Times New Roman" w:hAnsi="Times New Roman"/>
          <w:i/>
        </w:rPr>
        <w:t xml:space="preserve">: </w:t>
      </w:r>
      <w:proofErr w:type="spellStart"/>
      <w:r>
        <w:rPr>
          <w:rFonts w:ascii="Times New Roman" w:hAnsi="Times New Roman"/>
          <w:i/>
        </w:rPr>
        <w:t>Cognition</w:t>
      </w:r>
      <w:proofErr w:type="spellEnd"/>
      <w:r>
        <w:rPr>
          <w:rFonts w:ascii="Times New Roman" w:hAnsi="Times New Roman"/>
          <w:i/>
        </w:rPr>
        <w:t xml:space="preserve"> in </w:t>
      </w:r>
      <w:proofErr w:type="spellStart"/>
      <w:r>
        <w:rPr>
          <w:rFonts w:ascii="Times New Roman" w:hAnsi="Times New Roman"/>
          <w:i/>
        </w:rPr>
        <w:t>education</w:t>
      </w:r>
      <w:proofErr w:type="spellEnd"/>
      <w:r>
        <w:rPr>
          <w:rFonts w:ascii="Times New Roman" w:hAnsi="Times New Roman"/>
        </w:rPr>
        <w:t xml:space="preserve"> (pp. 37–76). </w:t>
      </w:r>
      <w:proofErr w:type="spellStart"/>
      <w:r>
        <w:rPr>
          <w:rFonts w:ascii="Times New Roman" w:hAnsi="Times New Roman"/>
        </w:rPr>
        <w:t>Elsevier</w:t>
      </w:r>
      <w:proofErr w:type="spellEnd"/>
      <w:r>
        <w:rPr>
          <w:rFonts w:ascii="Times New Roman" w:hAnsi="Times New Roman"/>
        </w:rPr>
        <w:t xml:space="preserve"> </w:t>
      </w:r>
      <w:proofErr w:type="spellStart"/>
      <w:r>
        <w:rPr>
          <w:rFonts w:ascii="Times New Roman" w:hAnsi="Times New Roman"/>
        </w:rPr>
        <w:t>Academic</w:t>
      </w:r>
      <w:proofErr w:type="spellEnd"/>
      <w:r>
        <w:rPr>
          <w:rFonts w:ascii="Times New Roman" w:hAnsi="Times New Roman"/>
        </w:rPr>
        <w:t xml:space="preserve"> </w:t>
      </w:r>
      <w:proofErr w:type="spellStart"/>
      <w:r>
        <w:rPr>
          <w:rFonts w:ascii="Times New Roman" w:hAnsi="Times New Roman"/>
        </w:rPr>
        <w:t>Press</w:t>
      </w:r>
      <w:proofErr w:type="spellEnd"/>
      <w:r>
        <w:rPr>
          <w:rFonts w:ascii="Times New Roman" w:hAnsi="Times New Roman"/>
        </w:rPr>
        <w:t>. https://doi.org/10.1016/B978-0-12-387691-1.00002-8</w:t>
      </w:r>
    </w:p>
    <w:p w14:paraId="5661378F" w14:textId="77777777" w:rsidR="00443FBB" w:rsidRDefault="00443FBB" w:rsidP="00443FBB">
      <w:pPr>
        <w:spacing w:after="240" w:line="240" w:lineRule="auto"/>
        <w:ind w:left="720" w:hanging="720"/>
        <w:jc w:val="both"/>
      </w:pPr>
      <w:proofErr w:type="spellStart"/>
      <w:r>
        <w:rPr>
          <w:rFonts w:ascii="Times New Roman" w:hAnsi="Times New Roman"/>
        </w:rPr>
        <w:t>Sweller</w:t>
      </w:r>
      <w:proofErr w:type="spellEnd"/>
      <w:r>
        <w:rPr>
          <w:rFonts w:ascii="Times New Roman" w:hAnsi="Times New Roman"/>
        </w:rPr>
        <w:t xml:space="preserve">, J. (2023). </w:t>
      </w:r>
      <w:proofErr w:type="spellStart"/>
      <w:r>
        <w:rPr>
          <w:rFonts w:ascii="Times New Roman" w:hAnsi="Times New Roman"/>
          <w:i/>
        </w:rPr>
        <w:t>Educational</w:t>
      </w:r>
      <w:proofErr w:type="spellEnd"/>
      <w:r>
        <w:rPr>
          <w:rFonts w:ascii="Times New Roman" w:hAnsi="Times New Roman"/>
          <w:i/>
        </w:rPr>
        <w:t xml:space="preserve"> </w:t>
      </w:r>
      <w:proofErr w:type="spellStart"/>
      <w:r>
        <w:rPr>
          <w:rFonts w:ascii="Times New Roman" w:hAnsi="Times New Roman"/>
          <w:i/>
        </w:rPr>
        <w:t>psychology</w:t>
      </w:r>
      <w:proofErr w:type="spellEnd"/>
      <w:r>
        <w:rPr>
          <w:rFonts w:ascii="Times New Roman" w:hAnsi="Times New Roman"/>
          <w:i/>
        </w:rPr>
        <w:t xml:space="preserve"> and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evolution</w:t>
      </w:r>
      <w:proofErr w:type="spellEnd"/>
      <w:r>
        <w:rPr>
          <w:rFonts w:ascii="Times New Roman" w:hAnsi="Times New Roman"/>
          <w:i/>
        </w:rPr>
        <w:t xml:space="preserve"> of </w:t>
      </w:r>
      <w:proofErr w:type="spellStart"/>
      <w:r>
        <w:rPr>
          <w:rFonts w:ascii="Times New Roman" w:hAnsi="Times New Roman"/>
          <w:i/>
        </w:rPr>
        <w:t>cognitive</w:t>
      </w:r>
      <w:proofErr w:type="spellEnd"/>
      <w:r>
        <w:rPr>
          <w:rFonts w:ascii="Times New Roman" w:hAnsi="Times New Roman"/>
          <w:i/>
        </w:rPr>
        <w:t xml:space="preserve"> load </w:t>
      </w:r>
      <w:proofErr w:type="spellStart"/>
      <w:r>
        <w:rPr>
          <w:rFonts w:ascii="Times New Roman" w:hAnsi="Times New Roman"/>
          <w:i/>
        </w:rPr>
        <w:t>theory</w:t>
      </w:r>
      <w:proofErr w:type="spellEnd"/>
      <w:r>
        <w:rPr>
          <w:rFonts w:ascii="Times New Roman" w:hAnsi="Times New Roman"/>
        </w:rPr>
        <w:t xml:space="preserve">. </w:t>
      </w:r>
      <w:proofErr w:type="spellStart"/>
      <w:r>
        <w:rPr>
          <w:rFonts w:ascii="Times New Roman" w:hAnsi="Times New Roman"/>
        </w:rPr>
        <w:t>Routledge</w:t>
      </w:r>
      <w:proofErr w:type="spellEnd"/>
      <w:r>
        <w:rPr>
          <w:rFonts w:ascii="Times New Roman" w:hAnsi="Times New Roman"/>
        </w:rPr>
        <w:t>.</w:t>
      </w:r>
    </w:p>
    <w:p w14:paraId="6A9D3E37" w14:textId="77777777" w:rsidR="00443FBB" w:rsidRDefault="00443FBB" w:rsidP="00443FBB">
      <w:pPr>
        <w:spacing w:after="240" w:line="240" w:lineRule="auto"/>
        <w:ind w:left="720" w:hanging="720"/>
        <w:jc w:val="both"/>
      </w:pPr>
      <w:r>
        <w:rPr>
          <w:rFonts w:ascii="Times New Roman" w:hAnsi="Times New Roman"/>
        </w:rPr>
        <w:t xml:space="preserve">Van der </w:t>
      </w:r>
      <w:proofErr w:type="spellStart"/>
      <w:r>
        <w:rPr>
          <w:rFonts w:ascii="Times New Roman" w:hAnsi="Times New Roman"/>
        </w:rPr>
        <w:t>Vleuten</w:t>
      </w:r>
      <w:proofErr w:type="spellEnd"/>
      <w:r>
        <w:rPr>
          <w:rFonts w:ascii="Times New Roman" w:hAnsi="Times New Roman"/>
        </w:rPr>
        <w:t xml:space="preserve">, C. P., </w:t>
      </w:r>
      <w:proofErr w:type="spellStart"/>
      <w:r>
        <w:rPr>
          <w:rFonts w:ascii="Times New Roman" w:hAnsi="Times New Roman"/>
        </w:rPr>
        <w:t>Schuwirth</w:t>
      </w:r>
      <w:proofErr w:type="spellEnd"/>
      <w:r>
        <w:rPr>
          <w:rFonts w:ascii="Times New Roman" w:hAnsi="Times New Roman"/>
        </w:rPr>
        <w:t xml:space="preserve">, L. W., </w:t>
      </w:r>
      <w:proofErr w:type="spellStart"/>
      <w:r>
        <w:rPr>
          <w:rFonts w:ascii="Times New Roman" w:hAnsi="Times New Roman"/>
        </w:rPr>
        <w:t>Driessen</w:t>
      </w:r>
      <w:proofErr w:type="spellEnd"/>
      <w:r>
        <w:rPr>
          <w:rFonts w:ascii="Times New Roman" w:hAnsi="Times New Roman"/>
        </w:rPr>
        <w:t xml:space="preserve">, E. W., </w:t>
      </w:r>
      <w:proofErr w:type="spellStart"/>
      <w:r>
        <w:rPr>
          <w:rFonts w:ascii="Times New Roman" w:hAnsi="Times New Roman"/>
        </w:rPr>
        <w:t>Dijkstra</w:t>
      </w:r>
      <w:proofErr w:type="spellEnd"/>
      <w:r>
        <w:rPr>
          <w:rFonts w:ascii="Times New Roman" w:hAnsi="Times New Roman"/>
        </w:rPr>
        <w:t xml:space="preserve">, J., </w:t>
      </w:r>
      <w:proofErr w:type="spellStart"/>
      <w:r>
        <w:rPr>
          <w:rFonts w:ascii="Times New Roman" w:hAnsi="Times New Roman"/>
        </w:rPr>
        <w:t>Tigelaar</w:t>
      </w:r>
      <w:proofErr w:type="spellEnd"/>
      <w:r>
        <w:rPr>
          <w:rFonts w:ascii="Times New Roman" w:hAnsi="Times New Roman"/>
        </w:rPr>
        <w:t xml:space="preserve">, D. E., </w:t>
      </w:r>
      <w:proofErr w:type="spellStart"/>
      <w:r>
        <w:rPr>
          <w:rFonts w:ascii="Times New Roman" w:hAnsi="Times New Roman"/>
        </w:rPr>
        <w:t>Baartman</w:t>
      </w:r>
      <w:proofErr w:type="spellEnd"/>
      <w:r>
        <w:rPr>
          <w:rFonts w:ascii="Times New Roman" w:hAnsi="Times New Roman"/>
        </w:rPr>
        <w:t xml:space="preserve">, L. K., &amp; van </w:t>
      </w:r>
      <w:proofErr w:type="spellStart"/>
      <w:r>
        <w:rPr>
          <w:rFonts w:ascii="Times New Roman" w:hAnsi="Times New Roman"/>
        </w:rPr>
        <w:t>Tartwijk</w:t>
      </w:r>
      <w:proofErr w:type="spellEnd"/>
      <w:r>
        <w:rPr>
          <w:rFonts w:ascii="Times New Roman" w:hAnsi="Times New Roman"/>
        </w:rPr>
        <w:t xml:space="preserve">, J. (2012). A </w:t>
      </w:r>
      <w:proofErr w:type="spellStart"/>
      <w:r>
        <w:rPr>
          <w:rFonts w:ascii="Times New Roman" w:hAnsi="Times New Roman"/>
        </w:rPr>
        <w:t>model</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programmatic</w:t>
      </w:r>
      <w:proofErr w:type="spellEnd"/>
      <w:r>
        <w:rPr>
          <w:rFonts w:ascii="Times New Roman" w:hAnsi="Times New Roman"/>
        </w:rPr>
        <w:t xml:space="preserve"> </w:t>
      </w:r>
      <w:proofErr w:type="spellStart"/>
      <w:r>
        <w:rPr>
          <w:rFonts w:ascii="Times New Roman" w:hAnsi="Times New Roman"/>
        </w:rPr>
        <w:t>assessment</w:t>
      </w:r>
      <w:proofErr w:type="spellEnd"/>
      <w:r>
        <w:rPr>
          <w:rFonts w:ascii="Times New Roman" w:hAnsi="Times New Roman"/>
        </w:rPr>
        <w:t xml:space="preserve"> </w:t>
      </w:r>
      <w:proofErr w:type="spellStart"/>
      <w:r>
        <w:rPr>
          <w:rFonts w:ascii="Times New Roman" w:hAnsi="Times New Roman"/>
        </w:rPr>
        <w:t>fit</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purpose</w:t>
      </w:r>
      <w:proofErr w:type="spellEnd"/>
      <w:r>
        <w:rPr>
          <w:rFonts w:ascii="Times New Roman" w:hAnsi="Times New Roman"/>
        </w:rPr>
        <w:t xml:space="preserve">. </w:t>
      </w:r>
      <w:r>
        <w:rPr>
          <w:rFonts w:ascii="Times New Roman" w:hAnsi="Times New Roman"/>
          <w:i/>
        </w:rPr>
        <w:t xml:space="preserve">Medical </w:t>
      </w:r>
      <w:proofErr w:type="spellStart"/>
      <w:r>
        <w:rPr>
          <w:rFonts w:ascii="Times New Roman" w:hAnsi="Times New Roman"/>
          <w:i/>
        </w:rPr>
        <w:t>Teacher</w:t>
      </w:r>
      <w:proofErr w:type="spellEnd"/>
      <w:r>
        <w:rPr>
          <w:rFonts w:ascii="Times New Roman" w:hAnsi="Times New Roman"/>
          <w:i/>
        </w:rPr>
        <w:t>, 34</w:t>
      </w:r>
      <w:r>
        <w:rPr>
          <w:rFonts w:ascii="Times New Roman" w:hAnsi="Times New Roman"/>
        </w:rPr>
        <w:t>(3), 205–214. https://doi.org/10.3109/0142159X.2012.652240</w:t>
      </w:r>
    </w:p>
    <w:p w14:paraId="2D68B8F2" w14:textId="77777777" w:rsidR="00443FBB" w:rsidRDefault="00443FBB" w:rsidP="00443FBB">
      <w:pPr>
        <w:spacing w:after="240" w:line="240" w:lineRule="auto"/>
        <w:ind w:left="720" w:hanging="720"/>
        <w:jc w:val="both"/>
      </w:pPr>
      <w:proofErr w:type="spellStart"/>
      <w:r>
        <w:rPr>
          <w:rFonts w:ascii="Times New Roman" w:hAnsi="Times New Roman"/>
        </w:rPr>
        <w:t>Wiggins</w:t>
      </w:r>
      <w:proofErr w:type="spellEnd"/>
      <w:r>
        <w:rPr>
          <w:rFonts w:ascii="Times New Roman" w:hAnsi="Times New Roman"/>
        </w:rPr>
        <w:t xml:space="preserve">, G., &amp; </w:t>
      </w:r>
      <w:proofErr w:type="spellStart"/>
      <w:r>
        <w:rPr>
          <w:rFonts w:ascii="Times New Roman" w:hAnsi="Times New Roman"/>
        </w:rPr>
        <w:t>McTighe</w:t>
      </w:r>
      <w:proofErr w:type="spellEnd"/>
      <w:r>
        <w:rPr>
          <w:rFonts w:ascii="Times New Roman" w:hAnsi="Times New Roman"/>
        </w:rPr>
        <w:t xml:space="preserve">, J. (2005). </w:t>
      </w:r>
      <w:proofErr w:type="spellStart"/>
      <w:r>
        <w:rPr>
          <w:rFonts w:ascii="Times New Roman" w:hAnsi="Times New Roman"/>
          <w:i/>
        </w:rPr>
        <w:t>Understanding</w:t>
      </w:r>
      <w:proofErr w:type="spellEnd"/>
      <w:r>
        <w:rPr>
          <w:rFonts w:ascii="Times New Roman" w:hAnsi="Times New Roman"/>
          <w:i/>
        </w:rPr>
        <w:t xml:space="preserve"> </w:t>
      </w:r>
      <w:proofErr w:type="spellStart"/>
      <w:r>
        <w:rPr>
          <w:rFonts w:ascii="Times New Roman" w:hAnsi="Times New Roman"/>
          <w:i/>
        </w:rPr>
        <w:t>by</w:t>
      </w:r>
      <w:proofErr w:type="spellEnd"/>
      <w:r>
        <w:rPr>
          <w:rFonts w:ascii="Times New Roman" w:hAnsi="Times New Roman"/>
          <w:i/>
        </w:rPr>
        <w:t xml:space="preserve"> </w:t>
      </w:r>
      <w:proofErr w:type="spellStart"/>
      <w:r>
        <w:rPr>
          <w:rFonts w:ascii="Times New Roman" w:hAnsi="Times New Roman"/>
          <w:i/>
        </w:rPr>
        <w:t>design</w:t>
      </w:r>
      <w:proofErr w:type="spellEnd"/>
      <w:r>
        <w:rPr>
          <w:rFonts w:ascii="Times New Roman" w:hAnsi="Times New Roman"/>
        </w:rPr>
        <w:t xml:space="preserve"> (2</w:t>
      </w:r>
      <w:proofErr w:type="gramStart"/>
      <w:r>
        <w:rPr>
          <w:rFonts w:ascii="Times New Roman" w:hAnsi="Times New Roman"/>
        </w:rPr>
        <w:t>.ª</w:t>
      </w:r>
      <w:proofErr w:type="gramEnd"/>
      <w:r>
        <w:rPr>
          <w:rFonts w:ascii="Times New Roman" w:hAnsi="Times New Roman"/>
        </w:rPr>
        <w:t xml:space="preserve"> ed.). </w:t>
      </w:r>
      <w:proofErr w:type="spellStart"/>
      <w:r>
        <w:rPr>
          <w:rFonts w:ascii="Times New Roman" w:hAnsi="Times New Roman"/>
        </w:rPr>
        <w:t>Association</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Supervision</w:t>
      </w:r>
      <w:proofErr w:type="spellEnd"/>
      <w:r>
        <w:rPr>
          <w:rFonts w:ascii="Times New Roman" w:hAnsi="Times New Roman"/>
        </w:rPr>
        <w:t xml:space="preserve"> and </w:t>
      </w:r>
      <w:proofErr w:type="spellStart"/>
      <w:r>
        <w:rPr>
          <w:rFonts w:ascii="Times New Roman" w:hAnsi="Times New Roman"/>
        </w:rPr>
        <w:t>Curriculum</w:t>
      </w:r>
      <w:proofErr w:type="spellEnd"/>
      <w:r>
        <w:rPr>
          <w:rFonts w:ascii="Times New Roman" w:hAnsi="Times New Roman"/>
        </w:rPr>
        <w:t xml:space="preserve"> </w:t>
      </w:r>
      <w:proofErr w:type="spellStart"/>
      <w:r>
        <w:rPr>
          <w:rFonts w:ascii="Times New Roman" w:hAnsi="Times New Roman"/>
        </w:rPr>
        <w:t>Development</w:t>
      </w:r>
      <w:proofErr w:type="spellEnd"/>
      <w:r>
        <w:rPr>
          <w:rFonts w:ascii="Times New Roman" w:hAnsi="Times New Roman"/>
        </w:rPr>
        <w:t xml:space="preserve"> (ASCD).</w:t>
      </w:r>
    </w:p>
    <w:p w14:paraId="258BE426" w14:textId="77777777" w:rsidR="00443FBB" w:rsidRDefault="00443FBB" w:rsidP="00443FBB">
      <w:pPr>
        <w:spacing w:after="240" w:line="240" w:lineRule="auto"/>
        <w:ind w:left="720" w:hanging="720"/>
        <w:jc w:val="both"/>
      </w:pPr>
      <w:r>
        <w:rPr>
          <w:rFonts w:ascii="Times New Roman" w:hAnsi="Times New Roman"/>
        </w:rPr>
        <w:t xml:space="preserve">Wood, D. F. (2008). </w:t>
      </w:r>
      <w:proofErr w:type="spellStart"/>
      <w:r>
        <w:rPr>
          <w:rFonts w:ascii="Times New Roman" w:hAnsi="Times New Roman"/>
        </w:rPr>
        <w:t>Problem</w:t>
      </w:r>
      <w:proofErr w:type="spellEnd"/>
      <w:r>
        <w:rPr>
          <w:rFonts w:ascii="Times New Roman" w:hAnsi="Times New Roman"/>
        </w:rPr>
        <w:t xml:space="preserve"> </w:t>
      </w:r>
      <w:proofErr w:type="spellStart"/>
      <w:r>
        <w:rPr>
          <w:rFonts w:ascii="Times New Roman" w:hAnsi="Times New Roman"/>
        </w:rPr>
        <w:t>based</w:t>
      </w:r>
      <w:proofErr w:type="spellEnd"/>
      <w:r>
        <w:rPr>
          <w:rFonts w:ascii="Times New Roman" w:hAnsi="Times New Roman"/>
        </w:rPr>
        <w:t xml:space="preserve"> </w:t>
      </w:r>
      <w:proofErr w:type="spellStart"/>
      <w:r>
        <w:rPr>
          <w:rFonts w:ascii="Times New Roman" w:hAnsi="Times New Roman"/>
        </w:rPr>
        <w:t>learning</w:t>
      </w:r>
      <w:proofErr w:type="spellEnd"/>
      <w:r>
        <w:rPr>
          <w:rFonts w:ascii="Times New Roman" w:hAnsi="Times New Roman"/>
        </w:rPr>
        <w:t xml:space="preserve">. </w:t>
      </w:r>
      <w:r>
        <w:rPr>
          <w:rFonts w:ascii="Times New Roman" w:hAnsi="Times New Roman"/>
          <w:i/>
        </w:rPr>
        <w:t>BMJ, 336</w:t>
      </w:r>
      <w:r>
        <w:rPr>
          <w:rFonts w:ascii="Times New Roman" w:hAnsi="Times New Roman"/>
        </w:rPr>
        <w:t>(7651), 971. https://doi.org/10.1136/bmj.39546.716053.80</w:t>
      </w:r>
    </w:p>
    <w:p w14:paraId="02BC3D2E" w14:textId="77777777" w:rsidR="00443FBB" w:rsidRDefault="00443FBB" w:rsidP="00443FBB">
      <w:pPr>
        <w:spacing w:after="240" w:line="240" w:lineRule="auto"/>
        <w:ind w:left="720" w:hanging="720"/>
        <w:jc w:val="both"/>
      </w:pPr>
      <w:proofErr w:type="spellStart"/>
      <w:r>
        <w:rPr>
          <w:rFonts w:ascii="Times New Roman" w:hAnsi="Times New Roman"/>
        </w:rPr>
        <w:t>World</w:t>
      </w:r>
      <w:proofErr w:type="spellEnd"/>
      <w:r>
        <w:rPr>
          <w:rFonts w:ascii="Times New Roman" w:hAnsi="Times New Roman"/>
        </w:rPr>
        <w:t xml:space="preserve"> </w:t>
      </w:r>
      <w:proofErr w:type="spellStart"/>
      <w:r>
        <w:rPr>
          <w:rFonts w:ascii="Times New Roman" w:hAnsi="Times New Roman"/>
        </w:rPr>
        <w:t>Federation</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Medical </w:t>
      </w:r>
      <w:proofErr w:type="spellStart"/>
      <w:r>
        <w:rPr>
          <w:rFonts w:ascii="Times New Roman" w:hAnsi="Times New Roman"/>
        </w:rPr>
        <w:t>Education</w:t>
      </w:r>
      <w:proofErr w:type="spellEnd"/>
      <w:r>
        <w:rPr>
          <w:rFonts w:ascii="Times New Roman" w:hAnsi="Times New Roman"/>
        </w:rPr>
        <w:t xml:space="preserve">. (2020). Basic Medical </w:t>
      </w:r>
      <w:proofErr w:type="spellStart"/>
      <w:r>
        <w:rPr>
          <w:rFonts w:ascii="Times New Roman" w:hAnsi="Times New Roman"/>
        </w:rPr>
        <w:t>Education</w:t>
      </w:r>
      <w:proofErr w:type="spellEnd"/>
      <w:r>
        <w:rPr>
          <w:rFonts w:ascii="Times New Roman" w:hAnsi="Times New Roman"/>
        </w:rPr>
        <w:t xml:space="preserve"> WFME Global </w:t>
      </w:r>
      <w:proofErr w:type="spellStart"/>
      <w:r>
        <w:rPr>
          <w:rFonts w:ascii="Times New Roman" w:hAnsi="Times New Roman"/>
        </w:rPr>
        <w:t>Standards</w:t>
      </w:r>
      <w:proofErr w:type="spellEnd"/>
      <w:r>
        <w:rPr>
          <w:rFonts w:ascii="Times New Roman" w:hAnsi="Times New Roman"/>
        </w:rPr>
        <w:t>. https://wfme.org/standards/bme/</w:t>
      </w:r>
    </w:p>
    <w:p w14:paraId="0A83CA1B" w14:textId="77777777" w:rsidR="00443FBB" w:rsidRDefault="00443FBB" w:rsidP="00443FBB">
      <w:pPr>
        <w:spacing w:after="240" w:line="240" w:lineRule="auto"/>
        <w:ind w:left="720" w:hanging="720"/>
        <w:jc w:val="both"/>
      </w:pPr>
      <w:r>
        <w:rPr>
          <w:rFonts w:ascii="Times New Roman" w:hAnsi="Times New Roman"/>
        </w:rPr>
        <w:t xml:space="preserve">Young, J., </w:t>
      </w:r>
      <w:proofErr w:type="spellStart"/>
      <w:r>
        <w:rPr>
          <w:rFonts w:ascii="Times New Roman" w:hAnsi="Times New Roman"/>
        </w:rPr>
        <w:t>Dawood</w:t>
      </w:r>
      <w:proofErr w:type="spellEnd"/>
      <w:r>
        <w:rPr>
          <w:rFonts w:ascii="Times New Roman" w:hAnsi="Times New Roman"/>
        </w:rPr>
        <w:t xml:space="preserve">, L., &amp; Lewis, S. (2024). </w:t>
      </w:r>
      <w:proofErr w:type="spellStart"/>
      <w:r>
        <w:rPr>
          <w:rFonts w:ascii="Times New Roman" w:hAnsi="Times New Roman"/>
        </w:rPr>
        <w:t>Science</w:t>
      </w:r>
      <w:proofErr w:type="spellEnd"/>
      <w:r>
        <w:rPr>
          <w:rFonts w:ascii="Times New Roman" w:hAnsi="Times New Roman"/>
        </w:rPr>
        <w:t xml:space="preserve"> </w:t>
      </w:r>
      <w:proofErr w:type="spellStart"/>
      <w:r>
        <w:rPr>
          <w:rFonts w:ascii="Times New Roman" w:hAnsi="Times New Roman"/>
        </w:rPr>
        <w:t>students</w:t>
      </w:r>
      <w:proofErr w:type="spellEnd"/>
      <w:r>
        <w:rPr>
          <w:rFonts w:ascii="Times New Roman" w:hAnsi="Times New Roman"/>
        </w:rPr>
        <w:t xml:space="preserve">’ artificial </w:t>
      </w:r>
      <w:proofErr w:type="spellStart"/>
      <w:r>
        <w:rPr>
          <w:rFonts w:ascii="Times New Roman" w:hAnsi="Times New Roman"/>
        </w:rPr>
        <w:t>intelligence</w:t>
      </w:r>
      <w:proofErr w:type="spellEnd"/>
      <w:r>
        <w:rPr>
          <w:rFonts w:ascii="Times New Roman" w:hAnsi="Times New Roman"/>
        </w:rPr>
        <w:t xml:space="preserve"> </w:t>
      </w:r>
      <w:proofErr w:type="spellStart"/>
      <w:r>
        <w:rPr>
          <w:rFonts w:ascii="Times New Roman" w:hAnsi="Times New Roman"/>
        </w:rPr>
        <w:t>literacy</w:t>
      </w:r>
      <w:proofErr w:type="spellEnd"/>
      <w:r>
        <w:rPr>
          <w:rFonts w:ascii="Times New Roman" w:hAnsi="Times New Roman"/>
        </w:rPr>
        <w:t xml:space="preserve"> </w:t>
      </w:r>
      <w:proofErr w:type="spellStart"/>
      <w:r>
        <w:rPr>
          <w:rFonts w:ascii="Times New Roman" w:hAnsi="Times New Roman"/>
        </w:rPr>
        <w:t>through</w:t>
      </w:r>
      <w:proofErr w:type="spellEnd"/>
      <w:r>
        <w:rPr>
          <w:rFonts w:ascii="Times New Roman" w:hAnsi="Times New Roman"/>
        </w:rPr>
        <w:t xml:space="preserve"> </w:t>
      </w:r>
      <w:proofErr w:type="spellStart"/>
      <w:r>
        <w:rPr>
          <w:rFonts w:ascii="Times New Roman" w:hAnsi="Times New Roman"/>
        </w:rPr>
        <w:t>their</w:t>
      </w:r>
      <w:proofErr w:type="spellEnd"/>
      <w:r>
        <w:rPr>
          <w:rFonts w:ascii="Times New Roman" w:hAnsi="Times New Roman"/>
        </w:rPr>
        <w:t xml:space="preserve"> </w:t>
      </w:r>
      <w:proofErr w:type="spellStart"/>
      <w:r>
        <w:rPr>
          <w:rFonts w:ascii="Times New Roman" w:hAnsi="Times New Roman"/>
        </w:rPr>
        <w:t>critical</w:t>
      </w:r>
      <w:proofErr w:type="spellEnd"/>
      <w:r>
        <w:rPr>
          <w:rFonts w:ascii="Times New Roman" w:hAnsi="Times New Roman"/>
        </w:rPr>
        <w:t xml:space="preserve"> </w:t>
      </w:r>
      <w:proofErr w:type="spellStart"/>
      <w:r>
        <w:rPr>
          <w:rFonts w:ascii="Times New Roman" w:hAnsi="Times New Roman"/>
        </w:rPr>
        <w:t>reflections</w:t>
      </w:r>
      <w:proofErr w:type="spellEnd"/>
      <w:r>
        <w:rPr>
          <w:rFonts w:ascii="Times New Roman" w:hAnsi="Times New Roman"/>
        </w:rPr>
        <w:t xml:space="preserve"> of </w:t>
      </w:r>
      <w:proofErr w:type="spellStart"/>
      <w:r>
        <w:rPr>
          <w:rFonts w:ascii="Times New Roman" w:hAnsi="Times New Roman"/>
        </w:rPr>
        <w:t>educational</w:t>
      </w:r>
      <w:proofErr w:type="spellEnd"/>
      <w:r>
        <w:rPr>
          <w:rFonts w:ascii="Times New Roman" w:hAnsi="Times New Roman"/>
        </w:rPr>
        <w:t xml:space="preserve"> </w:t>
      </w:r>
      <w:proofErr w:type="spellStart"/>
      <w:r>
        <w:rPr>
          <w:rFonts w:ascii="Times New Roman" w:hAnsi="Times New Roman"/>
        </w:rPr>
        <w:t>platforms</w:t>
      </w:r>
      <w:proofErr w:type="spellEnd"/>
      <w:r>
        <w:rPr>
          <w:rFonts w:ascii="Times New Roman" w:hAnsi="Times New Roman"/>
        </w:rPr>
        <w:t xml:space="preserve">. </w:t>
      </w:r>
      <w:proofErr w:type="spellStart"/>
      <w:r>
        <w:rPr>
          <w:rFonts w:ascii="Times New Roman" w:hAnsi="Times New Roman"/>
        </w:rPr>
        <w:t>Journal</w:t>
      </w:r>
      <w:proofErr w:type="spellEnd"/>
      <w:r>
        <w:rPr>
          <w:rFonts w:ascii="Times New Roman" w:hAnsi="Times New Roman"/>
        </w:rPr>
        <w:t xml:space="preserve"> of </w:t>
      </w:r>
      <w:proofErr w:type="spellStart"/>
      <w:r>
        <w:rPr>
          <w:rFonts w:ascii="Times New Roman" w:hAnsi="Times New Roman"/>
        </w:rPr>
        <w:t>Science</w:t>
      </w:r>
      <w:proofErr w:type="spellEnd"/>
      <w:r>
        <w:rPr>
          <w:rFonts w:ascii="Times New Roman" w:hAnsi="Times New Roman"/>
        </w:rPr>
        <w:t xml:space="preserve"> </w:t>
      </w:r>
      <w:proofErr w:type="spellStart"/>
      <w:r>
        <w:rPr>
          <w:rFonts w:ascii="Times New Roman" w:hAnsi="Times New Roman"/>
        </w:rPr>
        <w:t>Education</w:t>
      </w:r>
      <w:proofErr w:type="spellEnd"/>
      <w:r>
        <w:rPr>
          <w:rFonts w:ascii="Times New Roman" w:hAnsi="Times New Roman"/>
        </w:rPr>
        <w:t>, 101(7), 2686–2695.</w:t>
      </w:r>
    </w:p>
    <w:p w14:paraId="7E83515B" w14:textId="3272FB8C" w:rsidR="001923DC" w:rsidRPr="00443FBB" w:rsidRDefault="00443FBB" w:rsidP="00443FBB">
      <w:pPr>
        <w:spacing w:after="240" w:line="240" w:lineRule="auto"/>
        <w:ind w:left="720" w:hanging="720"/>
        <w:jc w:val="both"/>
      </w:pPr>
      <w:proofErr w:type="spellStart"/>
      <w:r>
        <w:rPr>
          <w:rFonts w:ascii="Times New Roman" w:hAnsi="Times New Roman"/>
        </w:rPr>
        <w:t>Zimmerman</w:t>
      </w:r>
      <w:proofErr w:type="spellEnd"/>
      <w:r>
        <w:rPr>
          <w:rFonts w:ascii="Times New Roman" w:hAnsi="Times New Roman"/>
        </w:rPr>
        <w:t xml:space="preserve">, B. J. (2000). </w:t>
      </w:r>
      <w:proofErr w:type="spellStart"/>
      <w:r>
        <w:rPr>
          <w:rFonts w:ascii="Times New Roman" w:hAnsi="Times New Roman"/>
        </w:rPr>
        <w:t>Attaining</w:t>
      </w:r>
      <w:proofErr w:type="spellEnd"/>
      <w:r>
        <w:rPr>
          <w:rFonts w:ascii="Times New Roman" w:hAnsi="Times New Roman"/>
        </w:rPr>
        <w:t xml:space="preserve"> </w:t>
      </w:r>
      <w:proofErr w:type="spellStart"/>
      <w:r>
        <w:rPr>
          <w:rFonts w:ascii="Times New Roman" w:hAnsi="Times New Roman"/>
        </w:rPr>
        <w:t>self-regulation</w:t>
      </w:r>
      <w:proofErr w:type="spellEnd"/>
      <w:r>
        <w:rPr>
          <w:rFonts w:ascii="Times New Roman" w:hAnsi="Times New Roman"/>
        </w:rPr>
        <w:t xml:space="preserve">: A social </w:t>
      </w:r>
      <w:proofErr w:type="spellStart"/>
      <w:r>
        <w:rPr>
          <w:rFonts w:ascii="Times New Roman" w:hAnsi="Times New Roman"/>
        </w:rPr>
        <w:t>cognitive</w:t>
      </w:r>
      <w:proofErr w:type="spellEnd"/>
      <w:r>
        <w:rPr>
          <w:rFonts w:ascii="Times New Roman" w:hAnsi="Times New Roman"/>
        </w:rPr>
        <w:t xml:space="preserve"> </w:t>
      </w:r>
      <w:proofErr w:type="spellStart"/>
      <w:r>
        <w:rPr>
          <w:rFonts w:ascii="Times New Roman" w:hAnsi="Times New Roman"/>
        </w:rPr>
        <w:t>perspective</w:t>
      </w:r>
      <w:proofErr w:type="spellEnd"/>
      <w:r>
        <w:rPr>
          <w:rFonts w:ascii="Times New Roman" w:hAnsi="Times New Roman"/>
        </w:rPr>
        <w:t xml:space="preserve">. In M. </w:t>
      </w:r>
      <w:proofErr w:type="spellStart"/>
      <w:r>
        <w:rPr>
          <w:rFonts w:ascii="Times New Roman" w:hAnsi="Times New Roman"/>
        </w:rPr>
        <w:t>Boekaerts</w:t>
      </w:r>
      <w:proofErr w:type="spellEnd"/>
      <w:r>
        <w:rPr>
          <w:rFonts w:ascii="Times New Roman" w:hAnsi="Times New Roman"/>
        </w:rPr>
        <w:t xml:space="preserve">, P. R. </w:t>
      </w:r>
      <w:proofErr w:type="spellStart"/>
      <w:r>
        <w:rPr>
          <w:rFonts w:ascii="Times New Roman" w:hAnsi="Times New Roman"/>
        </w:rPr>
        <w:t>Pintrich</w:t>
      </w:r>
      <w:proofErr w:type="spellEnd"/>
      <w:r>
        <w:rPr>
          <w:rFonts w:ascii="Times New Roman" w:hAnsi="Times New Roman"/>
        </w:rPr>
        <w:t xml:space="preserve">, &amp; M. </w:t>
      </w:r>
      <w:proofErr w:type="spellStart"/>
      <w:r>
        <w:rPr>
          <w:rFonts w:ascii="Times New Roman" w:hAnsi="Times New Roman"/>
        </w:rPr>
        <w:t>Zeidner</w:t>
      </w:r>
      <w:proofErr w:type="spellEnd"/>
      <w:r>
        <w:rPr>
          <w:rFonts w:ascii="Times New Roman" w:hAnsi="Times New Roman"/>
        </w:rPr>
        <w:t xml:space="preserve"> (Eds.), </w:t>
      </w:r>
      <w:proofErr w:type="spellStart"/>
      <w:r>
        <w:rPr>
          <w:rFonts w:ascii="Times New Roman" w:hAnsi="Times New Roman"/>
        </w:rPr>
        <w:t>Handbook</w:t>
      </w:r>
      <w:proofErr w:type="spellEnd"/>
      <w:r>
        <w:rPr>
          <w:rFonts w:ascii="Times New Roman" w:hAnsi="Times New Roman"/>
        </w:rPr>
        <w:t xml:space="preserve"> of </w:t>
      </w:r>
      <w:proofErr w:type="spellStart"/>
      <w:r>
        <w:rPr>
          <w:rFonts w:ascii="Times New Roman" w:hAnsi="Times New Roman"/>
        </w:rPr>
        <w:t>self-regulation</w:t>
      </w:r>
      <w:proofErr w:type="spellEnd"/>
      <w:r>
        <w:rPr>
          <w:rFonts w:ascii="Times New Roman" w:hAnsi="Times New Roman"/>
        </w:rPr>
        <w:t xml:space="preserve"> (pp. 13–39). </w:t>
      </w:r>
      <w:proofErr w:type="spellStart"/>
      <w:r>
        <w:rPr>
          <w:rFonts w:ascii="Times New Roman" w:hAnsi="Times New Roman"/>
        </w:rPr>
        <w:t>Academic</w:t>
      </w:r>
      <w:proofErr w:type="spellEnd"/>
      <w:r>
        <w:rPr>
          <w:rFonts w:ascii="Times New Roman" w:hAnsi="Times New Roman"/>
        </w:rPr>
        <w:t xml:space="preserve"> </w:t>
      </w:r>
      <w:proofErr w:type="spellStart"/>
      <w:r>
        <w:rPr>
          <w:rFonts w:ascii="Times New Roman" w:hAnsi="Times New Roman"/>
        </w:rPr>
        <w:t>Press</w:t>
      </w:r>
      <w:proofErr w:type="spellEnd"/>
      <w:r>
        <w:rPr>
          <w:rFonts w:ascii="Times New Roman" w:hAnsi="Times New Roman"/>
        </w:rPr>
        <w:t xml:space="preserve">. </w:t>
      </w:r>
      <w:bookmarkStart w:id="1" w:name="_GoBack"/>
      <w:bookmarkEnd w:id="1"/>
    </w:p>
    <w:sectPr w:rsidR="001923DC" w:rsidRPr="00443FBB"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4BB0F" w14:textId="77777777" w:rsidR="00874F55" w:rsidRPr="00BA642E" w:rsidRDefault="00874F55" w:rsidP="00C802F5">
      <w:pPr>
        <w:spacing w:after="0" w:line="240" w:lineRule="auto"/>
      </w:pPr>
      <w:r w:rsidRPr="00BA642E">
        <w:separator/>
      </w:r>
    </w:p>
  </w:endnote>
  <w:endnote w:type="continuationSeparator" w:id="0">
    <w:p w14:paraId="3798B6A2" w14:textId="77777777" w:rsidR="00874F55" w:rsidRPr="00BA642E" w:rsidRDefault="00874F55"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7BE7E" w14:textId="77777777" w:rsidR="00874F55" w:rsidRPr="00BA642E" w:rsidRDefault="00874F55" w:rsidP="00C802F5">
      <w:pPr>
        <w:spacing w:after="0" w:line="240" w:lineRule="auto"/>
      </w:pPr>
      <w:r w:rsidRPr="00BA642E">
        <w:separator/>
      </w:r>
    </w:p>
  </w:footnote>
  <w:footnote w:type="continuationSeparator" w:id="0">
    <w:p w14:paraId="362ED619" w14:textId="77777777" w:rsidR="00874F55" w:rsidRPr="00BA642E" w:rsidRDefault="00874F55"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231D5"/>
    <w:rsid w:val="000D0652"/>
    <w:rsid w:val="000F6E9D"/>
    <w:rsid w:val="00130FEC"/>
    <w:rsid w:val="0013442F"/>
    <w:rsid w:val="001816D6"/>
    <w:rsid w:val="00185F5E"/>
    <w:rsid w:val="001923DC"/>
    <w:rsid w:val="002327C3"/>
    <w:rsid w:val="002B2B69"/>
    <w:rsid w:val="00307415"/>
    <w:rsid w:val="00312392"/>
    <w:rsid w:val="00330B96"/>
    <w:rsid w:val="004040C0"/>
    <w:rsid w:val="00406B64"/>
    <w:rsid w:val="00431312"/>
    <w:rsid w:val="00437E9C"/>
    <w:rsid w:val="00443FBB"/>
    <w:rsid w:val="00474DDF"/>
    <w:rsid w:val="004A7D6F"/>
    <w:rsid w:val="004B3A9F"/>
    <w:rsid w:val="004D0421"/>
    <w:rsid w:val="00513D45"/>
    <w:rsid w:val="00550766"/>
    <w:rsid w:val="0055098E"/>
    <w:rsid w:val="00575D98"/>
    <w:rsid w:val="005A5652"/>
    <w:rsid w:val="005E761C"/>
    <w:rsid w:val="005F3B2E"/>
    <w:rsid w:val="00601A2A"/>
    <w:rsid w:val="006D61BB"/>
    <w:rsid w:val="00701F64"/>
    <w:rsid w:val="00705044"/>
    <w:rsid w:val="007638AE"/>
    <w:rsid w:val="007B5B5F"/>
    <w:rsid w:val="007D233B"/>
    <w:rsid w:val="007D5251"/>
    <w:rsid w:val="008305C0"/>
    <w:rsid w:val="0085070B"/>
    <w:rsid w:val="00874F55"/>
    <w:rsid w:val="008E0DB4"/>
    <w:rsid w:val="009770CC"/>
    <w:rsid w:val="00990602"/>
    <w:rsid w:val="00997C74"/>
    <w:rsid w:val="009A3E83"/>
    <w:rsid w:val="00A17247"/>
    <w:rsid w:val="00AA289B"/>
    <w:rsid w:val="00B14212"/>
    <w:rsid w:val="00BA642E"/>
    <w:rsid w:val="00BC236F"/>
    <w:rsid w:val="00BC3CD2"/>
    <w:rsid w:val="00C57568"/>
    <w:rsid w:val="00C802F5"/>
    <w:rsid w:val="00C96B2C"/>
    <w:rsid w:val="00CA54F2"/>
    <w:rsid w:val="00CA7920"/>
    <w:rsid w:val="00CC04C1"/>
    <w:rsid w:val="00D843EC"/>
    <w:rsid w:val="00DF3166"/>
    <w:rsid w:val="00E20EE9"/>
    <w:rsid w:val="00E87994"/>
    <w:rsid w:val="00E9538A"/>
    <w:rsid w:val="00F11088"/>
    <w:rsid w:val="00F62635"/>
    <w:rsid w:val="00F7595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Puesto">
    <w:name w:val="Title"/>
    <w:basedOn w:val="Normal"/>
    <w:next w:val="Normal"/>
    <w:link w:val="Puest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679467">
      <w:bodyDiv w:val="1"/>
      <w:marLeft w:val="0"/>
      <w:marRight w:val="0"/>
      <w:marTop w:val="0"/>
      <w:marBottom w:val="0"/>
      <w:divBdr>
        <w:top w:val="none" w:sz="0" w:space="0" w:color="auto"/>
        <w:left w:val="none" w:sz="0" w:space="0" w:color="auto"/>
        <w:bottom w:val="none" w:sz="0" w:space="0" w:color="auto"/>
        <w:right w:val="none" w:sz="0" w:space="0" w:color="auto"/>
      </w:divBdr>
    </w:div>
    <w:div w:id="814369711">
      <w:bodyDiv w:val="1"/>
      <w:marLeft w:val="0"/>
      <w:marRight w:val="0"/>
      <w:marTop w:val="0"/>
      <w:marBottom w:val="0"/>
      <w:divBdr>
        <w:top w:val="none" w:sz="0" w:space="0" w:color="auto"/>
        <w:left w:val="none" w:sz="0" w:space="0" w:color="auto"/>
        <w:bottom w:val="none" w:sz="0" w:space="0" w:color="auto"/>
        <w:right w:val="none" w:sz="0" w:space="0" w:color="auto"/>
      </w:divBdr>
    </w:div>
    <w:div w:id="163016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na.molinari@gmai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arcela.trape@gmail.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fdrogo@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dariomarinozzi@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17</Pages>
  <Words>8351</Words>
  <Characters>45935</Characters>
  <Application>Microsoft Office Word</Application>
  <DocSecurity>0</DocSecurity>
  <Lines>382</Lines>
  <Paragraphs>108</Paragraphs>
  <ScaleCrop>false</ScaleCrop>
  <HeadingPairs>
    <vt:vector size="4" baseType="variant">
      <vt:variant>
        <vt:lpstr>Título</vt:lpstr>
      </vt:variant>
      <vt:variant>
        <vt:i4>1</vt:i4>
      </vt:variant>
      <vt:variant>
        <vt:lpstr>Títulos</vt:lpstr>
      </vt:variant>
      <vt:variant>
        <vt:i4>15</vt:i4>
      </vt:variant>
    </vt:vector>
  </HeadingPairs>
  <TitlesOfParts>
    <vt:vector size="16" baseType="lpstr">
      <vt:lpstr/>
      <vt:lpstr>    Arquitectura de los espacios curriculares modulares</vt:lpstr>
      <vt:lpstr>        La flexibilidad curricular como vector de democratización académica y adaptabili</vt:lpstr>
      <vt:lpstr>        I. Eje de razonamiento analítico y juicio diagnóstico temprano</vt:lpstr>
      <vt:lpstr>        II. Eje de alfabetización científica crítica y manejo de la evidencia</vt:lpstr>
      <vt:lpstr>        III. Eje de homeostasis sistémica y flexibilidad adaptativa</vt:lpstr>
      <vt:lpstr>    -Gobernanza académica, transición institucional y resistencia al cambio</vt:lpstr>
      <vt:lpstr>    -Arquitectura de la evaluación programática y matriz de decisiones confiables</vt:lpstr>
      <vt:lpstr>        A. Evaluaciones de bajo impacto (Low-Stakes)</vt:lpstr>
      <vt:lpstr>        B. Evaluaciones de impacto intermedio (Medium-Stakes)</vt:lpstr>
      <vt:lpstr>        C. Decisiones de alto impacto (High-Stakes)</vt:lpstr>
      <vt:lpstr>    -Estrategias de aprendizaje activo situado</vt:lpstr>
      <vt:lpstr>    Resultados, discusión e impacto institucional</vt:lpstr>
      <vt:lpstr>        -Mecanismos psicopedagógicos del cambio estructural y autorregulación</vt:lpstr>
      <vt:lpstr>        -Profundidad curricular y validación macropolítica</vt:lpstr>
      <vt:lpstr>    -Análisis de costo-efectividad curricular y sostenibilidad operativa</vt:lpstr>
    </vt:vector>
  </TitlesOfParts>
  <Company/>
  <LinksUpToDate>false</LinksUpToDate>
  <CharactersWithSpaces>54178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claudia drogo</cp:lastModifiedBy>
  <cp:revision>22</cp:revision>
  <dcterms:created xsi:type="dcterms:W3CDTF">2026-07-07T23:23:00Z</dcterms:created>
  <dcterms:modified xsi:type="dcterms:W3CDTF">2026-07-10T18:28:00Z</dcterms:modified>
</cp:coreProperties>
</file>