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B3483" w14:textId="77777777" w:rsidR="00C802F5" w:rsidRPr="00824C78" w:rsidRDefault="00C802F5" w:rsidP="001923DC">
      <w:pPr>
        <w:jc w:val="center"/>
        <w:rPr>
          <w:rFonts w:ascii="Times New Roman" w:hAnsi="Times New Roman" w:cs="Times New Roman"/>
        </w:rPr>
      </w:pPr>
    </w:p>
    <w:p w14:paraId="5103BE2A" w14:textId="1F4669F7" w:rsidR="00C064E6" w:rsidRPr="00824C78" w:rsidRDefault="00C064E6" w:rsidP="00C064E6">
      <w:pPr>
        <w:spacing w:after="120"/>
        <w:jc w:val="center"/>
        <w:rPr>
          <w:rFonts w:ascii="Times New Roman" w:hAnsi="Times New Roman" w:cs="Times New Roman"/>
        </w:rPr>
      </w:pPr>
      <w:r w:rsidRPr="00824C78">
        <w:rPr>
          <w:rFonts w:ascii="Times New Roman" w:hAnsi="Times New Roman" w:cs="Times New Roman"/>
          <w:b/>
          <w:bCs/>
        </w:rPr>
        <w:t>De la extensión universitaria al conocimiento pedagógico:</w:t>
      </w:r>
      <w:r w:rsidRPr="00824C78">
        <w:rPr>
          <w:rFonts w:ascii="Times New Roman" w:hAnsi="Times New Roman" w:cs="Times New Roman"/>
        </w:rPr>
        <w:t xml:space="preserve"> </w:t>
      </w:r>
      <w:r w:rsidRPr="00824C78">
        <w:rPr>
          <w:rFonts w:ascii="Times New Roman" w:hAnsi="Times New Roman" w:cs="Times New Roman"/>
          <w:b/>
          <w:bCs/>
        </w:rPr>
        <w:t>la construcción metodológica de las Prácticas en Territorio</w:t>
      </w:r>
      <w:r w:rsidRPr="00824C78">
        <w:rPr>
          <w:rFonts w:ascii="Times New Roman" w:hAnsi="Times New Roman" w:cs="Times New Roman"/>
        </w:rPr>
        <w:t xml:space="preserve"> </w:t>
      </w:r>
      <w:r w:rsidRPr="00824C78">
        <w:rPr>
          <w:rFonts w:ascii="Times New Roman" w:hAnsi="Times New Roman" w:cs="Times New Roman"/>
          <w:b/>
          <w:bCs/>
        </w:rPr>
        <w:t>como objeto de investigación didáctica</w:t>
      </w:r>
    </w:p>
    <w:p w14:paraId="1DABD42B" w14:textId="331A045C" w:rsidR="001923DC" w:rsidRPr="00824C78" w:rsidRDefault="001923DC" w:rsidP="001923DC">
      <w:pPr>
        <w:jc w:val="center"/>
        <w:rPr>
          <w:rFonts w:ascii="Times New Roman" w:hAnsi="Times New Roman" w:cs="Times New Roman"/>
          <w:b/>
          <w:bCs/>
        </w:rPr>
      </w:pPr>
    </w:p>
    <w:p w14:paraId="43C49479" w14:textId="77777777" w:rsidR="005F3B2E" w:rsidRPr="00824C78" w:rsidRDefault="005F3B2E" w:rsidP="001923DC">
      <w:pPr>
        <w:jc w:val="center"/>
        <w:rPr>
          <w:rFonts w:ascii="Times New Roman" w:hAnsi="Times New Roman" w:cs="Times New Roman"/>
        </w:rPr>
      </w:pPr>
    </w:p>
    <w:p w14:paraId="4E738780" w14:textId="27CEC3DA" w:rsidR="005F3B2E" w:rsidRPr="00824C78" w:rsidRDefault="00C064E6" w:rsidP="005F3B2E">
      <w:pPr>
        <w:spacing w:after="0" w:line="240" w:lineRule="auto"/>
        <w:jc w:val="right"/>
        <w:rPr>
          <w:rFonts w:ascii="Times New Roman" w:hAnsi="Times New Roman" w:cs="Times New Roman"/>
        </w:rPr>
      </w:pPr>
      <w:r w:rsidRPr="00824C78">
        <w:rPr>
          <w:rFonts w:ascii="Times New Roman" w:hAnsi="Times New Roman" w:cs="Times New Roman"/>
        </w:rPr>
        <w:t>Kasem Héctor Edgardo</w:t>
      </w:r>
    </w:p>
    <w:p w14:paraId="6C2AECCA" w14:textId="3C4922E0" w:rsidR="005F3B2E" w:rsidRPr="00824C78" w:rsidRDefault="00C064E6" w:rsidP="005F3B2E">
      <w:pPr>
        <w:spacing w:after="0" w:line="240" w:lineRule="auto"/>
        <w:jc w:val="right"/>
        <w:rPr>
          <w:rFonts w:ascii="Times New Roman" w:hAnsi="Times New Roman" w:cs="Times New Roman"/>
        </w:rPr>
      </w:pPr>
      <w:r w:rsidRPr="00824C78">
        <w:rPr>
          <w:rFonts w:ascii="Times New Roman" w:hAnsi="Times New Roman" w:cs="Times New Roman"/>
        </w:rPr>
        <w:t>Universidad Nacional de La Matanza</w:t>
      </w:r>
    </w:p>
    <w:p w14:paraId="1FA0F857" w14:textId="0636C8CD" w:rsidR="005F3B2E" w:rsidRPr="00A70583" w:rsidRDefault="00F72BD7" w:rsidP="00F72BD7">
      <w:pPr>
        <w:jc w:val="right"/>
        <w:rPr>
          <w:rFonts w:ascii="Times New Roman" w:hAnsi="Times New Roman" w:cs="Times New Roman"/>
          <w:lang w:val="en-US"/>
        </w:rPr>
      </w:pPr>
      <w:r w:rsidRPr="00A70583">
        <w:rPr>
          <w:rFonts w:ascii="Times New Roman" w:hAnsi="Times New Roman" w:cs="Times New Roman"/>
          <w:lang w:val="en-US"/>
        </w:rPr>
        <w:t>Héctor.kasem@gmail.com</w:t>
      </w:r>
    </w:p>
    <w:p w14:paraId="1275A9C7" w14:textId="4AFC202A" w:rsidR="005F3B2E" w:rsidRPr="00A70583" w:rsidRDefault="00C064E6" w:rsidP="005F3B2E">
      <w:pPr>
        <w:spacing w:after="0" w:line="240" w:lineRule="auto"/>
        <w:jc w:val="right"/>
        <w:rPr>
          <w:rFonts w:ascii="Times New Roman" w:hAnsi="Times New Roman" w:cs="Times New Roman"/>
          <w:lang w:val="en-US"/>
        </w:rPr>
      </w:pPr>
      <w:r w:rsidRPr="00A70583">
        <w:rPr>
          <w:rFonts w:ascii="Times New Roman" w:hAnsi="Times New Roman" w:cs="Times New Roman"/>
          <w:lang w:val="en-US"/>
        </w:rPr>
        <w:t>Reynoso Peitsch Denisse</w:t>
      </w:r>
    </w:p>
    <w:p w14:paraId="46FEEBE4" w14:textId="12AFE6DD" w:rsidR="005F3B2E" w:rsidRPr="00824C78" w:rsidRDefault="00C064E6" w:rsidP="00C064E6">
      <w:pPr>
        <w:spacing w:after="0" w:line="240" w:lineRule="auto"/>
        <w:jc w:val="right"/>
        <w:rPr>
          <w:rFonts w:ascii="Times New Roman" w:hAnsi="Times New Roman" w:cs="Times New Roman"/>
        </w:rPr>
      </w:pPr>
      <w:r w:rsidRPr="00824C78">
        <w:rPr>
          <w:rFonts w:ascii="Times New Roman" w:hAnsi="Times New Roman" w:cs="Times New Roman"/>
        </w:rPr>
        <w:t>Universidad Nacional de La Matanza</w:t>
      </w:r>
    </w:p>
    <w:p w14:paraId="3CAC774D" w14:textId="33B26EE8" w:rsidR="005F3B2E" w:rsidRPr="00824C78" w:rsidRDefault="00F72BD7" w:rsidP="005F3B2E">
      <w:pPr>
        <w:spacing w:after="0" w:line="240" w:lineRule="auto"/>
        <w:jc w:val="right"/>
        <w:rPr>
          <w:rFonts w:ascii="Times New Roman" w:hAnsi="Times New Roman" w:cs="Times New Roman"/>
        </w:rPr>
      </w:pPr>
      <w:r w:rsidRPr="00824C78">
        <w:rPr>
          <w:rFonts w:ascii="Times New Roman" w:hAnsi="Times New Roman" w:cs="Times New Roman"/>
        </w:rPr>
        <w:t>Denisse.reynoso.p@gmail.com</w:t>
      </w:r>
    </w:p>
    <w:p w14:paraId="640847CC" w14:textId="77777777" w:rsidR="005F3B2E" w:rsidRPr="00824C78" w:rsidRDefault="005F3B2E" w:rsidP="005F3B2E">
      <w:pPr>
        <w:spacing w:after="0" w:line="240" w:lineRule="auto"/>
        <w:jc w:val="right"/>
        <w:rPr>
          <w:rFonts w:ascii="Times New Roman" w:hAnsi="Times New Roman" w:cs="Times New Roman"/>
        </w:rPr>
      </w:pPr>
    </w:p>
    <w:p w14:paraId="3F6986E9" w14:textId="36E1C41D" w:rsidR="005F3B2E" w:rsidRPr="00824C78" w:rsidRDefault="00C802F5" w:rsidP="00C802F5">
      <w:pPr>
        <w:tabs>
          <w:tab w:val="center" w:pos="4252"/>
          <w:tab w:val="right" w:pos="8504"/>
        </w:tabs>
        <w:spacing w:after="0" w:line="240" w:lineRule="auto"/>
        <w:rPr>
          <w:rFonts w:ascii="Times New Roman" w:hAnsi="Times New Roman" w:cs="Times New Roman"/>
        </w:rPr>
      </w:pPr>
      <w:r w:rsidRPr="00824C78">
        <w:rPr>
          <w:rFonts w:ascii="Times New Roman" w:hAnsi="Times New Roman" w:cs="Times New Roman"/>
        </w:rPr>
        <w:tab/>
      </w:r>
      <w:r w:rsidRPr="00824C78">
        <w:rPr>
          <w:rFonts w:ascii="Times New Roman" w:hAnsi="Times New Roman" w:cs="Times New Roman"/>
        </w:rPr>
        <w:tab/>
      </w:r>
      <w:r w:rsidR="00C064E6" w:rsidRPr="00824C78">
        <w:rPr>
          <w:rFonts w:ascii="Times New Roman" w:hAnsi="Times New Roman" w:cs="Times New Roman"/>
        </w:rPr>
        <w:t>Iglesias Miriam Alejandra</w:t>
      </w:r>
    </w:p>
    <w:p w14:paraId="4E696C7D" w14:textId="0DE22857" w:rsidR="005F3B2E" w:rsidRPr="00824C78" w:rsidRDefault="00C064E6" w:rsidP="00C064E6">
      <w:pPr>
        <w:spacing w:after="0" w:line="240" w:lineRule="auto"/>
        <w:jc w:val="right"/>
        <w:rPr>
          <w:rFonts w:ascii="Times New Roman" w:hAnsi="Times New Roman" w:cs="Times New Roman"/>
        </w:rPr>
      </w:pPr>
      <w:r w:rsidRPr="00824C78">
        <w:rPr>
          <w:rFonts w:ascii="Times New Roman" w:hAnsi="Times New Roman" w:cs="Times New Roman"/>
        </w:rPr>
        <w:t>Universidad Nacional de La Matanza</w:t>
      </w:r>
    </w:p>
    <w:p w14:paraId="3D73DB11" w14:textId="3BCF6F30" w:rsidR="005F3B2E" w:rsidRPr="00824C78" w:rsidRDefault="00C064E6" w:rsidP="005F3B2E">
      <w:pPr>
        <w:spacing w:after="0" w:line="240" w:lineRule="auto"/>
        <w:jc w:val="right"/>
        <w:rPr>
          <w:rFonts w:ascii="Times New Roman" w:hAnsi="Times New Roman" w:cs="Times New Roman"/>
        </w:rPr>
      </w:pPr>
      <w:r w:rsidRPr="00824C78">
        <w:rPr>
          <w:rFonts w:ascii="Times New Roman" w:hAnsi="Times New Roman" w:cs="Times New Roman"/>
        </w:rPr>
        <w:t>m.ale.iglesias@hotmail.com</w:t>
      </w:r>
    </w:p>
    <w:p w14:paraId="1B43FD84" w14:textId="77777777" w:rsidR="001923DC" w:rsidRPr="00824C78" w:rsidRDefault="001923DC" w:rsidP="001923DC">
      <w:pPr>
        <w:jc w:val="center"/>
        <w:rPr>
          <w:rFonts w:ascii="Times New Roman" w:hAnsi="Times New Roman" w:cs="Times New Roman"/>
        </w:rPr>
      </w:pPr>
    </w:p>
    <w:p w14:paraId="7B9027E2" w14:textId="77777777" w:rsidR="00BA642E" w:rsidRPr="00824C78" w:rsidRDefault="00BA642E" w:rsidP="005F3B2E">
      <w:pPr>
        <w:rPr>
          <w:rFonts w:ascii="Times New Roman" w:hAnsi="Times New Roman" w:cs="Times New Roman"/>
          <w:b/>
          <w:bCs/>
        </w:rPr>
      </w:pPr>
    </w:p>
    <w:p w14:paraId="35A6682C" w14:textId="49575DE5" w:rsidR="00BA642E" w:rsidRPr="00824C78" w:rsidRDefault="00BA642E" w:rsidP="007D48B6">
      <w:pPr>
        <w:spacing w:after="180"/>
        <w:jc w:val="both"/>
        <w:rPr>
          <w:rFonts w:ascii="Times New Roman" w:hAnsi="Times New Roman" w:cs="Times New Roman"/>
        </w:rPr>
      </w:pPr>
      <w:r w:rsidRPr="00824C78">
        <w:rPr>
          <w:rFonts w:ascii="Times New Roman" w:hAnsi="Times New Roman" w:cs="Times New Roman"/>
          <w:b/>
          <w:bCs/>
          <w:lang w:val="es-ES"/>
        </w:rPr>
        <w:t>Resumen:</w:t>
      </w:r>
      <w:r w:rsidR="007B5B5F" w:rsidRPr="00824C78">
        <w:rPr>
          <w:rFonts w:ascii="Times New Roman" w:hAnsi="Times New Roman" w:cs="Times New Roman"/>
          <w:b/>
          <w:bCs/>
          <w:lang w:val="es-ES"/>
        </w:rPr>
        <w:t xml:space="preserve"> </w:t>
      </w:r>
      <w:r w:rsidR="006365BD" w:rsidRPr="00824C78">
        <w:rPr>
          <w:rFonts w:ascii="Times New Roman" w:hAnsi="Times New Roman" w:cs="Times New Roman"/>
        </w:rPr>
        <w:t xml:space="preserve">El presente trabajo comunica los avances de una investigación en curso sobre las Prácticas en Territorio de la Licenciatura en Nutrición de la Universidad Nacional de La Matanza (UNLaM). El objetivo central de la ponencia no es la descripción del escenario extensionista sino la exposición del proceso mediante el cual ese escenario es convertido en objeto de investigación didáctica rigurosa: cómo se construyeron los instrumentos de recolección de datos, qué decisiones epistemológicas organizaron ese proceso y qué primeras tensiones —todavía en estado de elaboración teórica— emergen del trabajo de campo. El encuadre teórico articula la práctica situada y la comunidad de práctica de Lave y Wenger, la didáctica profesional de Pastré y Vergnaud, el prácticum reflexivo de Schön, el aprendizaje expansivo de Beighton y las configuraciones didácticas de Litwin. El diseño es cualitativo-interpretativo con formato de estudio de caso instrumental. Los resultados preliminares permiten objetivar un sistema de tensiones interrelacionadas cuyo nudo argumental reside en la inadecuación entre los </w:t>
      </w:r>
      <w:r w:rsidR="006365BD" w:rsidRPr="00824C78">
        <w:rPr>
          <w:rFonts w:ascii="Times New Roman" w:hAnsi="Times New Roman" w:cs="Times New Roman"/>
          <w:i/>
          <w:iCs/>
        </w:rPr>
        <w:t>teoremas en acto</w:t>
      </w:r>
      <w:r w:rsidR="006365BD" w:rsidRPr="00824C78">
        <w:rPr>
          <w:rFonts w:ascii="Times New Roman" w:hAnsi="Times New Roman" w:cs="Times New Roman"/>
        </w:rPr>
        <w:t xml:space="preserve"> sobre la enseñanza y el aprendizaje —construidos predominantemente en y para el aula— y las condiciones que la comunidad de práctica territorial impone como lógica propia. Es ese desencuentro, y no un déficit de actores, lo que la construcción metodológica busca hacer inteligible.</w:t>
      </w:r>
    </w:p>
    <w:p w14:paraId="2994BAB3" w14:textId="56F42B3D" w:rsidR="00BA642E" w:rsidRPr="00824C78" w:rsidRDefault="00BA642E" w:rsidP="007B5B5F">
      <w:pPr>
        <w:spacing w:line="240" w:lineRule="auto"/>
        <w:jc w:val="both"/>
        <w:rPr>
          <w:rFonts w:ascii="Times New Roman" w:hAnsi="Times New Roman" w:cs="Times New Roman"/>
        </w:rPr>
      </w:pPr>
      <w:r w:rsidRPr="00824C78">
        <w:rPr>
          <w:rFonts w:ascii="Times New Roman" w:hAnsi="Times New Roman" w:cs="Times New Roman"/>
          <w:b/>
          <w:bCs/>
          <w:lang w:val="es-ES"/>
        </w:rPr>
        <w:t xml:space="preserve">Palabras clave: </w:t>
      </w:r>
      <w:r w:rsidR="007D48B6" w:rsidRPr="00824C78">
        <w:rPr>
          <w:rFonts w:ascii="Times New Roman" w:hAnsi="Times New Roman" w:cs="Times New Roman"/>
        </w:rPr>
        <w:t>didáctica universitaria — prácticas en territorio — comunidad de práctica — teorema en acto — construcción metodológica — formación en salud</w:t>
      </w:r>
    </w:p>
    <w:p w14:paraId="702BB666" w14:textId="77777777" w:rsidR="00392A47" w:rsidRPr="00824C78" w:rsidRDefault="00392A47" w:rsidP="007B5B5F">
      <w:pPr>
        <w:spacing w:line="240" w:lineRule="auto"/>
        <w:jc w:val="both"/>
        <w:rPr>
          <w:rFonts w:ascii="Times New Roman" w:hAnsi="Times New Roman" w:cs="Times New Roman"/>
          <w:b/>
          <w:bCs/>
          <w:lang w:val="es-ES"/>
        </w:rPr>
      </w:pPr>
    </w:p>
    <w:p w14:paraId="421A24A0" w14:textId="77777777" w:rsidR="00392A47" w:rsidRPr="00824C78" w:rsidRDefault="00BA642E" w:rsidP="00392A47">
      <w:pPr>
        <w:spacing w:line="240" w:lineRule="auto"/>
        <w:rPr>
          <w:rFonts w:ascii="Times New Roman" w:hAnsi="Times New Roman" w:cs="Times New Roman"/>
          <w:b/>
          <w:bCs/>
          <w:lang w:val="es-ES"/>
        </w:rPr>
      </w:pPr>
      <w:r w:rsidRPr="00824C78">
        <w:rPr>
          <w:rFonts w:ascii="Times New Roman" w:hAnsi="Times New Roman" w:cs="Times New Roman"/>
          <w:b/>
          <w:bCs/>
          <w:lang w:val="es-ES"/>
        </w:rPr>
        <w:t>Introducción</w:t>
      </w:r>
    </w:p>
    <w:p w14:paraId="5378C6E2" w14:textId="2BB196D5" w:rsidR="00392A47" w:rsidRPr="00824C78" w:rsidRDefault="00392A47" w:rsidP="00392A47">
      <w:pPr>
        <w:spacing w:line="240" w:lineRule="auto"/>
        <w:rPr>
          <w:rFonts w:ascii="Times New Roman" w:hAnsi="Times New Roman" w:cs="Times New Roman"/>
          <w:b/>
          <w:bCs/>
          <w:lang w:val="es-ES"/>
        </w:rPr>
      </w:pPr>
      <w:r w:rsidRPr="00824C78">
        <w:rPr>
          <w:rFonts w:ascii="Times New Roman" w:hAnsi="Times New Roman" w:cs="Times New Roman"/>
          <w:b/>
        </w:rPr>
        <w:t>El linaje de un problema: de la extensión a la investigación didáctica</w:t>
      </w:r>
    </w:p>
    <w:p w14:paraId="5B72A856"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La presencia de los estudiantes universitarios de salud en efectores comunitarios no es una invención pedagógica de las últimas décadas ni una originalidad de ninguna institución en particular: es la sedimentación de una política sanitaria con historia. La Declaración de Alma-Ata (1978) instaló la Atención Primaria de la Salud como estrategia central de los sistemas sanitarios a escala global, y su traducción argentina —los Centros de Atención Primaria de la Salud (CAPS) como efectores de primer nivel, la política de los Sistemas Locales de Salud (SILOS) impulsada por OPS/OMS durante los años ochenta y noventa— fue acompañada por un debate sostenido sobre la formación de recursos humanos en salud. Ese debate instaló una convicción que las carreras universitarias del área fueron haciendo propia de modos diversos: la formación clínica en el aula o en el hospital de complejidad resulta insuficiente para preparar profesionales capaces de intervenir en la comunidad, en la contingencia, en la complejidad social de los territorios donde la enfermedad y la vulnerabilidad se producen.</w:t>
      </w:r>
    </w:p>
    <w:p w14:paraId="58B0DC15"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La perspectiva de la salud colectiva latinoamericana interpela a la formación en salud, a trascender el paradigma biomédico y monodisciplinar mediante un enfoque principalmente “emancipador” cimentado en la perspectiva de los derechos humanos, lo que exige que la atención primaria de la salud no sea concebida como un ámbito periférico de baja complejidad, sino como el escenario pedagógico fundamental para formar profesionales con un profundo compromiso social. Este giro paradigmático implica situar la determinación social del proceso salud-enfermedad en el centro de la práctica, como trabajo estratégico, desplazando el eje de la formación desde la tecnocracia hacia una praxis orientada a garantizar la equidad y el acceso a la salud como imperativos indispensables para la transformación del sistema </w:t>
      </w:r>
      <w:sdt>
        <w:sdtPr>
          <w:rPr>
            <w:rFonts w:ascii="Times New Roman" w:hAnsi="Times New Roman" w:cs="Times New Roman"/>
          </w:rPr>
          <w:id w:val="-1398275700"/>
          <w:citation/>
        </w:sdtPr>
        <w:sdtEndPr/>
        <w:sdtContent>
          <w:r w:rsidRPr="00824C78">
            <w:rPr>
              <w:rFonts w:ascii="Times New Roman" w:hAnsi="Times New Roman" w:cs="Times New Roman"/>
            </w:rPr>
            <w:fldChar w:fldCharType="begin"/>
          </w:r>
          <w:r w:rsidRPr="00824C78">
            <w:rPr>
              <w:rFonts w:ascii="Times New Roman" w:hAnsi="Times New Roman" w:cs="Times New Roman"/>
            </w:rPr>
            <w:instrText xml:space="preserve"> CITATION Jai13 \l 11274 </w:instrText>
          </w:r>
          <w:r w:rsidRPr="00824C78">
            <w:rPr>
              <w:rFonts w:ascii="Times New Roman" w:hAnsi="Times New Roman" w:cs="Times New Roman"/>
            </w:rPr>
            <w:fldChar w:fldCharType="separate"/>
          </w:r>
          <w:r w:rsidRPr="00824C78">
            <w:rPr>
              <w:rFonts w:ascii="Times New Roman" w:hAnsi="Times New Roman" w:cs="Times New Roman"/>
              <w:noProof/>
            </w:rPr>
            <w:t>(Breihl, 2013)</w:t>
          </w:r>
          <w:r w:rsidRPr="00824C78">
            <w:rPr>
              <w:rFonts w:ascii="Times New Roman" w:hAnsi="Times New Roman" w:cs="Times New Roman"/>
            </w:rPr>
            <w:fldChar w:fldCharType="end"/>
          </w:r>
        </w:sdtContent>
      </w:sdt>
      <w:r w:rsidRPr="00824C78">
        <w:rPr>
          <w:rFonts w:ascii="Times New Roman" w:hAnsi="Times New Roman" w:cs="Times New Roman"/>
        </w:rPr>
        <w:t>.</w:t>
      </w:r>
    </w:p>
    <w:p w14:paraId="13F8009A"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Resulta fundamental que las instituciones de educación superior integren el abordaje de las inequidades y los determinantes sociales como ejes transversales, garantizando que el perfil de los profesionales de la salud responda a las demandas concretas de intervención en los territorios (Frenk et al., 2010; Organización Panamericana de la Salud, 2022), intentando superar la resistencia del modelo médico hegemónico, promoviendo el trabajo interdisciplinario, la práctica reflexiva y la participación comunitaria, donde los territorios constituyen verdaderos escenarios de aprendizaje.</w:t>
      </w:r>
    </w:p>
    <w:p w14:paraId="2C3BC7CC"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Esta reorientación requiere además una revisión de los mecanismos de mejora curricular que incorporen activamente la vinculación territorial, sustituyendo el modelo </w:t>
      </w:r>
      <w:r w:rsidRPr="00824C78">
        <w:rPr>
          <w:rFonts w:ascii="Times New Roman" w:hAnsi="Times New Roman" w:cs="Times New Roman"/>
        </w:rPr>
        <w:lastRenderedPageBreak/>
        <w:t xml:space="preserve">hospitalocentrista tradicional por uno que potencie la producción social de la salud </w:t>
      </w:r>
      <w:hyperlink r:id="rId7" w:history="1">
        <w:r w:rsidRPr="00824C78">
          <w:rPr>
            <w:rFonts w:ascii="Times New Roman" w:hAnsi="Times New Roman" w:cs="Times New Roman"/>
          </w:rPr>
          <w:t>(Fernández et al., 2023)</w:t>
        </w:r>
      </w:hyperlink>
      <w:r w:rsidRPr="00824C78">
        <w:rPr>
          <w:rFonts w:ascii="Times New Roman" w:hAnsi="Times New Roman" w:cs="Times New Roman"/>
        </w:rPr>
        <w:t xml:space="preserve">. </w:t>
      </w:r>
    </w:p>
    <w:p w14:paraId="0C6CAB43"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La Licenciatura en Nutrición de la UNLaM es tributaria de ese linaje. La asignatura Prácticas en Territorio del último año de la carrera, incorpora el trabajo en centros de atención primaria de la salud (CAPS), sus comunidades y territorios, como componentes curriculares sustantivos, respondiendo tanto a lineamientos institucionales de extensión universitaria como a ese consenso disciplinar más amplio. Las prácticas en territorio permiten sintetizar los aprendizajes desarrollados a lo largo de la carrera para poder situarlos en el espacio donde las personas viven, trabajan, estudian, se organizan, demandan y, muchas veces, construyen soluciones colectivas. Esto permite el desarrollo de nuevos conocimientos, habilidades y nuevas capacidades retroalimentadas con la realidad y la coyuntura en las cuales transcurren. El trabajo de campo atraviesa un complejo entramado: inequidades en salud y alimentación, desigualdades de género, políticas públicas que se expresan en procesos de salud-enfermedad-atención-cuidados con mayor o menor presencia del estado en los distintos momentos históricos. Este escenario trasciende el aula y se convierte en el lugar donde se insertan los procesos de enseñanza y aprendizajes, transformando la experiencia misma de enseñar y aprender, tanto para estudiantes como para las docentes tutoras que acompañan el desarrollo de las prácticas.</w:t>
      </w:r>
    </w:p>
    <w:p w14:paraId="3FF2EE20"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Durante años, la cátedra construyó su identidad desde lo que podríamos denominar una lógica del </w:t>
      </w:r>
      <w:r w:rsidRPr="00824C78">
        <w:rPr>
          <w:rFonts w:ascii="Times New Roman" w:hAnsi="Times New Roman" w:cs="Times New Roman"/>
          <w:i/>
          <w:iCs/>
        </w:rPr>
        <w:t>progresismo militante:</w:t>
      </w:r>
      <w:r w:rsidRPr="00824C78">
        <w:rPr>
          <w:rFonts w:ascii="Times New Roman" w:hAnsi="Times New Roman" w:cs="Times New Roman"/>
        </w:rPr>
        <w:t xml:space="preserve"> la convicción de que “poner el cuerpo” en la comunidad —la presencia física, el compromiso afectivo, así como el hacer situado— era un rasgo inquebrantable. Esta lógica coadyuvó a sostener vínculos comunitarios genuinos e interpeló la distancia entre el saber académico y la realidad territorial. Sin embargo, operó históricamente con escasa sistematización intelectual: las intervenciones se documentaban de modo fragmentario, los aprendizajes raramente se objetivaban como objetos de análisis pedagógico y la acción docente permanecía, en gran medida, opaca para sus propios protagonistas.</w:t>
      </w:r>
    </w:p>
    <w:p w14:paraId="65A611B9" w14:textId="5586893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Es así que la historia de la cátedra plantea, en su propio desarrollo, una pregunta que nunca se formuló con rigor: ¿de qué manera esas intervenciones territoriales contribuyen al desarrollo de capacidades profesionales autónomas? ¿Qué hace el docente cuando toma decisiones en el territorio y si ese hacer, constituye una estrategia didáctica? ¿Por qué los estudiantes pueden describir con detalle lo que </w:t>
      </w:r>
      <w:r w:rsidR="00852B08" w:rsidRPr="00824C78">
        <w:rPr>
          <w:rFonts w:ascii="Times New Roman" w:hAnsi="Times New Roman" w:cs="Times New Roman"/>
        </w:rPr>
        <w:t>hicieron,</w:t>
      </w:r>
      <w:r w:rsidRPr="00824C78">
        <w:rPr>
          <w:rFonts w:ascii="Times New Roman" w:hAnsi="Times New Roman" w:cs="Times New Roman"/>
        </w:rPr>
        <w:t xml:space="preserve"> pero raramente pueden explicar por qué lo hicieron de ese modo? ¿Qué queda de ese aprendizaje una vez que el cuerpo abandona el territorio? Estas preguntas son, exactamente, las que el presente proyecto de investigación se propone responder. El desplazamiento que nos interesa comunicar en esta ponencia no es meramente técnico —no se trata de haber incorporado </w:t>
      </w:r>
      <w:r w:rsidRPr="00824C78">
        <w:rPr>
          <w:rFonts w:ascii="Times New Roman" w:hAnsi="Times New Roman" w:cs="Times New Roman"/>
        </w:rPr>
        <w:lastRenderedPageBreak/>
        <w:t>instrumentos de recolección a una práctica que antes no los tenía—, sino epistemológico: la transformación de una cátedra de extensión universitaria en un objeto de estudio científico; la conversión de la intervención comunitaria en dato; la producción, desde la investigación rigurosa, de conocimiento pedagógico sobre la formación práctica en nutrición.</w:t>
      </w:r>
    </w:p>
    <w:p w14:paraId="2FD138AD" w14:textId="65FB0755" w:rsidR="005F3B2E" w:rsidRPr="00824C78" w:rsidRDefault="005F3B2E" w:rsidP="007B5B5F">
      <w:pPr>
        <w:spacing w:line="240" w:lineRule="auto"/>
        <w:rPr>
          <w:rFonts w:ascii="Times New Roman" w:hAnsi="Times New Roman" w:cs="Times New Roman"/>
          <w:b/>
          <w:bCs/>
          <w:lang w:val="es-ES"/>
        </w:rPr>
      </w:pPr>
      <w:r w:rsidRPr="00824C78">
        <w:rPr>
          <w:rFonts w:ascii="Times New Roman" w:hAnsi="Times New Roman" w:cs="Times New Roman"/>
          <w:b/>
          <w:bCs/>
          <w:lang w:val="es-ES"/>
        </w:rPr>
        <w:t>Desarrollo</w:t>
      </w:r>
    </w:p>
    <w:p w14:paraId="7BC52CB7"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La pregunta que organiza la investigación puede enunciarse del siguiente modo: ¿de qué manera las estrategias pedagógicas para las prácticas en territorio, desde su planificación hasta su ejecución, contribuyen al desarrollo autónomo de capacidades de resolución de problemas en estudiantes de formación en salud orientados a la nutrición? Cabe preguntarnos, sin embargo, si formular el problema en esos términos no reproduce la misma lógica que pretendemos superar: la búsqueda de estrategias prescriptivas. La respuesta que el encuadre teórico nos habilitó es otra: no se trata de evaluar estrategias sino de reconstruir la lógica de la acción —docente y estudiantil— para hacerla inteligible, objetivable, comunicable. El pasaje del diagnóstico al </w:t>
      </w:r>
      <w:r w:rsidRPr="00824C78">
        <w:rPr>
          <w:rFonts w:ascii="Times New Roman" w:hAnsi="Times New Roman" w:cs="Times New Roman"/>
          <w:i/>
          <w:iCs/>
        </w:rPr>
        <w:t>explanandum</w:t>
      </w:r>
      <w:r w:rsidRPr="00824C78">
        <w:rPr>
          <w:rFonts w:ascii="Times New Roman" w:hAnsi="Times New Roman" w:cs="Times New Roman"/>
        </w:rPr>
        <w:t xml:space="preserve"> teórico es el movimiento que estructura toda la investigación.</w:t>
      </w:r>
    </w:p>
    <w:p w14:paraId="56516C47" w14:textId="77777777" w:rsidR="00392A47" w:rsidRPr="00824C78" w:rsidRDefault="00392A47" w:rsidP="00392A47">
      <w:pPr>
        <w:pStyle w:val="Ttulo1"/>
        <w:jc w:val="both"/>
        <w:rPr>
          <w:rFonts w:ascii="Times New Roman" w:hAnsi="Times New Roman" w:cs="Times New Roman"/>
          <w:b/>
          <w:color w:val="auto"/>
          <w:sz w:val="24"/>
          <w:szCs w:val="24"/>
        </w:rPr>
      </w:pPr>
      <w:r w:rsidRPr="00824C78">
        <w:rPr>
          <w:rFonts w:ascii="Times New Roman" w:hAnsi="Times New Roman" w:cs="Times New Roman"/>
          <w:b/>
          <w:color w:val="auto"/>
          <w:sz w:val="24"/>
          <w:szCs w:val="24"/>
        </w:rPr>
        <w:t>Encuadre teórico: los marcos que el campo fue exigiendo</w:t>
      </w:r>
    </w:p>
    <w:p w14:paraId="0CB3CD1E" w14:textId="4305A3F3"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El punto de partida epistemológico que el trabajo de campo vino a confirmar con fuerza es la insuficiencia del modelo de racionalidad técnica para dar cuenta de lo que sucede en el territorio. Schön (1992) argumenta que los profesionales competentes no actúan aplicando principios previamente </w:t>
      </w:r>
      <w:r w:rsidR="00852B08" w:rsidRPr="00824C78">
        <w:rPr>
          <w:rFonts w:ascii="Times New Roman" w:hAnsi="Times New Roman" w:cs="Times New Roman"/>
        </w:rPr>
        <w:t>aprendidos,</w:t>
      </w:r>
      <w:r w:rsidRPr="00824C78">
        <w:rPr>
          <w:rFonts w:ascii="Times New Roman" w:hAnsi="Times New Roman" w:cs="Times New Roman"/>
        </w:rPr>
        <w:t xml:space="preserve"> sino que construyen conocimiento </w:t>
      </w:r>
      <w:r w:rsidRPr="00824C78">
        <w:rPr>
          <w:rFonts w:ascii="Times New Roman" w:hAnsi="Times New Roman" w:cs="Times New Roman"/>
          <w:i/>
          <w:iCs/>
        </w:rPr>
        <w:t>en</w:t>
      </w:r>
      <w:r w:rsidRPr="00824C78">
        <w:rPr>
          <w:rFonts w:ascii="Times New Roman" w:hAnsi="Times New Roman" w:cs="Times New Roman"/>
        </w:rPr>
        <w:t xml:space="preserve"> la acción y </w:t>
      </w:r>
      <w:r w:rsidRPr="00824C78">
        <w:rPr>
          <w:rFonts w:ascii="Times New Roman" w:hAnsi="Times New Roman" w:cs="Times New Roman"/>
          <w:i/>
          <w:iCs/>
        </w:rPr>
        <w:t>sobre</w:t>
      </w:r>
      <w:r w:rsidRPr="00824C78">
        <w:rPr>
          <w:rFonts w:ascii="Times New Roman" w:hAnsi="Times New Roman" w:cs="Times New Roman"/>
        </w:rPr>
        <w:t xml:space="preserve"> la acción: la reflexión es simultáneamente método de intervención y fuente de saber. Esta distinción tiene consecuencias directas para la formación práctica en salud: si el saber profesional se construye en la contingencia del territorio y no en la previsibilidad del aula, entonces las estrategias didácticas que el docente despliega en ese espacio no pueden evaluarse con los mismos criterios con que se evalúa una clase teórica. La programabilidad de la enseñanza —supuesto central de la didáctica clásica— cede ante la lógica de lo imprevisto. La distinción entre reflexión </w:t>
      </w:r>
      <w:r w:rsidRPr="00824C78">
        <w:rPr>
          <w:rFonts w:ascii="Times New Roman" w:hAnsi="Times New Roman" w:cs="Times New Roman"/>
          <w:i/>
          <w:iCs/>
        </w:rPr>
        <w:t>en</w:t>
      </w:r>
      <w:r w:rsidRPr="00824C78">
        <w:rPr>
          <w:rFonts w:ascii="Times New Roman" w:hAnsi="Times New Roman" w:cs="Times New Roman"/>
        </w:rPr>
        <w:t xml:space="preserve"> la acción y reflexión </w:t>
      </w:r>
      <w:r w:rsidRPr="00824C78">
        <w:rPr>
          <w:rFonts w:ascii="Times New Roman" w:hAnsi="Times New Roman" w:cs="Times New Roman"/>
          <w:i/>
          <w:iCs/>
        </w:rPr>
        <w:t>sobre</w:t>
      </w:r>
      <w:r w:rsidRPr="00824C78">
        <w:rPr>
          <w:rFonts w:ascii="Times New Roman" w:hAnsi="Times New Roman" w:cs="Times New Roman"/>
        </w:rPr>
        <w:t xml:space="preserve"> la acción que Schön propone será, además, uno de los ejes del sistema de codificación con que analizamos los registros del trabajo de campo.</w:t>
      </w:r>
    </w:p>
    <w:p w14:paraId="68D0ABE6"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Es así que el campo nos exigió una segunda entrada teórica: la didáctica profesional en la vertiente de Pastré y Vergnaud. Pastré (2011) plantea que la formación profesional se define por y para la actividad; el sujeto en formación no aprende </w:t>
      </w:r>
      <w:r w:rsidRPr="00824C78">
        <w:rPr>
          <w:rFonts w:ascii="Times New Roman" w:hAnsi="Times New Roman" w:cs="Times New Roman"/>
          <w:i/>
          <w:iCs/>
        </w:rPr>
        <w:t>sobre</w:t>
      </w:r>
      <w:r w:rsidRPr="00824C78">
        <w:rPr>
          <w:rFonts w:ascii="Times New Roman" w:hAnsi="Times New Roman" w:cs="Times New Roman"/>
        </w:rPr>
        <w:t xml:space="preserve"> el trabajo sino </w:t>
      </w:r>
      <w:r w:rsidRPr="00824C78">
        <w:rPr>
          <w:rFonts w:ascii="Times New Roman" w:hAnsi="Times New Roman" w:cs="Times New Roman"/>
          <w:i/>
          <w:iCs/>
        </w:rPr>
        <w:t>en</w:t>
      </w:r>
      <w:r w:rsidRPr="00824C78">
        <w:rPr>
          <w:rFonts w:ascii="Times New Roman" w:hAnsi="Times New Roman" w:cs="Times New Roman"/>
        </w:rPr>
        <w:t xml:space="preserve"> el trabajo. Vergnaud (1990), por su parte, propone la categoría de </w:t>
      </w:r>
      <w:r w:rsidRPr="00824C78">
        <w:rPr>
          <w:rFonts w:ascii="Times New Roman" w:hAnsi="Times New Roman" w:cs="Times New Roman"/>
          <w:i/>
          <w:iCs/>
        </w:rPr>
        <w:t>teorema en acto</w:t>
      </w:r>
      <w:r w:rsidRPr="00824C78">
        <w:rPr>
          <w:rFonts w:ascii="Times New Roman" w:hAnsi="Times New Roman" w:cs="Times New Roman"/>
        </w:rPr>
        <w:t xml:space="preserve"> —las proposiciones implícitas que el sujeto considera válidas para organizar su acción práctica sin que estén necesariamente enunciadas ni verificadas formalmente— </w:t>
      </w:r>
      <w:r w:rsidRPr="00824C78">
        <w:rPr>
          <w:rFonts w:ascii="Times New Roman" w:hAnsi="Times New Roman" w:cs="Times New Roman"/>
        </w:rPr>
        <w:lastRenderedPageBreak/>
        <w:t xml:space="preserve">como herramienta analítica fundamental para reconstruir la lógica interna de la práctica. En nuestro trabajo de campo, esta categoría nos habilita a formular una pregunta que la mera observación no resuelve: ¿qué </w:t>
      </w:r>
      <w:r w:rsidRPr="00824C78">
        <w:rPr>
          <w:rFonts w:ascii="Times New Roman" w:hAnsi="Times New Roman" w:cs="Times New Roman"/>
          <w:i/>
          <w:iCs/>
        </w:rPr>
        <w:t>sabe</w:t>
      </w:r>
      <w:r w:rsidRPr="00824C78">
        <w:rPr>
          <w:rFonts w:ascii="Times New Roman" w:hAnsi="Times New Roman" w:cs="Times New Roman"/>
        </w:rPr>
        <w:t xml:space="preserve"> el estudiante cuando actúa en el territorio, aunque no pueda verbalizarlo? ¿Qué proposiciones implícitas organizan la intervención docente cuando toma una decisión durante una sesión de trabajo comunitario? La potencia de la categoría, como veremos, reside en que los </w:t>
      </w:r>
      <w:r w:rsidRPr="00824C78">
        <w:rPr>
          <w:rFonts w:ascii="Times New Roman" w:hAnsi="Times New Roman" w:cs="Times New Roman"/>
          <w:i/>
          <w:iCs/>
        </w:rPr>
        <w:t>teoremas en acto</w:t>
      </w:r>
      <w:r w:rsidRPr="00824C78">
        <w:rPr>
          <w:rFonts w:ascii="Times New Roman" w:hAnsi="Times New Roman" w:cs="Times New Roman"/>
        </w:rPr>
        <w:t xml:space="preserve"> no son solo cognición individual: son también, y aquí se produce el nudo teórico más productivo de esta investigación, el sedimento de una historia de participación en comunidades de práctica específicas.</w:t>
      </w:r>
    </w:p>
    <w:p w14:paraId="285F72A5"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Lave y Wenger (1991) plantean un desplazamiento que ninguno de los marcos anteriores produce solo: la unidad de análisis deja de ser el sujeto individual y su relación con la tarea, y pasa a ser la </w:t>
      </w:r>
      <w:r w:rsidRPr="00824C78">
        <w:rPr>
          <w:rFonts w:ascii="Times New Roman" w:hAnsi="Times New Roman" w:cs="Times New Roman"/>
          <w:i/>
          <w:iCs/>
        </w:rPr>
        <w:t>comunidad de práctica</w:t>
      </w:r>
      <w:r w:rsidRPr="00824C78">
        <w:rPr>
          <w:rFonts w:ascii="Times New Roman" w:hAnsi="Times New Roman" w:cs="Times New Roman"/>
        </w:rPr>
        <w:t xml:space="preserve"> como sistema de relaciones entre personas, actividades y mundo que se desarrolla en el tiempo. Los autores proponen la categoría de </w:t>
      </w:r>
      <w:r w:rsidRPr="00824C78">
        <w:rPr>
          <w:rFonts w:ascii="Times New Roman" w:hAnsi="Times New Roman" w:cs="Times New Roman"/>
          <w:i/>
          <w:iCs/>
        </w:rPr>
        <w:t>participación periférica legítima</w:t>
      </w:r>
      <w:r w:rsidRPr="00824C78">
        <w:rPr>
          <w:rFonts w:ascii="Times New Roman" w:hAnsi="Times New Roman" w:cs="Times New Roman"/>
        </w:rPr>
        <w:t xml:space="preserve"> para describir el modo en que los recién llegados se incorporan a prácticas que preexisten a su llegada y las exceden: el novato aprende no porque recibe instrucción sino porque participa, inicialmente de modo periférico pero reconocido como legítimo por la comunidad, y se mueve gradualmente hacia formas más plenas de membresía. Este marco resulta decisivo para nuestra investigación porque describe con precisión la condición real de los estudiantes en el CAPS: ingresan a una comunidad de práctica sanitaria que tiene sus propias reglas de reconocimiento, sus propias jerarquías de experticia, sus propios ritmos y sus propios objetos de trabajo. La legitimidad de esa participación no la otorga la cátedra sino la comunidad territorial —el equipo de salud, los usuarios, la institución—. La didáctica, en este sentido, no crea ese escenario: </w:t>
      </w:r>
      <w:r w:rsidRPr="00824C78">
        <w:rPr>
          <w:rFonts w:ascii="Times New Roman" w:hAnsi="Times New Roman" w:cs="Times New Roman"/>
          <w:i/>
          <w:iCs/>
        </w:rPr>
        <w:t>irrumpe</w:t>
      </w:r>
      <w:r w:rsidRPr="00824C78">
        <w:rPr>
          <w:rFonts w:ascii="Times New Roman" w:hAnsi="Times New Roman" w:cs="Times New Roman"/>
        </w:rPr>
        <w:t xml:space="preserve"> sobre él, e intenta sistematizar algo que acontece en sus propios términos, previos e irreducibles a la lógica escolar.</w:t>
      </w:r>
    </w:p>
    <w:p w14:paraId="70BDE07B"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Es en la articulación entre Lave y Wenger y Vergnaud donde sostenemos que reside el argumento más original de esta investigación. Los docentes que intervienen en el territorio no llegan sin historia: llegan portando </w:t>
      </w:r>
      <w:r w:rsidRPr="00824C78">
        <w:rPr>
          <w:rFonts w:ascii="Times New Roman" w:hAnsi="Times New Roman" w:cs="Times New Roman"/>
          <w:i/>
          <w:iCs/>
        </w:rPr>
        <w:t>teoremas en acto</w:t>
      </w:r>
      <w:r w:rsidRPr="00824C78">
        <w:rPr>
          <w:rFonts w:ascii="Times New Roman" w:hAnsi="Times New Roman" w:cs="Times New Roman"/>
        </w:rPr>
        <w:t xml:space="preserve"> sobre qué es enseñar que fueron construidos predominantemente en y para el aula universitaria —con su programabilidad, su contrato didáctico estabilizado, su secuencia de inicio, desarrollo y cierre. Esos teoremas operan de modo implícito: “enseñar es explicar”, “enseñar es guiar hacia un objetivo previsto”, “enseñar es evaluar si el estudiante logró lo esperado”. Ninguna de esas proposiciones está enunciada formalmente, pero organizan la acción docente en el territorio de un modo que la lógica de la comunidad de práctica sanitaria no convalida. La contingencia territorial, la simultaneidad de interacciones, la negociación permanente con actores institucionales que no son estudiantes: todo eso no se parece a enseñar, en el sentido que los teoremas en acto del docente definen. En consecuencia, el docente resuelve la fricción sin saberlo —mediante la naturalización— y lo que hace en </w:t>
      </w:r>
      <w:r w:rsidRPr="00824C78">
        <w:rPr>
          <w:rFonts w:ascii="Times New Roman" w:hAnsi="Times New Roman" w:cs="Times New Roman"/>
        </w:rPr>
        <w:lastRenderedPageBreak/>
        <w:t xml:space="preserve">el territorio deja de parecerle enseñanza. Lo mismo ocurre, en espejo, con el estudiantado: portando sus propios teoremas en acto sobre qué es aprender —construidos también en el aula—, no reconoce como aprendizaje lo que sucede en el territorio porque no se parece a sus proposiciones implícitas sobre cómo se ve el aprendizaje. Es ese desencuentro estructural, y no un déficit de ninguno de los actores, el </w:t>
      </w:r>
      <w:r w:rsidRPr="00824C78">
        <w:rPr>
          <w:rFonts w:ascii="Times New Roman" w:hAnsi="Times New Roman" w:cs="Times New Roman"/>
          <w:i/>
          <w:iCs/>
        </w:rPr>
        <w:t>explanandum</w:t>
      </w:r>
      <w:r w:rsidRPr="00824C78">
        <w:rPr>
          <w:rFonts w:ascii="Times New Roman" w:hAnsi="Times New Roman" w:cs="Times New Roman"/>
        </w:rPr>
        <w:t xml:space="preserve"> que la investigación busca construir.</w:t>
      </w:r>
    </w:p>
    <w:p w14:paraId="3F59C5E5"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Beighton (2017) profundiza en la pregunta específica por la autonomía. El índice de aprendizaje expansivo (ELI) que el autor desarrolla organiza las capacidades que un sujeto necesita para actuar con eficacia ante la incertidumbre en cuatro dimensiones: la capacidad activa —actuar con confianza y aprender del error—, la afectiva —sostener vínculos colaborativos y conciencia contextual—, la estratégica —tomar decisiones informadas y movilizar recursos— y la cultural —generar conexiones creativas entre saberes. Desde esta perspectiva, la pregunta por el “desarrollo autónomo de capacidades de resolución de problemas” adquiere una operacionalización posible que nos permite rastrear evidencias concretas en los registros del trabajo de campo, sin reducir la autonomía a una competencia genérica. Litwin (1997), por su parte, sostiene desde la didáctica universitaria: su concepto de </w:t>
      </w:r>
      <w:r w:rsidRPr="00824C78">
        <w:rPr>
          <w:rFonts w:ascii="Times New Roman" w:hAnsi="Times New Roman" w:cs="Times New Roman"/>
          <w:i/>
          <w:iCs/>
        </w:rPr>
        <w:t>configuración didáctica</w:t>
      </w:r>
      <w:r w:rsidRPr="00824C78">
        <w:rPr>
          <w:rFonts w:ascii="Times New Roman" w:hAnsi="Times New Roman" w:cs="Times New Roman"/>
        </w:rPr>
        <w:t xml:space="preserve"> —la manera particular en que el docente construye la propuesta de enseñanza articulando lógica disciplinar, posibilidades de apropiación estudiantil y condiciones del contexto— nos habilita a pensar la acción pedagógica en territorio no como aplicación de un diseño previo sino como producción situada, creativa e irrepetible. La dimensión creadora de la tarea docente que Litwin sostiene es exactamente lo que la naturalización obtura: cuando el docente deja de percibir su propia configuración didáctica como tal, la reflexión sobre ella se vuelve imposible.</w:t>
      </w:r>
    </w:p>
    <w:p w14:paraId="7209BBBA" w14:textId="77777777" w:rsidR="00392A47" w:rsidRPr="00C4780E" w:rsidRDefault="00392A47" w:rsidP="00392A47">
      <w:pPr>
        <w:pStyle w:val="Ttulo1"/>
        <w:jc w:val="both"/>
        <w:rPr>
          <w:rFonts w:ascii="Times New Roman" w:hAnsi="Times New Roman" w:cs="Times New Roman"/>
          <w:b/>
          <w:color w:val="auto"/>
          <w:sz w:val="24"/>
          <w:szCs w:val="24"/>
        </w:rPr>
      </w:pPr>
      <w:r w:rsidRPr="00C4780E">
        <w:rPr>
          <w:rFonts w:ascii="Times New Roman" w:hAnsi="Times New Roman" w:cs="Times New Roman"/>
          <w:b/>
          <w:color w:val="auto"/>
          <w:sz w:val="24"/>
          <w:szCs w:val="24"/>
        </w:rPr>
        <w:t>La construcción metodológica como proceso: decisiones, tensiones e instrumentos</w:t>
      </w:r>
    </w:p>
    <w:p w14:paraId="7A73D118"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El diseño de la investigación es de corte cualitativo-interpretativo y se estructura como un estudio de caso instrumental con unidades incrustadas. </w:t>
      </w:r>
      <w:proofErr w:type="spellStart"/>
      <w:r w:rsidRPr="00824C78">
        <w:rPr>
          <w:rFonts w:ascii="Times New Roman" w:hAnsi="Times New Roman" w:cs="Times New Roman"/>
        </w:rPr>
        <w:t>Stake</w:t>
      </w:r>
      <w:proofErr w:type="spellEnd"/>
      <w:r w:rsidRPr="00824C78">
        <w:rPr>
          <w:rFonts w:ascii="Times New Roman" w:hAnsi="Times New Roman" w:cs="Times New Roman"/>
        </w:rPr>
        <w:t xml:space="preserve"> (1995) define como “instrumental” aquel caso que nos interesa no por sí mismo sino como ventana para comprender fenómenos más amplios: en esos términos, la asignatura Prácticas en Territorio opera como acceso a problemas de la didáctica universitaria en contextos de práctica profesional situada que exceden el caso particular. Las unidades de análisis son tres: el proceso de planificación de las intervenciones territoriales, la implementación situada en los centros de salud comunitarios y la evaluación de propósitos que docentes y estudiantes realizan </w:t>
      </w:r>
      <w:r w:rsidRPr="00824C78">
        <w:rPr>
          <w:rFonts w:ascii="Times New Roman" w:hAnsi="Times New Roman" w:cs="Times New Roman"/>
          <w:i/>
          <w:iCs/>
        </w:rPr>
        <w:t>ex post.</w:t>
      </w:r>
    </w:p>
    <w:p w14:paraId="48296FBE"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Para capturar las “huellas de la actividad” que la acción docente y estudiantil deja en distintos soportes se diseñó una triangulación de cuatro instrumentos. El primero es el </w:t>
      </w:r>
      <w:r w:rsidRPr="00824C78">
        <w:rPr>
          <w:rFonts w:ascii="Times New Roman" w:hAnsi="Times New Roman" w:cs="Times New Roman"/>
          <w:i/>
          <w:iCs/>
        </w:rPr>
        <w:t>análisis documental</w:t>
      </w:r>
      <w:r w:rsidRPr="00824C78">
        <w:rPr>
          <w:rFonts w:ascii="Times New Roman" w:hAnsi="Times New Roman" w:cs="Times New Roman"/>
        </w:rPr>
        <w:t xml:space="preserve"> de planificaciones históricas, guiones de clase y matrices de </w:t>
      </w:r>
      <w:r w:rsidRPr="00824C78">
        <w:rPr>
          <w:rFonts w:ascii="Times New Roman" w:hAnsi="Times New Roman" w:cs="Times New Roman"/>
        </w:rPr>
        <w:lastRenderedPageBreak/>
        <w:t xml:space="preserve">evaluación de la cátedra, que nos permite reconstruir el “objeto histórico” de la asignatura y contrastar la evolución de los propósitos declarados con las prácticas efectivamente registradas. El segundo son las </w:t>
      </w:r>
      <w:r w:rsidRPr="00824C78">
        <w:rPr>
          <w:rFonts w:ascii="Times New Roman" w:hAnsi="Times New Roman" w:cs="Times New Roman"/>
          <w:i/>
          <w:iCs/>
        </w:rPr>
        <w:t>bitácoras narrativo-descriptivas,</w:t>
      </w:r>
      <w:r w:rsidRPr="00824C78">
        <w:rPr>
          <w:rFonts w:ascii="Times New Roman" w:hAnsi="Times New Roman" w:cs="Times New Roman"/>
        </w:rPr>
        <w:t xml:space="preserve"> diseñadas en dos versiones —docente y estudiantil— que comparten una estructura orientada a la descripción densa del contexto, la secuencia factual de la intervención y la identificación de episodios críticos. La versión docente incorpora, además, un apartado de análisis pedagógico de la práctica e impresiones personales, donde el equipo formula hipótesis de trabajo, evalúa el cumplimiento de los objetivos y proyecta ajustes para la sesión siguiente.</w:t>
      </w:r>
    </w:p>
    <w:p w14:paraId="78B0A6C2"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El tercer instrumento es la </w:t>
      </w:r>
      <w:r w:rsidRPr="00824C78">
        <w:rPr>
          <w:rFonts w:ascii="Times New Roman" w:hAnsi="Times New Roman" w:cs="Times New Roman"/>
          <w:i/>
          <w:iCs/>
        </w:rPr>
        <w:t>observación participante sistemática,</w:t>
      </w:r>
      <w:r w:rsidRPr="00824C78">
        <w:rPr>
          <w:rFonts w:ascii="Times New Roman" w:hAnsi="Times New Roman" w:cs="Times New Roman"/>
        </w:rPr>
        <w:t xml:space="preserve"> registrada mediante una matriz de cuatro columnas que diferencia el tiempo transcurrido, la descripción fáctica de las interacciones, el análisis e inferencias del observador y la explicitación de su propia implicación en la escena. Este instrumento incorpora un diagrama espacial —croquis de la disposición del mobiliario y la ubicación de los actores— que responde a la premisa, coherente con el encuadre de Lave y Wenger, de que el espacio condiciona la práctica: la configuración física del CAPS, los desplazamientos, las distancias, son parte del dato y no mero telón de fondo. El cuarto instrumento son las </w:t>
      </w:r>
      <w:r w:rsidRPr="00824C78">
        <w:rPr>
          <w:rFonts w:ascii="Times New Roman" w:hAnsi="Times New Roman" w:cs="Times New Roman"/>
          <w:i/>
          <w:iCs/>
        </w:rPr>
        <w:t>entrevistas semiestructuradas,</w:t>
      </w:r>
      <w:r w:rsidRPr="00824C78">
        <w:rPr>
          <w:rFonts w:ascii="Times New Roman" w:hAnsi="Times New Roman" w:cs="Times New Roman"/>
        </w:rPr>
        <w:t xml:space="preserve"> aplicadas aleatoriamente a una muestra aproximada del 25% del estudiantado y al equipo docente completo, orientadas a triangular la información producida por los instrumentos narrativos y a explorar las percepciones sobre las estrategias implementadas.</w:t>
      </w:r>
    </w:p>
    <w:p w14:paraId="2BFA5F68" w14:textId="191F09EB"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Una tensión atraviesa la construcción metodológica de modo transversal y merece ser enunciada con honestidad: la sobrecarga laboral del equipo docente —que es simultáneamente equipo de investigación— genera un desfasaje entre el momento de la intervención territorial y el momento del registro en la bitácora. Este </w:t>
      </w:r>
      <w:r w:rsidRPr="00824C78">
        <w:rPr>
          <w:rFonts w:ascii="Times New Roman" w:hAnsi="Times New Roman" w:cs="Times New Roman"/>
          <w:i/>
          <w:iCs/>
        </w:rPr>
        <w:t>delay</w:t>
      </w:r>
      <w:r w:rsidRPr="00824C78">
        <w:rPr>
          <w:rFonts w:ascii="Times New Roman" w:hAnsi="Times New Roman" w:cs="Times New Roman"/>
        </w:rPr>
        <w:t xml:space="preserve"> amenaza la captura del dato en caliente, que es precisamente el más valioso para reconstruir los </w:t>
      </w:r>
      <w:r w:rsidRPr="00824C78">
        <w:rPr>
          <w:rFonts w:ascii="Times New Roman" w:hAnsi="Times New Roman" w:cs="Times New Roman"/>
          <w:i/>
          <w:iCs/>
        </w:rPr>
        <w:t>teoremas en acto</w:t>
      </w:r>
      <w:r w:rsidRPr="00824C78">
        <w:rPr>
          <w:rFonts w:ascii="Times New Roman" w:hAnsi="Times New Roman" w:cs="Times New Roman"/>
        </w:rPr>
        <w:t xml:space="preserve"> y los episodios críticos. Reconocemos esta tensión como parte del proceso investigativo y como dato en sí mismo: revela que la producción de conocimiento pedagógico riguroso en contextos de alta demanda institucional requiere condiciones de trabajo que la universidad no siempre garantiza. Los ajustes tecnológicos adoptados —grabaciones de voz in situ, transcripción asistida— representan una respuesta parcial que no sustituye la </w:t>
      </w:r>
      <w:r w:rsidR="003D7B3C" w:rsidRPr="00824C78">
        <w:rPr>
          <w:rFonts w:ascii="Times New Roman" w:hAnsi="Times New Roman" w:cs="Times New Roman"/>
        </w:rPr>
        <w:t>reflexión,</w:t>
      </w:r>
      <w:r w:rsidRPr="00824C78">
        <w:rPr>
          <w:rFonts w:ascii="Times New Roman" w:hAnsi="Times New Roman" w:cs="Times New Roman"/>
        </w:rPr>
        <w:t xml:space="preserve"> sino que intenta anticiparla.</w:t>
      </w:r>
    </w:p>
    <w:p w14:paraId="3F2AE73B" w14:textId="77777777" w:rsidR="00392A47" w:rsidRPr="00824C78" w:rsidRDefault="00392A47" w:rsidP="00392A47">
      <w:pPr>
        <w:spacing w:after="180"/>
        <w:ind w:firstLine="709"/>
        <w:jc w:val="both"/>
        <w:rPr>
          <w:rFonts w:ascii="Times New Roman" w:hAnsi="Times New Roman" w:cs="Times New Roman"/>
        </w:rPr>
      </w:pPr>
      <w:r w:rsidRPr="00824C78">
        <w:rPr>
          <w:rFonts w:ascii="Times New Roman" w:hAnsi="Times New Roman" w:cs="Times New Roman"/>
        </w:rPr>
        <w:t xml:space="preserve">El procesamiento de los datos se realiza mediante análisis temático asistido por </w:t>
      </w:r>
      <w:proofErr w:type="spellStart"/>
      <w:r w:rsidRPr="00824C78">
        <w:rPr>
          <w:rFonts w:ascii="Times New Roman" w:hAnsi="Times New Roman" w:cs="Times New Roman"/>
        </w:rPr>
        <w:t>ATLAS.ti</w:t>
      </w:r>
      <w:proofErr w:type="spellEnd"/>
      <w:r w:rsidRPr="00824C78">
        <w:rPr>
          <w:rFonts w:ascii="Times New Roman" w:hAnsi="Times New Roman" w:cs="Times New Roman"/>
        </w:rPr>
        <w:t>, con un sistema de codificación mixto: una vía inductiva que habilita la emergencia de categorías nativas desde las huellas de la actividad, y una vía deductiva que aplica los códigos derivados de los marcos teóricos —</w:t>
      </w:r>
      <w:r w:rsidRPr="00824C78">
        <w:rPr>
          <w:rFonts w:ascii="Times New Roman" w:hAnsi="Times New Roman" w:cs="Times New Roman"/>
          <w:i/>
          <w:iCs/>
        </w:rPr>
        <w:t>teoremas en acto,</w:t>
      </w:r>
      <w:r w:rsidRPr="00824C78">
        <w:rPr>
          <w:rFonts w:ascii="Times New Roman" w:hAnsi="Times New Roman" w:cs="Times New Roman"/>
        </w:rPr>
        <w:t xml:space="preserve"> capacidades expansivas, configuraciones didácticas, reflexión en y sobre la acción, participación </w:t>
      </w:r>
      <w:r w:rsidRPr="00824C78">
        <w:rPr>
          <w:rFonts w:ascii="Times New Roman" w:hAnsi="Times New Roman" w:cs="Times New Roman"/>
        </w:rPr>
        <w:lastRenderedPageBreak/>
        <w:t xml:space="preserve">periférica. La </w:t>
      </w:r>
      <w:r w:rsidRPr="00824C78">
        <w:rPr>
          <w:rFonts w:ascii="Times New Roman" w:hAnsi="Times New Roman" w:cs="Times New Roman"/>
          <w:i/>
          <w:iCs/>
        </w:rPr>
        <w:t>desimplicancia</w:t>
      </w:r>
      <w:r w:rsidRPr="00824C78">
        <w:rPr>
          <w:rFonts w:ascii="Times New Roman" w:hAnsi="Times New Roman" w:cs="Times New Roman"/>
        </w:rPr>
        <w:t xml:space="preserve"> del equipo investigador opera como condición de validez de todo el análisis y se instrumenta mediante talleres de reflexión metodológica y entrevistas de autoconfrontación.</w:t>
      </w:r>
    </w:p>
    <w:p w14:paraId="12CE0BCB" w14:textId="3D68CA1A" w:rsidR="005F3B2E" w:rsidRPr="00824C78" w:rsidRDefault="005F3B2E" w:rsidP="007B5B5F">
      <w:pPr>
        <w:spacing w:line="240" w:lineRule="auto"/>
        <w:rPr>
          <w:rFonts w:ascii="Times New Roman" w:hAnsi="Times New Roman" w:cs="Times New Roman"/>
          <w:b/>
          <w:bCs/>
          <w:lang w:val="es-ES"/>
        </w:rPr>
      </w:pPr>
      <w:r w:rsidRPr="00824C78">
        <w:rPr>
          <w:rFonts w:ascii="Times New Roman" w:hAnsi="Times New Roman" w:cs="Times New Roman"/>
          <w:b/>
          <w:bCs/>
          <w:lang w:val="es-ES"/>
        </w:rPr>
        <w:t>Conclusiones</w:t>
      </w:r>
    </w:p>
    <w:p w14:paraId="6457060F" w14:textId="77777777" w:rsidR="00824C78" w:rsidRPr="00824C78" w:rsidRDefault="00824C78" w:rsidP="00824C78">
      <w:pPr>
        <w:pStyle w:val="Ttulo1"/>
        <w:jc w:val="both"/>
        <w:rPr>
          <w:rFonts w:ascii="Times New Roman" w:hAnsi="Times New Roman" w:cs="Times New Roman"/>
          <w:b/>
          <w:color w:val="auto"/>
          <w:sz w:val="24"/>
          <w:szCs w:val="24"/>
        </w:rPr>
      </w:pPr>
      <w:r w:rsidRPr="00824C78">
        <w:rPr>
          <w:rFonts w:ascii="Times New Roman" w:hAnsi="Times New Roman" w:cs="Times New Roman"/>
          <w:b/>
          <w:color w:val="auto"/>
          <w:sz w:val="24"/>
          <w:szCs w:val="24"/>
        </w:rPr>
        <w:t>Primeras tensiones objetivadas: lo que el campo comienza a mostrar</w:t>
      </w:r>
    </w:p>
    <w:p w14:paraId="7990524D" w14:textId="77777777"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El análisis en curso del material producido en la primera etapa del trabajo de campo —bitácoras docentes y estudiantiles, registros de observación participante, documentos históricos de la cátedra— nos permite comenzar a objetivar un conjunto de tensiones que el encuadre teórico habilita a leer como sistema. Subrayamos que se trata de hallazgos preliminares, emergentes de una investigación que continúa: lo que aquí presentamos son las primeras configuraciones que el análisis temático va delineando, no categorías saturadas ni conclusiones cerradas. Lo que sí podemos afirmar es que esas tensiones no se presentan como fenómenos independientes sino articulados, y que su articulación comienza a iluminar el </w:t>
      </w:r>
      <w:r w:rsidRPr="00824C78">
        <w:rPr>
          <w:rFonts w:ascii="Times New Roman" w:hAnsi="Times New Roman" w:cs="Times New Roman"/>
          <w:i/>
          <w:iCs/>
        </w:rPr>
        <w:t>explanandum</w:t>
      </w:r>
      <w:r w:rsidRPr="00824C78">
        <w:rPr>
          <w:rFonts w:ascii="Times New Roman" w:hAnsi="Times New Roman" w:cs="Times New Roman"/>
        </w:rPr>
        <w:t xml:space="preserve"> que la investigación se propone construir.</w:t>
      </w:r>
    </w:p>
    <w:p w14:paraId="30B2408C" w14:textId="77777777"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La primera tensión que los registros permiten objetivar es la de la </w:t>
      </w:r>
      <w:r w:rsidRPr="00824C78">
        <w:rPr>
          <w:rFonts w:ascii="Times New Roman" w:hAnsi="Times New Roman" w:cs="Times New Roman"/>
          <w:i/>
          <w:iCs/>
        </w:rPr>
        <w:t>alta espontaneidad territorial como condición constitutiva del aprendizaje situado.</w:t>
      </w:r>
      <w:r w:rsidRPr="00824C78">
        <w:rPr>
          <w:rFonts w:ascii="Times New Roman" w:hAnsi="Times New Roman" w:cs="Times New Roman"/>
        </w:rPr>
        <w:t xml:space="preserve"> El trabajo en los CAPS transcurre como una sucesión de interacciones simultáneas y contingentes: conversaciones en la sala de espera, resolución de situaciones vinculares imprevistas, negociaciones con profesionales de otras disciplinas, decisiones sobre la marcha ante escenas que el </w:t>
      </w:r>
      <w:proofErr w:type="spellStart"/>
      <w:r w:rsidRPr="00824C78">
        <w:rPr>
          <w:rFonts w:ascii="Times New Roman" w:hAnsi="Times New Roman" w:cs="Times New Roman"/>
        </w:rPr>
        <w:t>guión</w:t>
      </w:r>
      <w:proofErr w:type="spellEnd"/>
      <w:r w:rsidRPr="00824C78">
        <w:rPr>
          <w:rFonts w:ascii="Times New Roman" w:hAnsi="Times New Roman" w:cs="Times New Roman"/>
        </w:rPr>
        <w:t xml:space="preserve"> original no contemplaba. Una primera lectura —la que la cátedra había sostenido históricamente sin interrogarla— tiende a ver en esa espontaneidad un obstáculo a la planificación didáctica. Lo que el encuadre de Lave y Wenger nos habilita a reconocer, en cambio, es que esa simultaneidad y esa contingencia son la estructura propia de la comunidad de práctica sanitaria funcionando en sus propios términos: no son ruido metodológico sino la condición en la que el aprendizaje situado más denso se produce. El territorio no interrumpe la didáctica; la didáctica irrumpe sobre el territorio. Esa reconfiguración de la lectura es uno de los primeros efectos del proceso de objetivación que la investigación produce.</w:t>
      </w:r>
    </w:p>
    <w:p w14:paraId="4162F5FA" w14:textId="77777777"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La segunda tensión, que los registros de bitácoras estudiantiles evidencian con consistencia, es la </w:t>
      </w:r>
      <w:r w:rsidRPr="00824C78">
        <w:rPr>
          <w:rFonts w:ascii="Times New Roman" w:hAnsi="Times New Roman" w:cs="Times New Roman"/>
          <w:i/>
          <w:iCs/>
        </w:rPr>
        <w:t>dificultad para salir de la narrativa descriptiva.</w:t>
      </w:r>
      <w:r w:rsidRPr="00824C78">
        <w:rPr>
          <w:rFonts w:ascii="Times New Roman" w:hAnsi="Times New Roman" w:cs="Times New Roman"/>
        </w:rPr>
        <w:t xml:space="preserve"> Cuando se les solicita que identifiquen episodios críticos o que analicen metacognitivamente su intervención, los registros permanecen en el plano fáctico: “hicimos la entrevista”, “el paciente dijo”, “después fuimos a la sala”. La reflexión sobre la acción —en el sentido de Schön— es escasa o está ausente. Leída desde el nudo teórico que Lave y Wenger y Vergnaud producen en articulación, esta tensión adquiere una explicación que no recurre al déficit </w:t>
      </w:r>
      <w:r w:rsidRPr="00824C78">
        <w:rPr>
          <w:rFonts w:ascii="Times New Roman" w:hAnsi="Times New Roman" w:cs="Times New Roman"/>
        </w:rPr>
        <w:lastRenderedPageBreak/>
        <w:t xml:space="preserve">estudiantil: los estudiantes actúan en el territorio guiados por </w:t>
      </w:r>
      <w:r w:rsidRPr="00824C78">
        <w:rPr>
          <w:rFonts w:ascii="Times New Roman" w:hAnsi="Times New Roman" w:cs="Times New Roman"/>
          <w:i/>
          <w:iCs/>
        </w:rPr>
        <w:t>teoremas en acto</w:t>
      </w:r>
      <w:r w:rsidRPr="00824C78">
        <w:rPr>
          <w:rFonts w:ascii="Times New Roman" w:hAnsi="Times New Roman" w:cs="Times New Roman"/>
        </w:rPr>
        <w:t xml:space="preserve"> sobre qué es aprender —construidos en y para el aula— que no reconocen como aprendizaje lo que allí sucede porque no se parece a sus proposiciones implícitas sobre cómo se ve el aprendizaje. No es que no aprendieron; es que lo que aprendieron no coincide con las formas que sus teoremas definen como aprendizaje legítimo.</w:t>
      </w:r>
    </w:p>
    <w:p w14:paraId="0C835DBA" w14:textId="18A560BB"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La tercera tensión, que los registros docentes y las actas de reuniones de equipo permiten comenzar a objetivar, es la </w:t>
      </w:r>
      <w:r w:rsidRPr="00824C78">
        <w:rPr>
          <w:rFonts w:ascii="Times New Roman" w:hAnsi="Times New Roman" w:cs="Times New Roman"/>
          <w:i/>
          <w:iCs/>
        </w:rPr>
        <w:t>naturalización de la práctica docente.</w:t>
      </w:r>
      <w:r w:rsidRPr="00824C78">
        <w:rPr>
          <w:rFonts w:ascii="Times New Roman" w:hAnsi="Times New Roman" w:cs="Times New Roman"/>
        </w:rPr>
        <w:t xml:space="preserve"> El equipo de cátedra, inmerso en la cotidianidad del territorio durante años, tiende a dejar de percibir sus propias intervenciones estratégicas como acciones didácticas analizables: “simplemente hacemos lo que corresponde”. Es en este punto donde la articulación entre los marcos resulta más productiva. Los docentes llegan al CAPS portando </w:t>
      </w:r>
      <w:r w:rsidRPr="00824C78">
        <w:rPr>
          <w:rFonts w:ascii="Times New Roman" w:hAnsi="Times New Roman" w:cs="Times New Roman"/>
          <w:i/>
          <w:iCs/>
        </w:rPr>
        <w:t>teoremas en acto</w:t>
      </w:r>
      <w:r w:rsidRPr="00824C78">
        <w:rPr>
          <w:rFonts w:ascii="Times New Roman" w:hAnsi="Times New Roman" w:cs="Times New Roman"/>
        </w:rPr>
        <w:t xml:space="preserve"> sobre la enseñanza construidos predominantemente en y para el aula —con su programabilidad, su contrato didáctico estabilizado, sus formas reconocibles de inicio, desarrollo y cierre. Cuando esos teoremas se encuentran con la lógica propia de la comunidad de práctica sanitaria, emerge una fricción que el docente resuelve, sin saberlo, mediante la naturalización: adapta su acción a las condiciones del </w:t>
      </w:r>
      <w:r w:rsidR="003D7B3C" w:rsidRPr="00824C78">
        <w:rPr>
          <w:rFonts w:ascii="Times New Roman" w:hAnsi="Times New Roman" w:cs="Times New Roman"/>
        </w:rPr>
        <w:t>territorio,</w:t>
      </w:r>
      <w:r w:rsidRPr="00824C78">
        <w:rPr>
          <w:rFonts w:ascii="Times New Roman" w:hAnsi="Times New Roman" w:cs="Times New Roman"/>
        </w:rPr>
        <w:t xml:space="preserve"> pero sin resignificar sus proposiciones implícitas sobre lo que enseñar es. En consecuencia, lo que hace en el territorio no le parece enseñanza —no se parece a sus teoremas— y por tanto no puede nombrarlo, no puede mostrárselo al estudiante, no puede convertirlo en objeto de reflexión pedagógica. El sistema se cierra sobre sí mismo.</w:t>
      </w:r>
    </w:p>
    <w:p w14:paraId="26AF5D3F" w14:textId="60F8DEF0"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Lo que la construcción metodológica comienza a mostrar es que irrumpir en ese sistema es posible. Las bitácoras con apartado de análisis pedagógico, los talleres de desimplicancia, las entrevistas de autoconfrontación: todos estos instrumentos operan como artilugios didácticos que fuerzan la explicitación de lo que los </w:t>
      </w:r>
      <w:r w:rsidRPr="00824C78">
        <w:rPr>
          <w:rFonts w:ascii="Times New Roman" w:hAnsi="Times New Roman" w:cs="Times New Roman"/>
          <w:i/>
          <w:iCs/>
        </w:rPr>
        <w:t>teoremas en acto</w:t>
      </w:r>
      <w:r w:rsidRPr="00824C78">
        <w:rPr>
          <w:rFonts w:ascii="Times New Roman" w:hAnsi="Times New Roman" w:cs="Times New Roman"/>
        </w:rPr>
        <w:t xml:space="preserve"> mantenían implícito. Los prim</w:t>
      </w:r>
      <w:r>
        <w:rPr>
          <w:rFonts w:ascii="Times New Roman" w:hAnsi="Times New Roman" w:cs="Times New Roman"/>
        </w:rPr>
        <w:t xml:space="preserve">eros registros sugieren que esa </w:t>
      </w:r>
      <w:r w:rsidRPr="00824C78">
        <w:rPr>
          <w:rFonts w:ascii="Times New Roman" w:hAnsi="Times New Roman" w:cs="Times New Roman"/>
        </w:rPr>
        <w:t>explicitación produce efectos: los docentes comienzan a nombrar como estrategia lo que antes describían como sentido común; los estudiantes, ante la estructura de la bitácora, empiezan a identificar episodios que antes no veían. Investigar la propia práctica la transforma. Esa dimensión reflexiva es, por ahora, la conjetura más potente que los datos preliminares nos habilitan a sostener.</w:t>
      </w:r>
    </w:p>
    <w:p w14:paraId="309907F7" w14:textId="77777777" w:rsidR="00824C78" w:rsidRPr="00824C78" w:rsidRDefault="00824C78" w:rsidP="00824C78">
      <w:pPr>
        <w:pStyle w:val="Ttulo1"/>
        <w:jc w:val="both"/>
        <w:rPr>
          <w:rFonts w:ascii="Times New Roman" w:hAnsi="Times New Roman" w:cs="Times New Roman"/>
          <w:b/>
          <w:color w:val="auto"/>
          <w:sz w:val="24"/>
          <w:szCs w:val="24"/>
        </w:rPr>
      </w:pPr>
      <w:r w:rsidRPr="00824C78">
        <w:rPr>
          <w:rFonts w:ascii="Times New Roman" w:hAnsi="Times New Roman" w:cs="Times New Roman"/>
          <w:b/>
          <w:color w:val="auto"/>
          <w:sz w:val="24"/>
          <w:szCs w:val="24"/>
        </w:rPr>
        <w:t>A modo de cierre</w:t>
      </w:r>
    </w:p>
    <w:p w14:paraId="79D34C8B" w14:textId="63B1DE24"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Lo que el trabajo de campo nos habilitó a reconocer —antes de que el análisis estuviera en condiciones de formularlo con precisión— es que la distancia entre “dar prácticas en territorio” e “investigar pedagógicamente las prácticas en territorio” no es una diferencia de grado sino de naturaleza epistemológica. No alcanza con estar presente en el territorio, ni con registrar lo que allí sucede: es necesario haber construido previamente las categorías que habilitan </w:t>
      </w:r>
      <w:r w:rsidRPr="00824C78">
        <w:rPr>
          <w:rFonts w:ascii="Times New Roman" w:hAnsi="Times New Roman" w:cs="Times New Roman"/>
          <w:i/>
          <w:iCs/>
        </w:rPr>
        <w:t>ver</w:t>
      </w:r>
      <w:r w:rsidRPr="00824C78">
        <w:rPr>
          <w:rFonts w:ascii="Times New Roman" w:hAnsi="Times New Roman" w:cs="Times New Roman"/>
        </w:rPr>
        <w:t xml:space="preserve"> algo en ese registro; haber diseñado </w:t>
      </w:r>
      <w:r w:rsidRPr="00824C78">
        <w:rPr>
          <w:rFonts w:ascii="Times New Roman" w:hAnsi="Times New Roman" w:cs="Times New Roman"/>
        </w:rPr>
        <w:lastRenderedPageBreak/>
        <w:t xml:space="preserve">instrumentos que no solo </w:t>
      </w:r>
      <w:r w:rsidR="003D7B3C" w:rsidRPr="00824C78">
        <w:rPr>
          <w:rFonts w:ascii="Times New Roman" w:hAnsi="Times New Roman" w:cs="Times New Roman"/>
        </w:rPr>
        <w:t>documenten,</w:t>
      </w:r>
      <w:r w:rsidRPr="00824C78">
        <w:rPr>
          <w:rFonts w:ascii="Times New Roman" w:hAnsi="Times New Roman" w:cs="Times New Roman"/>
        </w:rPr>
        <w:t xml:space="preserve"> sino que produzcan reflexividad; haber asumido que la implicación del equipo investigador en el campo es un dato metodológico, no una interferencia a eliminar.</w:t>
      </w:r>
    </w:p>
    <w:p w14:paraId="3A2C6B14" w14:textId="77777777" w:rsidR="00824C78"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Los avances que esta ponencia comunica son, como hemos señalado, preliminares: el análisis temático está en curso, el árbol de códigos en proceso de saturación, las entrevistas estudiantiles proyectadas para el primer semestre de 2026. Lo que la primera etapa del trabajo de campo nos habilita a conjeturar —con la cautela que el diseño de caso instrumental exige— es que el sistema de tensiones objetivado no es efecto de voluntades o de capacidades individuales, sino de una inadecuación estructural entre los </w:t>
      </w:r>
      <w:r w:rsidRPr="00824C78">
        <w:rPr>
          <w:rFonts w:ascii="Times New Roman" w:hAnsi="Times New Roman" w:cs="Times New Roman"/>
          <w:i/>
          <w:iCs/>
        </w:rPr>
        <w:t>teoremas en acto</w:t>
      </w:r>
      <w:r w:rsidRPr="00824C78">
        <w:rPr>
          <w:rFonts w:ascii="Times New Roman" w:hAnsi="Times New Roman" w:cs="Times New Roman"/>
        </w:rPr>
        <w:t xml:space="preserve"> construidos en el aula y las condiciones que la comunidad de práctica territorial impone. Esa inadecuación, entendida como objeto de investigación, abre preguntas que este trabajo apenas comienza a formular.</w:t>
      </w:r>
    </w:p>
    <w:p w14:paraId="2724DDF8" w14:textId="56A36CA9" w:rsidR="005F3B2E" w:rsidRPr="00824C78" w:rsidRDefault="00824C78" w:rsidP="00824C78">
      <w:pPr>
        <w:spacing w:after="180"/>
        <w:ind w:firstLine="709"/>
        <w:jc w:val="both"/>
        <w:rPr>
          <w:rFonts w:ascii="Times New Roman" w:hAnsi="Times New Roman" w:cs="Times New Roman"/>
        </w:rPr>
      </w:pPr>
      <w:r w:rsidRPr="00824C78">
        <w:rPr>
          <w:rFonts w:ascii="Times New Roman" w:hAnsi="Times New Roman" w:cs="Times New Roman"/>
        </w:rPr>
        <w:t xml:space="preserve">La pregunta que la investigación no respondió —y que señala el horizonte de lo que queda por construir— es si los instrumentos metodológicos diseñados para producir extrañamiento y reflexividad en el equipo docente pueden ser, a su vez, apropiados por los estudiantes como parte de su propia formación; si el proceso de explicitación de los </w:t>
      </w:r>
      <w:r w:rsidRPr="00824C78">
        <w:rPr>
          <w:rFonts w:ascii="Times New Roman" w:hAnsi="Times New Roman" w:cs="Times New Roman"/>
          <w:i/>
          <w:iCs/>
        </w:rPr>
        <w:t>teoremas en acto</w:t>
      </w:r>
      <w:r w:rsidRPr="00824C78">
        <w:rPr>
          <w:rFonts w:ascii="Times New Roman" w:hAnsi="Times New Roman" w:cs="Times New Roman"/>
        </w:rPr>
        <w:t xml:space="preserve"> puede convertirse en contenido curricular y no solo en condición metodológica de la investigación. </w:t>
      </w:r>
    </w:p>
    <w:p w14:paraId="5D215A6F" w14:textId="6474FF5F" w:rsidR="00824C78" w:rsidRPr="00824C78" w:rsidRDefault="00824C78" w:rsidP="007B5B5F">
      <w:pPr>
        <w:spacing w:line="240" w:lineRule="auto"/>
        <w:jc w:val="both"/>
        <w:rPr>
          <w:rFonts w:ascii="Times New Roman" w:hAnsi="Times New Roman" w:cs="Times New Roman"/>
          <w:lang w:val="es-ES"/>
        </w:rPr>
      </w:pPr>
      <w:bookmarkStart w:id="0" w:name="_GoBack"/>
      <w:bookmarkEnd w:id="0"/>
    </w:p>
    <w:p w14:paraId="23CA62C6" w14:textId="6E924706" w:rsidR="00C802F5" w:rsidRPr="00824C78" w:rsidRDefault="005F3B2E" w:rsidP="007B5B5F">
      <w:pPr>
        <w:spacing w:line="240" w:lineRule="auto"/>
        <w:rPr>
          <w:rFonts w:ascii="Times New Roman" w:hAnsi="Times New Roman" w:cs="Times New Roman"/>
          <w:b/>
          <w:bCs/>
        </w:rPr>
      </w:pPr>
      <w:r w:rsidRPr="00824C78">
        <w:rPr>
          <w:rFonts w:ascii="Times New Roman" w:hAnsi="Times New Roman" w:cs="Times New Roman"/>
          <w:b/>
          <w:bCs/>
        </w:rPr>
        <w:t>Re</w:t>
      </w:r>
      <w:r w:rsidR="00824C78" w:rsidRPr="00824C78">
        <w:rPr>
          <w:rFonts w:ascii="Times New Roman" w:hAnsi="Times New Roman" w:cs="Times New Roman"/>
          <w:b/>
          <w:bCs/>
        </w:rPr>
        <w:t xml:space="preserve">ferencias Bibliográficas </w:t>
      </w:r>
    </w:p>
    <w:p w14:paraId="6CF1DECF"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Baroth, A. (2014). El análisis de las huellas de la actividad: un aporte a los procesos de profesionalización. En J.-M. Barbier (Coord.), Prácticas de formación. Buenos Aires: Noveduc.</w:t>
      </w:r>
    </w:p>
    <w:p w14:paraId="15FD8F88" w14:textId="77777777" w:rsidR="00824C78" w:rsidRPr="00824C78" w:rsidRDefault="00824C78" w:rsidP="00824C78">
      <w:pPr>
        <w:spacing w:after="180"/>
        <w:jc w:val="both"/>
        <w:rPr>
          <w:rFonts w:ascii="Times New Roman" w:hAnsi="Times New Roman" w:cs="Times New Roman"/>
          <w:lang w:val="es-ES"/>
        </w:rPr>
      </w:pPr>
      <w:r w:rsidRPr="00824C78">
        <w:rPr>
          <w:rFonts w:ascii="Times New Roman" w:hAnsi="Times New Roman" w:cs="Times New Roman"/>
          <w:lang w:val="en-US"/>
        </w:rPr>
        <w:t xml:space="preserve">Beighton, C. (2017). Expansive learning in professional contexts. </w:t>
      </w:r>
      <w:r w:rsidRPr="00824C78">
        <w:rPr>
          <w:rFonts w:ascii="Times New Roman" w:hAnsi="Times New Roman" w:cs="Times New Roman"/>
          <w:lang w:val="es-ES"/>
        </w:rPr>
        <w:t>Londres: Palgrave Macmillan.</w:t>
      </w:r>
    </w:p>
    <w:p w14:paraId="3B781046"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Breilh, J. (2013). La determinación social de la salud como herramienta de transformación hacia una nueva salud pública (salud colectiva). Revista Facultad Nacional de Salud Pública, 31(Supl. 1), S13–S27.</w:t>
      </w:r>
    </w:p>
    <w:p w14:paraId="08152C4B"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 xml:space="preserve">Fernández, A., Iglesias, M. A. y Reynoso Peitsch, D. (2024). Prácticas profesionales supervisadas de la Licenciatura en Nutrición de la Universidad Nacional de La Matanza. Discusiones y aperturas sobre el rol de licenciados/as en nutrición: entre lo esperado y lo innovador en los territorios. Revista de Investigaciones del Departamento de Ciencias de la Salud, 3(1), 41–45. </w:t>
      </w:r>
      <w:hyperlink r:id="rId8" w:tgtFrame="_new" w:history="1">
        <w:r w:rsidRPr="00824C78">
          <w:rPr>
            <w:rStyle w:val="Hipervnculo"/>
            <w:rFonts w:ascii="Times New Roman" w:hAnsi="Times New Roman" w:cs="Times New Roman"/>
            <w:color w:val="auto"/>
          </w:rPr>
          <w:t>https://doi.org/10.54789/rs.v3i1.28</w:t>
        </w:r>
      </w:hyperlink>
    </w:p>
    <w:p w14:paraId="2F50EB13" w14:textId="280B4964" w:rsidR="00824C78" w:rsidRPr="00824C78" w:rsidRDefault="00824C78" w:rsidP="00824C78">
      <w:pPr>
        <w:spacing w:after="180"/>
        <w:jc w:val="both"/>
        <w:rPr>
          <w:rFonts w:ascii="Times New Roman" w:hAnsi="Times New Roman" w:cs="Times New Roman"/>
          <w:lang w:val="en-US"/>
        </w:rPr>
      </w:pPr>
      <w:r w:rsidRPr="00824C78">
        <w:rPr>
          <w:rFonts w:ascii="Times New Roman" w:hAnsi="Times New Roman" w:cs="Times New Roman"/>
        </w:rPr>
        <w:lastRenderedPageBreak/>
        <w:t xml:space="preserve">Frenk, J., Chen, L., Bhutta, Z. A., Cohen, J., Crisp, N., Evans, T., Fineberg, H., </w:t>
      </w:r>
      <w:r w:rsidR="00895756" w:rsidRPr="00824C78">
        <w:rPr>
          <w:rFonts w:ascii="Times New Roman" w:hAnsi="Times New Roman" w:cs="Times New Roman"/>
        </w:rPr>
        <w:t>García</w:t>
      </w:r>
      <w:r w:rsidRPr="00824C78">
        <w:rPr>
          <w:rFonts w:ascii="Times New Roman" w:hAnsi="Times New Roman" w:cs="Times New Roman"/>
        </w:rPr>
        <w:t>, P., Ke, Y., Kelley, P., Kistnasamy, B., Meleis, A., Naylor, D., Pablos-Méndez, A., Reddy, S., Scrimshaw, S., Sepúlveda, J., Serwadda, D. y Zurayk, H.</w:t>
      </w:r>
      <w:r w:rsidRPr="00824C78">
        <w:rPr>
          <w:rFonts w:ascii="Times New Roman" w:hAnsi="Times New Roman" w:cs="Times New Roman"/>
          <w:b/>
          <w:bCs/>
        </w:rPr>
        <w:t xml:space="preserve"> </w:t>
      </w:r>
      <w:r w:rsidRPr="00824C78">
        <w:rPr>
          <w:rFonts w:ascii="Times New Roman" w:hAnsi="Times New Roman" w:cs="Times New Roman"/>
        </w:rPr>
        <w:t xml:space="preserve">(2010). </w:t>
      </w:r>
      <w:r w:rsidRPr="00824C78">
        <w:rPr>
          <w:rFonts w:ascii="Times New Roman" w:hAnsi="Times New Roman" w:cs="Times New Roman"/>
          <w:lang w:val="en-US"/>
        </w:rPr>
        <w:t xml:space="preserve">Health professionals for a new century: Transforming education to strengthen health systems in an interdependent world. </w:t>
      </w:r>
      <w:r w:rsidRPr="00824C78">
        <w:rPr>
          <w:rFonts w:ascii="Times New Roman" w:hAnsi="Times New Roman" w:cs="Times New Roman"/>
          <w:i/>
          <w:iCs/>
          <w:lang w:val="en-US"/>
        </w:rPr>
        <w:t>The Lancet, 376</w:t>
      </w:r>
      <w:r w:rsidRPr="00824C78">
        <w:rPr>
          <w:rFonts w:ascii="Times New Roman" w:hAnsi="Times New Roman" w:cs="Times New Roman"/>
          <w:lang w:val="en-US"/>
        </w:rPr>
        <w:t>(9756), 1923–1958.</w:t>
      </w:r>
    </w:p>
    <w:p w14:paraId="4E5709B9"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lang w:val="en-US"/>
        </w:rPr>
        <w:t xml:space="preserve">Lave, J. y Wenger, E. (1991). Situated learning: Legitimate peripheral participation. </w:t>
      </w:r>
      <w:r w:rsidRPr="00824C78">
        <w:rPr>
          <w:rFonts w:ascii="Times New Roman" w:hAnsi="Times New Roman" w:cs="Times New Roman"/>
        </w:rPr>
        <w:t>Cambridge: Cambridge University Press.</w:t>
      </w:r>
    </w:p>
    <w:p w14:paraId="7C1CE588"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Litwin, E. (1997). Las configuraciones didácticas. Una nueva agenda para la enseñanza superior. Buenos Aires: Paidós.</w:t>
      </w:r>
    </w:p>
    <w:p w14:paraId="7B9E7EC0"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Organización Mundial de la Salud. (1978). Declaración de Alma-Ata. Ginebra: OMS.</w:t>
      </w:r>
    </w:p>
    <w:p w14:paraId="0A717EC5"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 xml:space="preserve">Organización Panamericana de la Salud. (2022). </w:t>
      </w:r>
      <w:r w:rsidRPr="00824C78">
        <w:rPr>
          <w:rFonts w:ascii="Times New Roman" w:hAnsi="Times New Roman" w:cs="Times New Roman"/>
          <w:i/>
          <w:iCs/>
        </w:rPr>
        <w:t>La educación de los profesionales de la salud para fortalecer los sistemas de salud basados en la atención primaria</w:t>
      </w:r>
      <w:r w:rsidRPr="00824C78">
        <w:rPr>
          <w:rFonts w:ascii="Times New Roman" w:hAnsi="Times New Roman" w:cs="Times New Roman"/>
        </w:rPr>
        <w:t>. Washington, D.C.: OPS.</w:t>
      </w:r>
    </w:p>
    <w:p w14:paraId="3F18F826" w14:textId="0C8F5963"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Pastré, P. (2011). La didactique professionnelle. París: PUF.</w:t>
      </w:r>
    </w:p>
    <w:p w14:paraId="3BF4A691"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rPr>
        <w:t>Pastré, P., Mayen, P. y Vergnaud, G. (2006). La didáctica profesional. Revue française de pédagogie, 154, 145–198.</w:t>
      </w:r>
    </w:p>
    <w:p w14:paraId="33A6DD92" w14:textId="77777777" w:rsidR="00824C78" w:rsidRPr="00824C78" w:rsidRDefault="00824C78" w:rsidP="00824C78">
      <w:pPr>
        <w:spacing w:after="180"/>
        <w:jc w:val="both"/>
        <w:rPr>
          <w:rFonts w:ascii="Times New Roman" w:hAnsi="Times New Roman" w:cs="Times New Roman"/>
          <w:lang w:val="en-US"/>
        </w:rPr>
      </w:pPr>
      <w:r w:rsidRPr="00824C78">
        <w:rPr>
          <w:rFonts w:ascii="Times New Roman" w:hAnsi="Times New Roman" w:cs="Times New Roman"/>
        </w:rPr>
        <w:t xml:space="preserve">Schön, D. (1992). La formación de profesionales reflexivos. Hacia un nuevo diseño de la enseñanza y el aprendizaje en las profesiones. </w:t>
      </w:r>
      <w:r w:rsidRPr="00824C78">
        <w:rPr>
          <w:rFonts w:ascii="Times New Roman" w:hAnsi="Times New Roman" w:cs="Times New Roman"/>
          <w:lang w:val="en-US"/>
        </w:rPr>
        <w:t>Barcelona: Paidós.</w:t>
      </w:r>
    </w:p>
    <w:p w14:paraId="238EFC2A" w14:textId="77777777" w:rsidR="00824C78" w:rsidRPr="00824C78" w:rsidRDefault="00824C78" w:rsidP="00824C78">
      <w:pPr>
        <w:spacing w:after="180"/>
        <w:jc w:val="both"/>
        <w:rPr>
          <w:rFonts w:ascii="Times New Roman" w:hAnsi="Times New Roman" w:cs="Times New Roman"/>
          <w:lang w:val="en-US"/>
        </w:rPr>
      </w:pPr>
      <w:r w:rsidRPr="00824C78">
        <w:rPr>
          <w:rFonts w:ascii="Times New Roman" w:hAnsi="Times New Roman" w:cs="Times New Roman"/>
          <w:lang w:val="en-US"/>
        </w:rPr>
        <w:t>Stake, R. (1995). The art of case study research. Thousand Oaks: Sage.</w:t>
      </w:r>
    </w:p>
    <w:p w14:paraId="3F6C8DBB" w14:textId="77777777" w:rsidR="00824C78" w:rsidRPr="00824C78" w:rsidRDefault="00824C78" w:rsidP="00824C78">
      <w:pPr>
        <w:spacing w:after="180"/>
        <w:jc w:val="both"/>
        <w:rPr>
          <w:rFonts w:ascii="Times New Roman" w:hAnsi="Times New Roman" w:cs="Times New Roman"/>
        </w:rPr>
      </w:pPr>
      <w:r w:rsidRPr="00824C78">
        <w:rPr>
          <w:rFonts w:ascii="Times New Roman" w:hAnsi="Times New Roman" w:cs="Times New Roman"/>
          <w:lang w:val="en-US"/>
        </w:rPr>
        <w:t xml:space="preserve">Vergnaud, G. (1990). </w:t>
      </w:r>
      <w:r w:rsidRPr="00824C78">
        <w:rPr>
          <w:rFonts w:ascii="Times New Roman" w:hAnsi="Times New Roman" w:cs="Times New Roman"/>
        </w:rPr>
        <w:t>La théorie des champs conceptuels. Recherches en Didactique des Mathématiques, 10(2–3), 133–170.</w:t>
      </w:r>
    </w:p>
    <w:p w14:paraId="2A621137" w14:textId="77777777" w:rsidR="001923DC" w:rsidRPr="00824C78" w:rsidRDefault="001923DC" w:rsidP="00824C78">
      <w:pPr>
        <w:rPr>
          <w:rFonts w:ascii="Times New Roman" w:hAnsi="Times New Roman" w:cs="Times New Roman"/>
        </w:rPr>
      </w:pPr>
    </w:p>
    <w:sectPr w:rsidR="001923DC" w:rsidRPr="00824C78" w:rsidSect="00701F64">
      <w:headerReference w:type="default" r:id="rId9"/>
      <w:footerReference w:type="default" r:id="rId10"/>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74CE80" w14:textId="77777777" w:rsidR="00F71B3F" w:rsidRPr="00BA642E" w:rsidRDefault="00F71B3F" w:rsidP="00C802F5">
      <w:pPr>
        <w:spacing w:after="0" w:line="240" w:lineRule="auto"/>
      </w:pPr>
      <w:r w:rsidRPr="00BA642E">
        <w:separator/>
      </w:r>
    </w:p>
  </w:endnote>
  <w:endnote w:type="continuationSeparator" w:id="0">
    <w:p w14:paraId="65D3BC31" w14:textId="77777777" w:rsidR="00F71B3F" w:rsidRPr="00BA642E" w:rsidRDefault="00F71B3F"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F1CC46" w14:textId="732B193D" w:rsidR="00701F64" w:rsidRPr="00BA642E" w:rsidRDefault="00BA642E">
    <w:pPr>
      <w:pStyle w:val="Piedepgina"/>
    </w:pPr>
    <w:r w:rsidRPr="00BA642E">
      <w:rPr>
        <w:noProof/>
        <w:lang w:val="en-US"/>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8F818" w14:textId="77777777" w:rsidR="00F71B3F" w:rsidRPr="00BA642E" w:rsidRDefault="00F71B3F" w:rsidP="00C802F5">
      <w:pPr>
        <w:spacing w:after="0" w:line="240" w:lineRule="auto"/>
      </w:pPr>
      <w:r w:rsidRPr="00BA642E">
        <w:separator/>
      </w:r>
    </w:p>
  </w:footnote>
  <w:footnote w:type="continuationSeparator" w:id="0">
    <w:p w14:paraId="1463B387" w14:textId="77777777" w:rsidR="00F71B3F" w:rsidRPr="00BA642E" w:rsidRDefault="00F71B3F"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B213" w14:textId="0B58DBD9" w:rsidR="00C802F5" w:rsidRPr="00BA642E" w:rsidRDefault="00C802F5" w:rsidP="00C802F5">
    <w:pPr>
      <w:pStyle w:val="Encabezado"/>
      <w:jc w:val="center"/>
    </w:pPr>
    <w:r w:rsidRPr="00BA642E">
      <w:rPr>
        <w:noProof/>
        <w:lang w:val="en-US"/>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3DC"/>
    <w:rsid w:val="0011251A"/>
    <w:rsid w:val="001816D6"/>
    <w:rsid w:val="00185F5E"/>
    <w:rsid w:val="001923DC"/>
    <w:rsid w:val="001A4300"/>
    <w:rsid w:val="001F1370"/>
    <w:rsid w:val="002327C3"/>
    <w:rsid w:val="00312392"/>
    <w:rsid w:val="003708E8"/>
    <w:rsid w:val="00392A47"/>
    <w:rsid w:val="003D7B3C"/>
    <w:rsid w:val="004040C0"/>
    <w:rsid w:val="00437E9C"/>
    <w:rsid w:val="00550766"/>
    <w:rsid w:val="005F3B2E"/>
    <w:rsid w:val="006365BD"/>
    <w:rsid w:val="00692EA3"/>
    <w:rsid w:val="00701F64"/>
    <w:rsid w:val="007B5B5F"/>
    <w:rsid w:val="007D233B"/>
    <w:rsid w:val="007D48B6"/>
    <w:rsid w:val="00824C78"/>
    <w:rsid w:val="0085070B"/>
    <w:rsid w:val="00852B08"/>
    <w:rsid w:val="00895756"/>
    <w:rsid w:val="00A17247"/>
    <w:rsid w:val="00A70583"/>
    <w:rsid w:val="00BA642E"/>
    <w:rsid w:val="00BC236F"/>
    <w:rsid w:val="00C064E6"/>
    <w:rsid w:val="00C4780E"/>
    <w:rsid w:val="00C802F5"/>
    <w:rsid w:val="00C96B2C"/>
    <w:rsid w:val="00CC04C1"/>
    <w:rsid w:val="00D843EC"/>
    <w:rsid w:val="00F71B3F"/>
    <w:rsid w:val="00F72BD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2545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4789/rs.v3i1.28" TargetMode="External"/><Relationship Id="rId3" Type="http://schemas.openxmlformats.org/officeDocument/2006/relationships/settings" Target="settings.xml"/><Relationship Id="rId7" Type="http://schemas.openxmlformats.org/officeDocument/2006/relationships/hyperlink" Target="https://dummy-citation.com/citation?d=z%3A3VgxbxvJFaYTX5AmSBUcrhsgB8MJSIoiKUuyG9uyjFOiuwgnG1elGM7OLoeanVnP7OpEV3LS5S8kAeLShQvDla8KwCBV2jRBqmvSp3WT783skkvZctLYQK6QwCVnZ9773vd97%2B0%2BedX5QSamlTk5SM4%2BHSbp5lCMR71hOhj0xrvjrd7OaHenJ4ajdHcyEOPdZJRpK3hp3avOlVnBM%2FlFlU%2BkE%2BPtcWqdypS5mhdJ%2BpnKphp%2Fpcc6FW5R1vjfvOp8L5lM7NmrztV0KmnB69s%2F%2F23nvNPpJFqmuLp%2B8xpdidIWr2%2Fv%2F%2FPfDBfya5WU09e3j3%2Fyd%2FqtdW7nbRt%2B8vt%2FYdVbN%2Fy8c%2FVP7Q0%2F%2FvTPFzaUjypbyvnVj%2FY1s5OZLNWpZdKz1ObSlNyxXApulM%2BtZ4nE1cw6zqRhmmONy7lQi5eGfpK%2BrBLFTSl9l%2BU2UanCnYllvvIs51pzz0TlnBKV5g5HFBw7KSOsK7CnY3NWIBQjFD5LzUrHJ3yGYEy4krgTdVAW6%2FDVnbCSjj5yKudOcYqBea6rhF2%2Fc3T8sy7FV3IthZIUhuaPkYOwIXRh88qohCfYTVNq6lQ6jw%2BccUBH4cUlgEBZ32eHljHKDVeuGz5RVMg3M4uXvlTCskcVvjtVSUgBuQg6ZipdvAaaTuJo5G314jnuoI%2BLbyY6fELwMfY5exPawtlUejAK2fgAiMf5i6f5BJB0aX3O59YtngcQ6Iy34Z0g4IIvnns6406%2BeIafODsEVQ3vsoQbLKea0x6VoRJKbemiFQxqCeBLDjwjB6RJpctlRHJqfQHEEGSXIU3HvJ2EpCmDpBL1HhZ4ALs64y4ThM1yS6BCpTAcmyzLhPBRKBznsbKUWV1ufKxZUDQsCLXvs31CSFhUPzDaS%2Bbk4huDM2XOgSOxW3aZdRnY%2FRi7BQIQZNacRsmrcNWQgMLBvcCKCIFosBCph%2BJGWoHPqKoqVnWDzEgOa1QCeXSVm7AFFzxZPMtBnkCA0hIGdZH6jO2HQnMGuhiJEiGJKarkFXLLUbbHhFliRUXJYAsiILDLFVBhBZAEIgFQJ1Mtz8AfxOIk13Qnvq6ZROwhYvM%2BS7627uRV58dTPiGgRTn%2F0V8fmgBNXQWq6poce7wuK8DmEwgZeKMKD%2FdJgbgBTFqVgTAjMiFu2qidP1S9MhBCY3OIe9eOXooFTuFwCuUAm6Ei0D0OtAgpLoneDZBEVlMY%2BOPOSdfSGygQFtV%2BFzh9oZA1XwP%2FsAeAaZiMTfAFfs5hMahAICw5DWuBxu5MlIQR0eovJWFR8v61n54N7t1i3wnTfZ%2Be%2B4Es9wM47ns33A%2Fgt5fabUPn%2F3%2FTfd%2Be%2B4blNtCRPy2Zi%2FPb3EcQBfiEExcvwRTODgxyjk57ZAtiG6XyBdGmli4IIKQPjguplNWcQGFiqrQ0SKByjZ744oVlw8FwCEbiJ8I64ezb8z%2FsrcIJFMdJtYjYUa0h%2BuG4lhA%2B7oNydR2OK4CC2L89%2F2M0YUCDA5EX3CcHVWG1q51bmccvlnq9oIaLytwoF88EsIiljGqObuOZkQAgcpnE0WzoQb1ILaJTRQtIc5rBmusq92FvtrAmehhFT3YlPZEsntQWqAQ9kCxEHXlHogL3m6bBYRkkYN1lGbzXEIVoWwj%2BFByDVWCxykxwbpJNl0zY%2BLpPusY9aUNSfQ2nQ6NBNNBW8MTFU22z4NJIBPgmaHKxKTX%2B1JZ2dJI3elnAb6llGBIsjqgx6DK086b1P1g1hcjrmpO0XaVBbaEqHAO9h9A3%2B8PBYCXTprs3HhBy8DVcVCl5RsypDT3oCXSMnF7Kjuh5tC78lmfQamRJVgEyRxSWPHQocwbQVqcQDyCuoiJdrptPbDoElVPgxoo7DU1RSbjTmoqlkS6gtrmCB7EvXYx6PjWJxXOUvsprPw9Cvcy6Voa1QYYYezRxA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Jai13</b:Tag>
    <b:SourceType>JournalArticle</b:SourceType>
    <b:Guid>{56E8F2EE-E8CA-4202-A736-6A1C7114BAF4}</b:Guid>
    <b:Title>La determinación social de la salud como herramienta de transformación hacia una nueva salud pública (salud colectiva)</b:Title>
    <b:Year>2013</b:Year>
    <b:Author>
      <b:Author>
        <b:NameList>
          <b:Person>
            <b:Last>Breihl</b:Last>
            <b:First>Jaime</b:First>
          </b:Person>
        </b:NameList>
      </b:Author>
    </b:Author>
    <b:JournalName>Revista Facultad Nacional de Salud Pública</b:JournalName>
    <b:Pages>31(Supl. 1), S13–S27</b:Pages>
    <b:RefOrder>1</b:RefOrder>
  </b:Source>
</b:Sources>
</file>

<file path=customXml/itemProps1.xml><?xml version="1.0" encoding="utf-8"?>
<ds:datastoreItem xmlns:ds="http://schemas.openxmlformats.org/officeDocument/2006/customXml" ds:itemID="{3DDD94A7-68B7-4941-AFC0-C40A3DB6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Pages>
  <Words>5010</Words>
  <Characters>26508</Characters>
  <Application>Microsoft Office Word</Application>
  <DocSecurity>0</DocSecurity>
  <Lines>434</Lines>
  <Paragraphs>217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Miriam</cp:lastModifiedBy>
  <cp:revision>15</cp:revision>
  <dcterms:created xsi:type="dcterms:W3CDTF">2026-03-14T03:50:00Z</dcterms:created>
  <dcterms:modified xsi:type="dcterms:W3CDTF">2026-07-01T21:50:00Z</dcterms:modified>
</cp:coreProperties>
</file>