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BA642E" w:rsidRDefault="00C802F5" w:rsidP="001923DC">
      <w:pPr>
        <w:jc w:val="center"/>
        <w:rPr>
          <w:rFonts w:ascii="Times New Roman" w:hAnsi="Times New Roman" w:cs="Times New Roman"/>
        </w:rPr>
      </w:pPr>
    </w:p>
    <w:p w14:paraId="18AC753A" w14:textId="77777777" w:rsidR="008D5A30" w:rsidRPr="008D5A30" w:rsidRDefault="008D5A30" w:rsidP="008D5A30">
      <w:pPr>
        <w:jc w:val="center"/>
        <w:rPr>
          <w:rFonts w:ascii="Times New Roman" w:hAnsi="Times New Roman" w:cs="Times New Roman"/>
          <w:b/>
          <w:bCs/>
          <w:lang w:val="es"/>
        </w:rPr>
      </w:pPr>
      <w:r w:rsidRPr="008D5A30">
        <w:rPr>
          <w:rFonts w:ascii="Times New Roman" w:hAnsi="Times New Roman" w:cs="Times New Roman"/>
          <w:b/>
          <w:bCs/>
          <w:lang w:val="es"/>
        </w:rPr>
        <w:t>La articulación teoría-práctica en el campo de la salud. La enseñanza de los aprendizajes complejos en la formación de grado</w:t>
      </w:r>
    </w:p>
    <w:p w14:paraId="1DABD42B" w14:textId="0C1E124C" w:rsidR="001923DC" w:rsidRPr="00BA642E" w:rsidRDefault="001923DC" w:rsidP="001923DC">
      <w:pPr>
        <w:jc w:val="center"/>
        <w:rPr>
          <w:rFonts w:ascii="Times New Roman" w:hAnsi="Times New Roman" w:cs="Times New Roman"/>
          <w:b/>
          <w:bCs/>
        </w:rPr>
      </w:pPr>
    </w:p>
    <w:p w14:paraId="3232EA6A" w14:textId="77777777" w:rsidR="008D5A30" w:rsidRDefault="008D5A30" w:rsidP="008D5A30">
      <w:pPr>
        <w:spacing w:after="0" w:line="240" w:lineRule="auto"/>
        <w:jc w:val="right"/>
        <w:rPr>
          <w:rFonts w:ascii="Times New Roman" w:hAnsi="Times New Roman" w:cs="Times New Roman"/>
          <w:lang w:val="es"/>
        </w:rPr>
      </w:pPr>
      <w:bookmarkStart w:id="0" w:name="_GoBack"/>
      <w:bookmarkEnd w:id="0"/>
      <w:proofErr w:type="spellStart"/>
      <w:r w:rsidRPr="008D5A30">
        <w:rPr>
          <w:rFonts w:ascii="Times New Roman" w:hAnsi="Times New Roman" w:cs="Times New Roman"/>
          <w:lang w:val="es"/>
        </w:rPr>
        <w:t>Lavalletto</w:t>
      </w:r>
      <w:proofErr w:type="spellEnd"/>
      <w:r w:rsidRPr="008D5A30">
        <w:rPr>
          <w:rFonts w:ascii="Times New Roman" w:hAnsi="Times New Roman" w:cs="Times New Roman"/>
          <w:lang w:val="es"/>
        </w:rPr>
        <w:t xml:space="preserve">, María Mercedes </w:t>
      </w:r>
    </w:p>
    <w:p w14:paraId="1A377814" w14:textId="0612D819" w:rsidR="008D5A30" w:rsidRPr="00BA642E" w:rsidRDefault="008D5A30" w:rsidP="008D5A30">
      <w:pPr>
        <w:spacing w:after="0" w:line="240" w:lineRule="auto"/>
        <w:jc w:val="right"/>
        <w:rPr>
          <w:rFonts w:ascii="Times New Roman" w:hAnsi="Times New Roman" w:cs="Times New Roman"/>
        </w:rPr>
      </w:pPr>
      <w:r>
        <w:rPr>
          <w:rFonts w:ascii="Times New Roman" w:hAnsi="Times New Roman" w:cs="Times New Roman"/>
        </w:rPr>
        <w:t xml:space="preserve">IICE – </w:t>
      </w:r>
      <w:proofErr w:type="spellStart"/>
      <w:r>
        <w:rPr>
          <w:rFonts w:ascii="Times New Roman" w:hAnsi="Times New Roman" w:cs="Times New Roman"/>
        </w:rPr>
        <w:t>FFyL</w:t>
      </w:r>
      <w:proofErr w:type="spellEnd"/>
      <w:r>
        <w:rPr>
          <w:rFonts w:ascii="Times New Roman" w:hAnsi="Times New Roman" w:cs="Times New Roman"/>
        </w:rPr>
        <w:t xml:space="preserve"> – UBA </w:t>
      </w:r>
    </w:p>
    <w:p w14:paraId="09C45F51" w14:textId="2EEFF4AF" w:rsidR="008D5A30" w:rsidRDefault="008D5A30" w:rsidP="008D5A30">
      <w:pPr>
        <w:spacing w:after="0" w:line="240" w:lineRule="auto"/>
        <w:jc w:val="right"/>
        <w:rPr>
          <w:rFonts w:ascii="Times New Roman" w:hAnsi="Times New Roman" w:cs="Times New Roman"/>
          <w:lang w:val="es"/>
        </w:rPr>
      </w:pPr>
      <w:r w:rsidRPr="008D5A30">
        <w:rPr>
          <w:rFonts w:ascii="Times New Roman" w:hAnsi="Times New Roman" w:cs="Times New Roman"/>
        </w:rPr>
        <w:t>mercedeslavalletto2000@gmail.com</w:t>
      </w:r>
    </w:p>
    <w:p w14:paraId="6CF76979" w14:textId="77777777" w:rsidR="008D5A30" w:rsidRPr="008D5A30" w:rsidRDefault="008D5A30" w:rsidP="008D5A30">
      <w:pPr>
        <w:spacing w:after="0" w:line="240" w:lineRule="auto"/>
        <w:jc w:val="right"/>
        <w:rPr>
          <w:rFonts w:ascii="Times New Roman" w:hAnsi="Times New Roman" w:cs="Times New Roman"/>
          <w:lang w:val="es"/>
        </w:rPr>
      </w:pPr>
    </w:p>
    <w:p w14:paraId="4C1A9170" w14:textId="77777777" w:rsidR="008D5A30" w:rsidRDefault="008D5A30" w:rsidP="008D5A30">
      <w:pPr>
        <w:spacing w:after="0" w:line="240" w:lineRule="auto"/>
        <w:jc w:val="right"/>
        <w:rPr>
          <w:rFonts w:ascii="Times New Roman" w:hAnsi="Times New Roman" w:cs="Times New Roman"/>
          <w:lang w:val="es"/>
        </w:rPr>
      </w:pPr>
      <w:r w:rsidRPr="008D5A30">
        <w:rPr>
          <w:rFonts w:ascii="Times New Roman" w:hAnsi="Times New Roman" w:cs="Times New Roman"/>
          <w:lang w:val="es"/>
        </w:rPr>
        <w:t xml:space="preserve">Viñas, Walter Ezequiel </w:t>
      </w:r>
    </w:p>
    <w:p w14:paraId="5881C942" w14:textId="1BF8F8DF" w:rsidR="008D5A30" w:rsidRPr="00BA642E" w:rsidRDefault="008D5A30" w:rsidP="008D5A30">
      <w:pPr>
        <w:spacing w:after="0" w:line="240" w:lineRule="auto"/>
        <w:jc w:val="right"/>
        <w:rPr>
          <w:rFonts w:ascii="Times New Roman" w:hAnsi="Times New Roman" w:cs="Times New Roman"/>
        </w:rPr>
      </w:pPr>
      <w:r>
        <w:rPr>
          <w:rFonts w:ascii="Times New Roman" w:hAnsi="Times New Roman" w:cs="Times New Roman"/>
        </w:rPr>
        <w:t xml:space="preserve">IICE – </w:t>
      </w:r>
      <w:proofErr w:type="spellStart"/>
      <w:r>
        <w:rPr>
          <w:rFonts w:ascii="Times New Roman" w:hAnsi="Times New Roman" w:cs="Times New Roman"/>
        </w:rPr>
        <w:t>FFyL</w:t>
      </w:r>
      <w:proofErr w:type="spellEnd"/>
      <w:r>
        <w:rPr>
          <w:rFonts w:ascii="Times New Roman" w:hAnsi="Times New Roman" w:cs="Times New Roman"/>
        </w:rPr>
        <w:t xml:space="preserve"> – UBA </w:t>
      </w:r>
    </w:p>
    <w:p w14:paraId="4D896E48" w14:textId="79EB851A" w:rsidR="008D5A30" w:rsidRPr="008D5A30" w:rsidRDefault="008D5A30" w:rsidP="008D5A30">
      <w:pPr>
        <w:spacing w:after="0" w:line="240" w:lineRule="auto"/>
        <w:jc w:val="right"/>
        <w:rPr>
          <w:rFonts w:ascii="Times New Roman" w:hAnsi="Times New Roman" w:cs="Times New Roman"/>
          <w:lang w:val="es"/>
        </w:rPr>
      </w:pPr>
      <w:r w:rsidRPr="008D5A30">
        <w:rPr>
          <w:rFonts w:ascii="Times New Roman" w:hAnsi="Times New Roman" w:cs="Times New Roman"/>
        </w:rPr>
        <w:t>vinaswalter@gmail.com</w:t>
      </w:r>
    </w:p>
    <w:p w14:paraId="2C58A16A" w14:textId="1B1AC4AA" w:rsidR="008D5A30" w:rsidRPr="008D5A30" w:rsidRDefault="008D5A30" w:rsidP="008D5A30">
      <w:pPr>
        <w:spacing w:after="0" w:line="240" w:lineRule="auto"/>
        <w:jc w:val="right"/>
        <w:rPr>
          <w:rFonts w:ascii="Times New Roman" w:hAnsi="Times New Roman" w:cs="Times New Roman"/>
          <w:lang w:val="es"/>
        </w:rPr>
      </w:pPr>
    </w:p>
    <w:p w14:paraId="593963AB" w14:textId="77777777" w:rsidR="008D5A30" w:rsidRPr="00BA642E" w:rsidRDefault="008D5A30" w:rsidP="008D5A30">
      <w:pPr>
        <w:spacing w:after="0" w:line="240" w:lineRule="auto"/>
        <w:jc w:val="right"/>
        <w:rPr>
          <w:rFonts w:ascii="Times New Roman" w:hAnsi="Times New Roman" w:cs="Times New Roman"/>
        </w:rPr>
      </w:pPr>
      <w:proofErr w:type="spellStart"/>
      <w:r>
        <w:rPr>
          <w:rFonts w:ascii="Times New Roman" w:hAnsi="Times New Roman" w:cs="Times New Roman"/>
        </w:rPr>
        <w:t>Blardoni</w:t>
      </w:r>
      <w:proofErr w:type="spellEnd"/>
      <w:r>
        <w:rPr>
          <w:rFonts w:ascii="Times New Roman" w:hAnsi="Times New Roman" w:cs="Times New Roman"/>
        </w:rPr>
        <w:t>, Mariana Elena</w:t>
      </w:r>
      <w:r w:rsidRPr="00BA642E">
        <w:rPr>
          <w:rFonts w:ascii="Times New Roman" w:hAnsi="Times New Roman" w:cs="Times New Roman"/>
        </w:rPr>
        <w:t xml:space="preserve"> </w:t>
      </w:r>
    </w:p>
    <w:p w14:paraId="09B18BF0" w14:textId="77777777" w:rsidR="008D5A30" w:rsidRPr="00BA642E" w:rsidRDefault="008D5A30" w:rsidP="008D5A30">
      <w:pPr>
        <w:spacing w:after="0" w:line="240" w:lineRule="auto"/>
        <w:jc w:val="right"/>
        <w:rPr>
          <w:rFonts w:ascii="Times New Roman" w:hAnsi="Times New Roman" w:cs="Times New Roman"/>
        </w:rPr>
      </w:pPr>
      <w:r>
        <w:rPr>
          <w:rFonts w:ascii="Times New Roman" w:hAnsi="Times New Roman" w:cs="Times New Roman"/>
        </w:rPr>
        <w:t xml:space="preserve">IICE – </w:t>
      </w:r>
      <w:proofErr w:type="spellStart"/>
      <w:r>
        <w:rPr>
          <w:rFonts w:ascii="Times New Roman" w:hAnsi="Times New Roman" w:cs="Times New Roman"/>
        </w:rPr>
        <w:t>FFyL</w:t>
      </w:r>
      <w:proofErr w:type="spellEnd"/>
      <w:r>
        <w:rPr>
          <w:rFonts w:ascii="Times New Roman" w:hAnsi="Times New Roman" w:cs="Times New Roman"/>
        </w:rPr>
        <w:t xml:space="preserve"> – UBA / CONICET</w:t>
      </w:r>
    </w:p>
    <w:p w14:paraId="7B52307A" w14:textId="77777777" w:rsidR="008D5A30" w:rsidRPr="00BD24BB" w:rsidRDefault="00F773AA" w:rsidP="008D5A30">
      <w:pPr>
        <w:spacing w:after="0" w:line="240" w:lineRule="auto"/>
        <w:jc w:val="right"/>
        <w:rPr>
          <w:rFonts w:ascii="Times New Roman" w:hAnsi="Times New Roman" w:cs="Times New Roman"/>
        </w:rPr>
      </w:pPr>
      <w:hyperlink r:id="rId6" w:history="1">
        <w:r w:rsidR="008D5A30" w:rsidRPr="00BD24BB">
          <w:rPr>
            <w:rStyle w:val="Hipervnculo"/>
            <w:rFonts w:ascii="Times New Roman" w:hAnsi="Times New Roman" w:cs="Times New Roman"/>
            <w:color w:val="auto"/>
            <w:u w:val="none"/>
          </w:rPr>
          <w:t>marianablardoni@gmail.com</w:t>
        </w:r>
      </w:hyperlink>
    </w:p>
    <w:p w14:paraId="64B5C0B5" w14:textId="77777777" w:rsidR="008D5A30" w:rsidRPr="00BA642E" w:rsidRDefault="008D5A30" w:rsidP="005F3B2E">
      <w:pPr>
        <w:spacing w:after="0" w:line="240" w:lineRule="auto"/>
        <w:jc w:val="right"/>
        <w:rPr>
          <w:rFonts w:ascii="Times New Roman" w:hAnsi="Times New Roman" w:cs="Times New Roman"/>
        </w:rPr>
      </w:pPr>
    </w:p>
    <w:p w14:paraId="34B67805" w14:textId="77777777" w:rsidR="008D5A30" w:rsidRDefault="008D5A30" w:rsidP="00C73105">
      <w:pPr>
        <w:spacing w:line="240" w:lineRule="auto"/>
        <w:jc w:val="both"/>
        <w:rPr>
          <w:rFonts w:ascii="Times New Roman" w:hAnsi="Times New Roman" w:cs="Times New Roman"/>
          <w:b/>
          <w:bCs/>
          <w:lang w:val="en-US"/>
        </w:rPr>
      </w:pPr>
    </w:p>
    <w:p w14:paraId="0B9AD6D8" w14:textId="52147B3F" w:rsidR="008D5A30" w:rsidRDefault="008D5A30" w:rsidP="008D5A3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Resumen: </w:t>
      </w:r>
      <w:r>
        <w:rPr>
          <w:rFonts w:ascii="Times New Roman" w:eastAsia="Times New Roman" w:hAnsi="Times New Roman" w:cs="Times New Roman"/>
          <w:highlight w:val="white"/>
        </w:rPr>
        <w:t xml:space="preserve">En el marco del Instituto de Investigaciones en Ciencias de la Educación (IICE) de la Facultad de Filosofía y Letras de la Universidad de Buenos Aires, se desarrolla el proyecto </w:t>
      </w:r>
      <w:proofErr w:type="spellStart"/>
      <w:r>
        <w:rPr>
          <w:rFonts w:ascii="Times New Roman" w:eastAsia="Times New Roman" w:hAnsi="Times New Roman" w:cs="Times New Roman"/>
          <w:highlight w:val="white"/>
        </w:rPr>
        <w:t>UBACyT</w:t>
      </w:r>
      <w:proofErr w:type="spellEnd"/>
      <w:r>
        <w:rPr>
          <w:rFonts w:ascii="Times New Roman" w:eastAsia="Times New Roman" w:hAnsi="Times New Roman" w:cs="Times New Roman"/>
          <w:highlight w:val="white"/>
        </w:rPr>
        <w:t xml:space="preserve"> La formación universitaria en el grado: la enseñanza de aprendizajes complejos y la articulación teoría-práctica en el campo de la salud. El presente trabajo tiene el propósito de comunicar los resultados de la mencionada investigación focalizando en la enseñanza de los aprendizajes complejos en el grado universitario. En esta línea de investigación, se considera a la profesión como un elemento </w:t>
      </w:r>
      <w:proofErr w:type="spellStart"/>
      <w:r>
        <w:rPr>
          <w:rFonts w:ascii="Times New Roman" w:eastAsia="Times New Roman" w:hAnsi="Times New Roman" w:cs="Times New Roman"/>
          <w:highlight w:val="white"/>
        </w:rPr>
        <w:t>estructurante</w:t>
      </w:r>
      <w:proofErr w:type="spellEnd"/>
      <w:r>
        <w:rPr>
          <w:rFonts w:ascii="Times New Roman" w:eastAsia="Times New Roman" w:hAnsi="Times New Roman" w:cs="Times New Roman"/>
          <w:highlight w:val="white"/>
        </w:rPr>
        <w:t xml:space="preserve"> de la formación de grado y se parte de dos supuestos: por un lado, que la articulación teoría-práctica constituye un componente clave en los procesos de formación profesional; por otro, que dicha formación requiere del desarrollo de aprendizajes complejos que se articulan de manera progresiva. En este marco, se busca generar conocimiento acerca de las formas de articulación teoría-práctica, de los procesos de enseñanza que los docentes llevan a cabo y de los dispositivos que se ponen en juego para la formación de aprendizajes complejos. En cuanto a lo metodológico, en esta investigación se adopta una lógica de generación conceptual a partir del análisis de material empírico obtenido mediante entrevistas, observación de clases y material documental, incluyendo instancias participativas y acciones de retroalimentación. Para ello toma como caso de estudio la cátedra Clínica </w:t>
      </w:r>
      <w:proofErr w:type="spellStart"/>
      <w:r>
        <w:rPr>
          <w:rFonts w:ascii="Times New Roman" w:eastAsia="Times New Roman" w:hAnsi="Times New Roman" w:cs="Times New Roman"/>
          <w:highlight w:val="white"/>
        </w:rPr>
        <w:t>Kinefisiátrica</w:t>
      </w:r>
      <w:proofErr w:type="spellEnd"/>
      <w:r>
        <w:rPr>
          <w:rFonts w:ascii="Times New Roman" w:eastAsia="Times New Roman" w:hAnsi="Times New Roman" w:cs="Times New Roman"/>
          <w:highlight w:val="white"/>
        </w:rPr>
        <w:t xml:space="preserve"> Quirúrgica focalizando en el análisis didáctico de las clases prácticas y talleres del mencionado espacio curricular. Uno de los ejes sobre el cual se profundizará dicho análisis será la articulación entre la teoría y la práctica desde una perspectiva didáctica fundamentada crítica. La relevancia que asume dicho eje se justifica en reconocer las concepciones que la sustentan y las modalidades concretas que adopta en los espacios formativos (</w:t>
      </w:r>
      <w:proofErr w:type="spellStart"/>
      <w:r>
        <w:rPr>
          <w:rFonts w:ascii="Times New Roman" w:eastAsia="Times New Roman" w:hAnsi="Times New Roman" w:cs="Times New Roman"/>
          <w:highlight w:val="white"/>
        </w:rPr>
        <w:t>Lucarelli</w:t>
      </w:r>
      <w:proofErr w:type="spellEnd"/>
      <w:r>
        <w:rPr>
          <w:rFonts w:ascii="Times New Roman" w:eastAsia="Times New Roman" w:hAnsi="Times New Roman" w:cs="Times New Roman"/>
          <w:highlight w:val="white"/>
        </w:rPr>
        <w:t xml:space="preserve">, 2005, 2009, 2016). Por un lado, en las clases prácticas la articulación se expresa mediante estrategias activas y centradas en el aprendizaje vivencial, que posicionan al futuro graduado como </w:t>
      </w:r>
      <w:r>
        <w:rPr>
          <w:rFonts w:ascii="Times New Roman" w:eastAsia="Times New Roman" w:hAnsi="Times New Roman" w:cs="Times New Roman"/>
          <w:highlight w:val="white"/>
        </w:rPr>
        <w:lastRenderedPageBreak/>
        <w:t>protagonista en situaciones reales de atención a pacientes. Por otro lado, en los talleres, los resultados obtenidos sobre el eje de articulación teoría-práctica muestran que se orientan a la formación en la profesión y a la adquisición de la práctica profesional mediante el entrenamiento en el rol profesional (</w:t>
      </w:r>
      <w:proofErr w:type="spellStart"/>
      <w:r>
        <w:rPr>
          <w:rFonts w:ascii="Times New Roman" w:eastAsia="Times New Roman" w:hAnsi="Times New Roman" w:cs="Times New Roman"/>
          <w:highlight w:val="white"/>
        </w:rPr>
        <w:t>Lucarelli</w:t>
      </w:r>
      <w:proofErr w:type="spellEnd"/>
      <w:r>
        <w:rPr>
          <w:rFonts w:ascii="Times New Roman" w:eastAsia="Times New Roman" w:hAnsi="Times New Roman" w:cs="Times New Roman"/>
          <w:highlight w:val="white"/>
        </w:rPr>
        <w:t>, 2009). Del mismo modo, en las modalidades particulares se identifica la ejercitación por parte de los estudiantes, la ejemplificación de la práctica por parte de los docentes y la resolución de situaciones problemáticas (</w:t>
      </w:r>
      <w:proofErr w:type="spellStart"/>
      <w:r>
        <w:rPr>
          <w:rFonts w:ascii="Times New Roman" w:eastAsia="Times New Roman" w:hAnsi="Times New Roman" w:cs="Times New Roman"/>
          <w:highlight w:val="white"/>
        </w:rPr>
        <w:t>Lucarelli</w:t>
      </w:r>
      <w:proofErr w:type="spellEnd"/>
      <w:r>
        <w:rPr>
          <w:rFonts w:ascii="Times New Roman" w:eastAsia="Times New Roman" w:hAnsi="Times New Roman" w:cs="Times New Roman"/>
          <w:highlight w:val="white"/>
        </w:rPr>
        <w:t>, 2009). En todos los casos, la estrategia didáctica predominante es el trabajo grupal. Estos resultados permiten reconocer el papel central que adquieren los dispositivos de enseñanza orientados a la articulación entre reflexión conceptual y práctica situada en la formación profesional en el campo de la salud.</w:t>
      </w:r>
      <w:r>
        <w:rPr>
          <w:rFonts w:ascii="Times New Roman" w:eastAsia="Times New Roman" w:hAnsi="Times New Roman" w:cs="Times New Roman"/>
        </w:rPr>
        <w:t xml:space="preserve"> </w:t>
      </w:r>
    </w:p>
    <w:p w14:paraId="4E30CFA5" w14:textId="64206F5D" w:rsidR="008D5A30" w:rsidRDefault="008D5A30" w:rsidP="008D5A30">
      <w:pPr>
        <w:spacing w:line="240" w:lineRule="auto"/>
        <w:jc w:val="both"/>
        <w:rPr>
          <w:rFonts w:ascii="Times New Roman" w:eastAsia="Times New Roman" w:hAnsi="Times New Roman" w:cs="Times New Roman"/>
        </w:rPr>
      </w:pPr>
      <w:r>
        <w:rPr>
          <w:rFonts w:ascii="Times New Roman" w:eastAsia="Times New Roman" w:hAnsi="Times New Roman" w:cs="Times New Roman"/>
          <w:b/>
          <w:bCs/>
          <w:highlight w:val="white"/>
        </w:rPr>
        <w:t>Palabras clave</w:t>
      </w:r>
      <w:r>
        <w:rPr>
          <w:rFonts w:ascii="Times New Roman" w:eastAsia="Times New Roman" w:hAnsi="Times New Roman" w:cs="Times New Roman"/>
          <w:highlight w:val="white"/>
        </w:rPr>
        <w:t>:</w:t>
      </w:r>
      <w:r w:rsidR="00A1594F">
        <w:rPr>
          <w:rFonts w:ascii="Times New Roman" w:eastAsia="Times New Roman" w:hAnsi="Times New Roman" w:cs="Times New Roman"/>
          <w:highlight w:val="white"/>
        </w:rPr>
        <w:t xml:space="preserve"> Formación profesional, Articulación teoría-práctica, espacios formativos.</w:t>
      </w:r>
      <w:r>
        <w:rPr>
          <w:rFonts w:ascii="Times New Roman" w:eastAsia="Times New Roman" w:hAnsi="Times New Roman" w:cs="Times New Roman"/>
          <w:highlight w:val="white"/>
        </w:rPr>
        <w:t xml:space="preserve"> </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30911688" w14:textId="77777777" w:rsidR="008D5A30" w:rsidRPr="008D5A30" w:rsidRDefault="008D5A30" w:rsidP="008D5A30">
      <w:pPr>
        <w:spacing w:line="240" w:lineRule="auto"/>
        <w:jc w:val="both"/>
        <w:rPr>
          <w:rFonts w:ascii="Times New Roman" w:hAnsi="Times New Roman" w:cs="Times New Roman"/>
        </w:rPr>
      </w:pPr>
      <w:r w:rsidRPr="008D5A30">
        <w:rPr>
          <w:rFonts w:ascii="Times New Roman" w:hAnsi="Times New Roman" w:cs="Times New Roman"/>
        </w:rPr>
        <w:t>La formación de profesionales en el campo de la salud constituye un objeto de creciente interés para la investigación didáctica universitaria debido a la complejidad de los procesos de enseñanza y aprendizaje que involucra. Las carreras del área requieren que los estudiantes no solo adquieran conocimientos conceptuales, sino que desarrollen capacidades para actuar en situaciones reales de práctica, tomar decisiones fundamentadas, resolver problemas complejos y construir progresivamente criterios de intervención profesional. En este sentido, la formación de grado supone una articulación permanente entre la apropiación de marcos conceptuales y su movilización en contextos auténticos de actuación.</w:t>
      </w:r>
    </w:p>
    <w:p w14:paraId="491A3CFE" w14:textId="77777777" w:rsidR="008D5A30" w:rsidRPr="008D5A30" w:rsidRDefault="008D5A30" w:rsidP="008D5A30">
      <w:pPr>
        <w:spacing w:line="240" w:lineRule="auto"/>
        <w:jc w:val="both"/>
        <w:rPr>
          <w:rFonts w:ascii="Times New Roman" w:hAnsi="Times New Roman" w:cs="Times New Roman"/>
        </w:rPr>
      </w:pPr>
      <w:r w:rsidRPr="008D5A30">
        <w:rPr>
          <w:rFonts w:ascii="Times New Roman" w:hAnsi="Times New Roman" w:cs="Times New Roman"/>
        </w:rPr>
        <w:t xml:space="preserve">En este marco, el presente trabajo se inscribe en el proyecto </w:t>
      </w:r>
      <w:proofErr w:type="spellStart"/>
      <w:r w:rsidRPr="008D5A30">
        <w:rPr>
          <w:rFonts w:ascii="Times New Roman" w:hAnsi="Times New Roman" w:cs="Times New Roman"/>
        </w:rPr>
        <w:t>UBACyT</w:t>
      </w:r>
      <w:proofErr w:type="spellEnd"/>
      <w:r w:rsidRPr="008D5A30">
        <w:rPr>
          <w:rFonts w:ascii="Times New Roman" w:hAnsi="Times New Roman" w:cs="Times New Roman"/>
        </w:rPr>
        <w:t xml:space="preserve"> La formación universitaria en el grado: la enseñanza de aprendizajes complejos y la articulación teoría-práctica en el campo de la salud, desarrollado en el Instituto de Investigaciones en Ciencias de la Educación (IICE) de la Facultad de Filosofía y Letras de la Universidad de Buenos Aires (UBA). El proyecto parte de considerar a la profesión como un elemento </w:t>
      </w:r>
      <w:proofErr w:type="spellStart"/>
      <w:r w:rsidRPr="008D5A30">
        <w:rPr>
          <w:rFonts w:ascii="Times New Roman" w:hAnsi="Times New Roman" w:cs="Times New Roman"/>
        </w:rPr>
        <w:t>estructurante</w:t>
      </w:r>
      <w:proofErr w:type="spellEnd"/>
      <w:r w:rsidRPr="008D5A30">
        <w:rPr>
          <w:rFonts w:ascii="Times New Roman" w:hAnsi="Times New Roman" w:cs="Times New Roman"/>
        </w:rPr>
        <w:t xml:space="preserve"> de la formación universitaria y asume dos supuestos centrales: por un lado, que la articulación entre teoría y práctica constituye un componente fundamental en los procesos de formación profesional; por otro, que dicha formación requiere del desarrollo progresivo de aprendizajes complejos cuya construcción demanda dispositivos de enseñanza específicos.</w:t>
      </w:r>
    </w:p>
    <w:p w14:paraId="0EA2B118" w14:textId="77777777" w:rsidR="008D5A30" w:rsidRPr="008D5A30" w:rsidRDefault="008D5A30" w:rsidP="008D5A30">
      <w:pPr>
        <w:spacing w:line="240" w:lineRule="auto"/>
        <w:jc w:val="both"/>
        <w:rPr>
          <w:rFonts w:ascii="Times New Roman" w:hAnsi="Times New Roman" w:cs="Times New Roman"/>
        </w:rPr>
      </w:pPr>
      <w:r w:rsidRPr="008D5A30">
        <w:rPr>
          <w:rFonts w:ascii="Times New Roman" w:hAnsi="Times New Roman" w:cs="Times New Roman"/>
        </w:rPr>
        <w:t xml:space="preserve">Desde esta perspectiva, la investigación procura generar conocimiento acerca de las formas que adopta la articulación teoría-práctica en la enseñanza universitaria, de los procesos didácticos desarrollados por los docentes y de los dispositivos que favorecen la construcción de aprendizajes complejos en la formación profesional. En particular, el estudio toma como caso la asignatura Clínica </w:t>
      </w:r>
      <w:proofErr w:type="spellStart"/>
      <w:r w:rsidRPr="008D5A30">
        <w:rPr>
          <w:rFonts w:ascii="Times New Roman" w:hAnsi="Times New Roman" w:cs="Times New Roman"/>
        </w:rPr>
        <w:t>Kinefisiátrica</w:t>
      </w:r>
      <w:proofErr w:type="spellEnd"/>
      <w:r w:rsidRPr="008D5A30">
        <w:rPr>
          <w:rFonts w:ascii="Times New Roman" w:hAnsi="Times New Roman" w:cs="Times New Roman"/>
        </w:rPr>
        <w:t xml:space="preserve"> Quirúrgica, perteneciente a la carrera de Licenciatura en Kinesiología y Fisiatría de la Facultad de Medicina de la Universidad de Buenos Aires.</w:t>
      </w:r>
    </w:p>
    <w:p w14:paraId="1270B0E0" w14:textId="77777777" w:rsidR="008D5A30" w:rsidRPr="008D5A30" w:rsidRDefault="008D5A30" w:rsidP="008D5A30">
      <w:pPr>
        <w:spacing w:line="240" w:lineRule="auto"/>
        <w:jc w:val="both"/>
        <w:rPr>
          <w:rFonts w:ascii="Times New Roman" w:hAnsi="Times New Roman" w:cs="Times New Roman"/>
        </w:rPr>
      </w:pPr>
      <w:r w:rsidRPr="008D5A30">
        <w:rPr>
          <w:rFonts w:ascii="Times New Roman" w:hAnsi="Times New Roman" w:cs="Times New Roman"/>
        </w:rPr>
        <w:t xml:space="preserve">El análisis presentado en esta ponencia recupera los resultados obtenidos en dos espacios formativos que integran la propuesta de enseñanza de la asignatura: las clases prácticas desarrolladas en ámbitos hospitalarios y los talleres de integración. Ambos constituyen </w:t>
      </w:r>
      <w:r w:rsidRPr="008D5A30">
        <w:rPr>
          <w:rFonts w:ascii="Times New Roman" w:hAnsi="Times New Roman" w:cs="Times New Roman"/>
        </w:rPr>
        <w:lastRenderedPageBreak/>
        <w:t xml:space="preserve">dispositivos con características y propósitos específicos, pero orientados a un mismo objetivo formativo: favorecer la construcción de aprendizajes complejos mediante la articulación entre conocimientos teóricos y prácticas profesionales situadas. </w:t>
      </w:r>
    </w:p>
    <w:p w14:paraId="083E3BF9" w14:textId="77777777" w:rsidR="008D5A30" w:rsidRPr="008D5A30" w:rsidRDefault="008D5A30" w:rsidP="008D5A30">
      <w:pPr>
        <w:spacing w:line="240" w:lineRule="auto"/>
        <w:jc w:val="both"/>
        <w:rPr>
          <w:rFonts w:ascii="Times New Roman" w:hAnsi="Times New Roman" w:cs="Times New Roman"/>
        </w:rPr>
      </w:pPr>
      <w:r w:rsidRPr="008D5A30">
        <w:rPr>
          <w:rFonts w:ascii="Times New Roman" w:hAnsi="Times New Roman" w:cs="Times New Roman"/>
        </w:rPr>
        <w:t>En este trabajo se busca analizar las modalidades que adopta dicha articulación en ambos espacios formativos, identificando las estrategias de enseñanza, los dispositivos didácticos y las formas de participación que contribuyen a la formación profesional de los estudiantes. A partir del análisis de las clases prácticas y los talleres, se procura reconocer tanto sus particularidades como su carácter complementario dentro de la propuesta de formación, aportando elementos para comprender cómo la enseñanza universitaria puede favorecer la construcción progresiva del razonamiento profesional en el campo de la salud.</w:t>
      </w:r>
    </w:p>
    <w:p w14:paraId="13C27DE8" w14:textId="568F7495" w:rsidR="00BA642E" w:rsidRPr="007B5B5F" w:rsidRDefault="008D5A30" w:rsidP="008D5A30">
      <w:pPr>
        <w:spacing w:line="240" w:lineRule="auto"/>
        <w:jc w:val="both"/>
        <w:rPr>
          <w:rFonts w:ascii="Times New Roman" w:hAnsi="Times New Roman" w:cs="Times New Roman"/>
        </w:rPr>
      </w:pPr>
      <w:r w:rsidRPr="008D5A30">
        <w:rPr>
          <w:rFonts w:ascii="Times New Roman" w:hAnsi="Times New Roman" w:cs="Times New Roman"/>
        </w:rPr>
        <w:t xml:space="preserve">Para ello, la ponencia se organiza en torno a tres ejes. En primer lugar, se presentan los principales referentes conceptuales que orientan el análisis. En segundo término, se describen brevemente las decisiones metodológicas que sustentan la investigación. A continuación, se exponen y analizan los resultados obtenidos a partir del estudio de caso, focalizando en la articulación teoría-práctica, los dispositivos de enseñanza y la construcción de aprendizajes complejos en la formación profesional. Finalmente, se presentan las algunas conclusiones y líneas de reflexión que se desprenden del análisis realizado. </w:t>
      </w:r>
      <w:r w:rsidR="00BA642E" w:rsidRPr="007B5B5F">
        <w:rPr>
          <w:rFonts w:ascii="Times New Roman" w:hAnsi="Times New Roman" w:cs="Times New Roman"/>
        </w:rPr>
        <w:t xml:space="preserve"> </w:t>
      </w: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463991CB" w14:textId="77777777" w:rsidR="00CC5525" w:rsidRPr="00CC5525" w:rsidRDefault="00CC5525" w:rsidP="00CC5525">
      <w:pPr>
        <w:spacing w:line="240" w:lineRule="auto"/>
        <w:jc w:val="both"/>
        <w:rPr>
          <w:rFonts w:ascii="Times New Roman" w:hAnsi="Times New Roman" w:cs="Times New Roman"/>
          <w:b/>
          <w:bCs/>
          <w:lang w:val="es"/>
        </w:rPr>
      </w:pPr>
      <w:r w:rsidRPr="00CC5525">
        <w:rPr>
          <w:rFonts w:ascii="Times New Roman" w:hAnsi="Times New Roman" w:cs="Times New Roman"/>
          <w:b/>
          <w:bCs/>
          <w:lang w:val="es"/>
        </w:rPr>
        <w:t>Los referentes conceptuales del estudio</w:t>
      </w:r>
    </w:p>
    <w:p w14:paraId="299AED6B"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La investigación se inscribe en una perspectiva didáctica que concibe la enseñanza universitaria como una práctica compleja, situada y estrechamente vinculada con los procesos de formación profesional. Desde este enfoque, la profesión constituye un eje </w:t>
      </w:r>
      <w:proofErr w:type="spellStart"/>
      <w:r w:rsidRPr="00CC5525">
        <w:rPr>
          <w:rFonts w:ascii="Times New Roman" w:hAnsi="Times New Roman" w:cs="Times New Roman"/>
          <w:lang w:val="es"/>
        </w:rPr>
        <w:t>estructurante</w:t>
      </w:r>
      <w:proofErr w:type="spellEnd"/>
      <w:r w:rsidRPr="00CC5525">
        <w:rPr>
          <w:rFonts w:ascii="Times New Roman" w:hAnsi="Times New Roman" w:cs="Times New Roman"/>
          <w:lang w:val="es"/>
        </w:rPr>
        <w:t xml:space="preserve"> del currículum y de las propuestas de enseñanza, orientando tanto la selección y organización de los contenidos como las experiencias formativas que permiten a los estudiantes aproximarse progresivamente a los modos de pensar y actuar propios del campo profesional (</w:t>
      </w:r>
      <w:proofErr w:type="spellStart"/>
      <w:r w:rsidRPr="00CC5525">
        <w:rPr>
          <w:rFonts w:ascii="Times New Roman" w:hAnsi="Times New Roman" w:cs="Times New Roman"/>
          <w:lang w:val="es"/>
        </w:rPr>
        <w:t>Andreozzi</w:t>
      </w:r>
      <w:proofErr w:type="spellEnd"/>
      <w:r w:rsidRPr="00CC5525">
        <w:rPr>
          <w:rFonts w:ascii="Times New Roman" w:hAnsi="Times New Roman" w:cs="Times New Roman"/>
          <w:lang w:val="es"/>
        </w:rPr>
        <w:t xml:space="preserve"> et al., 1999).</w:t>
      </w:r>
    </w:p>
    <w:p w14:paraId="3792DF17"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Una de las categorías centrales del estudio es la articulación entre teoría y práctica. Lejos de entender ambas dimensiones como momentos separados o sucesivos, se las concibe como componentes de una relación dinámica que estructura la formación profesional. En este sentido, </w:t>
      </w:r>
      <w:proofErr w:type="spellStart"/>
      <w:r w:rsidRPr="00CC5525">
        <w:rPr>
          <w:rFonts w:ascii="Times New Roman" w:hAnsi="Times New Roman" w:cs="Times New Roman"/>
          <w:lang w:val="es"/>
        </w:rPr>
        <w:t>Lucarelli</w:t>
      </w:r>
      <w:proofErr w:type="spellEnd"/>
      <w:r w:rsidRPr="00CC5525">
        <w:rPr>
          <w:rFonts w:ascii="Times New Roman" w:hAnsi="Times New Roman" w:cs="Times New Roman"/>
          <w:lang w:val="es"/>
        </w:rPr>
        <w:t xml:space="preserve"> (2009) sostiene que la articulación teoría-práctica constituye un eje organizador de las propuestas de enseñanza universitarias y se expresa en las decisiones didácticas que orientan el trabajo en el aula. Asimismo, identifica distintas modalidades particulares mediante las cuales dicha articulación se concreta en las situaciones de enseñanza, entre ellas la ejemplificación, la ejercitación, la resolución de problemas y la producción (</w:t>
      </w:r>
      <w:proofErr w:type="spellStart"/>
      <w:r w:rsidRPr="00CC5525">
        <w:rPr>
          <w:rFonts w:ascii="Times New Roman" w:hAnsi="Times New Roman" w:cs="Times New Roman"/>
          <w:lang w:val="es"/>
        </w:rPr>
        <w:t>Lucarelli</w:t>
      </w:r>
      <w:proofErr w:type="spellEnd"/>
      <w:r w:rsidRPr="00CC5525">
        <w:rPr>
          <w:rFonts w:ascii="Times New Roman" w:hAnsi="Times New Roman" w:cs="Times New Roman"/>
          <w:lang w:val="es"/>
        </w:rPr>
        <w:t>, 2009). Estas modalidades constituyen categorías analíticas relevantes para comprender cómo los estudiantes integran conocimientos conceptuales, procedimentales y actitudinales durante su formación.</w:t>
      </w:r>
    </w:p>
    <w:p w14:paraId="18853832"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Desde esta perspectiva, la formación profesional supone procesos de aprendizaje que exceden la adquisición de contenidos disciplinares y requieren la construcción progresiva </w:t>
      </w:r>
      <w:r w:rsidRPr="00CC5525">
        <w:rPr>
          <w:rFonts w:ascii="Times New Roman" w:hAnsi="Times New Roman" w:cs="Times New Roman"/>
          <w:lang w:val="es"/>
        </w:rPr>
        <w:lastRenderedPageBreak/>
        <w:t>de aprendizajes complejos. Estos implican la movilización integrada de conocimientos, habilidades, actitudes y criterios de actuación frente a situaciones auténticas de intervención, favoreciendo el desarrollo de formas de razonamiento y decisión propias del ejercicio profesional.</w:t>
      </w:r>
    </w:p>
    <w:p w14:paraId="49C98A8A"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En este proceso, la observación de modelos profesionales y la participación guiada adquieren un papel relevante. Bandura (1982, 1987) sostiene que una parte sustancial del aprendizaje humano se produce mediante la observación de otros, el modelado de conductas y la posibilidad de ensayar progresivamente nuevos desempeños. En la formación profesional, estos procesos se potencian cuando los docentes hacen explícitos los criterios que orientan sus decisiones y acompañan a los estudiantes durante las primeras experiencias de intervención.</w:t>
      </w:r>
    </w:p>
    <w:p w14:paraId="53D4A8B2"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Por otra parte, </w:t>
      </w:r>
      <w:proofErr w:type="spellStart"/>
      <w:r w:rsidRPr="00CC5525">
        <w:rPr>
          <w:rFonts w:ascii="Times New Roman" w:hAnsi="Times New Roman" w:cs="Times New Roman"/>
          <w:lang w:val="es"/>
        </w:rPr>
        <w:t>Schön</w:t>
      </w:r>
      <w:proofErr w:type="spellEnd"/>
      <w:r w:rsidRPr="00CC5525">
        <w:rPr>
          <w:rFonts w:ascii="Times New Roman" w:hAnsi="Times New Roman" w:cs="Times New Roman"/>
          <w:lang w:val="es"/>
        </w:rPr>
        <w:t xml:space="preserve"> (1992) plantea que la formación de profesionales requiere promover procesos sistemáticos de reflexión sobre la práctica, favoreciendo que los estudiantes analicen las situaciones que enfrentan, fundamenten sus decisiones y reconstruyan sus formas de intervención. Desde esta perspectiva, la reflexión constituye una dimensión inherente al aprendizaje profesional y un componente indispensable para la construcción del juicio profesional.</w:t>
      </w:r>
    </w:p>
    <w:p w14:paraId="2058A954"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En las profesiones del campo de la salud, estas categorías adquieren particular relevancia debido a que la formación supone el desarrollo del razonamiento clínico. Tal como señalan </w:t>
      </w:r>
      <w:proofErr w:type="spellStart"/>
      <w:r w:rsidRPr="00CC5525">
        <w:rPr>
          <w:rFonts w:ascii="Times New Roman" w:hAnsi="Times New Roman" w:cs="Times New Roman"/>
          <w:lang w:val="es"/>
        </w:rPr>
        <w:t>Nolla</w:t>
      </w:r>
      <w:proofErr w:type="spellEnd"/>
      <w:r w:rsidRPr="00CC5525">
        <w:rPr>
          <w:rFonts w:ascii="Times New Roman" w:hAnsi="Times New Roman" w:cs="Times New Roman"/>
          <w:lang w:val="es"/>
        </w:rPr>
        <w:t xml:space="preserve"> </w:t>
      </w:r>
      <w:proofErr w:type="spellStart"/>
      <w:r w:rsidRPr="00CC5525">
        <w:rPr>
          <w:rFonts w:ascii="Times New Roman" w:hAnsi="Times New Roman" w:cs="Times New Roman"/>
          <w:lang w:val="es"/>
        </w:rPr>
        <w:t>Domenjó</w:t>
      </w:r>
      <w:proofErr w:type="spellEnd"/>
      <w:r w:rsidRPr="00CC5525">
        <w:rPr>
          <w:rFonts w:ascii="Times New Roman" w:hAnsi="Times New Roman" w:cs="Times New Roman"/>
          <w:lang w:val="es"/>
        </w:rPr>
        <w:t xml:space="preserve"> (2006) y Viesca Treviño, Ponce de León y Sánchez Mendiola (2006), este constituye una actividad cognitiva compleja que integra conocimientos científicos, capacidades de observación, juicio profesional y toma de decisiones frente a problemas concretos de la práctica. En consecuencia, la enseñanza universitaria requiere generar dispositivos que favorezcan no solo la adquisición de conocimientos disciplinares, sino también la construcción progresiva de modos de pensar y actuar propios del ejercicio profesional.</w:t>
      </w:r>
    </w:p>
    <w:p w14:paraId="0464CE3E"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En conjunto, estas categorías conceptuales permiten interpretar las formas que adopta la articulación teoría-práctica, las decisiones didácticas desarrolladas por los docentes y los procesos de construcción de aprendizajes complejos identificados en los espacios formativos analizados.</w:t>
      </w:r>
    </w:p>
    <w:p w14:paraId="2A48C205" w14:textId="77777777" w:rsidR="00CC5525" w:rsidRPr="00CC5525" w:rsidRDefault="00CC5525" w:rsidP="00CC5525">
      <w:pPr>
        <w:spacing w:line="240" w:lineRule="auto"/>
        <w:jc w:val="both"/>
        <w:rPr>
          <w:rFonts w:ascii="Times New Roman" w:hAnsi="Times New Roman" w:cs="Times New Roman"/>
          <w:b/>
          <w:bCs/>
          <w:lang w:val="es"/>
        </w:rPr>
      </w:pPr>
      <w:r w:rsidRPr="00CC5525">
        <w:rPr>
          <w:rFonts w:ascii="Times New Roman" w:hAnsi="Times New Roman" w:cs="Times New Roman"/>
          <w:b/>
          <w:bCs/>
          <w:lang w:val="es"/>
        </w:rPr>
        <w:t>Los aspectos metodológicos de la investigación</w:t>
      </w:r>
    </w:p>
    <w:p w14:paraId="4447F4B6"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La investigación se desarrolla desde un enfoque cualitativo y adopta una lógica de generación conceptual (</w:t>
      </w:r>
      <w:proofErr w:type="spellStart"/>
      <w:r w:rsidRPr="00CC5525">
        <w:rPr>
          <w:rFonts w:ascii="Times New Roman" w:hAnsi="Times New Roman" w:cs="Times New Roman"/>
          <w:lang w:val="es"/>
        </w:rPr>
        <w:t>Sirvent</w:t>
      </w:r>
      <w:proofErr w:type="spellEnd"/>
      <w:r w:rsidRPr="00CC5525">
        <w:rPr>
          <w:rFonts w:ascii="Times New Roman" w:hAnsi="Times New Roman" w:cs="Times New Roman"/>
          <w:lang w:val="es"/>
        </w:rPr>
        <w:t xml:space="preserve"> y </w:t>
      </w:r>
      <w:proofErr w:type="spellStart"/>
      <w:r w:rsidRPr="00CC5525">
        <w:rPr>
          <w:rFonts w:ascii="Times New Roman" w:hAnsi="Times New Roman" w:cs="Times New Roman"/>
          <w:lang w:val="es"/>
        </w:rPr>
        <w:t>Rigal</w:t>
      </w:r>
      <w:proofErr w:type="spellEnd"/>
      <w:r w:rsidRPr="00CC5525">
        <w:rPr>
          <w:rFonts w:ascii="Times New Roman" w:hAnsi="Times New Roman" w:cs="Times New Roman"/>
          <w:lang w:val="es"/>
        </w:rPr>
        <w:t xml:space="preserve">, 2023), a partir del análisis de material empírico producido en el trabajo de campo. Se trata de un estudio de caso cuyo objeto de análisis es la asignatura Clínica </w:t>
      </w:r>
      <w:proofErr w:type="spellStart"/>
      <w:r w:rsidRPr="00CC5525">
        <w:rPr>
          <w:rFonts w:ascii="Times New Roman" w:hAnsi="Times New Roman" w:cs="Times New Roman"/>
          <w:lang w:val="es"/>
        </w:rPr>
        <w:t>Kinefisiátrica</w:t>
      </w:r>
      <w:proofErr w:type="spellEnd"/>
      <w:r w:rsidRPr="00CC5525">
        <w:rPr>
          <w:rFonts w:ascii="Times New Roman" w:hAnsi="Times New Roman" w:cs="Times New Roman"/>
          <w:lang w:val="es"/>
        </w:rPr>
        <w:t xml:space="preserve"> Quirúrgica, perteneciente a la carrera de Licenciatura en Kinesiología y Fisiatría de la Facultad de Medicina de la Universidad de Buenos Aires. La elección del caso se fundamenta en el interés por comprender las formas que adopta la articulación entre teoría y práctica en un espacio curricular que integra distintos dispositivos orientados a la formación profesional.</w:t>
      </w:r>
    </w:p>
    <w:p w14:paraId="1783BB1E"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La estrategia metodológica combinó diversas técnicas de producción de información, entre ellas, entrevistas en profundidad a docentes, observaciones no participantes de </w:t>
      </w:r>
      <w:r w:rsidRPr="00CC5525">
        <w:rPr>
          <w:rFonts w:ascii="Times New Roman" w:hAnsi="Times New Roman" w:cs="Times New Roman"/>
          <w:lang w:val="es"/>
        </w:rPr>
        <w:lastRenderedPageBreak/>
        <w:t>clases prácticas desarrolladas en ámbitos hospitalarios y de talleres de integración, análisis de material documental de la cátedra e instancias de retroalimentación con los integrantes del equipo docente. Complementariamente, se relevaron las percepciones de los estudiantes mediante un cuestionario orientado a conocer sus valoraciones sobre las estrategias de enseñanza, los procesos de aprendizaje y la articulación entre los distintos espacios formativos.</w:t>
      </w:r>
    </w:p>
    <w:p w14:paraId="33AE2EF0"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Con el propósito de preservar la identidad de los participantes, los testimonios incluidos en esta ponencia fueron </w:t>
      </w:r>
      <w:proofErr w:type="spellStart"/>
      <w:r w:rsidRPr="00CC5525">
        <w:rPr>
          <w:rFonts w:ascii="Times New Roman" w:hAnsi="Times New Roman" w:cs="Times New Roman"/>
          <w:lang w:val="es"/>
        </w:rPr>
        <w:t>anonimizados</w:t>
      </w:r>
      <w:proofErr w:type="spellEnd"/>
      <w:r w:rsidRPr="00CC5525">
        <w:rPr>
          <w:rFonts w:ascii="Times New Roman" w:hAnsi="Times New Roman" w:cs="Times New Roman"/>
          <w:lang w:val="es"/>
        </w:rPr>
        <w:t>.</w:t>
      </w:r>
    </w:p>
    <w:p w14:paraId="3C4B7A24"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El análisis de la información se realizó a partir de categorías construidas desde el marco conceptual de la investigación y de categorías emergentes del propio trabajo de campo. En esta ponencia se recuperan particularmente los resultados correspondientes al análisis didáctico de las clases prácticas y de los talleres, focalizando en las modalidades que adopta la articulación teoría-práctica y en los dispositivos de enseñanza que favorecen la construcción de aprendizajes complejos en la formación profesional. Específicamente se presentan los resultados de investigación obtenidos en dos espacios de formación para la práctica profesional, a saber: la rotación hospitalaria y los talleres. </w:t>
      </w:r>
    </w:p>
    <w:p w14:paraId="36997F76"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La presentación de los resultados busca, por un lado, identificar las particularidades de cada uno de estos espacios formativos y, por otro, reconocer su contribución conjunta a la formación profesional de los estudiantes, atendiendo a las relaciones que se establecen entre los distintos dispositivos que integran la propuesta pedagógica de la asignatura.</w:t>
      </w:r>
    </w:p>
    <w:p w14:paraId="39BB972D" w14:textId="77777777" w:rsidR="00CC5525" w:rsidRPr="00CC5525" w:rsidRDefault="00CC5525" w:rsidP="00CC5525">
      <w:pPr>
        <w:spacing w:line="240" w:lineRule="auto"/>
        <w:jc w:val="both"/>
        <w:rPr>
          <w:rFonts w:ascii="Times New Roman" w:hAnsi="Times New Roman" w:cs="Times New Roman"/>
          <w:b/>
          <w:bCs/>
          <w:lang w:val="es"/>
        </w:rPr>
      </w:pPr>
      <w:r w:rsidRPr="00CC5525">
        <w:rPr>
          <w:rFonts w:ascii="Times New Roman" w:hAnsi="Times New Roman" w:cs="Times New Roman"/>
          <w:b/>
          <w:bCs/>
          <w:lang w:val="es"/>
        </w:rPr>
        <w:t>La articulación teoría-práctica como eje organizador de la formación profesional</w:t>
      </w:r>
    </w:p>
    <w:p w14:paraId="6CA373DC"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En las clases prácticas desarrolladas en el ámbito hospitalario se reconocen dos modalidades formativas complementarias que contribuyen al desarrollo del perfil profesional: el abordaje grupal en el Sector </w:t>
      </w:r>
      <w:proofErr w:type="spellStart"/>
      <w:r w:rsidRPr="00CC5525">
        <w:rPr>
          <w:rFonts w:ascii="Times New Roman" w:hAnsi="Times New Roman" w:cs="Times New Roman"/>
          <w:lang w:val="es"/>
        </w:rPr>
        <w:t>Kinesium</w:t>
      </w:r>
      <w:proofErr w:type="spellEnd"/>
      <w:r w:rsidRPr="00CC5525">
        <w:rPr>
          <w:rFonts w:ascii="Times New Roman" w:hAnsi="Times New Roman" w:cs="Times New Roman"/>
          <w:lang w:val="es"/>
        </w:rPr>
        <w:t>, a través del cual los estudiantes se integraron al Taller de Adultos Mayores bajo supervisión docente. Condujeron de manera coordinada y complementaria actividades de trabajo postural y movilidad articular (hombros, cintura y cadera) utilizando recursos como pelotas y colchonetas. En esta modalidad, las intervenciones se adaptaron de forma individual o en parejas según los diagnósticos y necesidades de los pacientes, promoviendo el desarrollo de habilidades de conducción, comunicación y coordinación terapéutica. Por otro lado, el seguimiento prolongado de la rehabilitación de un paciente adulto con postoperatorio de muñeca por accidente laboral. Bajo tutoría docente, los alumnos aplicaron tecnología específica (magnetoterapia) y ejercicios de recuperación funcional del miembro superior. Este abordaje sistemático sirvió como el caso clínico para la evaluación de la cátedra, favoreciendo procesos de razonamiento clínico, planificación terapéutica y toma de decisiones.</w:t>
      </w:r>
    </w:p>
    <w:p w14:paraId="55A0A8F2"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Por otro lado, los talleres constituyen un ámbito curricular con características distintivas tanto por su organización como por su propuesta pedagógica. Cada encuentro es concebido por el equipo docente como una instancia de integración y cierre de los contenidos del programa abordados durante el mes correspondiente, razón por la cual se desarrolla de manera presencial, a diferencia de las clases teóricas. En función de este propósito, cada taller se organizó en tres turnos, con una participación aproximada de </w:t>
      </w:r>
      <w:r w:rsidRPr="00CC5525">
        <w:rPr>
          <w:rFonts w:ascii="Times New Roman" w:hAnsi="Times New Roman" w:cs="Times New Roman"/>
          <w:lang w:val="es"/>
        </w:rPr>
        <w:lastRenderedPageBreak/>
        <w:t>entre treinta y cuarenta estudiantes por turno. Durante el período observado, se trabajaron contenidos correspondientes al eje de Ortopedia y Traumatología del programa, organizados en tres grandes bloques temáticos: columna y postura, miembro superior y miembro inferior. En este marco, los talleres se orientan a consolidar los saberes trabajados, favorecer la articulación entre teoría y práctica y promover una participación más activa de los estudiantes.</w:t>
      </w:r>
    </w:p>
    <w:p w14:paraId="0F7E26A8"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Uno de los principales hallazgos de la investigación refiere al lugar central que ocupa la articulación entre teoría y práctica como principio organizador de la propuesta de enseñanza. Tanto en las clases prácticas desarrolladas en ámbitos hospitalarios como en los talleres de integración, esta articulación no constituye una instancia posterior a la transmisión de contenidos teóricos, sino que organiza el conjunto de las situaciones de enseñanza y aprendizaje que se proponen a los estudiantes.</w:t>
      </w:r>
    </w:p>
    <w:p w14:paraId="759DAD3B"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Desde la perspectiva de </w:t>
      </w:r>
      <w:proofErr w:type="spellStart"/>
      <w:r w:rsidRPr="00CC5525">
        <w:rPr>
          <w:rFonts w:ascii="Times New Roman" w:hAnsi="Times New Roman" w:cs="Times New Roman"/>
          <w:lang w:val="es"/>
        </w:rPr>
        <w:t>Lucarelli</w:t>
      </w:r>
      <w:proofErr w:type="spellEnd"/>
      <w:r w:rsidRPr="00CC5525">
        <w:rPr>
          <w:rFonts w:ascii="Times New Roman" w:hAnsi="Times New Roman" w:cs="Times New Roman"/>
          <w:lang w:val="es"/>
        </w:rPr>
        <w:t xml:space="preserve"> (2009), la articulación teoría-práctica constituye un eje </w:t>
      </w:r>
      <w:proofErr w:type="spellStart"/>
      <w:r w:rsidRPr="00CC5525">
        <w:rPr>
          <w:rFonts w:ascii="Times New Roman" w:hAnsi="Times New Roman" w:cs="Times New Roman"/>
          <w:lang w:val="es"/>
        </w:rPr>
        <w:t>estructurante</w:t>
      </w:r>
      <w:proofErr w:type="spellEnd"/>
      <w:r w:rsidRPr="00CC5525">
        <w:rPr>
          <w:rFonts w:ascii="Times New Roman" w:hAnsi="Times New Roman" w:cs="Times New Roman"/>
          <w:lang w:val="es"/>
        </w:rPr>
        <w:t xml:space="preserve"> de la formación profesional universitaria y se expresa en las decisiones didácticas que organizan las propuestas de enseñanza. Los resultados obtenidos permiten reconocer que esta articulación adquiere modalidades diferentes según las características de cada dispositivo formativo, aunque en ambos casos se </w:t>
      </w:r>
      <w:proofErr w:type="gramStart"/>
      <w:r w:rsidRPr="00CC5525">
        <w:rPr>
          <w:rFonts w:ascii="Times New Roman" w:hAnsi="Times New Roman" w:cs="Times New Roman"/>
          <w:lang w:val="es"/>
        </w:rPr>
        <w:t>orienta</w:t>
      </w:r>
      <w:proofErr w:type="gramEnd"/>
      <w:r w:rsidRPr="00CC5525">
        <w:rPr>
          <w:rFonts w:ascii="Times New Roman" w:hAnsi="Times New Roman" w:cs="Times New Roman"/>
          <w:lang w:val="es"/>
        </w:rPr>
        <w:t xml:space="preserve"> a favorecer la construcción progresiva del aprendizaje profesional.</w:t>
      </w:r>
    </w:p>
    <w:p w14:paraId="3D0BA519"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En las clases prácticas, la articulación teoría-práctica se configura a partir de la participación de los estudiantes en situaciones reales de atención de pacientes, donde los conocimientos conceptuales son permanentemente recuperados, reinterpretados y movilizados para comprender problemas clínicos, fundamentar decisiones y orientar las intervenciones terapéuticas. De este modo, la práctica deja de constituir un espacio de mera aplicación de contenidos previamente adquiridos para transformarse en una instancia de producción de nuevos aprendizajes a partir de la experiencia profesional situada. El análisis de las prácticas en la rotación hospitalaria, desde la perspectiva de </w:t>
      </w:r>
      <w:proofErr w:type="spellStart"/>
      <w:r w:rsidRPr="00CC5525">
        <w:rPr>
          <w:rFonts w:ascii="Times New Roman" w:hAnsi="Times New Roman" w:cs="Times New Roman"/>
          <w:lang w:val="es"/>
        </w:rPr>
        <w:t>Lucarelli</w:t>
      </w:r>
      <w:proofErr w:type="spellEnd"/>
      <w:r w:rsidRPr="00CC5525">
        <w:rPr>
          <w:rFonts w:ascii="Times New Roman" w:hAnsi="Times New Roman" w:cs="Times New Roman"/>
          <w:lang w:val="es"/>
        </w:rPr>
        <w:t xml:space="preserve"> (2009), permite identificar cómo la articulación teoría-práctica se concreta en las estrategias de enseñanza a través de modalidades particulares que expresan diferentes niveles de complejidad: la ejemplificación, que se manifiesta en explicaciones docentes, análisis de casos y uso de experiencias concretas de pacientes para demostrar o explicar conceptos teóricos generales (</w:t>
      </w:r>
      <w:proofErr w:type="spellStart"/>
      <w:r w:rsidRPr="00CC5525">
        <w:rPr>
          <w:rFonts w:ascii="Times New Roman" w:hAnsi="Times New Roman" w:cs="Times New Roman"/>
          <w:lang w:val="es"/>
        </w:rPr>
        <w:t>Lucarelli</w:t>
      </w:r>
      <w:proofErr w:type="spellEnd"/>
      <w:r w:rsidRPr="00CC5525">
        <w:rPr>
          <w:rFonts w:ascii="Times New Roman" w:hAnsi="Times New Roman" w:cs="Times New Roman"/>
          <w:lang w:val="es"/>
        </w:rPr>
        <w:t>, 2005), y la producción, que adquiere especial relevancia en este dispositivo formativo. Mediante la elaboración de historias clínicas, el seguimiento sistemático de pacientes, la toma de decisiones clínicas situadas y la presentación final de casos (como el análisis detallado del paciente con fractura de radio). Esta modalidad exige movilizar y reintegrar saberes previos frente a la incertidumbre del contexto real (por ejemplo, adaptar la movilidad y dosificar la carga ante la sensibilidad al dolor).</w:t>
      </w:r>
    </w:p>
    <w:p w14:paraId="02C982E2"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En los talleres, la articulación se construye mediante situaciones diseñadas para integrar conocimientos provenientes de diferentes espacios curriculares y promover el análisis compartido de problemas propios del ejercicio profesional. Las actividades propuestas favorecen la discusión grupal, la ejercitación, la resolución de situaciones problemáticas y la explicitación de criterios de intervención, configurando un espacio de preparación y </w:t>
      </w:r>
      <w:r w:rsidRPr="00CC5525">
        <w:rPr>
          <w:rFonts w:ascii="Times New Roman" w:hAnsi="Times New Roman" w:cs="Times New Roman"/>
          <w:lang w:val="es"/>
        </w:rPr>
        <w:lastRenderedPageBreak/>
        <w:t>consolidación de saberes que posteriormente son puestos en juego en los ámbitos de práctica.</w:t>
      </w:r>
    </w:p>
    <w:p w14:paraId="07AEC091"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Los talleres observados incluyen como estrategia de enseñanza el trabajo grupal, utilizando diversos recursos didácticos, entre ellos presentaciones, estudios por imágenes y casos clínicos. En todos ellos se reconoce una misma vía general de articulación teoría-práctica, orientada a la formación en la profesión y a la adquisición de la práctica profesional. En cuanto a sus formas específicas de expresión, predomina el entrenamiento en el rol profesional, mientras que, entre las modalidades particulares, se identifican la ejercitación de los estudiantes, la ejemplificación de la práctica profesional por parte de los docentes y la resolución de situaciones problemáticas. Cabe señalar que tanto la ejercitación como la ejemplificación promueven, en términos generales, una escasa orientación de la acción de los estudiantes hacia aprendizajes complejos y significativos. En el caso de la resolución de situaciones problemáticas —la cual presenta una mayor orientación al logro de aprendizajes significativos— “la articulación teoría-práctica se expresa a través de la presentación de problemas organizados de tal manera que posibilitan al sujeto del aprendizaje elaborar estrategias para abordarlas, darle resolución y fundamentarlas” (</w:t>
      </w:r>
      <w:proofErr w:type="spellStart"/>
      <w:r w:rsidRPr="00CC5525">
        <w:rPr>
          <w:rFonts w:ascii="Times New Roman" w:hAnsi="Times New Roman" w:cs="Times New Roman"/>
          <w:lang w:val="es"/>
        </w:rPr>
        <w:t>Lucarelli</w:t>
      </w:r>
      <w:proofErr w:type="spellEnd"/>
      <w:r w:rsidRPr="00CC5525">
        <w:rPr>
          <w:rFonts w:ascii="Times New Roman" w:hAnsi="Times New Roman" w:cs="Times New Roman"/>
          <w:lang w:val="es"/>
        </w:rPr>
        <w:t>, 2005, p. 20). No obstante, las situaciones problemáticas observadas en los talleres, si bien favorecen cierto avance hacia aprendizajes más complejos y significativos, por cómo fueron diseñadas y abordadas, no llegan a propiciar una problematización profunda de los contenidos ni una reflexión crítica que permita vincular las prácticas con sus fundamentos teóricos. En este sentido, los talleres operan como espacios que favorecen una articulación teoría-práctica orientada al entrenamiento profesional pero donde el foco está puesto en la aplicación más que en la construcción significativa del conocimiento o en el desarrollo de situaciones de aprendizaje más complejas.</w:t>
      </w:r>
    </w:p>
    <w:p w14:paraId="561E3173"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Los resultados muestran que ambos dispositivos —prácticas hospitalarias y talleres— desarrollan funciones diferenciadas pero complementarias dentro de la propuesta de formación. Mientras las clases prácticas posibilitan el aprendizaje en escenarios reales de intervención profesional, los talleres generan condiciones para relacionar, discutir y </w:t>
      </w:r>
      <w:proofErr w:type="spellStart"/>
      <w:r w:rsidRPr="00CC5525">
        <w:rPr>
          <w:rFonts w:ascii="Times New Roman" w:hAnsi="Times New Roman" w:cs="Times New Roman"/>
          <w:lang w:val="es"/>
        </w:rPr>
        <w:t>resignificar</w:t>
      </w:r>
      <w:proofErr w:type="spellEnd"/>
      <w:r w:rsidRPr="00CC5525">
        <w:rPr>
          <w:rFonts w:ascii="Times New Roman" w:hAnsi="Times New Roman" w:cs="Times New Roman"/>
          <w:lang w:val="es"/>
        </w:rPr>
        <w:t xml:space="preserve"> los conocimientos construidos durante el proceso formativo. En conjunto, ambos espacios contribuyen al desarrollo progresivo de aprendizajes complejos, fortaleciendo la relación entre reflexión conceptual y actuación profesional. </w:t>
      </w:r>
    </w:p>
    <w:p w14:paraId="5F5BF124"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Estas diferencias muestran que la articulación teoría-práctica no depende únicamente de los escenarios en los que transcurre la enseñanza, sino también de las decisiones didácticas que organizan cada uno de estos espacios. Precisamente, el análisis de dichas decisiones permite comprender cómo se favorece la construcción progresiva de aprendizajes complejos. </w:t>
      </w:r>
    </w:p>
    <w:p w14:paraId="653EE3F8"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Dentro de las categorías didácticas que se reconocen como vías (o modalidades) que asume esa articulación (</w:t>
      </w:r>
      <w:proofErr w:type="spellStart"/>
      <w:r w:rsidRPr="00CC5525">
        <w:rPr>
          <w:rFonts w:ascii="Times New Roman" w:hAnsi="Times New Roman" w:cs="Times New Roman"/>
          <w:lang w:val="es"/>
        </w:rPr>
        <w:t>Lucarelli</w:t>
      </w:r>
      <w:proofErr w:type="spellEnd"/>
      <w:r w:rsidRPr="00CC5525">
        <w:rPr>
          <w:rFonts w:ascii="Times New Roman" w:hAnsi="Times New Roman" w:cs="Times New Roman"/>
          <w:lang w:val="es"/>
        </w:rPr>
        <w:t>, 2009), se puede afirmar que en la clase se dan aquellas dos que aluden a un nivel más alto de generalidad;  es decir situaciones en las que la articulación entre momentos teóricos y prácticos se manifiesta con algunos rasgos que permiten reconocerla tanto como proceso general y genuino de aprendizaje (primera vía o modalidad) así como también</w:t>
      </w:r>
      <w:r w:rsidRPr="00CC5525">
        <w:rPr>
          <w:rFonts w:ascii="Times New Roman" w:hAnsi="Times New Roman" w:cs="Times New Roman"/>
          <w:i/>
          <w:iCs/>
          <w:lang w:val="es"/>
        </w:rPr>
        <w:t xml:space="preserve"> </w:t>
      </w:r>
      <w:r w:rsidRPr="00CC5525">
        <w:rPr>
          <w:rFonts w:ascii="Times New Roman" w:hAnsi="Times New Roman" w:cs="Times New Roman"/>
          <w:lang w:val="es"/>
        </w:rPr>
        <w:t xml:space="preserve">de </w:t>
      </w:r>
      <w:r w:rsidRPr="00CC5525">
        <w:rPr>
          <w:rFonts w:ascii="Times New Roman" w:hAnsi="Times New Roman" w:cs="Times New Roman"/>
          <w:i/>
          <w:iCs/>
          <w:lang w:val="es"/>
        </w:rPr>
        <w:t xml:space="preserve"> </w:t>
      </w:r>
      <w:r w:rsidRPr="00CC5525">
        <w:rPr>
          <w:rFonts w:ascii="Times New Roman" w:hAnsi="Times New Roman" w:cs="Times New Roman"/>
          <w:lang w:val="es"/>
        </w:rPr>
        <w:t xml:space="preserve">adquisición de conocimientos , actitudes, formas de </w:t>
      </w:r>
      <w:r w:rsidRPr="00CC5525">
        <w:rPr>
          <w:rFonts w:ascii="Times New Roman" w:hAnsi="Times New Roman" w:cs="Times New Roman"/>
          <w:lang w:val="es"/>
        </w:rPr>
        <w:lastRenderedPageBreak/>
        <w:t>operar específicas relativas a la práctica profesional, (segunda vía o modalidad). En relación a esta última, pudo observarse que, en todas las situaciones trabajadas en los prácticos y talleres, los contenidos y las actividades buscan que el estudiante vaya apropiándose de contenidos</w:t>
      </w:r>
      <w:r w:rsidRPr="00CC5525">
        <w:rPr>
          <w:rFonts w:ascii="Times New Roman" w:hAnsi="Times New Roman" w:cs="Times New Roman"/>
          <w:i/>
          <w:iCs/>
          <w:lang w:val="es"/>
        </w:rPr>
        <w:t xml:space="preserve"> </w:t>
      </w:r>
      <w:r w:rsidRPr="00CC5525">
        <w:rPr>
          <w:rFonts w:ascii="Times New Roman" w:hAnsi="Times New Roman" w:cs="Times New Roman"/>
          <w:lang w:val="es"/>
        </w:rPr>
        <w:t>específicos de la práctica profesional de un kinesiólogo.</w:t>
      </w:r>
    </w:p>
    <w:p w14:paraId="38BC7E88" w14:textId="77777777" w:rsidR="00CC5525" w:rsidRPr="00CC5525" w:rsidRDefault="00CC5525" w:rsidP="00CC5525">
      <w:pPr>
        <w:spacing w:line="240" w:lineRule="auto"/>
        <w:jc w:val="both"/>
        <w:rPr>
          <w:rFonts w:ascii="Times New Roman" w:hAnsi="Times New Roman" w:cs="Times New Roman"/>
          <w:b/>
          <w:bCs/>
          <w:lang w:val="es"/>
        </w:rPr>
      </w:pPr>
      <w:r w:rsidRPr="00CC5525">
        <w:rPr>
          <w:rFonts w:ascii="Times New Roman" w:hAnsi="Times New Roman" w:cs="Times New Roman"/>
          <w:b/>
          <w:bCs/>
          <w:lang w:val="es"/>
        </w:rPr>
        <w:t>Los dispositivos de enseñanza y la construcción de aprendizajes complejos</w:t>
      </w:r>
    </w:p>
    <w:p w14:paraId="324EEE4A"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El análisis realizado permite reconocer que la construcción de aprendizajes complejos constituye uno de los principales propósitos de la propuesta formativa analizada. Estos aprendizajes exceden la adquisición de conocimientos disciplinares y suponen el desarrollo progresivo de modos de observar, interpretar, decidir e intervenir propios del ejercicio profesional. En este sentido, las clases prácticas y los talleres se configuran como dispositivos de enseñanza diferenciados pero complementarios, que favorecen la integración de conocimientos conceptuales, procedimentales y actitudinales mediante experiencias de formación articuladas entre sí.</w:t>
      </w:r>
    </w:p>
    <w:p w14:paraId="19186048"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Las clases prácticas desarrolladas en los ámbitos hospitalarios sitúan a los estudiantes en escenarios reales de atención de pacientes, donde el aprendizaje se construye a partir de la observación, la participación progresiva en las intervenciones, la toma de decisiones y la retroalimentación permanente brindada por los docentes. Durante este proceso adquieren especial relevancia estrategias como el modelado, el andamiaje, la interrogación didáctica y la demostración de procedimientos profesionales. Estas intervenciones hacen visibles los criterios que orientan la práctica experta y favorecen que los estudiantes comprendan no solo cómo actuar, sino también por qué hacerlo de determinada manera. En este contexto, el desarrollo del razonamiento clínico ocupa un lugar central. Tal como señalan </w:t>
      </w:r>
      <w:proofErr w:type="spellStart"/>
      <w:r w:rsidRPr="00CC5525">
        <w:rPr>
          <w:rFonts w:ascii="Times New Roman" w:hAnsi="Times New Roman" w:cs="Times New Roman"/>
          <w:lang w:val="es"/>
        </w:rPr>
        <w:t>Nolla</w:t>
      </w:r>
      <w:proofErr w:type="spellEnd"/>
      <w:r w:rsidRPr="00CC5525">
        <w:rPr>
          <w:rFonts w:ascii="Times New Roman" w:hAnsi="Times New Roman" w:cs="Times New Roman"/>
          <w:lang w:val="es"/>
        </w:rPr>
        <w:t xml:space="preserve"> </w:t>
      </w:r>
      <w:proofErr w:type="spellStart"/>
      <w:r w:rsidRPr="00CC5525">
        <w:rPr>
          <w:rFonts w:ascii="Times New Roman" w:hAnsi="Times New Roman" w:cs="Times New Roman"/>
          <w:lang w:val="es"/>
        </w:rPr>
        <w:t>Domenjó</w:t>
      </w:r>
      <w:proofErr w:type="spellEnd"/>
      <w:r w:rsidRPr="00CC5525">
        <w:rPr>
          <w:rFonts w:ascii="Times New Roman" w:hAnsi="Times New Roman" w:cs="Times New Roman"/>
          <w:lang w:val="es"/>
        </w:rPr>
        <w:t xml:space="preserve"> (2006) y Viesca Treviño, Ponce de León y Sánchez Mendiola (2006), este constituye una actividad cognitiva compleja que integra conocimientos científicos, capacidades de observación, juicio profesional y toma de decisiones frente a problemas concretos de la práctica. Los resultados obtenidos muestran que dicho razonamiento no se enseña mediante explicaciones teóricas aisladas, sino a través de la participación de </w:t>
      </w:r>
      <w:proofErr w:type="gramStart"/>
      <w:r w:rsidRPr="00CC5525">
        <w:rPr>
          <w:rFonts w:ascii="Times New Roman" w:hAnsi="Times New Roman" w:cs="Times New Roman"/>
          <w:lang w:val="es"/>
        </w:rPr>
        <w:t>los estudiantes en situaciones auténticas de intervención, acompañadas</w:t>
      </w:r>
      <w:proofErr w:type="gramEnd"/>
      <w:r w:rsidRPr="00CC5525">
        <w:rPr>
          <w:rFonts w:ascii="Times New Roman" w:hAnsi="Times New Roman" w:cs="Times New Roman"/>
          <w:lang w:val="es"/>
        </w:rPr>
        <w:t xml:space="preserve"> por la orientación y retroalimentación permanente de los docentes.</w:t>
      </w:r>
    </w:p>
    <w:p w14:paraId="57326400"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Los talleres presentan una organización didáctica diferente. Mediante el trabajo grupal, el análisis de casos, la resolución de situaciones problemáticas y la discusión colectiva, ofrecen un espacio destinado a integrar y </w:t>
      </w:r>
      <w:proofErr w:type="spellStart"/>
      <w:r w:rsidRPr="00CC5525">
        <w:rPr>
          <w:rFonts w:ascii="Times New Roman" w:hAnsi="Times New Roman" w:cs="Times New Roman"/>
          <w:lang w:val="es"/>
        </w:rPr>
        <w:t>resignificar</w:t>
      </w:r>
      <w:proofErr w:type="spellEnd"/>
      <w:r w:rsidRPr="00CC5525">
        <w:rPr>
          <w:rFonts w:ascii="Times New Roman" w:hAnsi="Times New Roman" w:cs="Times New Roman"/>
          <w:lang w:val="es"/>
        </w:rPr>
        <w:t xml:space="preserve"> las experiencias desarrolladas en las prácticas y recuperar los contenidos trabajados en los teóricos. En este sentido, a diferencia de otros espacios curriculares de la asignatura, como las clases teóricas en las que predomina la exposición y transmisión de contenidos, los talleres se orientan a consolidar los saberes trabajados, favorecer la articulación entre teoría y práctica y promover una participación más activa de los estudiantes. De este modo, una de sus características distintivas es el lugar que adquiere el estudiante, tanto en su dimensión individual como colectiva. La situación didáctica habilita su actuación, mientras que el grupo cobra relevancia como sujeto de la tarea. Las actividades propuestas favorecen que los estudiantes expliciten criterios de intervención, confronten distintas alternativas de resolución y articulen conocimientos provenientes de diversos espacios curriculares, </w:t>
      </w:r>
      <w:r w:rsidRPr="00CC5525">
        <w:rPr>
          <w:rFonts w:ascii="Times New Roman" w:hAnsi="Times New Roman" w:cs="Times New Roman"/>
          <w:lang w:val="es"/>
        </w:rPr>
        <w:lastRenderedPageBreak/>
        <w:t>fortaleciendo procesos de reflexión que amplían la comprensión de los problemas profesionales abordados.</w:t>
      </w:r>
    </w:p>
    <w:p w14:paraId="43333688"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Desde la perspectiva de </w:t>
      </w:r>
      <w:proofErr w:type="spellStart"/>
      <w:r w:rsidRPr="00CC5525">
        <w:rPr>
          <w:rFonts w:ascii="Times New Roman" w:hAnsi="Times New Roman" w:cs="Times New Roman"/>
          <w:lang w:val="es"/>
        </w:rPr>
        <w:t>Lucarelli</w:t>
      </w:r>
      <w:proofErr w:type="spellEnd"/>
      <w:r w:rsidRPr="00CC5525">
        <w:rPr>
          <w:rFonts w:ascii="Times New Roman" w:hAnsi="Times New Roman" w:cs="Times New Roman"/>
          <w:lang w:val="es"/>
        </w:rPr>
        <w:t xml:space="preserve"> (2009), la articulación entre teoría y práctica se concreta mediante modalidades particulares que expresan diferentes niveles de complejidad. En las clases prácticas predominan la ejemplificación y la producción, mientras que en los talleres adquieren mayor presencia la ejercitación y la resolución de situaciones problemáticas. Lejos de constituir modalidades excluyentes, los resultados muestran que ambas se complementan y favorecen la construcción progresiva de aprendizajes complejos, en tanto promueven la integración de conocimientos conceptuales, procedimentales y actitudinales en situaciones vinculadas con el ejercicio profesional.</w:t>
      </w:r>
    </w:p>
    <w:p w14:paraId="1EBFD3C7"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Los resultados permiten reconocer que la enseñanza de aprendizajes complejos no depende de un único dispositivo ni de una estrategia didáctica particular. Por el contrario, emerge de una propuesta de enseñanza integrada en la que las clases prácticas y los talleres desarrollan funciones diferenciadas pero complementarias. Mientras las primeras favorecen la inmersión en escenarios reales de actuación profesional y la construcción del razonamiento clínico, los talleres ofrecen oportunidades para analizar, sistematizar, discutir y </w:t>
      </w:r>
      <w:proofErr w:type="spellStart"/>
      <w:r w:rsidRPr="00CC5525">
        <w:rPr>
          <w:rFonts w:ascii="Times New Roman" w:hAnsi="Times New Roman" w:cs="Times New Roman"/>
          <w:lang w:val="es"/>
        </w:rPr>
        <w:t>resignificar</w:t>
      </w:r>
      <w:proofErr w:type="spellEnd"/>
      <w:r w:rsidRPr="00CC5525">
        <w:rPr>
          <w:rFonts w:ascii="Times New Roman" w:hAnsi="Times New Roman" w:cs="Times New Roman"/>
          <w:lang w:val="es"/>
        </w:rPr>
        <w:t xml:space="preserve"> esas experiencias mediante procesos de reflexión colectiva e integración conceptual. En conjunto, ambos dispositivos contribuyen a la construcción progresiva del rol profesional y muestran que la formación en el campo de la salud requiere generar experiencias de enseñanza que articulen actuación, reflexión, intercambio y acompañamiento docente como condiciones para el desarrollo de aprendizajes complejos.</w:t>
      </w:r>
    </w:p>
    <w:p w14:paraId="402C4100"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Estos procesos no solo favorecen la apropiación progresiva de conocimientos y capacidades profesionales, sino que contribuyen a la construcción del rol profesional, entendida como un aprendizaje complejo que se desarrolla de manera gradual a lo largo de los distintos espacios formativos. </w:t>
      </w:r>
    </w:p>
    <w:p w14:paraId="7CC67051" w14:textId="77777777" w:rsidR="00CC5525" w:rsidRPr="00CC5525" w:rsidRDefault="00CC5525" w:rsidP="00CC5525">
      <w:pPr>
        <w:spacing w:line="240" w:lineRule="auto"/>
        <w:jc w:val="both"/>
        <w:rPr>
          <w:rFonts w:ascii="Times New Roman" w:hAnsi="Times New Roman" w:cs="Times New Roman"/>
          <w:b/>
          <w:bCs/>
          <w:lang w:val="es"/>
        </w:rPr>
      </w:pPr>
      <w:r w:rsidRPr="00CC5525">
        <w:rPr>
          <w:rFonts w:ascii="Times New Roman" w:hAnsi="Times New Roman" w:cs="Times New Roman"/>
          <w:b/>
          <w:bCs/>
          <w:lang w:val="es"/>
        </w:rPr>
        <w:t>La construcción progresiva del rol profesional en prácticos y talleres</w:t>
      </w:r>
    </w:p>
    <w:p w14:paraId="63CFD307"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El análisis de los dispositivos estudiados permite reconocer que la construcción del rol profesional constituye un proceso progresivo que atraviesa los distintos espacios formativos de la asignatura. Dicho proceso no se limita a la adquisición de conocimientos disciplinares ni al entrenamiento de habilidades técnicas, sino que implica la apropiación gradual de formas de observar, interpretar, decidir e intervenir propias del ejercicio profesional. En este sentido, el rol profesional se configura como un aprendizaje complejo cuya construcción requiere la articulación permanente entre teoría y práctica.</w:t>
      </w:r>
    </w:p>
    <w:p w14:paraId="36DF9A45"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Las clases prácticas desarrolladas en el ámbito hospitalario ocupan un lugar central en este proceso, ya que permiten a los estudiantes participar en situaciones reales de atención, asumir responsabilidades crecientes y enfrentar problemas clínicos cuya resolución exige integrar múltiples saberes. La observación del desempeño docente, la participación progresiva en las intervenciones, el seguimiento de pacientes y la retroalimentación permanente favorecen que los estudiantes desarrollen criterios de actuación profesional más allá de la mera ejecución de procedimientos. Como expresa una docente durante una de las observaciones: "Los enfrento con sus miedos. La próxima </w:t>
      </w:r>
      <w:r w:rsidRPr="00CC5525">
        <w:rPr>
          <w:rFonts w:ascii="Times New Roman" w:hAnsi="Times New Roman" w:cs="Times New Roman"/>
          <w:lang w:val="es"/>
        </w:rPr>
        <w:lastRenderedPageBreak/>
        <w:t>vez que vengan hagan la intervención", poniendo de manifiesto una intencionalidad pedagógica orientada a promover autonomía progresiva y confianza en el desempeño profesional.</w:t>
      </w:r>
    </w:p>
    <w:p w14:paraId="3B2E2408"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En este contexto, el docente no solo transmite conocimientos o demuestra procedimientos, sino que acompaña la construcción del juicio profesional mediante preguntas, orientaciones y devoluciones que ayudan a los estudiantes a fundamentar sus decisiones. Expresiones como "No es la pelea de quién tiene razón, piensen qué es lo mejor para el paciente", muestran que el foco de la enseñanza se desplaza desde la resolución técnica hacia el análisis de la singularidad de cada situación clínica, favoreciendo el desarrollo del razonamiento profesional.</w:t>
      </w:r>
    </w:p>
    <w:p w14:paraId="74290E03"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Los talleres contribuyen a esta construcción desde una lógica diferente. Al organizarse alrededor del análisis de casos, la resolución de situaciones problemáticas y el trabajo grupal, ofrecen un espacio para revisar las experiencias desarrolladas en las prácticas, confrontar diferentes perspectivas y construir colectivamente criterios de intervención. La propuesta docente de "jugar a que son kinesiólogos" sintetiza el sentido formativo de este dispositivo: generar condiciones para que los estudiantes ensayen modos de pensar y decidir propios del ejercicio profesional antes o después de enfrentarse a situaciones reales de intervención. Asimismo, en los talleres se abordan diversos contenidos desde un enfoque que se distancia del modelo biomédico tradicional predominante. Desde esta perspectiva, adquieren relevancia contenidos vinculados con la dimensión ética de la práctica profesional, particularmente aquellos relacionados con el respeto y la consideración hacia los pacientes, la empatía y el compromiso. Estos aspectos resultan fundamentales para la construcción del rol profesional y el desarrollo de una práctica kinésica comprometida con el cuidado integral de las personas. </w:t>
      </w:r>
    </w:p>
    <w:p w14:paraId="660B7163"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Los resultados obtenidos muestran que ninguno de estos espacios, por sí solo, resulta suficiente para favorecer la construcción del rol profesional. Es precisamente la complementariedad entre ambos dispositivos la que posibilita que los estudiantes alternen momentos de actuación situada con instancias de análisis, integración y reflexión sobre la práctica. Desde esta perspectiva, el aprendizaje profesional aparece como un proceso de complejidad creciente en el que las experiencias desarrolladas en un dispositivo adquieren sentido y se </w:t>
      </w:r>
      <w:proofErr w:type="spellStart"/>
      <w:r w:rsidRPr="00CC5525">
        <w:rPr>
          <w:rFonts w:ascii="Times New Roman" w:hAnsi="Times New Roman" w:cs="Times New Roman"/>
          <w:lang w:val="es"/>
        </w:rPr>
        <w:t>resignifican</w:t>
      </w:r>
      <w:proofErr w:type="spellEnd"/>
      <w:r w:rsidRPr="00CC5525">
        <w:rPr>
          <w:rFonts w:ascii="Times New Roman" w:hAnsi="Times New Roman" w:cs="Times New Roman"/>
          <w:lang w:val="es"/>
        </w:rPr>
        <w:t xml:space="preserve"> en el otro.</w:t>
      </w:r>
    </w:p>
    <w:p w14:paraId="6009DD2C"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En consecuencia, el estudio permite sostener que la construcción del rol profesional constituye una de las principales expresiones de los aprendizajes complejos promovidos por la propuesta de enseñanza analizada. Más que una competencia alcanzada al finalizar la formación, se configura como un proceso gradual de apropiación de modos de pensar, actuar y tomar decisiones que se desarrolla mediante la articulación entre diferentes dispositivos de enseñanza y el acompañamiento sistemático de los docentes. </w:t>
      </w:r>
    </w:p>
    <w:p w14:paraId="12CE0BCB" w14:textId="7BB1C29B" w:rsidR="005F3B2E" w:rsidRPr="007B5B5F" w:rsidRDefault="005F3B2E" w:rsidP="00CC5525">
      <w:pPr>
        <w:spacing w:line="240" w:lineRule="auto"/>
        <w:jc w:val="both"/>
        <w:rPr>
          <w:rFonts w:ascii="Times New Roman" w:hAnsi="Times New Roman" w:cs="Times New Roman"/>
          <w:b/>
          <w:bCs/>
        </w:rPr>
      </w:pPr>
      <w:r w:rsidRPr="007B5B5F">
        <w:rPr>
          <w:rFonts w:ascii="Times New Roman" w:hAnsi="Times New Roman" w:cs="Times New Roman"/>
          <w:b/>
          <w:bCs/>
        </w:rPr>
        <w:t>Conclusiones</w:t>
      </w:r>
    </w:p>
    <w:p w14:paraId="64113371"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El análisis realizado permitió profundizar la comprensión de las formas que adopta la articulación teoría-práctica en la formación universitaria en el campo de la salud y su contribución a la enseñanza de aprendizajes complejos. Los resultados muestran que dicha articulación no constituye una instancia de aplicación de conocimientos </w:t>
      </w:r>
      <w:r w:rsidRPr="00CC5525">
        <w:rPr>
          <w:rFonts w:ascii="Times New Roman" w:hAnsi="Times New Roman" w:cs="Times New Roman"/>
          <w:lang w:val="es"/>
        </w:rPr>
        <w:lastRenderedPageBreak/>
        <w:t>previamente adquiridos, sino un principio organizador de la propuesta de enseñanza que atraviesa los distintos dispositivos formativos y orienta las decisiones didácticas de los docentes.</w:t>
      </w:r>
    </w:p>
    <w:p w14:paraId="02EF52D1"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Asimismo, la investigación permitió reconocer que las clases prácticas y los talleres desarrollan funciones diferenciadas pero complementarias dentro de la formación profesional. Mientras las primeras favorecen la participación de los estudiantes en situaciones auténticas de intervención y la construcción progresiva del razonamiento clínico, los talleres generan espacios para la aplicación de conocimientos, la discusión de problemas, la explicitación de criterios de intervención y en menor medida, la reflexión profunda y significativa sobre la práctica. En el caso analizado, los procesos de mayor complejidad reflexiva y de construcción del razonamiento clínico se observaron predominantemente en la práctica hospitalaria, mientras que los talleres se orientaron principalmente hacia instancias de ejercitación y entrenamiento profesional.</w:t>
      </w:r>
    </w:p>
    <w:p w14:paraId="3248CA75"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En conjunto, ambos dispositivos —prácticas hospitalarias y talleres— contribuyen a la construcción del rol profesional mediante la articulación de saberes conceptuales, procedimentales y actitudinales.</w:t>
      </w:r>
    </w:p>
    <w:p w14:paraId="2D8BBCA1"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Desde una perspectiva didáctica, el estudio pone de manifiesto que la enseñanza de aprendizajes complejos requiere propuestas que integren diferentes estrategias y dispositivos, capaces de promover no solo la apropiación de conocimientos disciplinares, sino también el desarrollo del juicio profesional, la toma de decisiones fundamentadas, la autonomía progresiva y la reflexión crítica sobre la propia práctica. En este sentido, el caso analizado aporta evidencias acerca de la importancia que adquieren las decisiones didácticas de los docentes y la organización de los espacios formativos para favorecer la construcción progresiva del conocimiento profesional.</w:t>
      </w:r>
    </w:p>
    <w:p w14:paraId="64D039F6"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 xml:space="preserve">En este sentido, el estudio aporta evidencias empíricas acerca de cómo distintos dispositivos didácticos pueden asumir funciones diferenciadas y complementarias en la enseñanza de aprendizajes complejos durante la formación universitaria en el campo de la salud. Asimismo, ofrece categorías de análisis que permiten comprender la articulación entre teoría y práctica más allá de una lógica de aplicación, reconociendo su papel </w:t>
      </w:r>
      <w:proofErr w:type="spellStart"/>
      <w:r w:rsidRPr="00CC5525">
        <w:rPr>
          <w:rFonts w:ascii="Times New Roman" w:hAnsi="Times New Roman" w:cs="Times New Roman"/>
          <w:lang w:val="es"/>
        </w:rPr>
        <w:t>estructurante</w:t>
      </w:r>
      <w:proofErr w:type="spellEnd"/>
      <w:r w:rsidRPr="00CC5525">
        <w:rPr>
          <w:rFonts w:ascii="Times New Roman" w:hAnsi="Times New Roman" w:cs="Times New Roman"/>
          <w:lang w:val="es"/>
        </w:rPr>
        <w:t xml:space="preserve"> en la formación profesional. </w:t>
      </w:r>
    </w:p>
    <w:p w14:paraId="234C8B87" w14:textId="77777777" w:rsidR="00CC5525" w:rsidRPr="00CC5525" w:rsidRDefault="00CC5525" w:rsidP="00CC5525">
      <w:pPr>
        <w:spacing w:line="240" w:lineRule="auto"/>
        <w:jc w:val="both"/>
        <w:rPr>
          <w:rFonts w:ascii="Times New Roman" w:hAnsi="Times New Roman" w:cs="Times New Roman"/>
          <w:lang w:val="es"/>
        </w:rPr>
      </w:pPr>
      <w:r w:rsidRPr="00CC5525">
        <w:rPr>
          <w:rFonts w:ascii="Times New Roman" w:hAnsi="Times New Roman" w:cs="Times New Roman"/>
          <w:lang w:val="es"/>
        </w:rPr>
        <w:t>Finalmente, los resultados obtenidos permiten aportar elementos para la reflexión sobre la enseñanza universitaria en carreras del campo de la salud y abren nuevos interrogantes acerca de las modalidades que asume la articulación teoría-práctica en otros contextos de formación profesional. Profundizar el estudio de diferentes dispositivos de enseñanza y de las formas en que contribuyen al desarrollo de aprendizajes complejos constituye una línea de investigación relevante para continuar fortaleciendo el conocimiento didáctico sobre la formación universitaria.</w:t>
      </w:r>
    </w:p>
    <w:p w14:paraId="39B57161" w14:textId="06043017" w:rsidR="005F3B2E" w:rsidRDefault="005F3B2E" w:rsidP="00CC5525">
      <w:pPr>
        <w:spacing w:line="240" w:lineRule="auto"/>
        <w:jc w:val="both"/>
        <w:rPr>
          <w:rFonts w:ascii="Times New Roman" w:hAnsi="Times New Roman" w:cs="Times New Roman"/>
          <w:b/>
          <w:bCs/>
        </w:rPr>
      </w:pPr>
      <w:r w:rsidRPr="00BA642E">
        <w:rPr>
          <w:rFonts w:ascii="Times New Roman" w:hAnsi="Times New Roman" w:cs="Times New Roman"/>
          <w:b/>
          <w:bCs/>
        </w:rPr>
        <w:t>Referencias Bibliográficas (APA 7)</w:t>
      </w:r>
    </w:p>
    <w:p w14:paraId="4C140017" w14:textId="77777777" w:rsidR="00CC5525" w:rsidRDefault="00CC5525" w:rsidP="00CC5525">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Andreozzi</w:t>
      </w:r>
      <w:proofErr w:type="spellEnd"/>
      <w:r>
        <w:rPr>
          <w:rFonts w:ascii="Times New Roman" w:eastAsia="Times New Roman" w:hAnsi="Times New Roman" w:cs="Times New Roman"/>
        </w:rPr>
        <w:t xml:space="preserve">, M., et al. (1999). </w:t>
      </w:r>
      <w:r>
        <w:rPr>
          <w:rFonts w:ascii="Times New Roman" w:eastAsia="Times New Roman" w:hAnsi="Times New Roman" w:cs="Times New Roman"/>
          <w:i/>
          <w:iCs/>
        </w:rPr>
        <w:t>Profesionalización docente y autonomía del profesorado: Algunas notas teóricas</w:t>
      </w:r>
      <w:r>
        <w:rPr>
          <w:rFonts w:ascii="Times New Roman" w:eastAsia="Times New Roman" w:hAnsi="Times New Roman" w:cs="Times New Roman"/>
        </w:rPr>
        <w:t xml:space="preserve">. Revista Redes para la Organización y Administración. Temas Institucionales, Año </w:t>
      </w:r>
      <w:proofErr w:type="gramStart"/>
      <w:r>
        <w:rPr>
          <w:rFonts w:ascii="Times New Roman" w:eastAsia="Times New Roman" w:hAnsi="Times New Roman" w:cs="Times New Roman"/>
        </w:rPr>
        <w:t>IX(</w:t>
      </w:r>
      <w:proofErr w:type="gramEnd"/>
      <w:r>
        <w:rPr>
          <w:rFonts w:ascii="Times New Roman" w:eastAsia="Times New Roman" w:hAnsi="Times New Roman" w:cs="Times New Roman"/>
        </w:rPr>
        <w:t>99), mayo.</w:t>
      </w:r>
    </w:p>
    <w:p w14:paraId="36545809" w14:textId="77777777" w:rsidR="00CC5525" w:rsidRDefault="00CC5525" w:rsidP="00CC5525">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Bandura, A. (1982). </w:t>
      </w:r>
      <w:r>
        <w:rPr>
          <w:rFonts w:ascii="Times New Roman" w:eastAsia="Times New Roman" w:hAnsi="Times New Roman" w:cs="Times New Roman"/>
          <w:i/>
          <w:iCs/>
        </w:rPr>
        <w:t>Aprendizaje social</w:t>
      </w:r>
      <w:r>
        <w:rPr>
          <w:rFonts w:ascii="Times New Roman" w:eastAsia="Times New Roman" w:hAnsi="Times New Roman" w:cs="Times New Roman"/>
        </w:rPr>
        <w:t>. Espasa-Calpe.</w:t>
      </w:r>
    </w:p>
    <w:p w14:paraId="5CC21767" w14:textId="77777777" w:rsidR="00CC5525" w:rsidRDefault="00CC5525" w:rsidP="00CC5525">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Bandura, A., &amp; </w:t>
      </w:r>
      <w:proofErr w:type="spellStart"/>
      <w:r>
        <w:rPr>
          <w:rFonts w:ascii="Times New Roman" w:eastAsia="Times New Roman" w:hAnsi="Times New Roman" w:cs="Times New Roman"/>
        </w:rPr>
        <w:t>Walters</w:t>
      </w:r>
      <w:proofErr w:type="spellEnd"/>
      <w:r>
        <w:rPr>
          <w:rFonts w:ascii="Times New Roman" w:eastAsia="Times New Roman" w:hAnsi="Times New Roman" w:cs="Times New Roman"/>
        </w:rPr>
        <w:t xml:space="preserve">, R. H. (1987). </w:t>
      </w:r>
      <w:r>
        <w:rPr>
          <w:rFonts w:ascii="Times New Roman" w:eastAsia="Times New Roman" w:hAnsi="Times New Roman" w:cs="Times New Roman"/>
          <w:i/>
          <w:iCs/>
        </w:rPr>
        <w:t>Pensamiento y acción. Fundamentos sociales</w:t>
      </w:r>
      <w:r>
        <w:rPr>
          <w:rFonts w:ascii="Times New Roman" w:eastAsia="Times New Roman" w:hAnsi="Times New Roman" w:cs="Times New Roman"/>
        </w:rPr>
        <w:t>. Martínez Roca.</w:t>
      </w:r>
    </w:p>
    <w:p w14:paraId="1D08A4DC" w14:textId="77777777" w:rsidR="00CC5525" w:rsidRDefault="00CC5525" w:rsidP="00CC5525">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Lucarelli</w:t>
      </w:r>
      <w:proofErr w:type="spellEnd"/>
      <w:r>
        <w:rPr>
          <w:rFonts w:ascii="Times New Roman" w:eastAsia="Times New Roman" w:hAnsi="Times New Roman" w:cs="Times New Roman"/>
        </w:rPr>
        <w:t xml:space="preserve">, E. (2005). </w:t>
      </w:r>
      <w:r>
        <w:rPr>
          <w:rFonts w:ascii="Times New Roman" w:eastAsia="Times New Roman" w:hAnsi="Times New Roman" w:cs="Times New Roman"/>
          <w:i/>
          <w:iCs/>
        </w:rPr>
        <w:t>Innovación en el aula: El eje de la articulación teoría-práctica en la universidad</w:t>
      </w:r>
      <w:r>
        <w:rPr>
          <w:rFonts w:ascii="Times New Roman" w:eastAsia="Times New Roman" w:hAnsi="Times New Roman" w:cs="Times New Roman"/>
        </w:rPr>
        <w:t xml:space="preserve">. Cuadernillo </w:t>
      </w:r>
      <w:proofErr w:type="spellStart"/>
      <w:r>
        <w:rPr>
          <w:rFonts w:ascii="Times New Roman" w:eastAsia="Times New Roman" w:hAnsi="Times New Roman" w:cs="Times New Roman"/>
        </w:rPr>
        <w:t>OPFyL</w:t>
      </w:r>
      <w:proofErr w:type="spellEnd"/>
      <w:r>
        <w:rPr>
          <w:rFonts w:ascii="Times New Roman" w:eastAsia="Times New Roman" w:hAnsi="Times New Roman" w:cs="Times New Roman"/>
        </w:rPr>
        <w:t xml:space="preserve"> 5/25/03. Facultad de Filosofía y Letras, Universidad de Buenos Aires.</w:t>
      </w:r>
    </w:p>
    <w:p w14:paraId="6FA9489C" w14:textId="77777777" w:rsidR="00CC5525" w:rsidRDefault="00CC5525" w:rsidP="00CC5525">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Lucarelli</w:t>
      </w:r>
      <w:proofErr w:type="spellEnd"/>
      <w:r>
        <w:rPr>
          <w:rFonts w:ascii="Times New Roman" w:eastAsia="Times New Roman" w:hAnsi="Times New Roman" w:cs="Times New Roman"/>
        </w:rPr>
        <w:t xml:space="preserve">, E. (2009). </w:t>
      </w:r>
      <w:r>
        <w:rPr>
          <w:rFonts w:ascii="Times New Roman" w:eastAsia="Times New Roman" w:hAnsi="Times New Roman" w:cs="Times New Roman"/>
          <w:i/>
          <w:iCs/>
        </w:rPr>
        <w:t>Teoría y práctica en la universidad: La innovación en las aulas</w:t>
      </w:r>
      <w:r>
        <w:rPr>
          <w:rFonts w:ascii="Times New Roman" w:eastAsia="Times New Roman" w:hAnsi="Times New Roman" w:cs="Times New Roman"/>
        </w:rPr>
        <w:t>. Miño y Dávila.</w:t>
      </w:r>
    </w:p>
    <w:p w14:paraId="4C538DD2" w14:textId="77777777" w:rsidR="00CC5525" w:rsidRDefault="00CC5525" w:rsidP="00CC5525">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Lucarelli</w:t>
      </w:r>
      <w:proofErr w:type="spellEnd"/>
      <w:r>
        <w:rPr>
          <w:rFonts w:ascii="Times New Roman" w:eastAsia="Times New Roman" w:hAnsi="Times New Roman" w:cs="Times New Roman"/>
        </w:rPr>
        <w:t xml:space="preserve">, E., Calvo, G., Del </w:t>
      </w:r>
      <w:proofErr w:type="spellStart"/>
      <w:r>
        <w:rPr>
          <w:rFonts w:ascii="Times New Roman" w:eastAsia="Times New Roman" w:hAnsi="Times New Roman" w:cs="Times New Roman"/>
        </w:rPr>
        <w:t>Regno</w:t>
      </w:r>
      <w:proofErr w:type="spellEnd"/>
      <w:r>
        <w:rPr>
          <w:rFonts w:ascii="Times New Roman" w:eastAsia="Times New Roman" w:hAnsi="Times New Roman" w:cs="Times New Roman"/>
        </w:rPr>
        <w:t xml:space="preserve">, P., </w:t>
      </w:r>
      <w:proofErr w:type="spellStart"/>
      <w:r>
        <w:rPr>
          <w:rFonts w:ascii="Times New Roman" w:eastAsia="Times New Roman" w:hAnsi="Times New Roman" w:cs="Times New Roman"/>
        </w:rPr>
        <w:t>Solberg</w:t>
      </w:r>
      <w:proofErr w:type="spellEnd"/>
      <w:r>
        <w:rPr>
          <w:rFonts w:ascii="Times New Roman" w:eastAsia="Times New Roman" w:hAnsi="Times New Roman" w:cs="Times New Roman"/>
        </w:rPr>
        <w:t xml:space="preserve">, V., &amp; Viñas, W. (2016). Prácticas profesionales e innovación en la enseñanza universitaria. En M. C. </w:t>
      </w:r>
      <w:proofErr w:type="spellStart"/>
      <w:r>
        <w:rPr>
          <w:rFonts w:ascii="Times New Roman" w:eastAsia="Times New Roman" w:hAnsi="Times New Roman" w:cs="Times New Roman"/>
        </w:rPr>
        <w:t>Insaurralde</w:t>
      </w:r>
      <w:proofErr w:type="spellEnd"/>
      <w:r>
        <w:rPr>
          <w:rFonts w:ascii="Times New Roman" w:eastAsia="Times New Roman" w:hAnsi="Times New Roman" w:cs="Times New Roman"/>
        </w:rPr>
        <w:t xml:space="preserve"> (Comp.), </w:t>
      </w:r>
      <w:r>
        <w:rPr>
          <w:rFonts w:ascii="Times New Roman" w:eastAsia="Times New Roman" w:hAnsi="Times New Roman" w:cs="Times New Roman"/>
          <w:i/>
          <w:iCs/>
        </w:rPr>
        <w:t>La enseñanza en la educación superior. Investigaciones, experiencias y desafíos</w:t>
      </w:r>
      <w:r>
        <w:rPr>
          <w:rFonts w:ascii="Times New Roman" w:eastAsia="Times New Roman" w:hAnsi="Times New Roman" w:cs="Times New Roman"/>
        </w:rPr>
        <w:t xml:space="preserve"> (Tomo 2). Novedades Educativas.</w:t>
      </w:r>
    </w:p>
    <w:p w14:paraId="3C748296" w14:textId="77777777" w:rsidR="00CC5525" w:rsidRDefault="00CC5525" w:rsidP="00CC5525">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Nolla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Domenjó</w:t>
      </w:r>
      <w:proofErr w:type="spellEnd"/>
      <w:r>
        <w:rPr>
          <w:rFonts w:ascii="Times New Roman" w:eastAsia="Times New Roman" w:hAnsi="Times New Roman" w:cs="Times New Roman"/>
        </w:rPr>
        <w:t xml:space="preserve">, M. (2006). El proceso cognitivo y el aprendizaje profesional. </w:t>
      </w:r>
      <w:r>
        <w:rPr>
          <w:rFonts w:ascii="Times New Roman" w:eastAsia="Times New Roman" w:hAnsi="Times New Roman" w:cs="Times New Roman"/>
          <w:i/>
          <w:iCs/>
        </w:rPr>
        <w:t>Educación Médica, 9</w:t>
      </w:r>
      <w:r>
        <w:rPr>
          <w:rFonts w:ascii="Times New Roman" w:eastAsia="Times New Roman" w:hAnsi="Times New Roman" w:cs="Times New Roman"/>
        </w:rPr>
        <w:t>(1), 11-16.</w:t>
      </w:r>
    </w:p>
    <w:p w14:paraId="5CC29167" w14:textId="77777777" w:rsidR="00CC5525" w:rsidRDefault="00CC5525" w:rsidP="00CC5525">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Sirvent</w:t>
      </w:r>
      <w:proofErr w:type="spellEnd"/>
      <w:r>
        <w:rPr>
          <w:rFonts w:ascii="Times New Roman" w:eastAsia="Times New Roman" w:hAnsi="Times New Roman" w:cs="Times New Roman"/>
        </w:rPr>
        <w:t xml:space="preserve">, M. T. &amp; </w:t>
      </w:r>
      <w:proofErr w:type="spellStart"/>
      <w:r>
        <w:rPr>
          <w:rFonts w:ascii="Times New Roman" w:eastAsia="Times New Roman" w:hAnsi="Times New Roman" w:cs="Times New Roman"/>
        </w:rPr>
        <w:t>Rigal</w:t>
      </w:r>
      <w:proofErr w:type="spellEnd"/>
      <w:r>
        <w:rPr>
          <w:rFonts w:ascii="Times New Roman" w:eastAsia="Times New Roman" w:hAnsi="Times New Roman" w:cs="Times New Roman"/>
        </w:rPr>
        <w:t xml:space="preserve">, L. (2023). </w:t>
      </w:r>
      <w:r>
        <w:rPr>
          <w:rFonts w:ascii="Times New Roman" w:eastAsia="Times New Roman" w:hAnsi="Times New Roman" w:cs="Times New Roman"/>
          <w:i/>
          <w:iCs/>
        </w:rPr>
        <w:t>La investigación social en Educación. Diferentes caminos epistemológicos, lógicos y metodológicos de producción del conocimiento</w:t>
      </w:r>
      <w:r>
        <w:rPr>
          <w:rFonts w:ascii="Times New Roman" w:eastAsia="Times New Roman" w:hAnsi="Times New Roman" w:cs="Times New Roman"/>
        </w:rPr>
        <w:t xml:space="preserve">. Miño y Dávila </w:t>
      </w:r>
    </w:p>
    <w:p w14:paraId="2F50FF40" w14:textId="77777777" w:rsidR="00CC5525" w:rsidRDefault="00CC5525" w:rsidP="00CC5525">
      <w:pPr>
        <w:spacing w:before="240" w:after="24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Schön</w:t>
      </w:r>
      <w:proofErr w:type="spellEnd"/>
      <w:r>
        <w:rPr>
          <w:rFonts w:ascii="Times New Roman" w:eastAsia="Times New Roman" w:hAnsi="Times New Roman" w:cs="Times New Roman"/>
        </w:rPr>
        <w:t xml:space="preserve">, D. A. (1992). </w:t>
      </w:r>
      <w:r>
        <w:rPr>
          <w:rFonts w:ascii="Times New Roman" w:eastAsia="Times New Roman" w:hAnsi="Times New Roman" w:cs="Times New Roman"/>
          <w:i/>
          <w:iCs/>
        </w:rPr>
        <w:t>La formación de profesionales reflexivos. Hacia un nuevo diseño de la enseñanza y el aprendizaje en las profesiones</w:t>
      </w:r>
      <w:r>
        <w:rPr>
          <w:rFonts w:ascii="Times New Roman" w:eastAsia="Times New Roman" w:hAnsi="Times New Roman" w:cs="Times New Roman"/>
        </w:rPr>
        <w:t>. Paidós.</w:t>
      </w:r>
    </w:p>
    <w:p w14:paraId="515D0421" w14:textId="77777777" w:rsidR="00CC5525" w:rsidRDefault="00CC5525" w:rsidP="00CC5525">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Viesca Treviño, C., Ponce de León, M. E., &amp; Sánchez Mendiola, M. (2006). </w:t>
      </w:r>
      <w:r>
        <w:rPr>
          <w:rFonts w:ascii="Times New Roman" w:eastAsia="Times New Roman" w:hAnsi="Times New Roman" w:cs="Times New Roman"/>
          <w:i/>
          <w:iCs/>
        </w:rPr>
        <w:t>Razonamiento clínico</w:t>
      </w:r>
      <w:r>
        <w:rPr>
          <w:rFonts w:ascii="Times New Roman" w:eastAsia="Times New Roman" w:hAnsi="Times New Roman" w:cs="Times New Roman"/>
        </w:rPr>
        <w:t xml:space="preserve">. Ponencia presentada en el Seminario </w:t>
      </w:r>
      <w:r>
        <w:rPr>
          <w:rFonts w:ascii="Times New Roman" w:eastAsia="Times New Roman" w:hAnsi="Times New Roman" w:cs="Times New Roman"/>
          <w:i/>
          <w:iCs/>
        </w:rPr>
        <w:t>El ejercicio actual de la Medicina</w:t>
      </w:r>
      <w:r>
        <w:rPr>
          <w:rFonts w:ascii="Times New Roman" w:eastAsia="Times New Roman" w:hAnsi="Times New Roman" w:cs="Times New Roman"/>
        </w:rPr>
        <w:t>. Facultad de Medicina, Universidad Nacional Autónoma de México.</w:t>
      </w:r>
    </w:p>
    <w:p w14:paraId="28821E8F" w14:textId="77777777" w:rsidR="00CC5525" w:rsidRPr="00BA642E" w:rsidRDefault="00CC5525" w:rsidP="00CC5525">
      <w:pPr>
        <w:spacing w:line="240" w:lineRule="auto"/>
        <w:jc w:val="both"/>
        <w:rPr>
          <w:rFonts w:ascii="Times New Roman" w:hAnsi="Times New Roman" w:cs="Times New Roman"/>
          <w:b/>
          <w:bCs/>
        </w:rPr>
      </w:pPr>
    </w:p>
    <w:sectPr w:rsidR="00CC5525"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7A44B" w14:textId="77777777" w:rsidR="00F773AA" w:rsidRPr="00BA642E" w:rsidRDefault="00F773AA" w:rsidP="00C802F5">
      <w:pPr>
        <w:spacing w:after="0" w:line="240" w:lineRule="auto"/>
      </w:pPr>
      <w:r w:rsidRPr="00BA642E">
        <w:separator/>
      </w:r>
    </w:p>
  </w:endnote>
  <w:endnote w:type="continuationSeparator" w:id="0">
    <w:p w14:paraId="51AABF4E" w14:textId="77777777" w:rsidR="00F773AA" w:rsidRPr="00BA642E" w:rsidRDefault="00F773A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BE99F" w14:textId="77777777" w:rsidR="00F773AA" w:rsidRPr="00BA642E" w:rsidRDefault="00F773AA" w:rsidP="00C802F5">
      <w:pPr>
        <w:spacing w:after="0" w:line="240" w:lineRule="auto"/>
      </w:pPr>
      <w:r w:rsidRPr="00BA642E">
        <w:separator/>
      </w:r>
    </w:p>
  </w:footnote>
  <w:footnote w:type="continuationSeparator" w:id="0">
    <w:p w14:paraId="74CDDB11" w14:textId="77777777" w:rsidR="00F773AA" w:rsidRPr="00BA642E" w:rsidRDefault="00F773AA"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4040C0"/>
    <w:rsid w:val="00437E9C"/>
    <w:rsid w:val="0054216A"/>
    <w:rsid w:val="00550766"/>
    <w:rsid w:val="005F3B2E"/>
    <w:rsid w:val="00701F64"/>
    <w:rsid w:val="007B5B5F"/>
    <w:rsid w:val="007D233B"/>
    <w:rsid w:val="007F1996"/>
    <w:rsid w:val="0085070B"/>
    <w:rsid w:val="008A1D1E"/>
    <w:rsid w:val="008D5A30"/>
    <w:rsid w:val="00A1594F"/>
    <w:rsid w:val="00A17247"/>
    <w:rsid w:val="00B54B03"/>
    <w:rsid w:val="00BA642E"/>
    <w:rsid w:val="00BC236F"/>
    <w:rsid w:val="00BD24BB"/>
    <w:rsid w:val="00C310C7"/>
    <w:rsid w:val="00C73105"/>
    <w:rsid w:val="00C802F5"/>
    <w:rsid w:val="00C96B2C"/>
    <w:rsid w:val="00CC04C1"/>
    <w:rsid w:val="00CC5525"/>
    <w:rsid w:val="00D843EC"/>
    <w:rsid w:val="00DD7389"/>
    <w:rsid w:val="00E67346"/>
    <w:rsid w:val="00F773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anablardoni@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12</Pages>
  <Words>5772</Words>
  <Characters>31747</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Cuenta Microsoft</cp:lastModifiedBy>
  <cp:revision>14</cp:revision>
  <dcterms:created xsi:type="dcterms:W3CDTF">2026-03-14T03:50:00Z</dcterms:created>
  <dcterms:modified xsi:type="dcterms:W3CDTF">2026-07-06T17:51:00Z</dcterms:modified>
</cp:coreProperties>
</file>