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77CA1361" w14:textId="77777777" w:rsidR="00872E16" w:rsidRPr="00872E16" w:rsidRDefault="00872E16" w:rsidP="00872E16">
      <w:pPr>
        <w:spacing w:after="0"/>
        <w:jc w:val="center"/>
        <w:rPr>
          <w:rFonts w:ascii="Times New Roman" w:hAnsi="Times New Roman" w:cs="Times New Roman"/>
          <w:b/>
          <w:bCs/>
          <w:lang w:val="es-AR"/>
        </w:rPr>
      </w:pPr>
      <w:r w:rsidRPr="00872E16">
        <w:rPr>
          <w:rFonts w:ascii="Times New Roman" w:hAnsi="Times New Roman" w:cs="Times New Roman"/>
          <w:b/>
          <w:bCs/>
          <w:lang w:val="es-AR"/>
        </w:rPr>
        <w:t>La consigna como artefacto de expansión:</w:t>
      </w:r>
    </w:p>
    <w:p w14:paraId="1E56638E" w14:textId="77777777" w:rsidR="00872E16" w:rsidRPr="00872E16" w:rsidRDefault="00872E16" w:rsidP="00872E16">
      <w:pPr>
        <w:spacing w:after="0"/>
        <w:jc w:val="center"/>
        <w:rPr>
          <w:rFonts w:ascii="Times New Roman" w:hAnsi="Times New Roman" w:cs="Times New Roman"/>
          <w:b/>
          <w:bCs/>
          <w:lang w:val="es-AR"/>
        </w:rPr>
      </w:pPr>
      <w:r w:rsidRPr="00872E16">
        <w:rPr>
          <w:rFonts w:ascii="Times New Roman" w:hAnsi="Times New Roman" w:cs="Times New Roman"/>
          <w:b/>
          <w:bCs/>
          <w:lang w:val="es-AR"/>
        </w:rPr>
        <w:t>decisiones metodológicas en una investigación sobre</w:t>
      </w:r>
    </w:p>
    <w:p w14:paraId="7336070A" w14:textId="77777777" w:rsidR="00872E16" w:rsidRPr="00872E16" w:rsidRDefault="00872E16" w:rsidP="00872E16">
      <w:pPr>
        <w:spacing w:after="0"/>
        <w:jc w:val="center"/>
        <w:rPr>
          <w:rFonts w:ascii="Times New Roman" w:hAnsi="Times New Roman" w:cs="Times New Roman"/>
          <w:b/>
          <w:bCs/>
          <w:lang w:val="es-AR"/>
        </w:rPr>
      </w:pPr>
      <w:r w:rsidRPr="00872E16">
        <w:rPr>
          <w:rFonts w:ascii="Times New Roman" w:hAnsi="Times New Roman" w:cs="Times New Roman"/>
          <w:b/>
          <w:bCs/>
          <w:lang w:val="es-AR"/>
        </w:rPr>
        <w:t>aprendizaje colaborativo en la universidad</w:t>
      </w:r>
    </w:p>
    <w:p w14:paraId="43C49479" w14:textId="77777777" w:rsidR="005F3B2E" w:rsidRPr="00BA642E" w:rsidRDefault="005F3B2E" w:rsidP="006840C6">
      <w:pPr>
        <w:rPr>
          <w:rFonts w:ascii="Times New Roman" w:hAnsi="Times New Roman" w:cs="Times New Roman"/>
        </w:rPr>
      </w:pPr>
    </w:p>
    <w:p w14:paraId="4E738780" w14:textId="27CEC3DA" w:rsidR="005F3B2E" w:rsidRPr="00BA642E" w:rsidRDefault="00C064E6" w:rsidP="005F3B2E">
      <w:pPr>
        <w:spacing w:after="0" w:line="240" w:lineRule="auto"/>
        <w:jc w:val="right"/>
        <w:rPr>
          <w:rFonts w:ascii="Times New Roman" w:hAnsi="Times New Roman" w:cs="Times New Roman"/>
        </w:rPr>
      </w:pPr>
      <w:r>
        <w:rPr>
          <w:rFonts w:ascii="Times New Roman" w:hAnsi="Times New Roman" w:cs="Times New Roman"/>
        </w:rPr>
        <w:t>Kasem Héctor Edgardo</w:t>
      </w:r>
    </w:p>
    <w:p w14:paraId="6C2AECCA" w14:textId="26382D9A" w:rsidR="005F3B2E" w:rsidRPr="00BA642E" w:rsidRDefault="00C064E6" w:rsidP="005F3B2E">
      <w:pPr>
        <w:spacing w:after="0" w:line="240" w:lineRule="auto"/>
        <w:jc w:val="right"/>
        <w:rPr>
          <w:rFonts w:ascii="Times New Roman" w:hAnsi="Times New Roman" w:cs="Times New Roman"/>
        </w:rPr>
      </w:pPr>
      <w:r>
        <w:rPr>
          <w:rFonts w:ascii="Times New Roman" w:hAnsi="Times New Roman" w:cs="Times New Roman"/>
        </w:rPr>
        <w:t>Universidad Nacional de L</w:t>
      </w:r>
      <w:r w:rsidR="006840C6">
        <w:rPr>
          <w:rFonts w:ascii="Times New Roman" w:hAnsi="Times New Roman" w:cs="Times New Roman"/>
        </w:rPr>
        <w:t>uján</w:t>
      </w:r>
    </w:p>
    <w:p w14:paraId="7B9027E2" w14:textId="24E6ED0F" w:rsidR="00BA642E" w:rsidRDefault="006840C6" w:rsidP="006840C6">
      <w:pPr>
        <w:spacing w:after="0" w:line="240" w:lineRule="auto"/>
        <w:jc w:val="right"/>
        <w:rPr>
          <w:rFonts w:ascii="Times New Roman" w:hAnsi="Times New Roman" w:cs="Times New Roman"/>
        </w:rPr>
      </w:pPr>
      <w:r>
        <w:rPr>
          <w:rFonts w:ascii="Times New Roman" w:hAnsi="Times New Roman" w:cs="Times New Roman"/>
        </w:rPr>
        <w:t>hector.kasem@gmail.com</w:t>
      </w:r>
    </w:p>
    <w:p w14:paraId="4C672462" w14:textId="77777777" w:rsidR="006840C6" w:rsidRPr="00BA642E" w:rsidRDefault="006840C6" w:rsidP="005F3B2E">
      <w:pPr>
        <w:rPr>
          <w:rFonts w:ascii="Times New Roman" w:hAnsi="Times New Roman" w:cs="Times New Roman"/>
          <w:b/>
          <w:bCs/>
        </w:rPr>
      </w:pPr>
    </w:p>
    <w:p w14:paraId="7F438261" w14:textId="6D2AF1AA" w:rsidR="006365BD" w:rsidRDefault="00BA642E" w:rsidP="006365BD">
      <w:pPr>
        <w:spacing w:after="180"/>
        <w:jc w:val="both"/>
        <w:rPr>
          <w:rFonts w:ascii="Times New Roman" w:hAnsi="Times New Roman" w:cs="Times New Roman"/>
        </w:rPr>
      </w:pPr>
      <w:r w:rsidRPr="006365BD">
        <w:rPr>
          <w:rFonts w:ascii="Times New Roman" w:hAnsi="Times New Roman" w:cs="Times New Roman"/>
          <w:b/>
          <w:bCs/>
          <w:lang w:val="es-ES"/>
        </w:rPr>
        <w:t>Resumen</w:t>
      </w:r>
    </w:p>
    <w:p w14:paraId="35A6682C" w14:textId="7113F3D1" w:rsidR="00BA642E" w:rsidRPr="006840C6" w:rsidRDefault="00872E16" w:rsidP="006840C6">
      <w:pPr>
        <w:spacing w:after="180"/>
        <w:jc w:val="both"/>
        <w:rPr>
          <w:rFonts w:ascii="Times New Roman" w:hAnsi="Times New Roman" w:cs="Times New Roman"/>
          <w:lang w:val="es-AR"/>
        </w:rPr>
      </w:pPr>
      <w:r w:rsidRPr="00872E16">
        <w:rPr>
          <w:rFonts w:ascii="Times New Roman" w:hAnsi="Times New Roman" w:cs="Times New Roman"/>
          <w:lang w:val="es-AR"/>
        </w:rPr>
        <w:t xml:space="preserve">La presente ponencia aborda la tensión existente entre el formato de transmisión tradicional universitario, caracterizado por ser predominantemente declarativo e instruccional, y la necesidad de promover operaciones cognitivas orientadas a la autonomía mediante el trabajo colaborativo. El estudio toma como caso una asignatura de Profesorado de Universidad Nacional. El objetivo central es analizar de qué manera las características de las consignas de trabajo configuran los procesos de interacción colaborativa (docente-alumno, alumno-alumno) y cómo estos se relacionan con el desarrollo del aprendizaje expansivo, en contraste con el sistema de actividad instruccional tradicional. El marco teórico se fundamenta en la Teoría de la Actividad Histórico-Cultural (TAHC), particularmente en los aportes de Engeström sobre los sistemas de actividad. El aprendizaje expansivo se concibe no como una mera reproducción, sino como la creación de una diferencia ante situaciones inéditas u “objetos desbocados”. Se integran los desarrollos de Sannino sobre el “doble bucle” y la retroducción, procesos donde el aprendizaje normalizado entra en tensión y ruptura para generar nuevas explicaciones a los problemas. Asimismo, se incorporan los conceptos de Lave y Wenger sobre la participación periférica legítima y las comunidades de aprendizaje, junto con los aportes de Riestra y </w:t>
      </w:r>
      <w:proofErr w:type="spellStart"/>
      <w:r w:rsidRPr="00872E16">
        <w:rPr>
          <w:rFonts w:ascii="Times New Roman" w:hAnsi="Times New Roman" w:cs="Times New Roman"/>
          <w:lang w:val="es-AR"/>
        </w:rPr>
        <w:t>Talízina</w:t>
      </w:r>
      <w:proofErr w:type="spellEnd"/>
      <w:r w:rsidRPr="00872E16">
        <w:rPr>
          <w:rFonts w:ascii="Times New Roman" w:hAnsi="Times New Roman" w:cs="Times New Roman"/>
          <w:lang w:val="es-AR"/>
        </w:rPr>
        <w:t xml:space="preserve"> para posicionar a la consigna como el artefacto mediador que estructura la acción y posibilita la internalización. Metodológicamente, la investigación adopta un enfoque cualitativo, situado y heurístico, alejándose de diseños </w:t>
      </w:r>
      <w:proofErr w:type="spellStart"/>
      <w:r w:rsidRPr="00872E16">
        <w:rPr>
          <w:rFonts w:ascii="Times New Roman" w:hAnsi="Times New Roman" w:cs="Times New Roman"/>
          <w:lang w:val="es-AR"/>
        </w:rPr>
        <w:t>protoexperimentales</w:t>
      </w:r>
      <w:proofErr w:type="spellEnd"/>
      <w:r w:rsidRPr="00872E16">
        <w:rPr>
          <w:rFonts w:ascii="Times New Roman" w:hAnsi="Times New Roman" w:cs="Times New Roman"/>
          <w:lang w:val="es-AR"/>
        </w:rPr>
        <w:t xml:space="preserve"> para observar la actividad real y descontrolada del aprendizaje. Se asume la “metodología expansiva” propuesta por Engeström, estructurada en dos grandes niveles analíticos. Primero, un análisis histórico-objetual y teórico-histórico para mapear el sistema mediante la revisión documental (planes de estudio, digestos) y entrevistas en profundidad a docentes históricos, buscando recuperar las tradiciones y contradicciones pasadas de la cátedra. Segundo, un análisis empírico actual enfocado en la materialidad de la acción en el aula. Para ello, se diseñaron instrumentos específicos: observaciones etnográficas con protocolos de doble entrada </w:t>
      </w:r>
      <w:r w:rsidRPr="00872E16">
        <w:rPr>
          <w:rFonts w:ascii="Times New Roman" w:hAnsi="Times New Roman" w:cs="Times New Roman"/>
          <w:lang w:val="es-AR"/>
        </w:rPr>
        <w:lastRenderedPageBreak/>
        <w:t xml:space="preserve">(que separan la descripción fáctica de la inferencia teórica en tiempo real), entrevistas semiestructuradas para comprender la experiencia vivida de docentes y estudiantes, y bitácoras grupales o grabaciones que documentan narrativamente la toma de decisiones, los obstáculos y las resoluciones operativas internas de los grupos. Al tratarse de un proyecto longitudinal proyectado hasta 2029, los resultados parciales destacan la consolidación de un marco teórico innovador que traslada la TAHC—tradicionalmente aplicada al ámbito laboral—a la educación formal universitaria. Asimismo, se han validado rigurosos instrumentos de recolección de datos orientados específicamente a identificar contradicciones. Un hallazgo analítico preliminar subraya que la mera agrupación de alumnos no garantiza la expansión; es la estructura del “artefacto consigna” la que determina si los estudiantes se mantienen en operaciones rutinarias o logran un punto de inflexión o “trampolín” hacia el razonamiento retroductivo y la agencia autónoma. </w:t>
      </w:r>
    </w:p>
    <w:p w14:paraId="4DC455E4" w14:textId="77777777" w:rsidR="00872E16" w:rsidRPr="00872E16" w:rsidRDefault="00BA642E" w:rsidP="00872E16">
      <w:pPr>
        <w:spacing w:line="240" w:lineRule="auto"/>
        <w:jc w:val="both"/>
        <w:rPr>
          <w:rFonts w:ascii="Times New Roman" w:hAnsi="Times New Roman" w:cs="Times New Roman"/>
          <w:lang w:val="es-AR"/>
        </w:rPr>
      </w:pPr>
      <w:r w:rsidRPr="006365BD">
        <w:rPr>
          <w:rFonts w:ascii="Times New Roman" w:hAnsi="Times New Roman" w:cs="Times New Roman"/>
          <w:b/>
          <w:bCs/>
          <w:lang w:val="es-ES"/>
        </w:rPr>
        <w:t xml:space="preserve">Palabras clave: </w:t>
      </w:r>
      <w:r w:rsidR="00872E16" w:rsidRPr="00872E16">
        <w:rPr>
          <w:rFonts w:ascii="Times New Roman" w:hAnsi="Times New Roman" w:cs="Times New Roman"/>
          <w:lang w:val="es-AR"/>
        </w:rPr>
        <w:t>aprendizaje expansivo, teoría de la actividad, trabajo colaborativo, doble bucle, consignas.</w:t>
      </w:r>
    </w:p>
    <w:p w14:paraId="2994BAB3" w14:textId="001FF781" w:rsidR="00BA642E" w:rsidRPr="006365BD" w:rsidRDefault="00BA642E" w:rsidP="007B5B5F">
      <w:pPr>
        <w:spacing w:line="240" w:lineRule="auto"/>
        <w:jc w:val="both"/>
        <w:rPr>
          <w:rFonts w:ascii="Times New Roman" w:hAnsi="Times New Roman" w:cs="Times New Roman"/>
          <w:b/>
          <w:bCs/>
          <w:lang w:val="es-ES"/>
        </w:rPr>
      </w:pPr>
      <w:r w:rsidRPr="006365BD">
        <w:rPr>
          <w:rFonts w:ascii="Times New Roman" w:hAnsi="Times New Roman" w:cs="Times New Roman"/>
          <w:lang w:val="es-ES"/>
        </w:rPr>
        <w:t xml:space="preserve"> </w:t>
      </w:r>
    </w:p>
    <w:p w14:paraId="6A5547A1" w14:textId="36B7FAC2" w:rsidR="00BA642E" w:rsidRPr="00C064E6" w:rsidRDefault="00BA642E" w:rsidP="007B5B5F">
      <w:pPr>
        <w:spacing w:line="240" w:lineRule="auto"/>
        <w:rPr>
          <w:rFonts w:ascii="Times New Roman" w:hAnsi="Times New Roman" w:cs="Times New Roman"/>
          <w:b/>
          <w:bCs/>
          <w:lang w:val="en-US"/>
        </w:rPr>
      </w:pPr>
      <w:proofErr w:type="spellStart"/>
      <w:r w:rsidRPr="00C064E6">
        <w:rPr>
          <w:rFonts w:ascii="Times New Roman" w:hAnsi="Times New Roman" w:cs="Times New Roman"/>
          <w:b/>
          <w:bCs/>
          <w:lang w:val="en-US"/>
        </w:rPr>
        <w:t>Introducción</w:t>
      </w:r>
      <w:proofErr w:type="spellEnd"/>
    </w:p>
    <w:p w14:paraId="253F433A"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El presente trabajo forma parte de un proyecto de investigación acreditado en la Universidad Nacional de Luján (Res. 075/25), cuyo horizonte temporal de cuatro años — 2025 a 2029 — responde a la naturaleza del objeto que nos proponemos elucidar: los procesos de aprendizaje colaborativo en la asignatura Psicología Evolutiva y Educacional del Profesorado de Historia, y la relación que esos procesos guardan con las características de las consignas de trabajo diseñadas por el equipo docente. Presentamos, entonces, una investigación en curso. No venimos a reportar resultados cerrados sino a hacer públicas las decisiones metodológicas que fundaron el diseño — convencidos de que esas decisiones son, en sí mismas, un aporte al campo.</w:t>
      </w:r>
    </w:p>
    <w:p w14:paraId="0702DC5E" w14:textId="2662548C"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La pregunta que organiza el proyecto emerge de una doble vacancia: la escasez de estudios sobre aprendizaje expansivo en la enseñanza universitaria latinoamericana, y la ausencia casi total de investigaciones que analicen la consigna como artefacto mediador capaz de determinar la lógica de todo el sistema de actividad del aula. Es así que la investigación no busca verificar si el aprendizaje expansivo ocurre en condiciones controladas —ese camino ya fue transitado en otros contextos— sino elucidar cómo operan las contradicciones del sistema instruccional universitario en su materialidad cotidiana, y qué papel cumple la consigna en la habilitación</w:t>
      </w:r>
      <w:r>
        <w:rPr>
          <w:rFonts w:ascii="Times New Roman" w:hAnsi="Times New Roman" w:cs="Times New Roman"/>
          <w:lang w:val="es-AR"/>
        </w:rPr>
        <w:t>,</w:t>
      </w:r>
      <w:r w:rsidRPr="00E166C9">
        <w:rPr>
          <w:rFonts w:ascii="Times New Roman" w:hAnsi="Times New Roman" w:cs="Times New Roman"/>
          <w:lang w:val="es-AR"/>
        </w:rPr>
        <w:t xml:space="preserve"> o la clausura</w:t>
      </w:r>
      <w:r>
        <w:rPr>
          <w:rFonts w:ascii="Times New Roman" w:hAnsi="Times New Roman" w:cs="Times New Roman"/>
          <w:lang w:val="es-AR"/>
        </w:rPr>
        <w:t>,</w:t>
      </w:r>
      <w:r w:rsidRPr="00E166C9">
        <w:rPr>
          <w:rFonts w:ascii="Times New Roman" w:hAnsi="Times New Roman" w:cs="Times New Roman"/>
          <w:lang w:val="es-AR"/>
        </w:rPr>
        <w:t xml:space="preserve"> de rupturas expansivas.</w:t>
      </w:r>
    </w:p>
    <w:p w14:paraId="13CCC2E4"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Lo que sigue es la exposición de ese andamiaje: su genealogía, su encuadre conceptual, sus decisiones metodológicas y el estado de avance de un proceso que recién comienza a tener campo.</w:t>
      </w:r>
    </w:p>
    <w:p w14:paraId="13C27DE8" w14:textId="4EF8436B" w:rsidR="00BA642E" w:rsidRPr="00C064E6" w:rsidRDefault="00BA642E" w:rsidP="007B5B5F">
      <w:pPr>
        <w:spacing w:line="240" w:lineRule="auto"/>
        <w:jc w:val="both"/>
        <w:rPr>
          <w:rFonts w:ascii="Times New Roman" w:hAnsi="Times New Roman" w:cs="Times New Roman"/>
          <w:lang w:val="en-US"/>
        </w:rPr>
      </w:pPr>
    </w:p>
    <w:p w14:paraId="2FD138AD" w14:textId="65FB0755" w:rsidR="005F3B2E" w:rsidRPr="00C064E6" w:rsidRDefault="005F3B2E" w:rsidP="007B5B5F">
      <w:pPr>
        <w:spacing w:line="240" w:lineRule="auto"/>
        <w:rPr>
          <w:rFonts w:ascii="Times New Roman" w:hAnsi="Times New Roman" w:cs="Times New Roman"/>
          <w:b/>
          <w:bCs/>
          <w:lang w:val="en-US"/>
        </w:rPr>
      </w:pPr>
      <w:r w:rsidRPr="00C064E6">
        <w:rPr>
          <w:rFonts w:ascii="Times New Roman" w:hAnsi="Times New Roman" w:cs="Times New Roman"/>
          <w:b/>
          <w:bCs/>
          <w:lang w:val="en-US"/>
        </w:rPr>
        <w:lastRenderedPageBreak/>
        <w:t>Desarrollo</w:t>
      </w:r>
    </w:p>
    <w:p w14:paraId="12C24752" w14:textId="78452674" w:rsidR="00E166C9" w:rsidRPr="00E166C9" w:rsidRDefault="00E166C9" w:rsidP="00E166C9">
      <w:pPr>
        <w:spacing w:line="240" w:lineRule="auto"/>
        <w:jc w:val="both"/>
        <w:rPr>
          <w:rFonts w:ascii="Times New Roman" w:hAnsi="Times New Roman" w:cs="Times New Roman"/>
          <w:b/>
          <w:bCs/>
          <w:lang w:val="es-AR"/>
        </w:rPr>
      </w:pPr>
      <w:r w:rsidRPr="00E166C9">
        <w:rPr>
          <w:rFonts w:ascii="Times New Roman" w:hAnsi="Times New Roman" w:cs="Times New Roman"/>
          <w:b/>
          <w:bCs/>
          <w:lang w:val="es-AR"/>
        </w:rPr>
        <w:t xml:space="preserve">De </w:t>
      </w:r>
      <w:r w:rsidR="006840C6" w:rsidRPr="00E166C9">
        <w:rPr>
          <w:rFonts w:ascii="Times New Roman" w:hAnsi="Times New Roman" w:cs="Times New Roman"/>
          <w:b/>
          <w:bCs/>
          <w:lang w:val="es-AR"/>
        </w:rPr>
        <w:t>la Transmisión al Sistema: Genealogía de un Problema</w:t>
      </w:r>
    </w:p>
    <w:p w14:paraId="4236D501"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La formación universitaria arrastra una configuración didáctica que sus propios actores reconocen como insatisfactoria sin, por ello, poder modificarla de modo sostenido. El conocimiento se transmite predominantemente de modo declarativo, las tareas se prefijan en consignas preestablecidas y las operaciones cognitivas que se promueven en los estudiantes son, en lo esencial, reproductivas. Esta configuración no es un accidente pedagógico ni el resultado de la voluntad individual del docente: es, como </w:t>
      </w:r>
      <w:r w:rsidRPr="00E166C9">
        <w:rPr>
          <w:rFonts w:ascii="Times New Roman" w:hAnsi="Times New Roman" w:cs="Times New Roman"/>
          <w:i/>
          <w:iCs/>
          <w:lang w:val="es-AR"/>
        </w:rPr>
        <w:t>Engeström (1987)</w:t>
      </w:r>
      <w:r w:rsidRPr="00E166C9">
        <w:rPr>
          <w:rFonts w:ascii="Times New Roman" w:hAnsi="Times New Roman" w:cs="Times New Roman"/>
          <w:lang w:val="es-AR"/>
        </w:rPr>
        <w:t xml:space="preserve"> argumenta, la expresión de contradicciones históricamente acumuladas en el objeto mismo de la actividad universitaria — contradicciones entre lo que la institución define como saber legítimo y lo que los sujetos necesitan construir para operar en él con agencia real. Reconocemos en esa brecha el punto de partida genealógico de la presente investigación.</w:t>
      </w:r>
    </w:p>
    <w:p w14:paraId="4C965464"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t>Kasem (2023)</w:t>
      </w:r>
      <w:r w:rsidRPr="00E166C9">
        <w:rPr>
          <w:rFonts w:ascii="Times New Roman" w:hAnsi="Times New Roman" w:cs="Times New Roman"/>
          <w:lang w:val="es-AR"/>
        </w:rPr>
        <w:t xml:space="preserve"> argumenta, a partir de un análisis sistemático de las actividades de enseñanza proyectadas en la formación universitaria, que el tratamiento del contenido debe superar la enunciación declarativa y la resolución de actividades prefijadas en consignas preestablecidas, dado que son precisamente esas formas de organización las que limitan el desarrollo de operaciones cognitivas orientadas a la transferencia por vía alta y a la generalización del conocimiento adquirido. Es así que el diagnóstico producido en ese trabajo antecedente no cierra sobre sí mismo: abre la pregunta de qué condiciones — y en particular qué tipo de artefacto mediador — podrían habilitar una reorganización del sistema de actividad en el aula.</w:t>
      </w:r>
    </w:p>
    <w:p w14:paraId="3E304FAD"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Esa pregunta adquiere mayor densidad cuando se la inscribe en el linaje de la Teoría de la Actividad Histórico-Cultural. El aprendizaje expansivo, tal como </w:t>
      </w:r>
      <w:proofErr w:type="spellStart"/>
      <w:r w:rsidRPr="00E166C9">
        <w:rPr>
          <w:rFonts w:ascii="Times New Roman" w:hAnsi="Times New Roman" w:cs="Times New Roman"/>
          <w:i/>
          <w:iCs/>
          <w:lang w:val="es-AR"/>
        </w:rPr>
        <w:t>Engeström</w:t>
      </w:r>
      <w:proofErr w:type="spellEnd"/>
      <w:r w:rsidRPr="00E166C9">
        <w:rPr>
          <w:rFonts w:ascii="Times New Roman" w:hAnsi="Times New Roman" w:cs="Times New Roman"/>
          <w:i/>
          <w:iCs/>
          <w:lang w:val="es-AR"/>
        </w:rPr>
        <w:t xml:space="preserve"> (1987; 2014)</w:t>
      </w:r>
      <w:r w:rsidRPr="00E166C9">
        <w:rPr>
          <w:rFonts w:ascii="Times New Roman" w:hAnsi="Times New Roman" w:cs="Times New Roman"/>
          <w:lang w:val="es-AR"/>
        </w:rPr>
        <w:t xml:space="preserve"> lo define, no es un grado superior de aprendizaje individual: es la creación colectiva de formas cualitativamente nuevas de actividad, a partir de la resolución de las contradicciones que el sistema existente no puede absorber con sus propios recursos. Esta formulación ha sido históricamente aplicada en contextos de trabajo — hospitales, corporaciones, sistemas de servicio público — pero ha sido sistemáticamente ausente, al menos en el ámbito latinoamericano y argentino, de la investigación sobre la enseñanza universitaria en condiciones ordinarias y no controladas. Ese vacío constituye la vacancia que nos proponemos ocupar.</w:t>
      </w:r>
    </w:p>
    <w:p w14:paraId="5E6D8766"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Es en ese cruce entre el diagnóstico empírico previo y la vacancia teórica del campo que emerge la pregunta que organiza la investigación: ¿de qué manera las características de las consignas de trabajo en la asignatura Psicología Evolutiva y Educacional del Profesorado de Historia de la Universidad Nacional de Luján configuran los procesos de interacción colaborativa docente-alumno y alumno-alumno, y cómo esos procesos se relacionan con el desarrollo de operaciones cognitivas orientadas hacia el aprendizaje expansivo, en contraste con el sistema de actividad instruccional tradicional?</w:t>
      </w:r>
    </w:p>
    <w:p w14:paraId="2AF02EF2" w14:textId="37081F49" w:rsidR="00E166C9" w:rsidRPr="00E166C9" w:rsidRDefault="00E166C9" w:rsidP="00E166C9">
      <w:pPr>
        <w:spacing w:line="240" w:lineRule="auto"/>
        <w:jc w:val="both"/>
        <w:rPr>
          <w:rFonts w:ascii="Times New Roman" w:hAnsi="Times New Roman" w:cs="Times New Roman"/>
          <w:b/>
          <w:bCs/>
          <w:lang w:val="es-AR"/>
        </w:rPr>
      </w:pPr>
      <w:r w:rsidRPr="00E166C9">
        <w:rPr>
          <w:rFonts w:ascii="Times New Roman" w:hAnsi="Times New Roman" w:cs="Times New Roman"/>
          <w:b/>
          <w:bCs/>
          <w:lang w:val="es-AR"/>
        </w:rPr>
        <w:t xml:space="preserve">Encuadre </w:t>
      </w:r>
      <w:r w:rsidR="006840C6" w:rsidRPr="00E166C9">
        <w:rPr>
          <w:rFonts w:ascii="Times New Roman" w:hAnsi="Times New Roman" w:cs="Times New Roman"/>
          <w:b/>
          <w:bCs/>
          <w:lang w:val="es-AR"/>
        </w:rPr>
        <w:t>Conceptual: Una Arquitectura Jerarquizada</w:t>
      </w:r>
    </w:p>
    <w:p w14:paraId="5B45BA0D" w14:textId="18D02A61" w:rsidR="00E166C9" w:rsidRPr="006840C6" w:rsidRDefault="00E166C9" w:rsidP="00E166C9">
      <w:pPr>
        <w:spacing w:line="240" w:lineRule="auto"/>
        <w:jc w:val="both"/>
        <w:rPr>
          <w:rFonts w:ascii="Times New Roman" w:hAnsi="Times New Roman" w:cs="Times New Roman"/>
          <w:b/>
          <w:bCs/>
          <w:i/>
          <w:iCs/>
          <w:lang w:val="es-AR"/>
        </w:rPr>
      </w:pPr>
      <w:r w:rsidRPr="006840C6">
        <w:rPr>
          <w:rFonts w:ascii="Times New Roman" w:hAnsi="Times New Roman" w:cs="Times New Roman"/>
          <w:b/>
          <w:bCs/>
          <w:i/>
          <w:iCs/>
          <w:lang w:val="es-AR"/>
        </w:rPr>
        <w:t xml:space="preserve">El </w:t>
      </w:r>
      <w:r w:rsidR="006840C6" w:rsidRPr="006840C6">
        <w:rPr>
          <w:rFonts w:ascii="Times New Roman" w:hAnsi="Times New Roman" w:cs="Times New Roman"/>
          <w:b/>
          <w:bCs/>
          <w:i/>
          <w:iCs/>
          <w:lang w:val="es-AR"/>
        </w:rPr>
        <w:t>Sistema de Actividad como Unidad Mínima</w:t>
      </w:r>
    </w:p>
    <w:p w14:paraId="1CFF7125"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lastRenderedPageBreak/>
        <w:t>Engeström (1987)</w:t>
      </w:r>
      <w:r w:rsidRPr="00E166C9">
        <w:rPr>
          <w:rFonts w:ascii="Times New Roman" w:hAnsi="Times New Roman" w:cs="Times New Roman"/>
          <w:lang w:val="es-AR"/>
        </w:rPr>
        <w:t xml:space="preserve"> argumenta que la unidad mínima de análisis del aprendizaje no es el individuo ni la tarea aislada sino el sistema de actividad colectivo, constituido por la articulación entre sujeto, objeto, artefactos mediadores, reglas, comunidad y división del trabajo. Esta formulación introduce una consecuencia analítica decisiva para el estudio de las aulas universitarias: las contradicciones que obstaculizan o posibilitan el aprendizaje no residen en los sujetos individuales sino en las tensiones estructurales entre los nodos del sistema. Es así que el formato instruccional puede ser elucidado no como una elección pedagógica del docente sino como la expresión de una contradicción primaria sedimentada históricamente en el propio objeto de la actividad universitaria — aquello que </w:t>
      </w:r>
      <w:r w:rsidRPr="00E166C9">
        <w:rPr>
          <w:rFonts w:ascii="Times New Roman" w:hAnsi="Times New Roman" w:cs="Times New Roman"/>
          <w:i/>
          <w:iCs/>
          <w:lang w:val="es-AR"/>
        </w:rPr>
        <w:t xml:space="preserve">DeVincenzi, Marcano y </w:t>
      </w:r>
      <w:proofErr w:type="spellStart"/>
      <w:r w:rsidRPr="00E166C9">
        <w:rPr>
          <w:rFonts w:ascii="Times New Roman" w:hAnsi="Times New Roman" w:cs="Times New Roman"/>
          <w:i/>
          <w:iCs/>
          <w:lang w:val="es-AR"/>
        </w:rPr>
        <w:t>Macrí</w:t>
      </w:r>
      <w:proofErr w:type="spellEnd"/>
      <w:r w:rsidRPr="00E166C9">
        <w:rPr>
          <w:rFonts w:ascii="Times New Roman" w:hAnsi="Times New Roman" w:cs="Times New Roman"/>
          <w:i/>
          <w:iCs/>
          <w:lang w:val="es-AR"/>
        </w:rPr>
        <w:t xml:space="preserve"> (2020)</w:t>
      </w:r>
      <w:r w:rsidRPr="00E166C9">
        <w:rPr>
          <w:rFonts w:ascii="Times New Roman" w:hAnsi="Times New Roman" w:cs="Times New Roman"/>
          <w:lang w:val="es-AR"/>
        </w:rPr>
        <w:t xml:space="preserve"> reconocen como una tensión irresuelta entre las categorías didácticas institucionales y la complejidad real de los sistemas de actividad pedagógica.</w:t>
      </w:r>
    </w:p>
    <w:p w14:paraId="0EA46BEA"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La tercera y cuarta generación de la Teoría de la Actividad — que </w:t>
      </w:r>
      <w:r w:rsidRPr="00E166C9">
        <w:rPr>
          <w:rFonts w:ascii="Times New Roman" w:hAnsi="Times New Roman" w:cs="Times New Roman"/>
          <w:i/>
          <w:iCs/>
          <w:lang w:val="es-AR"/>
        </w:rPr>
        <w:t>Sannino, Daniels y Gutiérrez (2009)</w:t>
      </w:r>
      <w:r w:rsidRPr="00E166C9">
        <w:rPr>
          <w:rFonts w:ascii="Times New Roman" w:hAnsi="Times New Roman" w:cs="Times New Roman"/>
          <w:lang w:val="es-AR"/>
        </w:rPr>
        <w:t xml:space="preserve"> profundizan — resignifica el concepto de contradicción como motor de expansión. </w:t>
      </w:r>
      <w:r w:rsidRPr="00E166C9">
        <w:rPr>
          <w:rFonts w:ascii="Times New Roman" w:hAnsi="Times New Roman" w:cs="Times New Roman"/>
          <w:i/>
          <w:iCs/>
          <w:lang w:val="es-AR"/>
        </w:rPr>
        <w:t>Sannino (2009)</w:t>
      </w:r>
      <w:r w:rsidRPr="00E166C9">
        <w:rPr>
          <w:rFonts w:ascii="Times New Roman" w:hAnsi="Times New Roman" w:cs="Times New Roman"/>
          <w:lang w:val="es-AR"/>
        </w:rPr>
        <w:t xml:space="preserve"> sostiene que el tránsito de un aprendizaje normalizado hacia un espacio de ruptura generativa requiere lo que el propio </w:t>
      </w:r>
      <w:r w:rsidRPr="00E166C9">
        <w:rPr>
          <w:rFonts w:ascii="Times New Roman" w:hAnsi="Times New Roman" w:cs="Times New Roman"/>
          <w:i/>
          <w:iCs/>
          <w:lang w:val="es-AR"/>
        </w:rPr>
        <w:t>Engeström (2014)</w:t>
      </w:r>
      <w:r w:rsidRPr="00E166C9">
        <w:rPr>
          <w:rFonts w:ascii="Times New Roman" w:hAnsi="Times New Roman" w:cs="Times New Roman"/>
          <w:lang w:val="es-AR"/>
        </w:rPr>
        <w:t xml:space="preserve"> denomina objetos desbocados: situaciones que el sistema instruccional no puede resolver con sus propios recursos y que, por tanto, obligan a los sujetos a construir nuevos instrumentos de acción colectiva. La agencia que ese proceso demanda no emerge espontáneamente. Requiere condiciones de habilitación estructural.</w:t>
      </w:r>
    </w:p>
    <w:p w14:paraId="54CCB0D2" w14:textId="6B9889EC" w:rsidR="00E166C9" w:rsidRPr="006840C6" w:rsidRDefault="00E166C9" w:rsidP="00E166C9">
      <w:pPr>
        <w:spacing w:line="240" w:lineRule="auto"/>
        <w:jc w:val="both"/>
        <w:rPr>
          <w:rFonts w:ascii="Times New Roman" w:hAnsi="Times New Roman" w:cs="Times New Roman"/>
          <w:b/>
          <w:bCs/>
          <w:i/>
          <w:iCs/>
          <w:lang w:val="es-AR"/>
        </w:rPr>
      </w:pPr>
      <w:r w:rsidRPr="006840C6">
        <w:rPr>
          <w:rFonts w:ascii="Times New Roman" w:hAnsi="Times New Roman" w:cs="Times New Roman"/>
          <w:b/>
          <w:bCs/>
          <w:i/>
          <w:iCs/>
          <w:lang w:val="es-AR"/>
        </w:rPr>
        <w:t xml:space="preserve">La </w:t>
      </w:r>
      <w:r w:rsidR="006840C6" w:rsidRPr="006840C6">
        <w:rPr>
          <w:rFonts w:ascii="Times New Roman" w:hAnsi="Times New Roman" w:cs="Times New Roman"/>
          <w:b/>
          <w:bCs/>
          <w:i/>
          <w:iCs/>
          <w:lang w:val="es-AR"/>
        </w:rPr>
        <w:t>Comunidad de Práctica como Densificación del Nodo Comunitario: Agencia, Transparencia y Secuestro</w:t>
      </w:r>
    </w:p>
    <w:p w14:paraId="4BA846B3"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El nodo comunidad del sistema de actividad de </w:t>
      </w:r>
      <w:proofErr w:type="spellStart"/>
      <w:r w:rsidRPr="00E166C9">
        <w:rPr>
          <w:rFonts w:ascii="Times New Roman" w:hAnsi="Times New Roman" w:cs="Times New Roman"/>
          <w:i/>
          <w:iCs/>
          <w:lang w:val="es-AR"/>
        </w:rPr>
        <w:t>Engeström</w:t>
      </w:r>
      <w:proofErr w:type="spellEnd"/>
      <w:r w:rsidRPr="00E166C9">
        <w:rPr>
          <w:rFonts w:ascii="Times New Roman" w:hAnsi="Times New Roman" w:cs="Times New Roman"/>
          <w:i/>
          <w:iCs/>
          <w:lang w:val="es-AR"/>
        </w:rPr>
        <w:t xml:space="preserve"> (1987)</w:t>
      </w:r>
      <w:r w:rsidRPr="00E166C9">
        <w:rPr>
          <w:rFonts w:ascii="Times New Roman" w:hAnsi="Times New Roman" w:cs="Times New Roman"/>
          <w:lang w:val="es-AR"/>
        </w:rPr>
        <w:t xml:space="preserve"> designa el conjunto de sujetos que comparten el mismo objeto general de actividad. Sin embargo, la formulación </w:t>
      </w:r>
      <w:proofErr w:type="spellStart"/>
      <w:r w:rsidRPr="00E166C9">
        <w:rPr>
          <w:rFonts w:ascii="Times New Roman" w:hAnsi="Times New Roman" w:cs="Times New Roman"/>
          <w:lang w:val="es-AR"/>
        </w:rPr>
        <w:t>engeströmiana</w:t>
      </w:r>
      <w:proofErr w:type="spellEnd"/>
      <w:r w:rsidRPr="00E166C9">
        <w:rPr>
          <w:rFonts w:ascii="Times New Roman" w:hAnsi="Times New Roman" w:cs="Times New Roman"/>
          <w:lang w:val="es-AR"/>
        </w:rPr>
        <w:t xml:space="preserve"> no da cuenta de los mecanismos internos por los que esa comunidad habilita o restringe la participación de sus miembros en la práctica significativa. Es aquí donde la perspectiva de </w:t>
      </w:r>
      <w:r w:rsidRPr="00E166C9">
        <w:rPr>
          <w:rFonts w:ascii="Times New Roman" w:hAnsi="Times New Roman" w:cs="Times New Roman"/>
          <w:i/>
          <w:iCs/>
          <w:lang w:val="es-AR"/>
        </w:rPr>
        <w:t>Lave y Wenger (1991)</w:t>
      </w:r>
      <w:r w:rsidRPr="00E166C9">
        <w:rPr>
          <w:rFonts w:ascii="Times New Roman" w:hAnsi="Times New Roman" w:cs="Times New Roman"/>
          <w:lang w:val="es-AR"/>
        </w:rPr>
        <w:t xml:space="preserve"> opera como densificación analítica del nodo: su concepto de participación periférica legítima ofrece las categorías necesarias para elucidar cómo se organiza el acceso al conocimiento dentro de la comunidad de práctica que constituye el aula universitaria.</w:t>
      </w:r>
    </w:p>
    <w:p w14:paraId="11AD15C6"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t>Lave y Wenger (1991)</w:t>
      </w:r>
      <w:r w:rsidRPr="00E166C9">
        <w:rPr>
          <w:rFonts w:ascii="Times New Roman" w:hAnsi="Times New Roman" w:cs="Times New Roman"/>
          <w:lang w:val="es-AR"/>
        </w:rPr>
        <w:t xml:space="preserve"> plantean que el aprendizaje es una forma de participación en comunidades de práctica y que esa participación opera en un continuo que va de la periferia legítima hacia la participación plena. La noción de agencia que subyace a esta formulación no remite a una capacidad individual de iniciativa: refiere a la posibilidad política y estructural de los sujetos de transformar las condiciones de su propia participación, de intervenir en la configuración del sistema más allá de los roles que ese sistema les asigna. La agencia no se posee — se habilita o se clausura, según la organización del acceso a la práctica.</w:t>
      </w:r>
    </w:p>
    <w:p w14:paraId="3829111E"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Los dos conceptos que </w:t>
      </w:r>
      <w:r w:rsidRPr="00E166C9">
        <w:rPr>
          <w:rFonts w:ascii="Times New Roman" w:hAnsi="Times New Roman" w:cs="Times New Roman"/>
          <w:i/>
          <w:iCs/>
          <w:lang w:val="es-AR"/>
        </w:rPr>
        <w:t>Lave y Wenger (1991)</w:t>
      </w:r>
      <w:r w:rsidRPr="00E166C9">
        <w:rPr>
          <w:rFonts w:ascii="Times New Roman" w:hAnsi="Times New Roman" w:cs="Times New Roman"/>
          <w:lang w:val="es-AR"/>
        </w:rPr>
        <w:t xml:space="preserve"> proponen para analizar esa organización del acceso son la transparencia y el secuestro. La transparencia no refiere a la simple visibilidad de los procedimientos: alude a la accesibilidad al significado que los artefactos y la práctica misma encierran para los aprendices — la capacidad de apropiarse no solo </w:t>
      </w:r>
      <w:r w:rsidRPr="00E166C9">
        <w:rPr>
          <w:rFonts w:ascii="Times New Roman" w:hAnsi="Times New Roman" w:cs="Times New Roman"/>
          <w:lang w:val="es-AR"/>
        </w:rPr>
        <w:lastRenderedPageBreak/>
        <w:t>de la forma de la tarea sino de su sentido dentro del sistema. El secuestro, en cambio, se produce cuando la comunidad restringe o niega el acceso de los recién llegados a la práctica significativa, confinándolos a trabajos alejados de la actividad central, no periféricos a ella. En las aulas universitarias el secuestro adopta formas frecuentemente sutiles: la consigna que reduce la actividad a la aplicación de un procedimiento conocido, sin transparentar el propósito del sistema ni habilitar la toma de decisiones, opera como secuestro epistémico que impide el desplazamiento hacia la participación plena.</w:t>
      </w:r>
    </w:p>
    <w:p w14:paraId="1A826A9E"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Lo fundamental — que las reuniones de trabajo del equipo contribuyeron a precisar en el proceso de construcción del encuadre — es que la participación periférica legítima no consiste en aprender lo que la comunidad hace, sino en reconocer el sentido subyacente de lo que hace. Esa distinción entre hacer y comprender el sentido de lo que se hace es exactamente la distancia que separa el razonamiento reproductivo del razonamiento expansivo. Es así que la transparencia y el secuestro no son categorías abstractas de análisis comunitario: son las condiciones concretas que determinan, en el nivel del aula, si el nodo comunidad del sistema de actividad opera como motor de expansión o como factor de reproducción del formato instruccional.</w:t>
      </w:r>
    </w:p>
    <w:p w14:paraId="1840E427" w14:textId="659DE313" w:rsidR="00E166C9" w:rsidRPr="006840C6" w:rsidRDefault="006840C6" w:rsidP="00E166C9">
      <w:pPr>
        <w:spacing w:line="240" w:lineRule="auto"/>
        <w:jc w:val="both"/>
        <w:rPr>
          <w:rFonts w:ascii="Times New Roman" w:hAnsi="Times New Roman" w:cs="Times New Roman"/>
          <w:b/>
          <w:bCs/>
          <w:i/>
          <w:iCs/>
          <w:lang w:val="es-AR"/>
        </w:rPr>
      </w:pPr>
      <w:r w:rsidRPr="006840C6">
        <w:rPr>
          <w:rFonts w:ascii="Times New Roman" w:hAnsi="Times New Roman" w:cs="Times New Roman"/>
          <w:b/>
          <w:bCs/>
          <w:i/>
          <w:iCs/>
          <w:lang w:val="es-AR"/>
        </w:rPr>
        <w:t>La Consigna como Artefacto Mediador: Base Orientadora, Generalización y Razonamiento Retroductivo</w:t>
      </w:r>
    </w:p>
    <w:p w14:paraId="0C7D5ADA" w14:textId="77777777" w:rsidR="00E166C9" w:rsidRPr="00E166C9" w:rsidRDefault="00E166C9" w:rsidP="00E166C9">
      <w:pPr>
        <w:spacing w:line="240" w:lineRule="auto"/>
        <w:jc w:val="both"/>
        <w:rPr>
          <w:rFonts w:ascii="Times New Roman" w:hAnsi="Times New Roman" w:cs="Times New Roman"/>
          <w:lang w:val="es-AR"/>
        </w:rPr>
      </w:pPr>
      <w:proofErr w:type="spellStart"/>
      <w:r w:rsidRPr="00E166C9">
        <w:rPr>
          <w:rFonts w:ascii="Times New Roman" w:hAnsi="Times New Roman" w:cs="Times New Roman"/>
          <w:i/>
          <w:iCs/>
          <w:lang w:val="es-AR"/>
        </w:rPr>
        <w:t>Talízina</w:t>
      </w:r>
      <w:proofErr w:type="spellEnd"/>
      <w:r w:rsidRPr="00E166C9">
        <w:rPr>
          <w:rFonts w:ascii="Times New Roman" w:hAnsi="Times New Roman" w:cs="Times New Roman"/>
          <w:i/>
          <w:iCs/>
          <w:lang w:val="es-AR"/>
        </w:rPr>
        <w:t xml:space="preserve"> (1988)</w:t>
      </w:r>
      <w:r w:rsidRPr="00E166C9">
        <w:rPr>
          <w:rFonts w:ascii="Times New Roman" w:hAnsi="Times New Roman" w:cs="Times New Roman"/>
          <w:lang w:val="es-AR"/>
        </w:rPr>
        <w:t xml:space="preserve"> define la base orientadora de la acción como el sistema de condiciones sobre el que realmente se apoya el sujeto al ejecutar una acción, y distingue tipos de base orientadora según su grado de generalización y la manera en que llega al aprendiz. El octavo tipo — que la propia autora reconoce como el más difundido en la enseñanza tradicional — se caracteriza por ser particular, incompleto y dado en forma preparada: el maestro provee indicaciones concretas que no agotan las condiciones objetivamente necesarias para el cumplimiento correcto de la acción, lo que conduce sistemáticamente a errores y a una transferencia prácticamente nula. El tercer tipo, en cambio, se caracteriza por orientadores en forma generalizada, elaborados por el propio sujeto mediante un método dado: produce acciones estables, transferibles a clases de problemas nuevos y no solo al caso concreto para el que fueron aprendidas.</w:t>
      </w:r>
    </w:p>
    <w:p w14:paraId="401316E4"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t>Kasem (2023)</w:t>
      </w:r>
      <w:r w:rsidRPr="00E166C9">
        <w:rPr>
          <w:rFonts w:ascii="Times New Roman" w:hAnsi="Times New Roman" w:cs="Times New Roman"/>
          <w:lang w:val="es-AR"/>
        </w:rPr>
        <w:t xml:space="preserve"> resignifica esta distinción desde los resultados empíricos de su investigación al reconocer que las actividades de enseñanza que habilitan procesos de transferencia por vía alta son aquellas que estimulan operaciones de generalización teórica del área de conocimiento — el proceso por el que el sujeto extrae principios que trascienden el material concreto y los aplica de modo independiente a situaciones nuevas — en articulación con operaciones de producción teórica y de control de la propia acción. Es así que la progresión desde un conocimiento declarativo hacia un conocimiento metacognitivo, operativo y estratégico no es un proceso espontáneo: depende de la estructura de la consigna que lo habilita o lo clausura desde el inicio.</w:t>
      </w:r>
    </w:p>
    <w:p w14:paraId="3761FD6C"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t>Riestra (2004; 2008)</w:t>
      </w:r>
      <w:r w:rsidRPr="00E166C9">
        <w:rPr>
          <w:rFonts w:ascii="Times New Roman" w:hAnsi="Times New Roman" w:cs="Times New Roman"/>
          <w:lang w:val="es-AR"/>
        </w:rPr>
        <w:t xml:space="preserve"> profundiza esta distinción al argumentar que la consigna no es un mero enunciado de tarea sino un instrumento mediador que dirige desde el plano de la acción de lenguaje y controla las operaciones mentales que se incorporan para realizar la actividad. La consigna constituye el espacio interpsicológico en el que se define qué tipo </w:t>
      </w:r>
      <w:r w:rsidRPr="00E166C9">
        <w:rPr>
          <w:rFonts w:ascii="Times New Roman" w:hAnsi="Times New Roman" w:cs="Times New Roman"/>
          <w:lang w:val="es-AR"/>
        </w:rPr>
        <w:lastRenderedPageBreak/>
        <w:t xml:space="preserve">de operaciones cognitivas serán promovidas. En ese espacio, las consignas que no conducen a la finalidad real de la actividad producen acciones que no logran </w:t>
      </w:r>
      <w:proofErr w:type="spellStart"/>
      <w:r w:rsidRPr="00E166C9">
        <w:rPr>
          <w:rFonts w:ascii="Times New Roman" w:hAnsi="Times New Roman" w:cs="Times New Roman"/>
          <w:lang w:val="es-AR"/>
        </w:rPr>
        <w:t>operacionalidad</w:t>
      </w:r>
      <w:proofErr w:type="spellEnd"/>
      <w:r w:rsidRPr="00E166C9">
        <w:rPr>
          <w:rFonts w:ascii="Times New Roman" w:hAnsi="Times New Roman" w:cs="Times New Roman"/>
          <w:lang w:val="es-AR"/>
        </w:rPr>
        <w:t>: las clasificaciones, las definiciones, las comparaciones quedan como repertorios abstractos sin llegar a utilizarse como instrumentos de pensamiento.</w:t>
      </w:r>
    </w:p>
    <w:p w14:paraId="4543F4D9"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Es aquí donde el encuadre teórico introduce su nodo más propio. El razonamiento retroductivo — que las discusiones del equipo identificaron como categoría ausente en los estudios previos sobre el aula universitaria — no opera mediante la deducción de consecuencias de principios conocidos ni mediante la inducción de generalizaciones a partir de casos particulares: introduce nuevos factores a un problema conocido, retrocede desde los datos para encontrar una explicación que el propio sistema instruccional no había previsto. </w:t>
      </w:r>
      <w:r w:rsidRPr="00E166C9">
        <w:rPr>
          <w:rFonts w:ascii="Times New Roman" w:hAnsi="Times New Roman" w:cs="Times New Roman"/>
          <w:i/>
          <w:iCs/>
          <w:lang w:val="es-AR"/>
        </w:rPr>
        <w:t>Sannino (2009)</w:t>
      </w:r>
      <w:r w:rsidRPr="00E166C9">
        <w:rPr>
          <w:rFonts w:ascii="Times New Roman" w:hAnsi="Times New Roman" w:cs="Times New Roman"/>
          <w:lang w:val="es-AR"/>
        </w:rPr>
        <w:t xml:space="preserve"> sostiene que no hay expansión si no hay doble bucle ni retroducción: el primer bucle corresponde al aprendizaje normalizado, al que opera dentro de los límites del sistema dado; el segundo bucle es el espacio en que el sistema se pone en tensión y se rompe, generando nuevas formas de actividad. La consigna que habilita el razonamiento retroductivo es aquella que presenta al sujeto una situación que el primer bucle no puede resolver con sus propios recursos — un objeto desbocado, en términos de </w:t>
      </w:r>
      <w:proofErr w:type="spellStart"/>
      <w:r w:rsidRPr="00E166C9">
        <w:rPr>
          <w:rFonts w:ascii="Times New Roman" w:hAnsi="Times New Roman" w:cs="Times New Roman"/>
          <w:i/>
          <w:iCs/>
          <w:lang w:val="es-AR"/>
        </w:rPr>
        <w:t>Engeström</w:t>
      </w:r>
      <w:proofErr w:type="spellEnd"/>
      <w:r w:rsidRPr="00E166C9">
        <w:rPr>
          <w:rFonts w:ascii="Times New Roman" w:hAnsi="Times New Roman" w:cs="Times New Roman"/>
          <w:i/>
          <w:iCs/>
          <w:lang w:val="es-AR"/>
        </w:rPr>
        <w:t xml:space="preserve"> (2014)</w:t>
      </w:r>
      <w:r w:rsidRPr="00E166C9">
        <w:rPr>
          <w:rFonts w:ascii="Times New Roman" w:hAnsi="Times New Roman" w:cs="Times New Roman"/>
          <w:lang w:val="es-AR"/>
        </w:rPr>
        <w:t xml:space="preserve"> — obligándolo a construir nuevos instrumentos de acción colectiva.</w:t>
      </w:r>
    </w:p>
    <w:p w14:paraId="5B14EFCA" w14:textId="0876FAB3" w:rsidR="00E166C9" w:rsidRPr="00E166C9" w:rsidRDefault="00E166C9" w:rsidP="00E166C9">
      <w:pPr>
        <w:spacing w:line="240" w:lineRule="auto"/>
        <w:jc w:val="both"/>
        <w:rPr>
          <w:rFonts w:ascii="Times New Roman" w:hAnsi="Times New Roman" w:cs="Times New Roman"/>
          <w:b/>
          <w:bCs/>
          <w:lang w:val="es-AR"/>
        </w:rPr>
      </w:pPr>
      <w:r w:rsidRPr="00E166C9">
        <w:rPr>
          <w:rFonts w:ascii="Times New Roman" w:hAnsi="Times New Roman" w:cs="Times New Roman"/>
          <w:b/>
          <w:bCs/>
          <w:lang w:val="es-AR"/>
        </w:rPr>
        <w:t xml:space="preserve">Decisiones </w:t>
      </w:r>
      <w:r w:rsidR="006840C6" w:rsidRPr="00E166C9">
        <w:rPr>
          <w:rFonts w:ascii="Times New Roman" w:hAnsi="Times New Roman" w:cs="Times New Roman"/>
          <w:b/>
          <w:bCs/>
          <w:lang w:val="es-AR"/>
        </w:rPr>
        <w:t xml:space="preserve">Metodológicas: Encuadre </w:t>
      </w:r>
      <w:r w:rsidRPr="00E166C9">
        <w:rPr>
          <w:rFonts w:ascii="Times New Roman" w:hAnsi="Times New Roman" w:cs="Times New Roman"/>
          <w:b/>
          <w:bCs/>
          <w:lang w:val="es-AR"/>
        </w:rPr>
        <w:t xml:space="preserve">y </w:t>
      </w:r>
      <w:r w:rsidR="006840C6" w:rsidRPr="00E166C9">
        <w:rPr>
          <w:rFonts w:ascii="Times New Roman" w:hAnsi="Times New Roman" w:cs="Times New Roman"/>
          <w:b/>
          <w:bCs/>
          <w:lang w:val="es-AR"/>
        </w:rPr>
        <w:t>Diseño</w:t>
      </w:r>
    </w:p>
    <w:p w14:paraId="4D3FF2BF" w14:textId="64D1B017" w:rsidR="00E166C9" w:rsidRPr="006840C6" w:rsidRDefault="00E166C9" w:rsidP="00E166C9">
      <w:pPr>
        <w:spacing w:line="240" w:lineRule="auto"/>
        <w:jc w:val="both"/>
        <w:rPr>
          <w:rFonts w:ascii="Times New Roman" w:hAnsi="Times New Roman" w:cs="Times New Roman"/>
          <w:b/>
          <w:bCs/>
          <w:i/>
          <w:iCs/>
          <w:lang w:val="es-AR"/>
        </w:rPr>
      </w:pPr>
      <w:r w:rsidRPr="006840C6">
        <w:rPr>
          <w:rFonts w:ascii="Times New Roman" w:hAnsi="Times New Roman" w:cs="Times New Roman"/>
          <w:b/>
          <w:bCs/>
          <w:i/>
          <w:iCs/>
          <w:lang w:val="es-AR"/>
        </w:rPr>
        <w:t xml:space="preserve">Posicionamiento </w:t>
      </w:r>
      <w:r w:rsidR="006840C6" w:rsidRPr="006840C6">
        <w:rPr>
          <w:rFonts w:ascii="Times New Roman" w:hAnsi="Times New Roman" w:cs="Times New Roman"/>
          <w:b/>
          <w:bCs/>
          <w:i/>
          <w:iCs/>
          <w:lang w:val="es-AR"/>
        </w:rPr>
        <w:t>Epistemológico y Tipo de Investigación</w:t>
      </w:r>
    </w:p>
    <w:p w14:paraId="2950657A"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Nos inscribimos en el paradigma cualitativo-interpretativo, adoptando un diseño de estudio de caso de tipo instrumental con unidades incrustadas: la gran unidad es la clase universitaria, segmentada en unidades de análisis menores denominadas segmentos de actividad. Esta elección no es arbitraria: el segmento de actividad como unidad de análisis tiene precedente directo en la investigación antecedente de este equipo — </w:t>
      </w:r>
      <w:r w:rsidRPr="00E166C9">
        <w:rPr>
          <w:rFonts w:ascii="Times New Roman" w:hAnsi="Times New Roman" w:cs="Times New Roman"/>
          <w:i/>
          <w:iCs/>
          <w:lang w:val="es-AR"/>
        </w:rPr>
        <w:t>Kasem (2023)</w:t>
      </w:r>
      <w:r w:rsidRPr="00E166C9">
        <w:rPr>
          <w:rFonts w:ascii="Times New Roman" w:hAnsi="Times New Roman" w:cs="Times New Roman"/>
          <w:lang w:val="es-AR"/>
        </w:rPr>
        <w:t xml:space="preserve"> lo utilizó como unidad para capturar la integralidad de la situación áulica — y se corresponde con la naturaleza del objeto de estudio, que demanda una lectura integral de la actividad acontecida antes que una descomposición en variables discretas.</w:t>
      </w:r>
    </w:p>
    <w:p w14:paraId="0C51B5DE"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La decisión de apartarse de los diseños </w:t>
      </w:r>
      <w:proofErr w:type="spellStart"/>
      <w:r w:rsidRPr="00E166C9">
        <w:rPr>
          <w:rFonts w:ascii="Times New Roman" w:hAnsi="Times New Roman" w:cs="Times New Roman"/>
          <w:lang w:val="es-AR"/>
        </w:rPr>
        <w:t>protoexperimentales</w:t>
      </w:r>
      <w:proofErr w:type="spellEnd"/>
      <w:r w:rsidRPr="00E166C9">
        <w:rPr>
          <w:rFonts w:ascii="Times New Roman" w:hAnsi="Times New Roman" w:cs="Times New Roman"/>
          <w:lang w:val="es-AR"/>
        </w:rPr>
        <w:t xml:space="preserve"> que han prevalecido en los estudios sobre aprendizaje expansivo — en su mayoría Laboratorios de Cambio en contextos laborales controlados — responde a una posición epistemológica deliberada: no buscamos verificar si el aprendizaje expansivo ocurre bajo condiciones artificialmente construidas sino elucidar cómo operan las contradicciones del sistema instruccional en su materialidad cotidiana y qué papel cumplen las consignas en la habilitación — o la clausura — de rupturas expansivas. Desde esta perspectiva, nos inscribimos en el modelo orgánico del aprendizaje expansivo que </w:t>
      </w:r>
      <w:proofErr w:type="spellStart"/>
      <w:r w:rsidRPr="00E166C9">
        <w:rPr>
          <w:rFonts w:ascii="Times New Roman" w:hAnsi="Times New Roman" w:cs="Times New Roman"/>
          <w:i/>
          <w:iCs/>
          <w:lang w:val="es-AR"/>
        </w:rPr>
        <w:t>Beighton</w:t>
      </w:r>
      <w:proofErr w:type="spellEnd"/>
      <w:r w:rsidRPr="00E166C9">
        <w:rPr>
          <w:rFonts w:ascii="Times New Roman" w:hAnsi="Times New Roman" w:cs="Times New Roman"/>
          <w:i/>
          <w:iCs/>
          <w:lang w:val="es-AR"/>
        </w:rPr>
        <w:t xml:space="preserve"> (2016)</w:t>
      </w:r>
      <w:r w:rsidRPr="00E166C9">
        <w:rPr>
          <w:rFonts w:ascii="Times New Roman" w:hAnsi="Times New Roman" w:cs="Times New Roman"/>
          <w:lang w:val="es-AR"/>
        </w:rPr>
        <w:t xml:space="preserve"> define como aquel que opera desde el interior del sistema, reconoce las características ecológicas del aprendizaje en contextos reales y supera el modelo organizacional orientado a la intervención externa deliberada.</w:t>
      </w:r>
    </w:p>
    <w:p w14:paraId="35BAB022"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t>Engeström (2014)</w:t>
      </w:r>
      <w:r w:rsidRPr="00E166C9">
        <w:rPr>
          <w:rFonts w:ascii="Times New Roman" w:hAnsi="Times New Roman" w:cs="Times New Roman"/>
          <w:lang w:val="es-AR"/>
        </w:rPr>
        <w:t xml:space="preserve"> propone una metodología expansiva articulada en niveles de análisis que operacionalizan la doble exigencia de la Teoría de la Actividad: dar cuenta de la historicidad del sistema y de su materialidad presente. El diseño se estructura, por tanto, </w:t>
      </w:r>
      <w:r w:rsidRPr="00E166C9">
        <w:rPr>
          <w:rFonts w:ascii="Times New Roman" w:hAnsi="Times New Roman" w:cs="Times New Roman"/>
          <w:lang w:val="es-AR"/>
        </w:rPr>
        <w:lastRenderedPageBreak/>
        <w:t>en dos niveles complementarios que no constituyen fases secuenciales sino planos de análisis que se tensionan mutuamente.</w:t>
      </w:r>
    </w:p>
    <w:p w14:paraId="5603E1D1" w14:textId="0D3BAA07" w:rsidR="00E166C9" w:rsidRPr="006840C6" w:rsidRDefault="00E166C9" w:rsidP="00E166C9">
      <w:pPr>
        <w:spacing w:line="240" w:lineRule="auto"/>
        <w:jc w:val="both"/>
        <w:rPr>
          <w:rFonts w:ascii="Times New Roman" w:hAnsi="Times New Roman" w:cs="Times New Roman"/>
          <w:b/>
          <w:bCs/>
          <w:i/>
          <w:iCs/>
          <w:lang w:val="es-AR"/>
        </w:rPr>
      </w:pPr>
      <w:r w:rsidRPr="006840C6">
        <w:rPr>
          <w:rFonts w:ascii="Times New Roman" w:hAnsi="Times New Roman" w:cs="Times New Roman"/>
          <w:b/>
          <w:bCs/>
          <w:i/>
          <w:iCs/>
          <w:lang w:val="es-AR"/>
        </w:rPr>
        <w:t xml:space="preserve">Nivel </w:t>
      </w:r>
      <w:r w:rsidR="006840C6" w:rsidRPr="006840C6">
        <w:rPr>
          <w:rFonts w:ascii="Times New Roman" w:hAnsi="Times New Roman" w:cs="Times New Roman"/>
          <w:b/>
          <w:bCs/>
          <w:i/>
          <w:iCs/>
          <w:lang w:val="es-AR"/>
        </w:rPr>
        <w:t>Histórico-Objetual y Teórico-Histórico</w:t>
      </w:r>
    </w:p>
    <w:p w14:paraId="6DFAE41E"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El primer nivel de análisis busca reconstruir la trayectoria histórica del sistema instruccional en la asignatura Psicología Evolutiva y Educacional del Profesorado de Historia de la UNLu: qué objeto de actividad ha sostenido históricamente la cátedra, qué artefactos mediadores han organizado la enseñanza, qué reglas han estructurado la división del trabajo entre docente y estudiantes. Los instrumentos diseñados para este nivel son el análisis documental — planes de estudio, programas, bibliografías de referencia histórica, digestos institucionales — y las entrevistas en profundidad a docentes históricos de la cátedra, organizadas en cuatro ejes: contexto institucional e histórico, contradicciones y puntos de tensión del sistema, reglas y división del trabajo histórico, y evolución de las operaciones cognitivas promovidas. Este análisis no persigue un retrato neutral del pasado: busca identificar las contradicciones primarias acumuladas que configuraron el presente del sistema. La propia metodología expansiva es explícita al respecto — no es posible realizar un análisis empírico actual sin una configuración histórica previa que lo oriente.</w:t>
      </w:r>
    </w:p>
    <w:p w14:paraId="4D0E40E5" w14:textId="2F2E8A8D" w:rsidR="00E166C9" w:rsidRPr="006840C6" w:rsidRDefault="00E166C9" w:rsidP="00E166C9">
      <w:pPr>
        <w:spacing w:line="240" w:lineRule="auto"/>
        <w:jc w:val="both"/>
        <w:rPr>
          <w:rFonts w:ascii="Times New Roman" w:hAnsi="Times New Roman" w:cs="Times New Roman"/>
          <w:b/>
          <w:bCs/>
          <w:i/>
          <w:iCs/>
          <w:lang w:val="es-AR"/>
        </w:rPr>
      </w:pPr>
      <w:r w:rsidRPr="006840C6">
        <w:rPr>
          <w:rFonts w:ascii="Times New Roman" w:hAnsi="Times New Roman" w:cs="Times New Roman"/>
          <w:b/>
          <w:bCs/>
          <w:i/>
          <w:iCs/>
          <w:lang w:val="es-AR"/>
        </w:rPr>
        <w:t xml:space="preserve">Nivel </w:t>
      </w:r>
      <w:r w:rsidR="006840C6" w:rsidRPr="006840C6">
        <w:rPr>
          <w:rFonts w:ascii="Times New Roman" w:hAnsi="Times New Roman" w:cs="Times New Roman"/>
          <w:b/>
          <w:bCs/>
          <w:i/>
          <w:iCs/>
          <w:lang w:val="es-AR"/>
        </w:rPr>
        <w:t>Empírico Actual</w:t>
      </w:r>
    </w:p>
    <w:p w14:paraId="36DC5D8B"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El segundo nivel de análisis opera sobre la materialidad del presente. Los instrumentos fueron construidos en función estricta de los componentes del sistema de actividad y de los objetivos de la investigación. La observación de clase adopta un protocolo de doble entrada: una columna registra la descripción fáctica — literalidad de diálogos, gestos, acciones, sin juicios de valor — y la otra habilita la inferencia teórica en tiempo real, conectando los hechos observados con los componentes del sistema de actividad e identificando posibles contradicciones o trampolines. Las entrevistas semiestructuradas a docentes en actividad indagan cuatro ejes: objeto y diseño de las consignas, interacciones y rol docente — diferenciando explícitamente entre las posiciones de observador, guía y provocador —, operaciones cognitivas promovidas, y contradicciones identificadas en la propia práctica. Las entrevistas a estudiantes buscan elucidar la experiencia vivida frente a las consignas: qué operaciones cognitivas reconocen haber desplegado, dónde identifican tensiones o rupturas con la lógica instruccional. La bitácora de trabajo estudiantil completa el dispositivo: es el instrumento en el que los propios estudiantes registran, de modo narrativo, la toma de decisiones, los obstáculos y los modos de resolución, evidenciando si hubo ruptura con las instrucciones originales y, por tanto, si el razonamiento retroductivo emergió en la práctica.</w:t>
      </w:r>
    </w:p>
    <w:p w14:paraId="3EFD7ADB"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i/>
          <w:iCs/>
          <w:lang w:val="es-AR"/>
        </w:rPr>
        <w:t>Tabla 1. Diseño metodológico por niveles de análisis</w:t>
      </w:r>
    </w:p>
    <w:tbl>
      <w:tblPr>
        <w:tblW w:w="8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2"/>
        <w:gridCol w:w="3242"/>
        <w:gridCol w:w="3242"/>
      </w:tblGrid>
      <w:tr w:rsidR="00E166C9" w:rsidRPr="00E166C9" w14:paraId="658DE040" w14:textId="77777777" w:rsidTr="006840C6">
        <w:tc>
          <w:tcPr>
            <w:tcW w:w="1842" w:type="dxa"/>
            <w:tcBorders>
              <w:top w:val="single" w:sz="1" w:space="0" w:color="AAAAAA"/>
              <w:left w:val="single" w:sz="1" w:space="0" w:color="AAAAAA"/>
              <w:bottom w:val="single" w:sz="1" w:space="0" w:color="AAAAAA"/>
              <w:right w:val="single" w:sz="1" w:space="0" w:color="AAAAAA"/>
            </w:tcBorders>
            <w:shd w:val="clear" w:color="auto" w:fill="E8E8E8"/>
            <w:tcMar>
              <w:top w:w="80" w:type="dxa"/>
              <w:left w:w="120" w:type="dxa"/>
              <w:bottom w:w="80" w:type="dxa"/>
              <w:right w:w="120" w:type="dxa"/>
            </w:tcMar>
            <w:vAlign w:val="center"/>
          </w:tcPr>
          <w:p w14:paraId="1D5F09D7" w14:textId="77777777" w:rsidR="00E166C9" w:rsidRPr="00E166C9" w:rsidRDefault="00E166C9" w:rsidP="006840C6">
            <w:pPr>
              <w:spacing w:after="0" w:line="240" w:lineRule="auto"/>
              <w:jc w:val="center"/>
              <w:rPr>
                <w:rFonts w:ascii="Times New Roman" w:hAnsi="Times New Roman" w:cs="Times New Roman"/>
                <w:lang w:val="es-AR"/>
              </w:rPr>
            </w:pPr>
            <w:r w:rsidRPr="00E166C9">
              <w:rPr>
                <w:rFonts w:ascii="Times New Roman" w:hAnsi="Times New Roman" w:cs="Times New Roman"/>
                <w:b/>
                <w:bCs/>
                <w:lang w:val="es-AR"/>
              </w:rPr>
              <w:t>Nivel de análisis</w:t>
            </w:r>
          </w:p>
        </w:tc>
        <w:tc>
          <w:tcPr>
            <w:tcW w:w="3242" w:type="dxa"/>
            <w:tcBorders>
              <w:top w:val="single" w:sz="1" w:space="0" w:color="AAAAAA"/>
              <w:left w:val="single" w:sz="1" w:space="0" w:color="AAAAAA"/>
              <w:bottom w:val="single" w:sz="1" w:space="0" w:color="AAAAAA"/>
              <w:right w:val="single" w:sz="1" w:space="0" w:color="AAAAAA"/>
            </w:tcBorders>
            <w:shd w:val="clear" w:color="auto" w:fill="E8E8E8"/>
            <w:tcMar>
              <w:top w:w="80" w:type="dxa"/>
              <w:left w:w="120" w:type="dxa"/>
              <w:bottom w:w="80" w:type="dxa"/>
              <w:right w:w="120" w:type="dxa"/>
            </w:tcMar>
            <w:vAlign w:val="center"/>
          </w:tcPr>
          <w:p w14:paraId="62092E42" w14:textId="77777777" w:rsidR="00E166C9" w:rsidRPr="00E166C9" w:rsidRDefault="00E166C9" w:rsidP="006840C6">
            <w:pPr>
              <w:spacing w:after="0" w:line="240" w:lineRule="auto"/>
              <w:jc w:val="center"/>
              <w:rPr>
                <w:rFonts w:ascii="Times New Roman" w:hAnsi="Times New Roman" w:cs="Times New Roman"/>
                <w:lang w:val="es-AR"/>
              </w:rPr>
            </w:pPr>
            <w:r w:rsidRPr="00E166C9">
              <w:rPr>
                <w:rFonts w:ascii="Times New Roman" w:hAnsi="Times New Roman" w:cs="Times New Roman"/>
                <w:b/>
                <w:bCs/>
                <w:lang w:val="es-AR"/>
              </w:rPr>
              <w:t>Objetivo analítico</w:t>
            </w:r>
          </w:p>
        </w:tc>
        <w:tc>
          <w:tcPr>
            <w:tcW w:w="3242" w:type="dxa"/>
            <w:tcBorders>
              <w:top w:val="single" w:sz="1" w:space="0" w:color="AAAAAA"/>
              <w:left w:val="single" w:sz="1" w:space="0" w:color="AAAAAA"/>
              <w:bottom w:val="single" w:sz="1" w:space="0" w:color="AAAAAA"/>
              <w:right w:val="single" w:sz="1" w:space="0" w:color="AAAAAA"/>
            </w:tcBorders>
            <w:shd w:val="clear" w:color="auto" w:fill="E8E8E8"/>
            <w:tcMar>
              <w:top w:w="80" w:type="dxa"/>
              <w:left w:w="120" w:type="dxa"/>
              <w:bottom w:w="80" w:type="dxa"/>
              <w:right w:w="120" w:type="dxa"/>
            </w:tcMar>
            <w:vAlign w:val="center"/>
          </w:tcPr>
          <w:p w14:paraId="154079D0" w14:textId="77777777" w:rsidR="00E166C9" w:rsidRPr="00E166C9" w:rsidRDefault="00E166C9" w:rsidP="006840C6">
            <w:pPr>
              <w:spacing w:after="0" w:line="240" w:lineRule="auto"/>
              <w:jc w:val="center"/>
              <w:rPr>
                <w:rFonts w:ascii="Times New Roman" w:hAnsi="Times New Roman" w:cs="Times New Roman"/>
                <w:lang w:val="es-AR"/>
              </w:rPr>
            </w:pPr>
            <w:r w:rsidRPr="00E166C9">
              <w:rPr>
                <w:rFonts w:ascii="Times New Roman" w:hAnsi="Times New Roman" w:cs="Times New Roman"/>
                <w:b/>
                <w:bCs/>
                <w:lang w:val="es-AR"/>
              </w:rPr>
              <w:t>Instrumentos</w:t>
            </w:r>
          </w:p>
        </w:tc>
      </w:tr>
      <w:tr w:rsidR="00E166C9" w:rsidRPr="00E166C9" w14:paraId="48179202" w14:textId="77777777" w:rsidTr="006840C6">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EE0E03A" w14:textId="77777777" w:rsidR="00E166C9" w:rsidRPr="00E166C9" w:rsidRDefault="00E166C9" w:rsidP="006840C6">
            <w:pPr>
              <w:spacing w:after="0" w:line="240" w:lineRule="auto"/>
              <w:jc w:val="center"/>
              <w:rPr>
                <w:rFonts w:ascii="Times New Roman" w:hAnsi="Times New Roman" w:cs="Times New Roman"/>
                <w:lang w:val="es-AR"/>
              </w:rPr>
            </w:pPr>
            <w:r w:rsidRPr="00E166C9">
              <w:rPr>
                <w:rFonts w:ascii="Times New Roman" w:hAnsi="Times New Roman" w:cs="Times New Roman"/>
                <w:lang w:val="es-AR"/>
              </w:rPr>
              <w:lastRenderedPageBreak/>
              <w:t>Histórico-objetual y teórico-histórico</w:t>
            </w:r>
          </w:p>
        </w:tc>
        <w:tc>
          <w:tcPr>
            <w:tcW w:w="32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406D6E7" w14:textId="77777777" w:rsidR="00E166C9" w:rsidRPr="00E166C9" w:rsidRDefault="00E166C9" w:rsidP="006840C6">
            <w:pPr>
              <w:spacing w:after="0" w:line="240" w:lineRule="auto"/>
              <w:jc w:val="both"/>
              <w:rPr>
                <w:rFonts w:ascii="Times New Roman" w:hAnsi="Times New Roman" w:cs="Times New Roman"/>
                <w:lang w:val="es-AR"/>
              </w:rPr>
            </w:pPr>
            <w:r w:rsidRPr="00E166C9">
              <w:rPr>
                <w:rFonts w:ascii="Times New Roman" w:hAnsi="Times New Roman" w:cs="Times New Roman"/>
                <w:lang w:val="es-AR"/>
              </w:rPr>
              <w:t>Reconstrucción del sistema instruccional histórico e identificación de contradicciones acumuladas</w:t>
            </w:r>
          </w:p>
        </w:tc>
        <w:tc>
          <w:tcPr>
            <w:tcW w:w="32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56F40D8" w14:textId="77777777" w:rsidR="00E166C9" w:rsidRPr="00E166C9" w:rsidRDefault="00E166C9" w:rsidP="006840C6">
            <w:pPr>
              <w:spacing w:after="0" w:line="240" w:lineRule="auto"/>
              <w:jc w:val="both"/>
              <w:rPr>
                <w:rFonts w:ascii="Times New Roman" w:hAnsi="Times New Roman" w:cs="Times New Roman"/>
                <w:lang w:val="es-AR"/>
              </w:rPr>
            </w:pPr>
            <w:r w:rsidRPr="00E166C9">
              <w:rPr>
                <w:rFonts w:ascii="Times New Roman" w:hAnsi="Times New Roman" w:cs="Times New Roman"/>
                <w:lang w:val="es-AR"/>
              </w:rPr>
              <w:t>Análisis documental (planes, programas, bibliografías) / Entrevistas a docentes históricos de la cátedra</w:t>
            </w:r>
          </w:p>
        </w:tc>
      </w:tr>
      <w:tr w:rsidR="00E166C9" w:rsidRPr="00E166C9" w14:paraId="67C5DFC2" w14:textId="77777777" w:rsidTr="006840C6">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B493403" w14:textId="77777777" w:rsidR="00E166C9" w:rsidRPr="00E166C9" w:rsidRDefault="00E166C9" w:rsidP="006840C6">
            <w:pPr>
              <w:spacing w:after="0" w:line="240" w:lineRule="auto"/>
              <w:jc w:val="center"/>
              <w:rPr>
                <w:rFonts w:ascii="Times New Roman" w:hAnsi="Times New Roman" w:cs="Times New Roman"/>
                <w:lang w:val="es-AR"/>
              </w:rPr>
            </w:pPr>
            <w:r w:rsidRPr="00E166C9">
              <w:rPr>
                <w:rFonts w:ascii="Times New Roman" w:hAnsi="Times New Roman" w:cs="Times New Roman"/>
                <w:lang w:val="es-AR"/>
              </w:rPr>
              <w:t>Empírico actual</w:t>
            </w:r>
          </w:p>
        </w:tc>
        <w:tc>
          <w:tcPr>
            <w:tcW w:w="32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25D3666" w14:textId="77777777" w:rsidR="00E166C9" w:rsidRPr="00E166C9" w:rsidRDefault="00E166C9" w:rsidP="006840C6">
            <w:pPr>
              <w:spacing w:after="0" w:line="240" w:lineRule="auto"/>
              <w:jc w:val="both"/>
              <w:rPr>
                <w:rFonts w:ascii="Times New Roman" w:hAnsi="Times New Roman" w:cs="Times New Roman"/>
                <w:lang w:val="es-AR"/>
              </w:rPr>
            </w:pPr>
            <w:r w:rsidRPr="00E166C9">
              <w:rPr>
                <w:rFonts w:ascii="Times New Roman" w:hAnsi="Times New Roman" w:cs="Times New Roman"/>
                <w:lang w:val="es-AR"/>
              </w:rPr>
              <w:t>Captura de contradicciones, trampolines y operaciones cognitivas en la materialidad del presente</w:t>
            </w:r>
          </w:p>
        </w:tc>
        <w:tc>
          <w:tcPr>
            <w:tcW w:w="32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CFCC2B1" w14:textId="77777777" w:rsidR="00E166C9" w:rsidRPr="00E166C9" w:rsidRDefault="00E166C9" w:rsidP="006840C6">
            <w:pPr>
              <w:spacing w:after="0" w:line="240" w:lineRule="auto"/>
              <w:jc w:val="both"/>
              <w:rPr>
                <w:rFonts w:ascii="Times New Roman" w:hAnsi="Times New Roman" w:cs="Times New Roman"/>
                <w:lang w:val="es-AR"/>
              </w:rPr>
            </w:pPr>
            <w:r w:rsidRPr="00E166C9">
              <w:rPr>
                <w:rFonts w:ascii="Times New Roman" w:hAnsi="Times New Roman" w:cs="Times New Roman"/>
                <w:lang w:val="es-AR"/>
              </w:rPr>
              <w:t>Observación de clase (protocolo doble entrada) / Entrevistas semiestructuradas a docentes en actividad y estudiantes / Bitácora de trabajo estudiantil</w:t>
            </w:r>
          </w:p>
        </w:tc>
      </w:tr>
    </w:tbl>
    <w:p w14:paraId="2D25FF0D" w14:textId="77777777" w:rsidR="00E166C9" w:rsidRPr="00E166C9" w:rsidRDefault="00E166C9" w:rsidP="00E166C9">
      <w:pPr>
        <w:spacing w:line="240" w:lineRule="auto"/>
        <w:jc w:val="both"/>
        <w:rPr>
          <w:rFonts w:ascii="Times New Roman" w:hAnsi="Times New Roman" w:cs="Times New Roman"/>
          <w:lang w:val="es-AR"/>
        </w:rPr>
      </w:pPr>
    </w:p>
    <w:p w14:paraId="25B66CF1" w14:textId="0D635046" w:rsidR="00E166C9" w:rsidRPr="00E166C9" w:rsidRDefault="00E166C9" w:rsidP="00E166C9">
      <w:pPr>
        <w:spacing w:line="240" w:lineRule="auto"/>
        <w:jc w:val="both"/>
        <w:rPr>
          <w:rFonts w:ascii="Times New Roman" w:hAnsi="Times New Roman" w:cs="Times New Roman"/>
          <w:b/>
          <w:bCs/>
          <w:lang w:val="es-AR"/>
        </w:rPr>
      </w:pPr>
      <w:r w:rsidRPr="00E166C9">
        <w:rPr>
          <w:rFonts w:ascii="Times New Roman" w:hAnsi="Times New Roman" w:cs="Times New Roman"/>
          <w:b/>
          <w:bCs/>
          <w:lang w:val="es-AR"/>
        </w:rPr>
        <w:t xml:space="preserve">Estado </w:t>
      </w:r>
      <w:r w:rsidR="006840C6" w:rsidRPr="00E166C9">
        <w:rPr>
          <w:rFonts w:ascii="Times New Roman" w:hAnsi="Times New Roman" w:cs="Times New Roman"/>
          <w:b/>
          <w:bCs/>
          <w:lang w:val="es-AR"/>
        </w:rPr>
        <w:t>de Avance: Elucidaciones Propias como Resultado Teórico</w:t>
      </w:r>
    </w:p>
    <w:p w14:paraId="627E1D82"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Al tratarse de un proyecto longitudinal de cuatro años — con resolución de acreditación 075/25 y proyección hasta 2029, cuyo trabajo de campo se encuentra en sus etapas iniciales — los resultados que reconocemos en esta instancia son de naturaleza teórica y metodológica. Esa naturaleza no los hace menores: en una investigación cuyo objeto es precisamente la estructura de los instrumentos que organizan la actividad de aprendizaje, el proceso de construcción del andamiaje conceptual es en sí mismo un resultado analítico. El primero y más significativo de esos resultados es la determinación del estatuto analítico de la consigna como artefacto que define si el sistema de actividad del aula opera en lógica instruccional o en lógica expansiva — una elucidación que no estaba disponible en la literatura antecedente y que requirió un proceso de resignificación conceptual que vale describir.</w:t>
      </w:r>
    </w:p>
    <w:p w14:paraId="1B3EFAC4"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En las etapas iniciales del proyecto, la consigna era entendida, siguiendo la formulación más habitual en la didáctica universitaria, como el instrumento por el que el docente comunica la tarea a realizar. Ese encuadre, tributario del formato instruccional que buscamos problematizar, la reducía a su dimensión prescriptiva: la consigna como descripción de lo que el alumno debe hacer. La lectura sistemática de </w:t>
      </w:r>
      <w:proofErr w:type="spellStart"/>
      <w:r w:rsidRPr="00E166C9">
        <w:rPr>
          <w:rFonts w:ascii="Times New Roman" w:hAnsi="Times New Roman" w:cs="Times New Roman"/>
          <w:i/>
          <w:iCs/>
          <w:lang w:val="es-AR"/>
        </w:rPr>
        <w:t>Talízina</w:t>
      </w:r>
      <w:proofErr w:type="spellEnd"/>
      <w:r w:rsidRPr="00E166C9">
        <w:rPr>
          <w:rFonts w:ascii="Times New Roman" w:hAnsi="Times New Roman" w:cs="Times New Roman"/>
          <w:i/>
          <w:iCs/>
          <w:lang w:val="es-AR"/>
        </w:rPr>
        <w:t xml:space="preserve"> (1988)</w:t>
      </w:r>
      <w:r w:rsidRPr="00E166C9">
        <w:rPr>
          <w:rFonts w:ascii="Times New Roman" w:hAnsi="Times New Roman" w:cs="Times New Roman"/>
          <w:lang w:val="es-AR"/>
        </w:rPr>
        <w:t xml:space="preserve">, </w:t>
      </w:r>
      <w:r w:rsidRPr="00E166C9">
        <w:rPr>
          <w:rFonts w:ascii="Times New Roman" w:hAnsi="Times New Roman" w:cs="Times New Roman"/>
          <w:i/>
          <w:iCs/>
          <w:lang w:val="es-AR"/>
        </w:rPr>
        <w:t>Riestra (2004; 2008)</w:t>
      </w:r>
      <w:r w:rsidRPr="00E166C9">
        <w:rPr>
          <w:rFonts w:ascii="Times New Roman" w:hAnsi="Times New Roman" w:cs="Times New Roman"/>
          <w:lang w:val="es-AR"/>
        </w:rPr>
        <w:t xml:space="preserve"> y </w:t>
      </w:r>
      <w:r w:rsidRPr="00E166C9">
        <w:rPr>
          <w:rFonts w:ascii="Times New Roman" w:hAnsi="Times New Roman" w:cs="Times New Roman"/>
          <w:i/>
          <w:iCs/>
          <w:lang w:val="es-AR"/>
        </w:rPr>
        <w:t>Engeström (2014)</w:t>
      </w:r>
      <w:r w:rsidRPr="00E166C9">
        <w:rPr>
          <w:rFonts w:ascii="Times New Roman" w:hAnsi="Times New Roman" w:cs="Times New Roman"/>
          <w:lang w:val="es-AR"/>
        </w:rPr>
        <w:t>, en diálogo con el proceso de diseño de los instrumentos de recolección, obligó a una reformulación sustantiva: la consigna no describe la actividad — la constituye. Es el artefacto que define, en el nivel de la base orientadora, qué tipo de operaciones cognitivas el sujeto desplegará y si el sistema de actividad resultante operará en el primer bucle — la reproducción de lo dado — o será empujado hacia el segundo bucle — la ruptura generativa. Esa reformulación.</w:t>
      </w:r>
    </w:p>
    <w:p w14:paraId="5A26F251"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 xml:space="preserve">El segundo resultado teórico es la operacionalización articulada de los conceptos de trampolín, doble bucle y objeto desbocado en el nivel de las consignas de trabajo. </w:t>
      </w:r>
      <w:r w:rsidRPr="00E166C9">
        <w:rPr>
          <w:rFonts w:ascii="Times New Roman" w:hAnsi="Times New Roman" w:cs="Times New Roman"/>
          <w:i/>
          <w:iCs/>
          <w:lang w:val="es-AR"/>
        </w:rPr>
        <w:t>Engeström (2014)</w:t>
      </w:r>
      <w:r w:rsidRPr="00E166C9">
        <w:rPr>
          <w:rFonts w:ascii="Times New Roman" w:hAnsi="Times New Roman" w:cs="Times New Roman"/>
          <w:lang w:val="es-AR"/>
        </w:rPr>
        <w:t xml:space="preserve"> define el trampolín como una imagen facilitadora, una técnica o una constelación </w:t>
      </w:r>
      <w:proofErr w:type="spellStart"/>
      <w:r w:rsidRPr="00E166C9">
        <w:rPr>
          <w:rFonts w:ascii="Times New Roman" w:hAnsi="Times New Roman" w:cs="Times New Roman"/>
          <w:lang w:val="es-AR"/>
        </w:rPr>
        <w:t>socioconversacional</w:t>
      </w:r>
      <w:proofErr w:type="spellEnd"/>
      <w:r w:rsidRPr="00E166C9">
        <w:rPr>
          <w:rFonts w:ascii="Times New Roman" w:hAnsi="Times New Roman" w:cs="Times New Roman"/>
          <w:lang w:val="es-AR"/>
        </w:rPr>
        <w:t xml:space="preserve"> extraviada o trasplantada de algún contexto previo a un nuevo contexto de actividad expansivamente transicional durante un conflicto agudo de carácter de doble vínculo. En el contexto del aula universitaria, nuestra hipótesis es que la consigna puede funcionar — o no — como trampolín según si presenta al sujeto una situación que el primer bucle no puede resolver con sus operaciones habituales: una </w:t>
      </w:r>
      <w:r w:rsidRPr="00E166C9">
        <w:rPr>
          <w:rFonts w:ascii="Times New Roman" w:hAnsi="Times New Roman" w:cs="Times New Roman"/>
          <w:lang w:val="es-AR"/>
        </w:rPr>
        <w:lastRenderedPageBreak/>
        <w:t>situación que exige retroceder sobre los supuestos del problema antes de poder avanzar hacia su resolución. El objeto desbocado, en este nivel de análisis, no es una situación externa e imprevista que irrumpe en el sistema: puede ser producido deliberadamente por una consigna que introduce una condición que el sistema instruccional no había contemplado, que hace visible la insuficiencia de los instrumentos disponibles y que, por tanto, obliga a la comunidad a construir nuevos instrumentos de acción colectiva. Es así que trampolín, doble bucle, objeto desbocado y retroducción no son conceptos yuxtapuestos: describen momentos sucesivos de un mismo ciclo cuyo punto de activación, en el aula universitaria, puede ser la consigna.</w:t>
      </w:r>
    </w:p>
    <w:p w14:paraId="232AE159" w14:textId="77777777" w:rsidR="00E166C9" w:rsidRPr="00E166C9" w:rsidRDefault="00E166C9" w:rsidP="00E166C9">
      <w:pPr>
        <w:spacing w:line="240" w:lineRule="auto"/>
        <w:jc w:val="both"/>
        <w:rPr>
          <w:rFonts w:ascii="Times New Roman" w:hAnsi="Times New Roman" w:cs="Times New Roman"/>
          <w:lang w:val="es-AR"/>
        </w:rPr>
      </w:pPr>
      <w:r w:rsidRPr="00E166C9">
        <w:rPr>
          <w:rFonts w:ascii="Times New Roman" w:hAnsi="Times New Roman" w:cs="Times New Roman"/>
          <w:lang w:val="es-AR"/>
        </w:rPr>
        <w:t>El tercer resultado — y el que nos permite nombrar el programa de investigación en su conjunto — es la proposición de lo que denominamos una didáctica de la habilitación expansiva: un encuadre que articula diseño de enseñanza y teoría del aprendizaje alrededor de la consigna como pivote sistémico, y que postula que la expansión no es solo observable sino, en parte, producible — que hay un artefacto concreto, a cargo del docente, que determina si el sistema de actividad del aula operará en lógica reproductiva o en lógica expansiva. Esta proposición constituye el aporte más propio de la investigación al campo: ningún trabajo previo había propuesto un artefacto didáctico ordinario como determinador estructural de la lógica del sistema de actividad. Los estudios disponibles analizan la expansión cuando ya ocurrió, o la provocan mediante intervenciones extraordinarias. Nosotros proponemos que puede estar latente en el diseño de una consigna de clase. Ese desplazamiento implicó, además, poner en diálogo tres tradiciones que nunca habían sido articuladas alrededor de un mismo objeto: la tradición cognitiva de la base orientadora de la acción (</w:t>
      </w:r>
      <w:proofErr w:type="spellStart"/>
      <w:r w:rsidRPr="00E166C9">
        <w:rPr>
          <w:rFonts w:ascii="Times New Roman" w:hAnsi="Times New Roman" w:cs="Times New Roman"/>
          <w:lang w:val="es-AR"/>
        </w:rPr>
        <w:t>Talízina</w:t>
      </w:r>
      <w:proofErr w:type="spellEnd"/>
      <w:r w:rsidRPr="00E166C9">
        <w:rPr>
          <w:rFonts w:ascii="Times New Roman" w:hAnsi="Times New Roman" w:cs="Times New Roman"/>
          <w:lang w:val="es-AR"/>
        </w:rPr>
        <w:t>), la tradición didáctico-discursiva de la consigna como acción de lenguaje (Riestra), y la Teoría de la Actividad (</w:t>
      </w:r>
      <w:proofErr w:type="spellStart"/>
      <w:r w:rsidRPr="00E166C9">
        <w:rPr>
          <w:rFonts w:ascii="Times New Roman" w:hAnsi="Times New Roman" w:cs="Times New Roman"/>
          <w:lang w:val="es-AR"/>
        </w:rPr>
        <w:t>Engeström</w:t>
      </w:r>
      <w:proofErr w:type="spellEnd"/>
      <w:r w:rsidRPr="00E166C9">
        <w:rPr>
          <w:rFonts w:ascii="Times New Roman" w:hAnsi="Times New Roman" w:cs="Times New Roman"/>
          <w:lang w:val="es-AR"/>
        </w:rPr>
        <w:t>). Cada una tenía algo para decir sobre la consigna pero lo decía sola. Es así que la construcción de ese puente requirió también problematizar el modo en que los antecedentes disponibles — referidos a contextos laborales (</w:t>
      </w:r>
      <w:proofErr w:type="spellStart"/>
      <w:r w:rsidRPr="00E166C9">
        <w:rPr>
          <w:rFonts w:ascii="Times New Roman" w:hAnsi="Times New Roman" w:cs="Times New Roman"/>
          <w:i/>
          <w:iCs/>
          <w:lang w:val="es-AR"/>
        </w:rPr>
        <w:t>Beighton</w:t>
      </w:r>
      <w:proofErr w:type="spellEnd"/>
      <w:r w:rsidRPr="00E166C9">
        <w:rPr>
          <w:rFonts w:ascii="Times New Roman" w:hAnsi="Times New Roman" w:cs="Times New Roman"/>
          <w:i/>
          <w:iCs/>
          <w:lang w:val="es-AR"/>
        </w:rPr>
        <w:t>, 2016</w:t>
      </w:r>
      <w:r w:rsidRPr="00E166C9">
        <w:rPr>
          <w:rFonts w:ascii="Times New Roman" w:hAnsi="Times New Roman" w:cs="Times New Roman"/>
          <w:lang w:val="es-AR"/>
        </w:rPr>
        <w:t>), de formación corporativa (</w:t>
      </w:r>
      <w:proofErr w:type="spellStart"/>
      <w:r w:rsidRPr="00E166C9">
        <w:rPr>
          <w:rFonts w:ascii="Times New Roman" w:hAnsi="Times New Roman" w:cs="Times New Roman"/>
          <w:i/>
          <w:iCs/>
          <w:lang w:val="es-AR"/>
        </w:rPr>
        <w:t>Engeström</w:t>
      </w:r>
      <w:proofErr w:type="spellEnd"/>
      <w:r w:rsidRPr="00E166C9">
        <w:rPr>
          <w:rFonts w:ascii="Times New Roman" w:hAnsi="Times New Roman" w:cs="Times New Roman"/>
          <w:i/>
          <w:iCs/>
          <w:lang w:val="es-AR"/>
        </w:rPr>
        <w:t>, 1987</w:t>
      </w:r>
      <w:r w:rsidRPr="00E166C9">
        <w:rPr>
          <w:rFonts w:ascii="Times New Roman" w:hAnsi="Times New Roman" w:cs="Times New Roman"/>
          <w:lang w:val="es-AR"/>
        </w:rPr>
        <w:t>) o de entornos digitales (</w:t>
      </w:r>
      <w:r w:rsidRPr="00E166C9">
        <w:rPr>
          <w:rFonts w:ascii="Times New Roman" w:hAnsi="Times New Roman" w:cs="Times New Roman"/>
          <w:i/>
          <w:iCs/>
          <w:lang w:val="es-AR"/>
        </w:rPr>
        <w:t>Jiménez-Cortés, 2023</w:t>
      </w:r>
      <w:r w:rsidRPr="00E166C9">
        <w:rPr>
          <w:rFonts w:ascii="Times New Roman" w:hAnsi="Times New Roman" w:cs="Times New Roman"/>
          <w:lang w:val="es-AR"/>
        </w:rPr>
        <w:t>) — pueden resignificarse para dar cuenta de la especificidad de la clase universitaria presencial, con sus propias reglas, su propia división del trabajo y sus propias contradicciones históricas.</w:t>
      </w:r>
    </w:p>
    <w:p w14:paraId="64BD9F91" w14:textId="4913AC35" w:rsidR="00C802F5" w:rsidRPr="00C064E6" w:rsidRDefault="00C802F5" w:rsidP="007B5B5F">
      <w:pPr>
        <w:spacing w:line="240" w:lineRule="auto"/>
        <w:jc w:val="both"/>
        <w:rPr>
          <w:rFonts w:ascii="Times New Roman" w:hAnsi="Times New Roman" w:cs="Times New Roman"/>
          <w:lang w:val="en-US"/>
        </w:rPr>
      </w:pPr>
    </w:p>
    <w:p w14:paraId="12CE0BCB" w14:textId="6A82741F" w:rsidR="005F3B2E" w:rsidRPr="00C064E6" w:rsidRDefault="005F3B2E" w:rsidP="007B5B5F">
      <w:pPr>
        <w:spacing w:line="240" w:lineRule="auto"/>
        <w:rPr>
          <w:rFonts w:ascii="Times New Roman" w:hAnsi="Times New Roman" w:cs="Times New Roman"/>
          <w:b/>
          <w:bCs/>
          <w:lang w:val="en-US"/>
        </w:rPr>
      </w:pPr>
      <w:proofErr w:type="spellStart"/>
      <w:r w:rsidRPr="00C064E6">
        <w:rPr>
          <w:rFonts w:ascii="Times New Roman" w:hAnsi="Times New Roman" w:cs="Times New Roman"/>
          <w:b/>
          <w:bCs/>
          <w:lang w:val="en-US"/>
        </w:rPr>
        <w:t>Conclusiones</w:t>
      </w:r>
      <w:proofErr w:type="spellEnd"/>
    </w:p>
    <w:p w14:paraId="2E3266DA" w14:textId="77777777" w:rsidR="006840C6" w:rsidRPr="006840C6" w:rsidRDefault="006840C6" w:rsidP="006840C6">
      <w:pPr>
        <w:spacing w:line="240" w:lineRule="auto"/>
        <w:jc w:val="both"/>
        <w:rPr>
          <w:rFonts w:ascii="Times New Roman" w:hAnsi="Times New Roman" w:cs="Times New Roman"/>
          <w:lang w:val="es-AR"/>
        </w:rPr>
      </w:pPr>
      <w:r w:rsidRPr="006840C6">
        <w:rPr>
          <w:rFonts w:ascii="Times New Roman" w:hAnsi="Times New Roman" w:cs="Times New Roman"/>
          <w:lang w:val="es-AR"/>
        </w:rPr>
        <w:t>La investigación que presentamos no ofrece aún resultados empíricos que confirmen o refuten el andamiaje construido, y reconocemos en esa condición una potencia analítica que los diseños con datos cerrados no siempre pueden sostener. Mostrar cómo se piensa una investigación — qué elucidaciones conceptuales requirió, qué operacionalizaciones produjo, qué tensiones dejó sin resolver — es, en sí mismo, un aporte metodológico al campo. Lo que hemos producido es el andamiaje teórico-metodológico de una didáctica de la habilitación expansiva: un programa de investigación que la empiria de las próximas cohortes deberá construir, tensionar y, en los mejores casos, desbordar.</w:t>
      </w:r>
    </w:p>
    <w:p w14:paraId="5EA0768F" w14:textId="77777777" w:rsidR="006840C6" w:rsidRPr="006840C6" w:rsidRDefault="006840C6" w:rsidP="006840C6">
      <w:pPr>
        <w:spacing w:line="240" w:lineRule="auto"/>
        <w:jc w:val="both"/>
        <w:rPr>
          <w:rFonts w:ascii="Times New Roman" w:hAnsi="Times New Roman" w:cs="Times New Roman"/>
          <w:lang w:val="es-AR"/>
        </w:rPr>
      </w:pPr>
      <w:r w:rsidRPr="006840C6">
        <w:rPr>
          <w:rFonts w:ascii="Times New Roman" w:hAnsi="Times New Roman" w:cs="Times New Roman"/>
          <w:lang w:val="es-AR"/>
        </w:rPr>
        <w:lastRenderedPageBreak/>
        <w:t xml:space="preserve">Queda, sin embargo, una tensión que este diseño no puede resolver desde su estructura actual y que la empiria deberá interpelar: si el aprendizaje expansivo requiere, como </w:t>
      </w:r>
      <w:r w:rsidRPr="006840C6">
        <w:rPr>
          <w:rFonts w:ascii="Times New Roman" w:hAnsi="Times New Roman" w:cs="Times New Roman"/>
          <w:i/>
          <w:iCs/>
          <w:lang w:val="es-AR"/>
        </w:rPr>
        <w:t>Engeström (1987)</w:t>
      </w:r>
      <w:r w:rsidRPr="006840C6">
        <w:rPr>
          <w:rFonts w:ascii="Times New Roman" w:hAnsi="Times New Roman" w:cs="Times New Roman"/>
          <w:lang w:val="es-AR"/>
        </w:rPr>
        <w:t xml:space="preserve"> sostiene, la emergencia de objetos desbocados que el sistema no puede controlar, ¿puede la consigna — por definición, un artefacto intencionalmente diseñado por el docente — ser genuinamente el disparador de esa ruptura, o su propia programabilidad la clausura antes de que ocurra?</w:t>
      </w:r>
    </w:p>
    <w:p w14:paraId="544B704F" w14:textId="77777777" w:rsidR="00BC236F" w:rsidRPr="00C064E6" w:rsidRDefault="00BC236F" w:rsidP="007B5B5F">
      <w:pPr>
        <w:spacing w:line="240" w:lineRule="auto"/>
        <w:jc w:val="both"/>
        <w:rPr>
          <w:rFonts w:ascii="Times New Roman" w:hAnsi="Times New Roman" w:cs="Times New Roman"/>
          <w:lang w:val="en-US"/>
        </w:rPr>
      </w:pPr>
    </w:p>
    <w:p w14:paraId="39B57161" w14:textId="37246441"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w:t>
      </w:r>
    </w:p>
    <w:p w14:paraId="0582931D" w14:textId="77777777" w:rsidR="006840C6" w:rsidRPr="006840C6" w:rsidRDefault="006840C6" w:rsidP="006840C6">
      <w:pPr>
        <w:spacing w:line="240" w:lineRule="auto"/>
        <w:ind w:left="709" w:hanging="709"/>
        <w:jc w:val="both"/>
        <w:rPr>
          <w:rFonts w:ascii="Times New Roman" w:hAnsi="Times New Roman" w:cs="Times New Roman"/>
          <w:lang w:val="es-AR"/>
        </w:rPr>
      </w:pPr>
      <w:proofErr w:type="spellStart"/>
      <w:r w:rsidRPr="006840C6">
        <w:rPr>
          <w:rFonts w:ascii="Times New Roman" w:hAnsi="Times New Roman" w:cs="Times New Roman"/>
          <w:lang w:val="es-AR"/>
        </w:rPr>
        <w:t>Beighton</w:t>
      </w:r>
      <w:proofErr w:type="spellEnd"/>
      <w:r w:rsidRPr="006840C6">
        <w:rPr>
          <w:rFonts w:ascii="Times New Roman" w:hAnsi="Times New Roman" w:cs="Times New Roman"/>
          <w:lang w:val="es-AR"/>
        </w:rPr>
        <w:t xml:space="preserve">, C. (2016). Expansive </w:t>
      </w:r>
      <w:proofErr w:type="spellStart"/>
      <w:r w:rsidRPr="006840C6">
        <w:rPr>
          <w:rFonts w:ascii="Times New Roman" w:hAnsi="Times New Roman" w:cs="Times New Roman"/>
          <w:lang w:val="es-AR"/>
        </w:rPr>
        <w:t>Learning</w:t>
      </w:r>
      <w:proofErr w:type="spellEnd"/>
      <w:r w:rsidRPr="006840C6">
        <w:rPr>
          <w:rFonts w:ascii="Times New Roman" w:hAnsi="Times New Roman" w:cs="Times New Roman"/>
          <w:lang w:val="es-AR"/>
        </w:rPr>
        <w:t xml:space="preserve"> in Professional </w:t>
      </w:r>
      <w:proofErr w:type="spellStart"/>
      <w:r w:rsidRPr="006840C6">
        <w:rPr>
          <w:rFonts w:ascii="Times New Roman" w:hAnsi="Times New Roman" w:cs="Times New Roman"/>
          <w:lang w:val="es-AR"/>
        </w:rPr>
        <w:t>Contexts</w:t>
      </w:r>
      <w:proofErr w:type="spellEnd"/>
      <w:r w:rsidRPr="006840C6">
        <w:rPr>
          <w:rFonts w:ascii="Times New Roman" w:hAnsi="Times New Roman" w:cs="Times New Roman"/>
          <w:lang w:val="es-AR"/>
        </w:rPr>
        <w:t xml:space="preserve">: A </w:t>
      </w:r>
      <w:proofErr w:type="spellStart"/>
      <w:r w:rsidRPr="006840C6">
        <w:rPr>
          <w:rFonts w:ascii="Times New Roman" w:hAnsi="Times New Roman" w:cs="Times New Roman"/>
          <w:lang w:val="es-AR"/>
        </w:rPr>
        <w:t>Materialist</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Perspective</w:t>
      </w:r>
      <w:proofErr w:type="spellEnd"/>
      <w:r w:rsidRPr="006840C6">
        <w:rPr>
          <w:rFonts w:ascii="Times New Roman" w:hAnsi="Times New Roman" w:cs="Times New Roman"/>
          <w:lang w:val="es-AR"/>
        </w:rPr>
        <w:t>. Springer.</w:t>
      </w:r>
    </w:p>
    <w:p w14:paraId="7D52782D"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DeVincenzi, A., Marcano, D. y </w:t>
      </w:r>
      <w:proofErr w:type="spellStart"/>
      <w:r w:rsidRPr="006840C6">
        <w:rPr>
          <w:rFonts w:ascii="Times New Roman" w:hAnsi="Times New Roman" w:cs="Times New Roman"/>
          <w:lang w:val="es-AR"/>
        </w:rPr>
        <w:t>Macrí</w:t>
      </w:r>
      <w:proofErr w:type="spellEnd"/>
      <w:r w:rsidRPr="006840C6">
        <w:rPr>
          <w:rFonts w:ascii="Times New Roman" w:hAnsi="Times New Roman" w:cs="Times New Roman"/>
          <w:lang w:val="es-AR"/>
        </w:rPr>
        <w:t xml:space="preserve">, A. (2020). La práctica educativa bajo el lente de la teoría de la actividad. IPSA </w:t>
      </w:r>
      <w:proofErr w:type="spellStart"/>
      <w:r w:rsidRPr="006840C6">
        <w:rPr>
          <w:rFonts w:ascii="Times New Roman" w:hAnsi="Times New Roman" w:cs="Times New Roman"/>
          <w:lang w:val="es-AR"/>
        </w:rPr>
        <w:t>Scientia</w:t>
      </w:r>
      <w:proofErr w:type="spellEnd"/>
      <w:r w:rsidRPr="006840C6">
        <w:rPr>
          <w:rFonts w:ascii="Times New Roman" w:hAnsi="Times New Roman" w:cs="Times New Roman"/>
          <w:lang w:val="es-AR"/>
        </w:rPr>
        <w:t>, 5(1), 159-176.</w:t>
      </w:r>
    </w:p>
    <w:p w14:paraId="5FD962D6"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Engeström, Y. (1987). </w:t>
      </w:r>
      <w:proofErr w:type="spellStart"/>
      <w:r w:rsidRPr="006840C6">
        <w:rPr>
          <w:rFonts w:ascii="Times New Roman" w:hAnsi="Times New Roman" w:cs="Times New Roman"/>
          <w:lang w:val="es-AR"/>
        </w:rPr>
        <w:t>Learning</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by</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Expanding</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An</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Activity-Theoretical</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Approach</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to</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Developmental</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Research</w:t>
      </w:r>
      <w:proofErr w:type="spellEnd"/>
      <w:r w:rsidRPr="006840C6">
        <w:rPr>
          <w:rFonts w:ascii="Times New Roman" w:hAnsi="Times New Roman" w:cs="Times New Roman"/>
          <w:lang w:val="es-AR"/>
        </w:rPr>
        <w:t>. Orienta-</w:t>
      </w:r>
      <w:proofErr w:type="spellStart"/>
      <w:r w:rsidRPr="006840C6">
        <w:rPr>
          <w:rFonts w:ascii="Times New Roman" w:hAnsi="Times New Roman" w:cs="Times New Roman"/>
          <w:lang w:val="es-AR"/>
        </w:rPr>
        <w:t>Konsultit</w:t>
      </w:r>
      <w:proofErr w:type="spellEnd"/>
      <w:r w:rsidRPr="006840C6">
        <w:rPr>
          <w:rFonts w:ascii="Times New Roman" w:hAnsi="Times New Roman" w:cs="Times New Roman"/>
          <w:lang w:val="es-AR"/>
        </w:rPr>
        <w:t>.</w:t>
      </w:r>
    </w:p>
    <w:p w14:paraId="31B19BC3"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Engeström, Y. (2014). </w:t>
      </w:r>
      <w:proofErr w:type="spellStart"/>
      <w:r w:rsidRPr="006840C6">
        <w:rPr>
          <w:rFonts w:ascii="Times New Roman" w:hAnsi="Times New Roman" w:cs="Times New Roman"/>
          <w:lang w:val="es-AR"/>
        </w:rPr>
        <w:t>Learning</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by</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Expanding</w:t>
      </w:r>
      <w:proofErr w:type="spellEnd"/>
      <w:r w:rsidRPr="006840C6">
        <w:rPr>
          <w:rFonts w:ascii="Times New Roman" w:hAnsi="Times New Roman" w:cs="Times New Roman"/>
          <w:lang w:val="es-AR"/>
        </w:rPr>
        <w:t xml:space="preserve"> (2.ª ed.). Cambridge </w:t>
      </w:r>
      <w:proofErr w:type="spellStart"/>
      <w:r w:rsidRPr="006840C6">
        <w:rPr>
          <w:rFonts w:ascii="Times New Roman" w:hAnsi="Times New Roman" w:cs="Times New Roman"/>
          <w:lang w:val="es-AR"/>
        </w:rPr>
        <w:t>University</w:t>
      </w:r>
      <w:proofErr w:type="spellEnd"/>
      <w:r w:rsidRPr="006840C6">
        <w:rPr>
          <w:rFonts w:ascii="Times New Roman" w:hAnsi="Times New Roman" w:cs="Times New Roman"/>
          <w:lang w:val="es-AR"/>
        </w:rPr>
        <w:t xml:space="preserve"> Press. https://doi.org/10.1017/cbo9781139814744</w:t>
      </w:r>
    </w:p>
    <w:p w14:paraId="05B15086"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Gump, P. V. (1967). The </w:t>
      </w:r>
      <w:proofErr w:type="spellStart"/>
      <w:r w:rsidRPr="006840C6">
        <w:rPr>
          <w:rFonts w:ascii="Times New Roman" w:hAnsi="Times New Roman" w:cs="Times New Roman"/>
          <w:lang w:val="es-AR"/>
        </w:rPr>
        <w:t>Classroom</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Behavior</w:t>
      </w:r>
      <w:proofErr w:type="spellEnd"/>
      <w:r w:rsidRPr="006840C6">
        <w:rPr>
          <w:rFonts w:ascii="Times New Roman" w:hAnsi="Times New Roman" w:cs="Times New Roman"/>
          <w:lang w:val="es-AR"/>
        </w:rPr>
        <w:t xml:space="preserve"> Setting: </w:t>
      </w:r>
      <w:proofErr w:type="spellStart"/>
      <w:r w:rsidRPr="006840C6">
        <w:rPr>
          <w:rFonts w:ascii="Times New Roman" w:hAnsi="Times New Roman" w:cs="Times New Roman"/>
          <w:lang w:val="es-AR"/>
        </w:rPr>
        <w:t>Its</w:t>
      </w:r>
      <w:proofErr w:type="spellEnd"/>
      <w:r w:rsidRPr="006840C6">
        <w:rPr>
          <w:rFonts w:ascii="Times New Roman" w:hAnsi="Times New Roman" w:cs="Times New Roman"/>
          <w:lang w:val="es-AR"/>
        </w:rPr>
        <w:t xml:space="preserve"> Nature and Relation </w:t>
      </w:r>
      <w:proofErr w:type="spellStart"/>
      <w:r w:rsidRPr="006840C6">
        <w:rPr>
          <w:rFonts w:ascii="Times New Roman" w:hAnsi="Times New Roman" w:cs="Times New Roman"/>
          <w:lang w:val="es-AR"/>
        </w:rPr>
        <w:t>to</w:t>
      </w:r>
      <w:proofErr w:type="spellEnd"/>
      <w:r w:rsidRPr="006840C6">
        <w:rPr>
          <w:rFonts w:ascii="Times New Roman" w:hAnsi="Times New Roman" w:cs="Times New Roman"/>
          <w:lang w:val="es-AR"/>
        </w:rPr>
        <w:t xml:space="preserve"> Student </w:t>
      </w:r>
      <w:proofErr w:type="spellStart"/>
      <w:r w:rsidRPr="006840C6">
        <w:rPr>
          <w:rFonts w:ascii="Times New Roman" w:hAnsi="Times New Roman" w:cs="Times New Roman"/>
          <w:lang w:val="es-AR"/>
        </w:rPr>
        <w:t>Behavior</w:t>
      </w:r>
      <w:proofErr w:type="spellEnd"/>
      <w:r w:rsidRPr="006840C6">
        <w:rPr>
          <w:rFonts w:ascii="Times New Roman" w:hAnsi="Times New Roman" w:cs="Times New Roman"/>
          <w:lang w:val="es-AR"/>
        </w:rPr>
        <w:t xml:space="preserve"> (Final </w:t>
      </w:r>
      <w:proofErr w:type="spellStart"/>
      <w:r w:rsidRPr="006840C6">
        <w:rPr>
          <w:rFonts w:ascii="Times New Roman" w:hAnsi="Times New Roman" w:cs="Times New Roman"/>
          <w:lang w:val="es-AR"/>
        </w:rPr>
        <w:t>Report</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University</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of</w:t>
      </w:r>
      <w:proofErr w:type="spellEnd"/>
      <w:r w:rsidRPr="006840C6">
        <w:rPr>
          <w:rFonts w:ascii="Times New Roman" w:hAnsi="Times New Roman" w:cs="Times New Roman"/>
          <w:lang w:val="es-AR"/>
        </w:rPr>
        <w:t xml:space="preserve"> Kansas.</w:t>
      </w:r>
    </w:p>
    <w:p w14:paraId="7E6ADF7F"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Hernández Sampieri, R., Fernández Collado, C. y Baptista Lucio, P. (2014). Metodología de la investigación (6.ª ed.). McGraw-Hill.</w:t>
      </w:r>
    </w:p>
    <w:p w14:paraId="650CFB87"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Hernández Sampieri, R., Méndez Valencia, S. y Cuevas Romo, A. (2008). Introducción a la investigación. McGraw-Hill.</w:t>
      </w:r>
    </w:p>
    <w:p w14:paraId="3E1A5591"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Jiménez-Cortés, R. (2023). Aprendizaje expansivo en entornos digitales: un análisis de redes epistémicas con perspectiva de género. RIED, 26(2). https://doi.org/10.5944/ried.26.2.36198</w:t>
      </w:r>
    </w:p>
    <w:p w14:paraId="13516841"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Kasem, H. E. (2023). Las actividades de enseñanza proyectadas en la formación universitaria que habilitan procesos de transferencia de aprendizaje [Tesis de maestría no publicada]. FLACSO Argentina — Universidad Autónoma de Madrid.</w:t>
      </w:r>
    </w:p>
    <w:p w14:paraId="35195184"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Lave, J. y Wenger, E. (1991). </w:t>
      </w:r>
      <w:proofErr w:type="spellStart"/>
      <w:r w:rsidRPr="006840C6">
        <w:rPr>
          <w:rFonts w:ascii="Times New Roman" w:hAnsi="Times New Roman" w:cs="Times New Roman"/>
          <w:lang w:val="es-AR"/>
        </w:rPr>
        <w:t>Situated</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Learning</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Legitimate</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Peripheral</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Participation</w:t>
      </w:r>
      <w:proofErr w:type="spellEnd"/>
      <w:r w:rsidRPr="006840C6">
        <w:rPr>
          <w:rFonts w:ascii="Times New Roman" w:hAnsi="Times New Roman" w:cs="Times New Roman"/>
          <w:lang w:val="es-AR"/>
        </w:rPr>
        <w:t xml:space="preserve">. Cambridge </w:t>
      </w:r>
      <w:proofErr w:type="spellStart"/>
      <w:r w:rsidRPr="006840C6">
        <w:rPr>
          <w:rFonts w:ascii="Times New Roman" w:hAnsi="Times New Roman" w:cs="Times New Roman"/>
          <w:lang w:val="es-AR"/>
        </w:rPr>
        <w:t>University</w:t>
      </w:r>
      <w:proofErr w:type="spellEnd"/>
      <w:r w:rsidRPr="006840C6">
        <w:rPr>
          <w:rFonts w:ascii="Times New Roman" w:hAnsi="Times New Roman" w:cs="Times New Roman"/>
          <w:lang w:val="es-AR"/>
        </w:rPr>
        <w:t xml:space="preserve"> Press.</w:t>
      </w:r>
    </w:p>
    <w:p w14:paraId="27590EDE"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Riestra, D. (2004). Las consignas de trabajo en el espacio socio-discursivo de la enseñanza de la lengua [Tesis doctoral]. </w:t>
      </w:r>
      <w:proofErr w:type="spellStart"/>
      <w:r w:rsidRPr="006840C6">
        <w:rPr>
          <w:rFonts w:ascii="Times New Roman" w:hAnsi="Times New Roman" w:cs="Times New Roman"/>
          <w:lang w:val="es-AR"/>
        </w:rPr>
        <w:t>Université</w:t>
      </w:r>
      <w:proofErr w:type="spellEnd"/>
      <w:r w:rsidRPr="006840C6">
        <w:rPr>
          <w:rFonts w:ascii="Times New Roman" w:hAnsi="Times New Roman" w:cs="Times New Roman"/>
          <w:lang w:val="es-AR"/>
        </w:rPr>
        <w:t xml:space="preserve"> de </w:t>
      </w:r>
      <w:proofErr w:type="spellStart"/>
      <w:r w:rsidRPr="006840C6">
        <w:rPr>
          <w:rFonts w:ascii="Times New Roman" w:hAnsi="Times New Roman" w:cs="Times New Roman"/>
          <w:lang w:val="es-AR"/>
        </w:rPr>
        <w:t>Genève</w:t>
      </w:r>
      <w:proofErr w:type="spellEnd"/>
      <w:r w:rsidRPr="006840C6">
        <w:rPr>
          <w:rFonts w:ascii="Times New Roman" w:hAnsi="Times New Roman" w:cs="Times New Roman"/>
          <w:lang w:val="es-AR"/>
        </w:rPr>
        <w:t>.</w:t>
      </w:r>
    </w:p>
    <w:p w14:paraId="1E9C334A"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Riestra, D. (2008). Las consignas de enseñanza de la lengua. Miño y Dávila.</w:t>
      </w:r>
    </w:p>
    <w:p w14:paraId="69687326"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 xml:space="preserve">Sannino, A., Daniels, H. y Gutiérrez, K. D. (Eds.) (2009). </w:t>
      </w:r>
      <w:proofErr w:type="spellStart"/>
      <w:r w:rsidRPr="006840C6">
        <w:rPr>
          <w:rFonts w:ascii="Times New Roman" w:hAnsi="Times New Roman" w:cs="Times New Roman"/>
          <w:lang w:val="es-AR"/>
        </w:rPr>
        <w:t>Learning</w:t>
      </w:r>
      <w:proofErr w:type="spellEnd"/>
      <w:r w:rsidRPr="006840C6">
        <w:rPr>
          <w:rFonts w:ascii="Times New Roman" w:hAnsi="Times New Roman" w:cs="Times New Roman"/>
          <w:lang w:val="es-AR"/>
        </w:rPr>
        <w:t xml:space="preserve"> and </w:t>
      </w:r>
      <w:proofErr w:type="spellStart"/>
      <w:r w:rsidRPr="006840C6">
        <w:rPr>
          <w:rFonts w:ascii="Times New Roman" w:hAnsi="Times New Roman" w:cs="Times New Roman"/>
          <w:lang w:val="es-AR"/>
        </w:rPr>
        <w:t>Expanding</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with</w:t>
      </w:r>
      <w:proofErr w:type="spellEnd"/>
      <w:r w:rsidRPr="006840C6">
        <w:rPr>
          <w:rFonts w:ascii="Times New Roman" w:hAnsi="Times New Roman" w:cs="Times New Roman"/>
          <w:lang w:val="es-AR"/>
        </w:rPr>
        <w:t xml:space="preserve"> </w:t>
      </w:r>
      <w:proofErr w:type="spellStart"/>
      <w:r w:rsidRPr="006840C6">
        <w:rPr>
          <w:rFonts w:ascii="Times New Roman" w:hAnsi="Times New Roman" w:cs="Times New Roman"/>
          <w:lang w:val="es-AR"/>
        </w:rPr>
        <w:t>Activity</w:t>
      </w:r>
      <w:proofErr w:type="spellEnd"/>
      <w:r w:rsidRPr="006840C6">
        <w:rPr>
          <w:rFonts w:ascii="Times New Roman" w:hAnsi="Times New Roman" w:cs="Times New Roman"/>
          <w:lang w:val="es-AR"/>
        </w:rPr>
        <w:t xml:space="preserve"> Theory. Cambridge </w:t>
      </w:r>
      <w:proofErr w:type="spellStart"/>
      <w:r w:rsidRPr="006840C6">
        <w:rPr>
          <w:rFonts w:ascii="Times New Roman" w:hAnsi="Times New Roman" w:cs="Times New Roman"/>
          <w:lang w:val="es-AR"/>
        </w:rPr>
        <w:t>University</w:t>
      </w:r>
      <w:proofErr w:type="spellEnd"/>
      <w:r w:rsidRPr="006840C6">
        <w:rPr>
          <w:rFonts w:ascii="Times New Roman" w:hAnsi="Times New Roman" w:cs="Times New Roman"/>
          <w:lang w:val="es-AR"/>
        </w:rPr>
        <w:t xml:space="preserve"> Press.</w:t>
      </w:r>
    </w:p>
    <w:p w14:paraId="67166DC4"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lastRenderedPageBreak/>
        <w:t>Stake, R. E. (1998). Investigación con estudio de casos. Morata.</w:t>
      </w:r>
    </w:p>
    <w:p w14:paraId="627DE6CC" w14:textId="77777777" w:rsidR="006840C6" w:rsidRPr="006840C6" w:rsidRDefault="006840C6" w:rsidP="006840C6">
      <w:pPr>
        <w:spacing w:line="240" w:lineRule="auto"/>
        <w:ind w:left="709" w:hanging="709"/>
        <w:jc w:val="both"/>
        <w:rPr>
          <w:rFonts w:ascii="Times New Roman" w:hAnsi="Times New Roman" w:cs="Times New Roman"/>
          <w:lang w:val="es-AR"/>
        </w:rPr>
      </w:pPr>
      <w:r w:rsidRPr="006840C6">
        <w:rPr>
          <w:rFonts w:ascii="Times New Roman" w:hAnsi="Times New Roman" w:cs="Times New Roman"/>
          <w:lang w:val="es-AR"/>
        </w:rPr>
        <w:t>Stodolsky, S. S. (1991). La importancia del contenido en la enseñanza. Actividades en las clases de matemáticas y ciencias sociales. Paidós.</w:t>
      </w:r>
    </w:p>
    <w:p w14:paraId="130BFDD9" w14:textId="77777777" w:rsidR="006840C6" w:rsidRPr="006840C6" w:rsidRDefault="006840C6" w:rsidP="006840C6">
      <w:pPr>
        <w:spacing w:line="240" w:lineRule="auto"/>
        <w:ind w:left="709" w:hanging="709"/>
        <w:jc w:val="both"/>
        <w:rPr>
          <w:rFonts w:ascii="Times New Roman" w:hAnsi="Times New Roman" w:cs="Times New Roman"/>
          <w:lang w:val="es-AR"/>
        </w:rPr>
      </w:pPr>
      <w:proofErr w:type="spellStart"/>
      <w:r w:rsidRPr="006840C6">
        <w:rPr>
          <w:rFonts w:ascii="Times New Roman" w:hAnsi="Times New Roman" w:cs="Times New Roman"/>
          <w:lang w:val="es-AR"/>
        </w:rPr>
        <w:t>Talízina</w:t>
      </w:r>
      <w:proofErr w:type="spellEnd"/>
      <w:r w:rsidRPr="006840C6">
        <w:rPr>
          <w:rFonts w:ascii="Times New Roman" w:hAnsi="Times New Roman" w:cs="Times New Roman"/>
          <w:lang w:val="es-AR"/>
        </w:rPr>
        <w:t>, N. (1988). Psicología de la enseñanza. Editorial Progreso.</w:t>
      </w:r>
    </w:p>
    <w:p w14:paraId="7E83515B" w14:textId="3311AEE2" w:rsidR="001923DC" w:rsidRPr="00BA642E" w:rsidRDefault="001923DC" w:rsidP="006840C6">
      <w:pPr>
        <w:spacing w:line="240" w:lineRule="auto"/>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F0DF43" w14:textId="77777777" w:rsidR="00E76326" w:rsidRPr="00BA642E" w:rsidRDefault="00E76326" w:rsidP="00C802F5">
      <w:pPr>
        <w:spacing w:after="0" w:line="240" w:lineRule="auto"/>
      </w:pPr>
      <w:r w:rsidRPr="00BA642E">
        <w:separator/>
      </w:r>
    </w:p>
  </w:endnote>
  <w:endnote w:type="continuationSeparator" w:id="0">
    <w:p w14:paraId="78B540D2" w14:textId="77777777" w:rsidR="00E76326" w:rsidRPr="00BA642E" w:rsidRDefault="00E7632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6998E7" w14:textId="77777777" w:rsidR="00E76326" w:rsidRPr="00BA642E" w:rsidRDefault="00E76326" w:rsidP="00C802F5">
      <w:pPr>
        <w:spacing w:after="0" w:line="240" w:lineRule="auto"/>
      </w:pPr>
      <w:r w:rsidRPr="00BA642E">
        <w:separator/>
      </w:r>
    </w:p>
  </w:footnote>
  <w:footnote w:type="continuationSeparator" w:id="0">
    <w:p w14:paraId="1AAD0C88" w14:textId="77777777" w:rsidR="00E76326" w:rsidRPr="00BA642E" w:rsidRDefault="00E7632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5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1816D6"/>
    <w:rsid w:val="00185F5E"/>
    <w:rsid w:val="001923DC"/>
    <w:rsid w:val="002327C3"/>
    <w:rsid w:val="00312392"/>
    <w:rsid w:val="003A6583"/>
    <w:rsid w:val="004040C0"/>
    <w:rsid w:val="00437E9C"/>
    <w:rsid w:val="00550766"/>
    <w:rsid w:val="005F3B2E"/>
    <w:rsid w:val="006365BD"/>
    <w:rsid w:val="006840C6"/>
    <w:rsid w:val="00692EA3"/>
    <w:rsid w:val="00701F64"/>
    <w:rsid w:val="007B5B5F"/>
    <w:rsid w:val="007D233B"/>
    <w:rsid w:val="0085070B"/>
    <w:rsid w:val="008537AB"/>
    <w:rsid w:val="00872E16"/>
    <w:rsid w:val="00A17247"/>
    <w:rsid w:val="00BA642E"/>
    <w:rsid w:val="00BC236F"/>
    <w:rsid w:val="00C064E6"/>
    <w:rsid w:val="00C802F5"/>
    <w:rsid w:val="00C96B2C"/>
    <w:rsid w:val="00CC04C1"/>
    <w:rsid w:val="00D843EC"/>
    <w:rsid w:val="00E166C9"/>
    <w:rsid w:val="00E763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4433</Words>
  <Characters>25980</Characters>
  <Application>Microsoft Office Word</Application>
  <DocSecurity>0</DocSecurity>
  <Lines>455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Hector KASEM</cp:lastModifiedBy>
  <cp:revision>2</cp:revision>
  <dcterms:created xsi:type="dcterms:W3CDTF">2026-07-04T03:27:00Z</dcterms:created>
  <dcterms:modified xsi:type="dcterms:W3CDTF">2026-07-04T03:27:00Z</dcterms:modified>
</cp:coreProperties>
</file>