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D97D" w14:textId="77777777" w:rsidR="00F56356"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Estudio comparado de la formación docente en Psicología en la universidad (UBA y UNLP)</w:t>
      </w:r>
    </w:p>
    <w:p w14:paraId="088C8AC6" w14:textId="77777777" w:rsidR="00F56356" w:rsidRDefault="00F56356">
      <w:pPr>
        <w:jc w:val="center"/>
        <w:rPr>
          <w:rFonts w:ascii="Times New Roman" w:eastAsia="Times New Roman" w:hAnsi="Times New Roman" w:cs="Times New Roman"/>
        </w:rPr>
      </w:pPr>
    </w:p>
    <w:p w14:paraId="12B472CC" w14:textId="77777777" w:rsidR="00F56356"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Apellido y Nombre: Nanni, Silvina</w:t>
      </w:r>
    </w:p>
    <w:p w14:paraId="2FA4BDAC" w14:textId="77777777" w:rsidR="00F56356"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Pertenencia Institucional Autor: Facultad de Psicología, UBA</w:t>
      </w:r>
    </w:p>
    <w:p w14:paraId="5E0D46D9" w14:textId="77777777" w:rsidR="00F56356"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Mail: nannisilvina@gmail.com</w:t>
      </w:r>
    </w:p>
    <w:p w14:paraId="3E63EB18" w14:textId="77777777" w:rsidR="00F56356" w:rsidRDefault="00F56356">
      <w:pPr>
        <w:rPr>
          <w:rFonts w:ascii="Times New Roman" w:eastAsia="Times New Roman" w:hAnsi="Times New Roman" w:cs="Times New Roman"/>
        </w:rPr>
      </w:pPr>
    </w:p>
    <w:p w14:paraId="1A3EBFA7" w14:textId="77777777" w:rsidR="00F56356"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Apellido y Nombre: Pico, María Laura</w:t>
      </w:r>
    </w:p>
    <w:p w14:paraId="744B2B87" w14:textId="77777777" w:rsidR="00F56356"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Pertenencia Institucional: Facultad de Psicología, UBA</w:t>
      </w:r>
    </w:p>
    <w:p w14:paraId="02D1CD49" w14:textId="77777777" w:rsidR="00F56356"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Mail: marialaurapico@gmail.com</w:t>
      </w:r>
    </w:p>
    <w:p w14:paraId="68926EA7" w14:textId="77777777" w:rsidR="003D269A" w:rsidRDefault="003D269A">
      <w:pPr>
        <w:spacing w:line="240" w:lineRule="auto"/>
        <w:jc w:val="both"/>
        <w:rPr>
          <w:rFonts w:ascii="Times New Roman" w:eastAsia="Times New Roman" w:hAnsi="Times New Roman" w:cs="Times New Roman"/>
          <w:b/>
          <w:bCs/>
        </w:rPr>
      </w:pPr>
    </w:p>
    <w:p w14:paraId="3D747078" w14:textId="385323D5" w:rsidR="00F56356"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370B7925"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formación docente inicial de profesores en el ámbito universitario argentino constituye un campo de estudio relevante en el contexto de las reformas educativas recientes. Si bien la legislación nacional dio lugar en el 2010 a regulaciones normativas generales sobre la incorporación de los títulos de Profesorado Universitario en el régimen de carreras de interés público (Artículo 43, Ley 24521) ello no se tradujo aún en estándares aprobados por el Consejo de Universidades (CU). En las últimas dos décadas las universidades públicas y privadas aumentaron la oferta de formación docente inicial, destinadas tanto al nivel secundario y terciario como para los niveles inicial y primario.</w:t>
      </w:r>
    </w:p>
    <w:p w14:paraId="4E335A34"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este marco, este trabajo se propone analizar comparativamente los planes de estudio de los profesorados en Psicología de dos universidades nacionales: la Universidad de Buenos Aires (UBA) y la Universidad Nacional de La Plata (UNLP). El objetivo central es identificar semejanzas y diferencias en sus propuestas formativas, atendiendo tanto a la organización curricular como al contexto institucional y académico en el que se inscriben. La comparación curricular, como dimensión clave dentro del campo de la educación comparada, requiere la comprensión de aspectos pedagógicos, de diseño curricular y los vinculados con los saberes disciplinares, en este caso la Psicología y la formación docente inicial.</w:t>
      </w:r>
    </w:p>
    <w:p w14:paraId="23186DF6"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Esta investigación entiende los planes de estudio como textos que condensan tradiciones académicas, decisiones políticas e inconsistencias normativas. Se analiza cómo cada universidad organiza los campos de formación, la carga horaria, las prácticas y el alcance de los títulos. También se observa la incidencia de las tradiciones académicas: la UBA, con impronta clínica psicoanalítica y formación pedagógica al final de la carrera, y la UNLP, con un trayecto más integrado que incorpora contenidos pedagógicos desde el inicio y diversas perspectivas teóricas en la formación disciplinar.</w:t>
      </w:r>
    </w:p>
    <w:p w14:paraId="7B3F2D83"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comprende los marcos normativos vigentes al momento de producción de cada plan, viendo qué medida las propuestas de la UBA (Res. CS 1323/25) y la UNLP (Resolución Ministerial 122/06) convergen o divergen de los lineamientos establecidos </w:t>
      </w:r>
      <w:r>
        <w:rPr>
          <w:rFonts w:ascii="Times New Roman" w:eastAsia="Times New Roman" w:hAnsi="Times New Roman" w:cs="Times New Roman"/>
        </w:rPr>
        <w:lastRenderedPageBreak/>
        <w:t>por la Resoluciones CFE 24/07, 476/24; y el Acuerdo Plenario 117/12 del CU. Esta perspectiva permite discutir la tensión entre homogeneización normativa y diversidad institucional y las implicancias para la equivalencia de la titulación.</w:t>
      </w:r>
    </w:p>
    <w:p w14:paraId="41C1EECE"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El estudio adopta un enfoque comparado, reconociendo que la comparabilidad se funda en similitudes y diferencias entre los casos analizados. La UBA y la UNLP, ambas con alta densidad poblacional y fuerte tradición académica, ofrecen un terreno fértil para explorar la articulación entre exigencias nacionales e identidades institucionales y regionales.</w:t>
      </w:r>
    </w:p>
    <w:p w14:paraId="47F3242F" w14:textId="77777777" w:rsidR="00F56356" w:rsidRDefault="00000000">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rPr>
        <w:t>Los resultados visibilizan la heterogeneidad en la formación docente inicial de profesores de Psicología, mostrando que, aún bajo marcos normativos comunes, persisten diferencias que reflejan la autonomía universitaria y las tradiciones académicas propias. Se busca aportar a la discusión sobre el rol de la universidad como objeto de investigación, problematizando su función en la configuración del sistema formador docente y en la construcción de perfiles profesionales capaces de responder a los desafíos de una escuela secundaria inclusiva y universal.</w:t>
      </w:r>
    </w:p>
    <w:p w14:paraId="42CB0303"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Profesorado, Universidad</w:t>
      </w:r>
    </w:p>
    <w:p w14:paraId="648C8EA1" w14:textId="77777777" w:rsidR="003D269A" w:rsidRDefault="003D269A">
      <w:pPr>
        <w:spacing w:line="240" w:lineRule="auto"/>
        <w:rPr>
          <w:rFonts w:ascii="Times New Roman" w:eastAsia="Times New Roman" w:hAnsi="Times New Roman" w:cs="Times New Roman"/>
          <w:b/>
          <w:bCs/>
        </w:rPr>
      </w:pPr>
    </w:p>
    <w:p w14:paraId="79CF3D46" w14:textId="54ABF96C" w:rsidR="00F56356"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1E6EA044"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formación docente inicial en el ámbito universitario argentino constituye un terreno de creciente interés en el marco de las reformas educativas de las últimas décadas. La incorporación de los títulos de Profesorado Universitario al régimen de carreras de interés público (Ley 24.521, Artículo 43) abrió un debate sobre la necesidad de establecer estándares. En este escenario, las universidades públicas y privadas han expandido su oferta de profesorados, configurando un campo heterogéneo que refleja tanto la autonomía institucional como las tensiones derivadas de las políticas nacionales.</w:t>
      </w:r>
    </w:p>
    <w:p w14:paraId="15071D0F"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incorporación de los títulos de Profesorado Universitario al régimen de carreras de interés público en el año 2010 (Resolución Ministerial 50/10), en el marco del artículo 43 de la Ley de Educación Superior N.º 24.521, abrió un debate sobre la necesidad de establecer estándares comunes. Sin embargo, esta incorporación no se tradujo aún en estándares específicos aprobados por el Ministerio de Educación en acuerdo con el Consejo de Universidades, lo que da lugar a un escenario caracterizado por la coexistencia de lineamientos generales tanto nacionales como universitarios en el marco de las autonomías institucionales. </w:t>
      </w:r>
    </w:p>
    <w:p w14:paraId="4CF27F72"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estudio de los planes de formación docente inicial se vuelve entonces un espacio privilegiado para comprender cómo se articulan tradiciones académicas, decisiones políticas y marcos regulatorios. Los profesorados en Psicología de la Universidad de Buenos Aires (UBA) y de la Universidad Nacional de La Plata (UNLP) ofrecen un caso comparativo significativo: ambas instituciones poseen una reconocida tradición académica (UBA, 2026) (UNLP, 2018) y congregan gran cantidad de población </w:t>
      </w:r>
      <w:r>
        <w:rPr>
          <w:rFonts w:ascii="Times New Roman" w:eastAsia="Times New Roman" w:hAnsi="Times New Roman" w:cs="Times New Roman"/>
        </w:rPr>
        <w:lastRenderedPageBreak/>
        <w:t>estudiantil (UBA, 2025) (UNLP, 2024) pero presentan diferencias notables en la organización curricular, la distribución de los campos de formación y la impronta disciplinar.</w:t>
      </w:r>
    </w:p>
    <w:p w14:paraId="0E101EB2"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Ley de Educación Superior N.º 24.521 (Congreso de la Nación Argentina, 1995) estableció en su Artículo 43 que determinadas titulaciones debían ser consideradas de interés público, lo que implicaba la necesidad de fijar estándares comunes y mecanismos de acreditación. En 2010, los profesorados universitarios fueron incorporados a este régimen (Res Ministerial 50/10), abriendo un debate en torno a la regulación de la formación docente inicial en el nivel superior. Sin embargo, el Ministerio de Educación, en acuerdo con el Consejo de Universidades, aún no ha aprobado estándares específicos para estos títulos, situación que configura un escenario de vacancia normativa y diversidad institucional. </w:t>
      </w:r>
    </w:p>
    <w:p w14:paraId="1B7643D2" w14:textId="77777777" w:rsidR="00F56356" w:rsidRDefault="00000000">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rPr>
        <w:t>Este entramado normativo evidencia una tensión estructural: por un lado, la necesidad de garantizar equivalencias y calidad en la formación docente inicial; por otro, el reconocimiento de la autonomía universitaria y de las tradiciones académicas propias de cada institución. La oferta de profesorados universitarios en Psicología se inscribe en este escenario, donde las regulaciones nacionales conviven con decisiones institucionales que configuran propuestas formativas diversas y, en ocasiones, divergentes.</w:t>
      </w:r>
    </w:p>
    <w:p w14:paraId="231488C3"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las últimas dos décadas, el sistema universitario argentino ha experimentado una notable expansión en la oferta de instituciones y carreras (Paredes, 2017). Tanto universidades públicas como privadas han desarrollado profesorados destinados a la enseñanza en distintos niveles del sistema educativo: secundario, terciario, inicial y primario (Ministerio de Educación de la Nación, 2010). Este crecimiento responde a la necesidad de atender la demanda social de profesionales con formación pedagógica específica, en un contexto de ampliación de la matrícula y de políticas orientadas a garantizar el derecho a la educación.</w:t>
      </w:r>
    </w:p>
    <w:p w14:paraId="65CF6087" w14:textId="77777777" w:rsidR="00F56356" w:rsidRDefault="00000000">
      <w:pPr>
        <w:pStyle w:val="Ttulo2"/>
        <w:keepNext w:val="0"/>
        <w:keepLines w:val="0"/>
        <w:spacing w:before="360" w:line="240" w:lineRule="auto"/>
        <w:jc w:val="both"/>
        <w:rPr>
          <w:rFonts w:ascii="Times New Roman" w:eastAsia="Times New Roman" w:hAnsi="Times New Roman" w:cs="Times New Roman"/>
          <w:b/>
          <w:bCs/>
          <w:color w:val="000000"/>
          <w:sz w:val="24"/>
          <w:szCs w:val="24"/>
        </w:rPr>
      </w:pPr>
      <w:bookmarkStart w:id="0" w:name="_heading=h.gd1vhzb3ndle" w:colFirst="0" w:colLast="0"/>
      <w:bookmarkEnd w:id="0"/>
      <w:r>
        <w:rPr>
          <w:rFonts w:ascii="Times New Roman" w:eastAsia="Times New Roman" w:hAnsi="Times New Roman" w:cs="Times New Roman"/>
          <w:b/>
          <w:bCs/>
          <w:color w:val="000000"/>
          <w:sz w:val="24"/>
          <w:szCs w:val="24"/>
        </w:rPr>
        <w:t>Objeto de estudio</w:t>
      </w:r>
    </w:p>
    <w:p w14:paraId="0B21F9A7"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UBA presenta un plan de estudios con una impronta clínica psicoanalítica y una formación pedagógica situada hacia el final de la carrera (Resolución Consejo Superior UBA 1323/25), mientras que la UNLP propone un trayecto más integrado, que incorpora contenidos pedagógicos desde el inicio y diversas perspectivas teóricas en la formación disciplinar (Resolución Ministerial 122/06). La comparación entre ambos casos permite indagar en las semejanzas y diferencias de sus propuestas formativas, así como en el modo en que convergen o divergen respecto de los lineamientos nacionales establecidos por el Consejo Federal de Educación y el Consejo de Universidades (Res. CFE 24/2007; Res. CFE 476/2024, Consejo de Universidades, 2012).</w:t>
      </w:r>
    </w:p>
    <w:p w14:paraId="31733A3C" w14:textId="77777777" w:rsidR="00F56356" w:rsidRDefault="00000000">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Enfoque metodológico</w:t>
      </w:r>
    </w:p>
    <w:p w14:paraId="2C8DDCF9"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presente trabajo se centra en el análisis comparado de los planes de estudio de los profesorados en Psicología de dos universidades nacionales argentinas: UBA  y UNLP. </w:t>
      </w:r>
      <w:r>
        <w:rPr>
          <w:rFonts w:ascii="Times New Roman" w:eastAsia="Times New Roman" w:hAnsi="Times New Roman" w:cs="Times New Roman"/>
        </w:rPr>
        <w:lastRenderedPageBreak/>
        <w:t>Es una investigación cualitativa, de carácter descriptivo e interpretativo, cuyo propósito no es verificar hipótesis ni extrapolar resultados, sino analizar e interpretar una situación específica (Bryman, 1988; Smith, 1983). Procuramos considerar el enfoque de Schriewer (2010) que busca superar las limitaciones de los esquemas de causalidad tradicionales y permite una comprensión más rica y compleja de los fenómenos educativos, atendiendo a los contextos socioculturales y estructuras globales.</w:t>
      </w:r>
    </w:p>
    <w:p w14:paraId="596319BE"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Este estudio se basa en un análisis comparado orientado a identificar similitudes y diferencias entre las propuestas curriculares y los niveles de regulación en el contexto de la última reforma impulsada por la Ley de Educación Nacional (ley 26206, aprobada en 2006). En esta oportunidad nos centraremos particularmente en los aspectos normativos de las propuestas a los efectos de considerar la incidencia de estas regulaciones y los procesos políticos de concertación necesarios.</w:t>
      </w:r>
    </w:p>
    <w:p w14:paraId="49DF6D55" w14:textId="742FE595"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El corpus documental estuvo conformado por las resoluciones del Ministerio de Educación y de la Secretaría de Políticas Universitarias</w:t>
      </w:r>
      <w:r w:rsidR="003D269A">
        <w:rPr>
          <w:rStyle w:val="Refdenotaalfinal"/>
          <w:rFonts w:ascii="Times New Roman" w:eastAsia="Times New Roman" w:hAnsi="Times New Roman" w:cs="Times New Roman"/>
        </w:rPr>
        <w:endnoteReference w:id="1"/>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los Acuerdos Plenarios formulados en el ámbito del Consejo Interuniversitario Nacional y las regulaciones que promueven los cambios en los planes de estudios correspondientes de la UBA y la UNLP. El análisis se centró en la organización curricular de las carreras, los campos de formación, la carga horaria, las prácticas docentes y el alcance de los títulos. </w:t>
      </w:r>
    </w:p>
    <w:p w14:paraId="1B723185"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comparación en el ámbito subnacional de un Estado federal que se selecciona para el presente trabajo asume un corpus integrado por normas nacionales e institucionales correspondientes a la organización curricular de la formación de docentes de nivel secundario. Esta perspectiva permite brindar una comprensión de modelos y regularidades subyacentes en la organización de los sistemas escolares (Rust, 2000; Ruiz, 2012). </w:t>
      </w:r>
    </w:p>
    <w:p w14:paraId="06E2746A"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El trabajo metodológico consistió en la identificación, recogida y análisis de textos jurídicos y curriculares, atendiendo sus distintos niveles de determinación. Para esto se llevó a cabo un proceso analítico-sintético de la información obtenida. Durante el proceso se llevaron a cabo diversas tareas: reducción de datos, construcción de categorías, análisis del contenido cualitativo, desarrollo de redes conceptuales, realización de triangulaciones, así como procesos de interpretación y evaluación Navarro (2004).</w:t>
      </w:r>
    </w:p>
    <w:p w14:paraId="3898C9B8" w14:textId="77777777" w:rsidR="00F56356" w:rsidRDefault="00000000">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La formación docente inicial en el marco de las últimas reformas</w:t>
      </w:r>
    </w:p>
    <w:p w14:paraId="587F6F0F"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última reforma educativa implicó cambios en la obligatoriedad escolar a partir de la sanción de la Ley de Educación Nacional (LEN) </w:t>
      </w:r>
      <w:proofErr w:type="spellStart"/>
      <w:r>
        <w:rPr>
          <w:rFonts w:ascii="Times New Roman" w:eastAsia="Times New Roman" w:hAnsi="Times New Roman" w:cs="Times New Roman"/>
        </w:rPr>
        <w:t>N°</w:t>
      </w:r>
      <w:proofErr w:type="spellEnd"/>
      <w:r>
        <w:rPr>
          <w:rFonts w:ascii="Times New Roman" w:eastAsia="Times New Roman" w:hAnsi="Times New Roman" w:cs="Times New Roman"/>
        </w:rPr>
        <w:t xml:space="preserve"> 26.206, que la extiende hasta la finalización del nivel secundario. Esta nueva condición plantea la necesidad de volver a pensar en la formación docente destinada a este nivel ya que se espera que toda la población acceda, transite y egrese con los aprendizajes correspondientes. La universalización de la escuela secundaria representa un desafío para la formación del profesor de secundario que ahora debe atender a todos los estudiantes, teniendo en cuenta </w:t>
      </w:r>
      <w:r>
        <w:rPr>
          <w:rFonts w:ascii="Times New Roman" w:eastAsia="Times New Roman" w:hAnsi="Times New Roman" w:cs="Times New Roman"/>
        </w:rPr>
        <w:lastRenderedPageBreak/>
        <w:t>la matriz escolar, los contextos sociales y culturales (Southwell, 2020; Terigi, 2018). En este escenario los educadores se constituyen en actores clave frente al desafío de la universalización de la escuela secundaria (Méndez, 2011; Vaillant, 2009).</w:t>
      </w:r>
    </w:p>
    <w:p w14:paraId="2BD47CC6"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fin de desarrollar políticas educativas para la formación docente, en el marco de la LEN se creó en el año 2007 el Instituto Nacional de Formación Docente (INFD ) con la función de planificar, desarrollar e impulsar políticas para la formación docente inicial y continua en Argentina, con el objetivo de garantizar una educación de calidad a través de la mejora de la preparación de los docentes en todos los niveles del sistema educativo.</w:t>
      </w:r>
    </w:p>
    <w:p w14:paraId="11C3881B"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Esta función debía desplegarse en un sistema formador constituido por dos tipos de instituciones diferenciadas en sus finalidades y características que forman a los profesores que se desempeñan en el nivel secundario de nuestro país. Por un lado, se encuentran los Institutos Superiores de Formación Docente (ISFD). Ellos tienen una tradición derivada de las viejas escuelas Normales, donde se formaban en el nivel secundario, cuyo origen en nuestro país data de finales del siglo XIX; con posterioridad sumaron cursos y carreras destinadas a la formación de profesores para el nivel medio (Ruiz, 2009). Por otro lado, también las universidades forman docentes. Estas instituciones se caracterizan por preparar principalmente para diversas profesiones, tradicionalmente los egresados de estas instituciones enseñaron en las escuelas secundarias sin formación pedagógica. Recién a mediados del siglo XX comenzaron a expedir títulos de profesor para la enseñanza media atendiendo a las necesidades de sus egresados respecto a las demandas del sistema educativo (Ruiz, 2013). </w:t>
      </w:r>
    </w:p>
    <w:p w14:paraId="154934ED"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Otro aspecto para destacar es que los ISFD nacen y tienen la finalidad de formar docentes, mientras que las universidades forman tradicionalmente profesionales. Estas tradiciones derivaron en un sistema formador que se caracteriza por una gran diversidad en su oferta educativa, títulos y diplomas ofrecidos en el nivel universitario y no universitario, producto no sólo de los diferentes tipos de instituciones, sino también de las normativas y formas de gobierno (Ruiz, 2013).</w:t>
      </w:r>
    </w:p>
    <w:p w14:paraId="348015A8"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actualidad ambos subsistemas comparten la responsabilidad de la formación inicial de los docentes. Los ISFD pueden ser de gestión pública o privada, y dependen de las jurisdicciones provinciales. Se encuentran regulados por la Ley de Educación Nacional, mientras que las universidades nacionales están reguladas desde el año 1995 por la Ley de Educación Superior (LES). </w:t>
      </w:r>
    </w:p>
    <w:p w14:paraId="30CB924B"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con la organización curricular, la Resolución 24 del Consejo Federal de Educación (CFE), sancionada en el año 2007, denominada Lineamientos Curriculares Nacionales para la Formación Docente Inicial, constituyó el primer marco regulatorio de la formación docente para ambos subsistemas. Se propuso asegurar los niveles de formación y resultados equivalentes en las distintas jurisdicciones, logrando mayor articulación para facilitar la movilidad de los estudiantes durante la formación entre carreras y entre jurisdicciones y asegurar el reconocimiento nacional de los títulos de los egresados. Pero no solo entre distintas carreras y jurisdicciones sino también entre distintas instituciones formadoras. </w:t>
      </w:r>
    </w:p>
    <w:p w14:paraId="0CB80CEF"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este sentido, las universidades que tuvieran a cargo la formación inicial de Profesores debían ajustar sus propuestas a estos Lineamientos Curriculares Nacionales. Sin embargo, en un primer momento, el alcance legal de esta normativa fue cuestionado por las universidades amparándose en la tradición de la autonomía universitaria. Aunque luego, con la incorporación de las carreras docentes al artículo 43 de la LES, estas instituciones fueron requeridas a establecer lineamientos generales para la formación docente, comunes a la totalidad de los profesorados, e iniciar procesos de elaboración de los documentos necesarios para el abordaje de cada carrera (Art. 2, Res. Ministerial 50/10). Es así como en el año 2009 el Consejo Interuniversitario Nacional (CIN) mediante el Acuerdo Plenario,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697/09 convocó a las unidades que tienen a su cargo la formación docente a establecer los lineamientos generales, comunes a los Profesorados, que serán tenidos en cuenta en el proceso de evaluación. Junto con esta convocatoria propuso instruir a los representantes del CIN ante el CFE y el INFD para armonizar criterios de simetría, estableciendo parámetros y estándares aplicables a las carreras dependientes de las jurisdicciones provinciales y de las universidades. En base a esta regulación el Consejo de Universidades elaboró los Lineamientos Generales de la Formación Docente comunes a los profesorados Universitarios, esto quedó registrado en el Acuerdo Plenario N°117 del año 2012. </w:t>
      </w:r>
    </w:p>
    <w:p w14:paraId="0BD4DD75"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Pero, en el año 2024 la Resolución 476 del CFE reemplazó la Resolución 24/07. A ambas las separa una distancia temporal de 17 años. Durante ese período se elaboraron los primeros diseños curriculares para la formación docente en cada una de las jurisdicciones destinados a los diversos profesorados: según niveles y modalidades, con el apoyo y asistencia técnica del INFD, que coordinó los procesos y evaluación de los diseños. La Resolución 476 cuenta con la experiencia desarrollada previamente de consenso, diseño y desarrollo de los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xml:space="preserve"> de la formación docente. En relación con el sector universitario, se advierte que esta resolución presenta a los lineamientos como un documento que las universidades tendrán a disposición, a diferencia de su antecesora, que establecía que las propuestas universitarias debían ajustarse a los requerimientos expresados en los lineamientos. Se evidencia un cambio de enfoque de carácter más prescriptivo y organizador hacia uno que otorga mayor autonomía institucional, sin explicitar los modos mediante los cuales se logren propuestas equivalentes.</w:t>
      </w:r>
    </w:p>
    <w:p w14:paraId="00408090"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Entre las regulaciones propuestas en el marco de los nuevos Lineamientos, se mantiene la organización de los campos de la formación (general, específica y práctica profesional) propuesta en su antecesora. Se agregan unidades curriculares (educación inclusiva y sexual) y contenidos (alimentación saludable y cuidado del ambiente) y se habilitan formatos híbridos. Además, se reduce en 300 horas la duración mínima de la carrera, estableciendo el piso en 2300 horas reloj a lo largo de cuatro años de estudios. Para las carreras de Profesorado de Educación Superior se mantiene el mínimo de 2.860 horas distribuidas en cinco años según la resolución CFE 83/09.</w:t>
      </w:r>
    </w:p>
    <w:p w14:paraId="4590CA7C"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su parte, en el Acuerdo Plenario se establece una duración mínima de 2.900 horas para el Profesorado de Educación Secundaria y Superior (5 años) y 2600 horas para el Profesorado de Educación Secundaria (4 años). Se prevé que hasta 200 horas reloj de la </w:t>
      </w:r>
      <w:r>
        <w:rPr>
          <w:rFonts w:ascii="Times New Roman" w:eastAsia="Times New Roman" w:hAnsi="Times New Roman" w:cs="Times New Roman"/>
        </w:rPr>
        <w:lastRenderedPageBreak/>
        <w:t>carga horaria pueden destinarse a la instancia de definición institucional. Tomando la tradición universitaria, los campos de formación se organizan en cuatro: formación disciplinar específica, formación pedagógica, formación general y práctica profesional docente.</w:t>
      </w:r>
    </w:p>
    <w:p w14:paraId="5EB4DD66" w14:textId="77777777" w:rsidR="00F56356" w:rsidRDefault="00000000">
      <w:pPr>
        <w:spacing w:after="0" w:line="360" w:lineRule="auto"/>
        <w:jc w:val="both"/>
        <w:rPr>
          <w:rFonts w:ascii="Times New Roman" w:eastAsia="Times New Roman" w:hAnsi="Times New Roman" w:cs="Times New Roman"/>
          <w:b/>
          <w:bCs/>
        </w:rPr>
      </w:pPr>
      <w:r>
        <w:rPr>
          <w:rFonts w:ascii="Times New Roman" w:eastAsia="Times New Roman" w:hAnsi="Times New Roman" w:cs="Times New Roman"/>
          <w:b/>
          <w:bCs/>
        </w:rPr>
        <w:t>El caso de los profesorados de psicología de dos universidades nacionales</w:t>
      </w:r>
    </w:p>
    <w:p w14:paraId="5B9E7EED"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Este trabajo se propone examinar las transformaciones producidas en los marcos normativos a través del análisis de dos propuestas de formación docente inicial correspondientes a profesorados en psicología para el nivel secundario y superior de dos universidades nacionales del país. En el campo de la educación comparada, existen diversos enfoques y miradas. Tal como lo señala Ruiz (2011) se pueden distinguir tres: los que sostienen que la comparación solo se puede efectuar entre objetos extremadamente similares, los que sostienen que es posible comparar objetos similares, pero no idénticos y quienes piensan que la comparabilidad se funda justamente en la diversidad de situaciones a comparar. En esta oportunidad se trabajará con objetos similares, ya que se trata de dos instituciones universitarias que comparten características vinculadas con el carácter público de su gestión, sus tradiciones académicas, la población estudiantil que reciben y su localización en jurisdicciones próximas. </w:t>
      </w:r>
    </w:p>
    <w:p w14:paraId="6A782103" w14:textId="3AC8BBFB"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fin de dimensionar algunas de las particularidades de los casos analizados, resulta pertinente comparar la cantidad de población local y la matrícula estudiantil de las universidades consideradas, según los datos disponibles del Censo 2022 y del Anuario de Estadísticas Universitarias 2022. La Ciudad Autónoma de Buenos Aires concentra una población de 3.121.707 habitantes y la Universidad de Buenos Aires (UBA) registra una matrícula de 385.048 estudiantes. Por su parte, el partido de La Plata cuenta con 768.470 habitantes y la Universidad Nacional de La Plata (UNLP) posee una matrícula de 129.952 estudiantes. Tanto la UBA como la UNLP se localizan en centros urbanos caracterizados por una alta densidad poblacional, una amplia oferta educativa en todos los niveles, fuertes desigualdades entre zonas urbanas y periurbanas y una elevada concentración de instituciones educativas de gestión privada. Ambas instituciones se destacan por ser las universidades argentinas mejor posicionadas en rankings internacionales (Ranking Global de Universidades -CSIC- 202</w:t>
      </w:r>
      <w:r w:rsidR="00CA0BA0">
        <w:rPr>
          <w:rFonts w:ascii="Times New Roman" w:eastAsia="Times New Roman" w:hAnsi="Times New Roman" w:cs="Times New Roman"/>
        </w:rPr>
        <w:t>6</w:t>
      </w:r>
      <w:r>
        <w:rPr>
          <w:rFonts w:ascii="Times New Roman" w:eastAsia="Times New Roman" w:hAnsi="Times New Roman" w:cs="Times New Roman"/>
        </w:rPr>
        <w:t xml:space="preserve">: UBA puesto </w:t>
      </w:r>
      <w:r w:rsidR="00CA0BA0">
        <w:rPr>
          <w:rFonts w:ascii="Times New Roman" w:eastAsia="Times New Roman" w:hAnsi="Times New Roman" w:cs="Times New Roman"/>
        </w:rPr>
        <w:t>408</w:t>
      </w:r>
      <w:r>
        <w:rPr>
          <w:rFonts w:ascii="Times New Roman" w:eastAsia="Times New Roman" w:hAnsi="Times New Roman" w:cs="Times New Roman"/>
        </w:rPr>
        <w:t xml:space="preserve"> y UNLP </w:t>
      </w:r>
      <w:r w:rsidR="00CA0BA0">
        <w:rPr>
          <w:rFonts w:ascii="Times New Roman" w:eastAsia="Times New Roman" w:hAnsi="Times New Roman" w:cs="Times New Roman"/>
        </w:rPr>
        <w:t>621</w:t>
      </w:r>
      <w:r>
        <w:rPr>
          <w:rFonts w:ascii="Times New Roman" w:eastAsia="Times New Roman" w:hAnsi="Times New Roman" w:cs="Times New Roman"/>
        </w:rPr>
        <w:t>; Ranking QS 2025: UBA puesto 84 y UNLP 476</w:t>
      </w:r>
      <w:r w:rsidR="00CA0BA0">
        <w:rPr>
          <w:rStyle w:val="Refdenotaalfinal"/>
          <w:rFonts w:ascii="Times New Roman" w:eastAsia="Times New Roman" w:hAnsi="Times New Roman" w:cs="Times New Roman"/>
        </w:rPr>
        <w:endnoteReference w:id="2"/>
      </w:r>
      <w:r>
        <w:rPr>
          <w:rFonts w:ascii="Times New Roman" w:eastAsia="Times New Roman" w:hAnsi="Times New Roman" w:cs="Times New Roman"/>
        </w:rPr>
        <w:t xml:space="preserve">), lo que da cuenta de su relevancia académica e institucional dentro del sistema universitario nacional y regional. </w:t>
      </w:r>
    </w:p>
    <w:p w14:paraId="1D9764E8"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análisis comparado de los planes de estudio que se presenta a continuación se realiza a partir de las resoluciones que regulan actualmente las carreras en cada institución: la Resolución del Consejo Superior 1323/25 para la UBA y la Resolución Ministerial 122/2006 para la UNLP. En ambas universidades, los profesorados en Psicología se desarrollan bajo modalidad presencial. </w:t>
      </w:r>
    </w:p>
    <w:p w14:paraId="5406D293"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con la estructura académica de las carreras, estas universidades presentan algunas diferencias en cuanto a la carga horaria total, la duración del trayecto formativo y la cantidad de asignaturas previstas. La UBA contempla un total de 2606 horas </w:t>
      </w:r>
      <w:r>
        <w:rPr>
          <w:rFonts w:ascii="Times New Roman" w:eastAsia="Times New Roman" w:hAnsi="Times New Roman" w:cs="Times New Roman"/>
        </w:rPr>
        <w:lastRenderedPageBreak/>
        <w:t>distribuidas a lo largo de seis años e incluye 28 materias. La UNLP, por su parte, establece un recorrido de cinco años con una carga horaria total de 3168 horas y 29 materias. La carga horaria, en este sentido, no es un dato meramente técnico, sino un indicador de las jerarquías de saberes y de las prioridades institucionales. Tal como señala Apple (1997), el currículum expresa relaciones de poder y define qué conocimientos se legitiman como centrales en la formación. La UBA concentra la formación en el área clínica, mientras que la UNLP incluye el acceso a saberes pedagógicos desde el inicio.</w:t>
      </w:r>
    </w:p>
    <w:p w14:paraId="24C93762"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carrera de la UBA se estructura en tres ciclos consecutivos: Ciclo Básico Común, Ciclo de Formación en Psicología y Ciclo de Formación Pedagógica, y concentra las asignaturas pedagógicas en </w:t>
      </w:r>
      <w:proofErr w:type="spellStart"/>
      <w:r>
        <w:rPr>
          <w:rFonts w:ascii="Times New Roman" w:eastAsia="Times New Roman" w:hAnsi="Times New Roman" w:cs="Times New Roman"/>
        </w:rPr>
        <w:t>esté</w:t>
      </w:r>
      <w:proofErr w:type="spellEnd"/>
      <w:r>
        <w:rPr>
          <w:rFonts w:ascii="Times New Roman" w:eastAsia="Times New Roman" w:hAnsi="Times New Roman" w:cs="Times New Roman"/>
        </w:rPr>
        <w:t xml:space="preserve"> último ciclo al final de la carrera. De este modo, los espacios de Teorías de la Educación, Didáctica General, Didáctica Especial de la Psicología y Didáctica Especial y Práctica de la Enseñanza constituyen un trayecto específico que se desarrolla una vez finalizada la formación general y disciplinar. </w:t>
      </w:r>
    </w:p>
    <w:p w14:paraId="565E663E"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UNLP organiza el plan por años e incorpora contenidos pedagógicos de manera progresiva a lo largo de la carrera. La inclusión de Teoría de la Educación en segundo año y de Diseño y Planeamiento del </w:t>
      </w:r>
      <w:proofErr w:type="spellStart"/>
      <w:r>
        <w:rPr>
          <w:rFonts w:ascii="Times New Roman" w:eastAsia="Times New Roman" w:hAnsi="Times New Roman" w:cs="Times New Roman"/>
        </w:rPr>
        <w:t>Curriculum</w:t>
      </w:r>
      <w:proofErr w:type="spellEnd"/>
      <w:r>
        <w:rPr>
          <w:rFonts w:ascii="Times New Roman" w:eastAsia="Times New Roman" w:hAnsi="Times New Roman" w:cs="Times New Roman"/>
        </w:rPr>
        <w:t xml:space="preserve"> en tercer año anticipa la formación docente respecto de la UBA. La materia Planificación Didáctica y Prácticas de la Enseñanza en Psicología, ubicada en el quinto año, articula la formación pedagógica con la práctica profesional. Esta distribución favorece una mayor integración entre la formación disciplinar y la formación para la enseñanza a lo largo de los años de cursada de la carrera. Es relevante agregar que a modo de preparación para el inicio de los estudios en el nivel superior la UNLP incorpora una propuesta </w:t>
      </w:r>
      <w:proofErr w:type="spellStart"/>
      <w:r>
        <w:rPr>
          <w:rFonts w:ascii="Times New Roman" w:eastAsia="Times New Roman" w:hAnsi="Times New Roman" w:cs="Times New Roman"/>
        </w:rPr>
        <w:t>nivelatoria</w:t>
      </w:r>
      <w:proofErr w:type="spellEnd"/>
      <w:r>
        <w:rPr>
          <w:rFonts w:ascii="Times New Roman" w:eastAsia="Times New Roman" w:hAnsi="Times New Roman" w:cs="Times New Roman"/>
        </w:rPr>
        <w:t xml:space="preserve"> destinada a los ingresantes. </w:t>
      </w:r>
    </w:p>
    <w:p w14:paraId="7E8548D6"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Entonces, podemos decir que en ambos casos, la organización curricular establecida en el Acuerdo Plenario CU 117/12 que propone la articulación de un campo de formación general, un campo de formación disciplinar específica, un campo de formación pedagógica y un campo de práctica profesional docente, se ve modificada en función de las lógicas institucionales.  </w:t>
      </w:r>
    </w:p>
    <w:p w14:paraId="5A4844A8"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organización de los campos de formación y la distribución de la carga horaria en los planes de estudio constituye un aspecto central para comprender las diferencias en la configuración de la formación docente inicial. En la UBA, el plan de estudios otorga un peso predominante al campo disciplinar desde una perspectiva clínica, con fuerte impronta psicoanalítica. Los espacios pedagógicos se concentran en los últimos tramos de la carrera, lo que implica que la formación docente se incorpora de manera tardía y con menor carga horaria relativa respecto de la formación disciplinar.</w:t>
      </w:r>
    </w:p>
    <w:p w14:paraId="217ED83F"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Por su parte, la UNLP, organiza sus campos de formación de manera más equilibrada, distribuyendo contenidos pedagógicos desde el inicio del trayecto formativo. La carga horaria destinada a la formación docente se encuentra integrada con la formación disciplinar, lo que favorece una construcción progresiva de la identidad profesional docente y una articulación más estrecha entre teoría y práctica.</w:t>
      </w:r>
    </w:p>
    <w:p w14:paraId="1A3A9BFE"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También las propuestas formativas analizadas evidencian particularidades que reflejan las tradiciones académicas de cada universidad. En el caso de la UBA, se destaca la inclusión de asignaturas con una marcada orientación clínica psicoanalítica y una organización curricular en la que la formación pedagógica se concentra en el tramo final de la carrera. En contraste, la UNLP incorpora una formación disciplinar más amplia y diversa, al tiempo que distribuye los contenidos pedagógicos desde etapas más tempranas a lo largo del trayecto formativo. </w:t>
      </w:r>
    </w:p>
    <w:p w14:paraId="557F0E1A"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organización de la UBA desde la licenciatura con una perspectiva clínica psicoanalítica, refleja la tradición académica de la institución, que históricamente ha privilegiado dicho enfoque y la orientación. En contraste, la UNLP distribuye los contenidos pedagógicos desde el inicio, integrándolos con diversas orientaciones teóricas de la Psicología. La asignatura Teoría de la Educación inicia el trayecto de la formación pedagógica del Profesorado de Psicología. Este tramo de la formación está conformado por las dimensiones: pedagógica, sociopolítica, didáctica curricular y psicológica (Cheli, 2015). </w:t>
      </w:r>
    </w:p>
    <w:p w14:paraId="064CE972"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Tal como señala Gimeno Sacristán (1998), el currículum no es solo un plan prescrito, sino un texto que condensa tradiciones, valores y decisiones políticas. No es un asunto meramente técnico, ni exclusivamente pedagógico, dado las implicaciones políticas que posee (Rodríguez Trujillo, 2004). Asimismo, Alicia de Alba (1991) plantea que el currículum es una síntesis cultural y política, producto de negociaciones y conflictos. En este sentido, la UBA reproduce una tradición académica hegemónica vinculada al psicoanálisis, mientras que la UNLP apuesta por una mayor pluralidad teórica y pedagógica. Esta diferencia refleja lo que Apple (1997) denomina la dimensión política del conocimiento oficial: aquello que se legitima como saber válido en la formación de futuros docentes.</w:t>
      </w:r>
    </w:p>
    <w:p w14:paraId="4FA46067"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Connell (1993) aporta otra clave de lectura al señalar que las configuraciones curriculares están atravesadas por concepciones de justicia educativa. La distribución tardía de la formación pedagógica en la UBA puede interpretarse como una subordinación de la docencia frente a la clínica, mientras que la integración temprana en la UNLP democratiza el acceso a saberes pedagógicos y favorece la construcción progresiva de la identidad docente.</w:t>
      </w:r>
    </w:p>
    <w:p w14:paraId="70132CC7"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comparación de ambas propuestas de estudio, se evidencia que la UNLP exige en su propuesta la acreditación de dos idiomas extranjeros. Mientras que la UBA contempla la incorporación de una sola lengua extranjera. De este modo, se manifiesta nuevamente que la UNLP ofrece una propuesta curricular orientada hacia una mayor diversidad de saberes solicitados para los futuros docentes egresados. </w:t>
      </w:r>
    </w:p>
    <w:p w14:paraId="2AA9B492"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Otro aspecto a considerar es la manera en que se especifica en algunos programas la pertenencia a la carrera de la licenciatura y del profesorado en Psicología. En la Universidad Nacional de La Plata (UNLP), se explicita en los programas de las asignaturas que pertenecen tanto a la licenciatura como al profesorado. En cambio, en la Universidad de Buenos Aires (UBA), los programas de las materias compartidas por </w:t>
      </w:r>
      <w:r>
        <w:rPr>
          <w:rFonts w:ascii="Times New Roman" w:eastAsia="Times New Roman" w:hAnsi="Times New Roman" w:cs="Times New Roman"/>
        </w:rPr>
        <w:lastRenderedPageBreak/>
        <w:t>ambas carreras explicitan su pertenencia a la licenciatura y no así al profesorado. Esta diferencia parece vincularse más con la forma en que se redactan y organizan los programas, que con una definición estrictamente institucional. Asimismo, esta situación podría dar cuenta del lugar periférico que ocupa del Profesorado en la vida institucional de la facultad, aspecto que puede advertirse en el propio objetivo general del plan de estudios, orientado a “proporcionar formación pedagógica-didáctica para el ejercicio de la docencia en la Enseñanza Media y Superior a los estudiantes avanzados de Psicología o a los Licenciados en Psicología”. Esta formulación posiciona al profesorado como una instancia complementaria de la formación disciplinar en Psicología, más que como una carrera con identidad académica y profesional propia.</w:t>
      </w:r>
    </w:p>
    <w:p w14:paraId="4B811CA1" w14:textId="0F5C4AA5"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prácticas profesionales constituyen un eje central en la formación docente inicial, en tanto permiten articular los saberes teóricos con la experiencia situada en instituciones </w:t>
      </w:r>
      <w:r w:rsidR="003D269A">
        <w:rPr>
          <w:rFonts w:ascii="Times New Roman" w:eastAsia="Times New Roman" w:hAnsi="Times New Roman" w:cs="Times New Roman"/>
        </w:rPr>
        <w:t>educativas. En</w:t>
      </w:r>
      <w:r>
        <w:rPr>
          <w:rFonts w:ascii="Times New Roman" w:eastAsia="Times New Roman" w:hAnsi="Times New Roman" w:cs="Times New Roman"/>
        </w:rPr>
        <w:t xml:space="preserve"> ambas instituciones, éstas se desarrollan principalmente hacia el final de la carrera y se observa un énfasis significativo en la formación disciplinar. Esta orientación responde, en parte, a una lógica universitaria históricamente centrada en la producción y transmisión de conocimiento disciplinar, en contraste con el modelo más integrado característico de los Institutos Superiores de Formación Docente (Alliaud, 2012) donde se suele identificar una formación más </w:t>
      </w:r>
      <w:r w:rsidR="003D269A">
        <w:rPr>
          <w:rFonts w:ascii="Times New Roman" w:eastAsia="Times New Roman" w:hAnsi="Times New Roman" w:cs="Times New Roman"/>
        </w:rPr>
        <w:t>equilibrada,</w:t>
      </w:r>
      <w:r>
        <w:rPr>
          <w:rFonts w:ascii="Times New Roman" w:eastAsia="Times New Roman" w:hAnsi="Times New Roman" w:cs="Times New Roman"/>
        </w:rPr>
        <w:t xml:space="preserve"> aunque acentuada en la tarea de enseñar que en una fortaleza disciplinar. </w:t>
      </w:r>
    </w:p>
    <w:p w14:paraId="3334334A"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Este diseño responde a una lógica secuencial o consecutiva (Davini, 1995), donde la formación disciplinar precede a la formación pedagógica, y la práctica aparece como instancia de aplicación final. En este modelo, la identidad docente se construye tardíamente, subordinada a la impronta clínica que caracteriza a la institución, y donde la práctica sería el tiempo de expresión de los saberes disciplinares apropiados durante la formación. Además, parecería suponer que el saber disciplinar es lo más relevante a la hora de enseñar y los saberes didácticos acompañan. Hipótesis revisada críticamente por Hernández y Sancho (1993). </w:t>
      </w:r>
    </w:p>
    <w:p w14:paraId="74A07FD0"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Zeichner (2010) plantea que la práctica docente debe ser entendida como un espacio de reflexión crítica y de construcción de saber pedagógico, más allá de la mera aplicación técnica. Bajo esta perspectiva, el modelo de ambas universidades se acerca más a una lógica basada en el saber disciplinar y de aplicación que a una concepción reflexiva e integrada.</w:t>
      </w:r>
    </w:p>
    <w:p w14:paraId="4C5437E9"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último, se señala que los títulos de ambas universidades habilitan para el ejercicio de la docencia en el nivel secundario y superior. Esto es de destacar ya que no todas las universidades del país que otorgan título de profesor de psicología lo hacen para ambos niveles. Esto amplía la incidencia en el sistema educativo ya que se encuentran habilitados al desempeño profesional en más puestos de trabajo. Pueden formar docentes, pueden enseñar en tecnicaturas u otras carreras de nivel superior tanto como enseñar en el nivel secundario obligatorio. </w:t>
      </w:r>
    </w:p>
    <w:p w14:paraId="55F1CE78" w14:textId="77777777" w:rsidR="00F56356" w:rsidRDefault="00000000">
      <w:pPr>
        <w:pStyle w:val="Ttulo3"/>
        <w:keepLines w:val="0"/>
        <w:spacing w:before="280" w:line="240" w:lineRule="auto"/>
        <w:jc w:val="both"/>
        <w:rPr>
          <w:rFonts w:ascii="Times New Roman" w:eastAsia="Times New Roman" w:hAnsi="Times New Roman" w:cs="Times New Roman"/>
        </w:rPr>
      </w:pPr>
      <w:bookmarkStart w:id="1" w:name="_heading=h.fm4yp7nvfsmh" w:colFirst="0" w:colLast="0"/>
      <w:bookmarkEnd w:id="1"/>
      <w:r>
        <w:rPr>
          <w:rFonts w:ascii="Times New Roman" w:eastAsia="Times New Roman" w:hAnsi="Times New Roman" w:cs="Times New Roman"/>
          <w:color w:val="000000"/>
          <w:sz w:val="24"/>
          <w:szCs w:val="24"/>
        </w:rPr>
        <w:t xml:space="preserve">A modo de síntesis del análisis aquí desarrollado, presentamos a continuación dos cuadros que sistematizan y organizan la propuesta formativa de cada carrera, con el propósito de </w:t>
      </w:r>
      <w:r>
        <w:rPr>
          <w:rFonts w:ascii="Times New Roman" w:eastAsia="Times New Roman" w:hAnsi="Times New Roman" w:cs="Times New Roman"/>
          <w:color w:val="000000"/>
          <w:sz w:val="24"/>
          <w:szCs w:val="24"/>
        </w:rPr>
        <w:lastRenderedPageBreak/>
        <w:t>visualizar los principales componentes, la organización y estructura curricular de ambos planes de estudio.</w:t>
      </w:r>
    </w:p>
    <w:p w14:paraId="6F600901" w14:textId="77777777" w:rsidR="003D269A" w:rsidRDefault="003D269A">
      <w:pPr>
        <w:rPr>
          <w:rFonts w:ascii="Times New Roman" w:eastAsia="Times New Roman" w:hAnsi="Times New Roman" w:cs="Times New Roman"/>
          <w:b/>
          <w:bCs/>
        </w:rPr>
      </w:pPr>
    </w:p>
    <w:p w14:paraId="09E4C8BC" w14:textId="62A858B5" w:rsidR="00F56356" w:rsidRDefault="00000000">
      <w:pPr>
        <w:rPr>
          <w:rFonts w:ascii="Times New Roman" w:eastAsia="Times New Roman" w:hAnsi="Times New Roman" w:cs="Times New Roman"/>
          <w:b/>
          <w:bCs/>
        </w:rPr>
      </w:pPr>
      <w:r>
        <w:rPr>
          <w:rFonts w:ascii="Times New Roman" w:eastAsia="Times New Roman" w:hAnsi="Times New Roman" w:cs="Times New Roman"/>
          <w:b/>
          <w:bCs/>
        </w:rPr>
        <w:t>Distribución de asignatura y carga horaria de la UBA (Res CS 1323/25)</w:t>
      </w:r>
    </w:p>
    <w:tbl>
      <w:tblPr>
        <w:tblStyle w:val="a"/>
        <w:tblW w:w="85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00"/>
        <w:gridCol w:w="1305"/>
        <w:gridCol w:w="960"/>
        <w:gridCol w:w="4785"/>
      </w:tblGrid>
      <w:tr w:rsidR="00F56356" w14:paraId="25E6334F" w14:textId="77777777">
        <w:trPr>
          <w:trHeight w:val="570"/>
        </w:trPr>
        <w:tc>
          <w:tcPr>
            <w:tcW w:w="1500"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28F59017"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Área</w:t>
            </w:r>
          </w:p>
        </w:tc>
        <w:tc>
          <w:tcPr>
            <w:tcW w:w="1305"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6FA59A3E"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Cantidad de asignaturas </w:t>
            </w:r>
          </w:p>
        </w:tc>
        <w:tc>
          <w:tcPr>
            <w:tcW w:w="960"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3F1B3F33" w14:textId="77777777" w:rsidR="00F56356" w:rsidRDefault="00000000">
            <w:pPr>
              <w:pBdr>
                <w:top w:val="nil"/>
                <w:left w:val="nil"/>
                <w:bottom w:val="nil"/>
                <w:right w:val="nil"/>
                <w:between w:val="nil"/>
              </w:pBd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Carga horaria</w:t>
            </w:r>
          </w:p>
        </w:tc>
        <w:tc>
          <w:tcPr>
            <w:tcW w:w="4785"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135458FA" w14:textId="77777777" w:rsidR="00F56356" w:rsidRDefault="00000000">
            <w:pPr>
              <w:pBdr>
                <w:top w:val="nil"/>
                <w:left w:val="nil"/>
                <w:bottom w:val="nil"/>
                <w:right w:val="nil"/>
                <w:between w:val="nil"/>
              </w:pBd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Asignatura</w:t>
            </w:r>
          </w:p>
        </w:tc>
      </w:tr>
      <w:tr w:rsidR="00F56356" w14:paraId="42EED920" w14:textId="77777777">
        <w:trPr>
          <w:trHeight w:val="780"/>
        </w:trPr>
        <w:tc>
          <w:tcPr>
            <w:tcW w:w="15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4B11EE"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CICLO BASICO COMUN </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FB7BBA"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9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C6651D"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448 horas</w:t>
            </w:r>
          </w:p>
        </w:tc>
        <w:tc>
          <w:tcPr>
            <w:tcW w:w="47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921DB82"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Introducción al Pensamiento Científico, Introducción al conocimiento de la Sociedad y el Estado, Psicología, Biología, Semiología, Matemáticas</w:t>
            </w:r>
          </w:p>
        </w:tc>
      </w:tr>
      <w:tr w:rsidR="00F56356" w14:paraId="4E3D6C67" w14:textId="77777777">
        <w:trPr>
          <w:trHeight w:val="1050"/>
        </w:trPr>
        <w:tc>
          <w:tcPr>
            <w:tcW w:w="15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00C84BA"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CICLO DE FORMACIÓN EN PSICOLOGÍA </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4CC72F"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w:t>
            </w:r>
          </w:p>
        </w:tc>
        <w:tc>
          <w:tcPr>
            <w:tcW w:w="9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823A54"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1680 horas</w:t>
            </w:r>
          </w:p>
        </w:tc>
        <w:tc>
          <w:tcPr>
            <w:tcW w:w="47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0483B4"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Procesos Psicológicos Básicos, Estadística, Psicología Social, Psicología del Aprendizaje, Psicoanálisis Freud (Anual), Neurofisiología, Historia de la Psicología, Metodología de la Investigación, Salud Pública y Salud Mental, Teoría y Técnica de Grupos, Psicología Evolutiva Niñez, Psicología Evolutiva Adolescencia, Psicopatología (Anual), Teoría y Técnica de Exploración y Diagnóstico Psicológico. Módulo I, Teoría y Técnica de Exploración y Diagnóstico Psicológico. Módulo II, Requisito Idioma: Módulo I. (Inglés o Francés), Psicología Institucional, Psicología Educacional</w:t>
            </w:r>
          </w:p>
        </w:tc>
      </w:tr>
      <w:tr w:rsidR="00F56356" w14:paraId="48EA4CE8" w14:textId="77777777">
        <w:trPr>
          <w:trHeight w:val="825"/>
        </w:trPr>
        <w:tc>
          <w:tcPr>
            <w:tcW w:w="15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74875B"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CICLO DE FORMACIÓN PEDAGÓGICA </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798308"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9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AA47CA3"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 horas</w:t>
            </w:r>
          </w:p>
        </w:tc>
        <w:tc>
          <w:tcPr>
            <w:tcW w:w="47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34E2B91"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Teorías de la Educación y Sistema Educativo Argentino, Didáctica General, Didáctica Especial de la Psicología, Didáctica Especial y Práctica de la Enseñanza</w:t>
            </w:r>
          </w:p>
        </w:tc>
      </w:tr>
      <w:tr w:rsidR="00F56356" w14:paraId="779EF63B" w14:textId="77777777">
        <w:trPr>
          <w:trHeight w:val="285"/>
        </w:trPr>
        <w:tc>
          <w:tcPr>
            <w:tcW w:w="15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9538C5"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AFCB42"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w:t>
            </w:r>
          </w:p>
        </w:tc>
        <w:tc>
          <w:tcPr>
            <w:tcW w:w="96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515A02F"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2606</w:t>
            </w:r>
          </w:p>
        </w:tc>
        <w:tc>
          <w:tcPr>
            <w:tcW w:w="47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AEF2A1" w14:textId="77777777" w:rsidR="00F56356" w:rsidRDefault="00F56356">
            <w:pPr>
              <w:spacing w:after="0" w:line="240" w:lineRule="auto"/>
              <w:rPr>
                <w:rFonts w:ascii="Times New Roman" w:eastAsia="Times New Roman" w:hAnsi="Times New Roman" w:cs="Times New Roman"/>
                <w:sz w:val="22"/>
                <w:szCs w:val="22"/>
              </w:rPr>
            </w:pPr>
          </w:p>
        </w:tc>
      </w:tr>
    </w:tbl>
    <w:p w14:paraId="28593D48" w14:textId="77777777" w:rsidR="00F56356"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Fuente: elaboración propia a partir de los datos recogidos de la Resolución del Consejo Superior 1323/25 de la Universidad de Buenos Aires </w:t>
      </w:r>
    </w:p>
    <w:p w14:paraId="0290B2C6" w14:textId="77777777" w:rsidR="00F56356" w:rsidRDefault="00F56356">
      <w:pPr>
        <w:spacing w:after="0" w:line="240" w:lineRule="auto"/>
        <w:rPr>
          <w:rFonts w:ascii="Times New Roman" w:eastAsia="Times New Roman" w:hAnsi="Times New Roman" w:cs="Times New Roman"/>
          <w:b/>
          <w:bCs/>
        </w:rPr>
      </w:pPr>
    </w:p>
    <w:p w14:paraId="04271194"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rPr>
        <w:t xml:space="preserve">Distribución de asignatura y carga horaria de la </w:t>
      </w:r>
      <w:r>
        <w:rPr>
          <w:rFonts w:ascii="Times New Roman" w:eastAsia="Times New Roman" w:hAnsi="Times New Roman" w:cs="Times New Roman"/>
          <w:b/>
          <w:bCs/>
          <w:sz w:val="22"/>
          <w:szCs w:val="22"/>
        </w:rPr>
        <w:t>UNLP (Res. Ministerial 122/06)</w:t>
      </w:r>
      <w:r>
        <w:rPr>
          <w:rFonts w:ascii="Times New Roman" w:eastAsia="Times New Roman" w:hAnsi="Times New Roman" w:cs="Times New Roman"/>
          <w:b/>
          <w:bCs/>
          <w:sz w:val="22"/>
          <w:szCs w:val="22"/>
        </w:rPr>
        <w:br/>
      </w:r>
    </w:p>
    <w:tbl>
      <w:tblPr>
        <w:tblStyle w:val="a0"/>
        <w:tblW w:w="850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1305"/>
        <w:gridCol w:w="1290"/>
        <w:gridCol w:w="4545"/>
      </w:tblGrid>
      <w:tr w:rsidR="00F56356" w14:paraId="7B62C3AD" w14:textId="77777777">
        <w:trPr>
          <w:trHeight w:val="570"/>
        </w:trPr>
        <w:tc>
          <w:tcPr>
            <w:tcW w:w="1365"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69D9FE5B"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Área</w:t>
            </w:r>
          </w:p>
        </w:tc>
        <w:tc>
          <w:tcPr>
            <w:tcW w:w="1305"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6AFFE49B"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Cantidad de asignaturas </w:t>
            </w:r>
          </w:p>
        </w:tc>
        <w:tc>
          <w:tcPr>
            <w:tcW w:w="1290"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75F1ED04"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Carga horaria</w:t>
            </w:r>
          </w:p>
        </w:tc>
        <w:tc>
          <w:tcPr>
            <w:tcW w:w="4545" w:type="dxa"/>
            <w:tcBorders>
              <w:top w:val="single" w:sz="6" w:space="0" w:color="000000"/>
              <w:left w:val="single" w:sz="6" w:space="0" w:color="000000"/>
              <w:bottom w:val="single" w:sz="6" w:space="0" w:color="000000"/>
              <w:right w:val="single" w:sz="6" w:space="0" w:color="000000"/>
            </w:tcBorders>
            <w:shd w:val="clear" w:color="auto" w:fill="D9D9D9"/>
            <w:tcMar>
              <w:top w:w="20" w:type="dxa"/>
              <w:left w:w="20" w:type="dxa"/>
              <w:bottom w:w="20" w:type="dxa"/>
              <w:right w:w="20" w:type="dxa"/>
            </w:tcMar>
          </w:tcPr>
          <w:p w14:paraId="5D1EA312"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Asignatura</w:t>
            </w:r>
          </w:p>
        </w:tc>
      </w:tr>
      <w:tr w:rsidR="00F56356" w14:paraId="3465BDD6" w14:textId="77777777">
        <w:trPr>
          <w:trHeight w:val="825"/>
        </w:trPr>
        <w:tc>
          <w:tcPr>
            <w:tcW w:w="136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F9B165"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1º año</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1738C0"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129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E8D50D"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 horas</w:t>
            </w:r>
          </w:p>
        </w:tc>
        <w:tc>
          <w:tcPr>
            <w:tcW w:w="454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4420926"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Antropología Cultural y Social, Biología Humana, Introducción a la Filosofía, Lógica, Psicología I (anual)</w:t>
            </w:r>
          </w:p>
        </w:tc>
      </w:tr>
      <w:tr w:rsidR="00F56356" w14:paraId="5DB9B03E" w14:textId="77777777">
        <w:trPr>
          <w:trHeight w:val="1110"/>
        </w:trPr>
        <w:tc>
          <w:tcPr>
            <w:tcW w:w="136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309C13"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2º año</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E05CDE"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129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5793ED"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864 horas</w:t>
            </w:r>
          </w:p>
        </w:tc>
        <w:tc>
          <w:tcPr>
            <w:tcW w:w="454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D2DECA"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Estadística Aplicada a la Psicología, Lingüística General, Psicología Genética, Psicología II (anual),  Sociología General, Teoría de la Educación, Teoría psicoanalítica (anual)</w:t>
            </w:r>
          </w:p>
        </w:tc>
      </w:tr>
      <w:tr w:rsidR="00F56356" w14:paraId="6512390B" w14:textId="77777777">
        <w:trPr>
          <w:trHeight w:val="1320"/>
        </w:trPr>
        <w:tc>
          <w:tcPr>
            <w:tcW w:w="136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AB1197"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3º año</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CEAA3E"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129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B65E4F0"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768 horas</w:t>
            </w:r>
          </w:p>
        </w:tc>
        <w:tc>
          <w:tcPr>
            <w:tcW w:w="454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0CB1EA"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Corrientes Actuales en Psicología, Diseño y Planeamiento del </w:t>
            </w:r>
            <w:proofErr w:type="spellStart"/>
            <w:r>
              <w:rPr>
                <w:rFonts w:ascii="Times New Roman" w:eastAsia="Times New Roman" w:hAnsi="Times New Roman" w:cs="Times New Roman"/>
                <w:sz w:val="22"/>
                <w:szCs w:val="22"/>
              </w:rPr>
              <w:t>Curriculum</w:t>
            </w:r>
            <w:proofErr w:type="spellEnd"/>
            <w:r>
              <w:rPr>
                <w:rFonts w:ascii="Times New Roman" w:eastAsia="Times New Roman" w:hAnsi="Times New Roman" w:cs="Times New Roman"/>
                <w:sz w:val="22"/>
                <w:szCs w:val="22"/>
              </w:rPr>
              <w:t xml:space="preserve">, Epistemología y Metodología de la Investigación Psicológica, Fundamentos, Técnicas e Instrumentos de la exploración Psicológica I, Neuroanatomía y Neurofisiología, Psicología Evolutiva I, Psicología Evolutiva II, Psicología Social </w:t>
            </w:r>
          </w:p>
        </w:tc>
      </w:tr>
      <w:tr w:rsidR="00F56356" w14:paraId="651F337A" w14:textId="77777777">
        <w:trPr>
          <w:trHeight w:val="1050"/>
        </w:trPr>
        <w:tc>
          <w:tcPr>
            <w:tcW w:w="136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234F70"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4º año</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AB3980"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129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C9DE14"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576 horas</w:t>
            </w:r>
          </w:p>
        </w:tc>
        <w:tc>
          <w:tcPr>
            <w:tcW w:w="454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259ABC4"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Fundamentos, Técnicas e Instrumentos de la exploración Psicológica II, Psicología Institucional, Psicopatología I (anual), Psicopatología II, Seminario de Psicología Experimental </w:t>
            </w:r>
          </w:p>
        </w:tc>
      </w:tr>
      <w:tr w:rsidR="00F56356" w14:paraId="0DD96ABD" w14:textId="77777777">
        <w:trPr>
          <w:trHeight w:val="818"/>
        </w:trPr>
        <w:tc>
          <w:tcPr>
            <w:tcW w:w="136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06AEC7"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5º año</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6BF1DF"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 + 2 Idiomas</w:t>
            </w:r>
          </w:p>
        </w:tc>
        <w:tc>
          <w:tcPr>
            <w:tcW w:w="129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2AA8F1"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 horas</w:t>
            </w:r>
          </w:p>
        </w:tc>
        <w:tc>
          <w:tcPr>
            <w:tcW w:w="454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9FF07B"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Planificación Didáctica y Prácticas de la Enseñanza en Psicología (anual), Psicología Educacional </w:t>
            </w:r>
            <w:r>
              <w:rPr>
                <w:rFonts w:ascii="Times New Roman" w:eastAsia="Times New Roman" w:hAnsi="Times New Roman" w:cs="Times New Roman"/>
                <w:sz w:val="22"/>
                <w:szCs w:val="22"/>
              </w:rPr>
              <w:br/>
              <w:t>2 idiomas (francés o italiano) y (inglés o alemán)</w:t>
            </w:r>
          </w:p>
        </w:tc>
      </w:tr>
      <w:tr w:rsidR="00F56356" w14:paraId="4BC6DA46" w14:textId="77777777">
        <w:trPr>
          <w:trHeight w:val="480"/>
        </w:trPr>
        <w:tc>
          <w:tcPr>
            <w:tcW w:w="136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E09625" w14:textId="77777777" w:rsidR="00F56356" w:rsidRDefault="00000000">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Total </w:t>
            </w:r>
          </w:p>
        </w:tc>
        <w:tc>
          <w:tcPr>
            <w:tcW w:w="130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AED0035"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29 </w:t>
            </w:r>
          </w:p>
        </w:tc>
        <w:tc>
          <w:tcPr>
            <w:tcW w:w="129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2DA0E9" w14:textId="77777777" w:rsidR="00F56356" w:rsidRDefault="00000000">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3168 horas</w:t>
            </w:r>
          </w:p>
        </w:tc>
        <w:tc>
          <w:tcPr>
            <w:tcW w:w="454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82D234" w14:textId="77777777" w:rsidR="00F56356" w:rsidRDefault="00F56356">
            <w:pPr>
              <w:spacing w:after="0" w:line="240" w:lineRule="auto"/>
              <w:rPr>
                <w:rFonts w:ascii="Times New Roman" w:eastAsia="Times New Roman" w:hAnsi="Times New Roman" w:cs="Times New Roman"/>
                <w:sz w:val="22"/>
                <w:szCs w:val="22"/>
              </w:rPr>
            </w:pPr>
          </w:p>
        </w:tc>
      </w:tr>
    </w:tbl>
    <w:p w14:paraId="26B090EA" w14:textId="77777777" w:rsidR="00F5635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0"/>
          <w:szCs w:val="20"/>
        </w:rPr>
        <w:t xml:space="preserve">Fuente: elaboración propia a partir de los datos recogidos de la Resolución Ministerial 122/2006 de la Universidad Nacional de La Plata. </w:t>
      </w:r>
    </w:p>
    <w:p w14:paraId="5EB4208C" w14:textId="77777777" w:rsidR="00F56356" w:rsidRDefault="00F56356">
      <w:pPr>
        <w:spacing w:line="240" w:lineRule="auto"/>
        <w:rPr>
          <w:rFonts w:ascii="Times New Roman" w:eastAsia="Times New Roman" w:hAnsi="Times New Roman" w:cs="Times New Roman"/>
          <w:b/>
          <w:bCs/>
        </w:rPr>
      </w:pPr>
    </w:p>
    <w:p w14:paraId="3F5175E6" w14:textId="77777777" w:rsidR="00F56356"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3324C6A2"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Si retomamos las ideas desarrolladas podemos decir que, aunque ambos planes se inscriben en marcos regulatorios comunes la autonomía universitaria se traduce en modelos curriculares distintos. La UBA reproduce una tradición clínica psicoanalítica, con formación pedagógica tardía y prácticas concentradas en los últimos años. La UNLP, en cambio, promueve un perfil más integrado y plural, con contenidos pedagógicos distribuidos desde el inicio. </w:t>
      </w:r>
    </w:p>
    <w:p w14:paraId="24E4F2AB"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el campo del currículum, Gimeno Sacristán (1998) y De Alba (1991) permiten interpretar estas diferencias como expresiones de proyectos institucionales que condensan tradiciones culturales y políticas. Apple (1997) y Connell (1993) aportan la dimensión crítica: las configuraciones curriculares no son neutras, sino que reflejan relaciones de poder y concepciones de justicia educativa. En este sentido, la UBA legitima la clínica como núcleo formativo, mientras que la UNLP abre el acceso a saberes pedagógicos que se articulan con los disciplinares desde los primeros años. </w:t>
      </w:r>
    </w:p>
    <w:p w14:paraId="7E3E5E56"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diferencias en la organización curricular, la carga horaria y las prácticas profesionales ponen de manifiesto la tensión entre homogeneización normativa y diversidad institucional cuyas implicancias se proyectan en el sistema educativo en su conjunto. Los perfiles profesionales diferenciados impactan en la calidad y en la orientación de la enseñanza de la Psicología en el nivel secundario y superior. La UBA aporta docentes con fuerte base clínica, mientras que la UNLP aporta docentes con formación pedagógica integrada. Esta diversidad puede enriquecer el sistema, pero también genera </w:t>
      </w:r>
      <w:r>
        <w:rPr>
          <w:rFonts w:ascii="Times New Roman" w:eastAsia="Times New Roman" w:hAnsi="Times New Roman" w:cs="Times New Roman"/>
        </w:rPr>
        <w:lastRenderedPageBreak/>
        <w:t xml:space="preserve">desigualdades en la preparación de los egresados frente a los desafíos de una escuela secundaria inclusiva y universal. </w:t>
      </w:r>
    </w:p>
    <w:p w14:paraId="39B60FBD"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continuación, proponemos algunos interrogantes que buscan aportar al debate en torno a la formación de profesores en la universidad. El primero apunta a cómo compatibilizar lineamientos comunes para la formación docente con las particularidades y tradiciones institucionales de cada universidad. La comparación evidencia la coexistencia de marcos regulatorios comunes y configuraciones institucionales diversas, lo que plantea desafíos para la equivalencia de títulos y la definición de estándares nacionales para los profesorados que en el año 2010 pasaron a ser parte de las profesiones consideradas de riesgo (Art. 43, LES). En esta línea, nos preguntamos ¿cuáles son los límites de la autonomía universitaria frente a la función reguladora del Estado en carreras que impactan directamente en el sistema educativo obligatorio y cuyo ejercicio  compromete el interés público? ¿Cómo garantizar que la formación docente inicial en Psicología responda a los principios de inclusión y universalidad que orientan la educación secundaria en Argentina? La ausencia de definición de estándares específicos mantiene abierta la tensión entre diversidad institucional y necesidad de regulación nacional.</w:t>
      </w:r>
    </w:p>
    <w:p w14:paraId="1886A14D" w14:textId="660DBDAC"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Otro punto a destacar es el referido al perfil profesional, mientras la UBA forma docentes con identidad clínica y pedagogía tardía; la UNLP, </w:t>
      </w:r>
      <w:r w:rsidR="003D269A">
        <w:rPr>
          <w:rFonts w:ascii="Times New Roman" w:eastAsia="Times New Roman" w:hAnsi="Times New Roman" w:cs="Times New Roman"/>
        </w:rPr>
        <w:t>forma docentes</w:t>
      </w:r>
      <w:r>
        <w:rPr>
          <w:rFonts w:ascii="Times New Roman" w:eastAsia="Times New Roman" w:hAnsi="Times New Roman" w:cs="Times New Roman"/>
        </w:rPr>
        <w:t xml:space="preserve"> con identidad pedagógica integrada y mayor apertura teórica. Esto da lugar a preguntarse ¿qué modelos formativos privilegiar, </w:t>
      </w:r>
      <w:r w:rsidR="003D269A">
        <w:rPr>
          <w:rFonts w:ascii="Times New Roman" w:eastAsia="Times New Roman" w:hAnsi="Times New Roman" w:cs="Times New Roman"/>
        </w:rPr>
        <w:t>modelos consecutivos</w:t>
      </w:r>
      <w:r>
        <w:rPr>
          <w:rFonts w:ascii="Times New Roman" w:eastAsia="Times New Roman" w:hAnsi="Times New Roman" w:cs="Times New Roman"/>
        </w:rPr>
        <w:t xml:space="preserve"> o integrados? ¿Se actualiza, en este debate, la clásica controversia pedagógica sobre la naturaleza del saber docente? ¿El profesor de Psicología en el nivel secundario y superior debe ser concebido fundamentalmente como un especialista en la disciplina que posteriormente adquiere herramientas para transmitir su saber (modelo UBA), o debe estructurarse como un profesional de la enseñanza cuya formación científica y pedagógica se </w:t>
      </w:r>
      <w:proofErr w:type="spellStart"/>
      <w:r>
        <w:rPr>
          <w:rFonts w:ascii="Times New Roman" w:eastAsia="Times New Roman" w:hAnsi="Times New Roman" w:cs="Times New Roman"/>
        </w:rPr>
        <w:t>co-constituyen</w:t>
      </w:r>
      <w:proofErr w:type="spellEnd"/>
      <w:r>
        <w:rPr>
          <w:rFonts w:ascii="Times New Roman" w:eastAsia="Times New Roman" w:hAnsi="Times New Roman" w:cs="Times New Roman"/>
        </w:rPr>
        <w:t xml:space="preserve"> de manera simultánea desde el inicio del trayecto universitario (modelo UNLP). </w:t>
      </w:r>
    </w:p>
    <w:p w14:paraId="7FE6C010" w14:textId="77777777" w:rsidR="00F56356"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Así también debemos tener en cuenta las implicancias para la justicia curricular. Las diferencias en la distribución de la carga horaria y en el lugar de las prácticas reflejan concepciones distintas sobre el rol docente y sobre qué saberes deben ser legitimados como centrales. ¿Qué incidencias tiene que el currículum otorgue mayor peso al saber disciplinar frente a la formación pedagógica? ¿De qué manera esta jerarquización impacta en la identidad profesional y en las posibilidades de intervención crítica de los futuros docentes? ¿Cómo inciden las decisiones sobre carga horaria, de mayor diversidad de materias? ¿Qué favorece las condiciones de justicia curricular? </w:t>
      </w:r>
    </w:p>
    <w:p w14:paraId="526335C0" w14:textId="77777777" w:rsidR="00F56356" w:rsidRDefault="00F56356">
      <w:pPr>
        <w:spacing w:after="0" w:line="240" w:lineRule="auto"/>
        <w:jc w:val="both"/>
        <w:rPr>
          <w:rFonts w:ascii="Times New Roman" w:eastAsia="Times New Roman" w:hAnsi="Times New Roman" w:cs="Times New Roman"/>
        </w:rPr>
      </w:pPr>
    </w:p>
    <w:p w14:paraId="4311DE0B" w14:textId="12FE6302" w:rsidR="00F56356" w:rsidRDefault="003D269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Además,</w:t>
      </w:r>
      <w:r w:rsidR="00000000">
        <w:rPr>
          <w:rFonts w:ascii="Times New Roman" w:eastAsia="Times New Roman" w:hAnsi="Times New Roman" w:cs="Times New Roman"/>
        </w:rPr>
        <w:t xml:space="preserve"> es relevante tener en cuenta la hegemonía epistemológica en la Psicología. Se debate la tensión entre la </w:t>
      </w:r>
      <w:proofErr w:type="spellStart"/>
      <w:r w:rsidR="00000000">
        <w:rPr>
          <w:rFonts w:ascii="Times New Roman" w:eastAsia="Times New Roman" w:hAnsi="Times New Roman" w:cs="Times New Roman"/>
        </w:rPr>
        <w:t>hiperespecialización</w:t>
      </w:r>
      <w:proofErr w:type="spellEnd"/>
      <w:r w:rsidR="00000000">
        <w:rPr>
          <w:rFonts w:ascii="Times New Roman" w:eastAsia="Times New Roman" w:hAnsi="Times New Roman" w:cs="Times New Roman"/>
        </w:rPr>
        <w:t xml:space="preserve"> en una tradición académica predominante (como la impronta clínica psicoanalítica de la UBA) y una formación más plural (como el enfoque de la UNLP). Esto nos invita a reflexionar sobre </w:t>
      </w:r>
      <w:r>
        <w:rPr>
          <w:rFonts w:ascii="Times New Roman" w:eastAsia="Times New Roman" w:hAnsi="Times New Roman" w:cs="Times New Roman"/>
        </w:rPr>
        <w:t>¿</w:t>
      </w:r>
      <w:r w:rsidR="00000000">
        <w:rPr>
          <w:rFonts w:ascii="Times New Roman" w:eastAsia="Times New Roman" w:hAnsi="Times New Roman" w:cs="Times New Roman"/>
        </w:rPr>
        <w:t xml:space="preserve">qué marcos </w:t>
      </w:r>
      <w:r>
        <w:rPr>
          <w:rFonts w:ascii="Times New Roman" w:eastAsia="Times New Roman" w:hAnsi="Times New Roman" w:cs="Times New Roman"/>
        </w:rPr>
        <w:t>epistemológicos de</w:t>
      </w:r>
      <w:r w:rsidR="00000000">
        <w:rPr>
          <w:rFonts w:ascii="Times New Roman" w:eastAsia="Times New Roman" w:hAnsi="Times New Roman" w:cs="Times New Roman"/>
        </w:rPr>
        <w:t xml:space="preserve"> psicología se legitiman y se enseñan posteriormente en las aulas de las escuelas secundarias y en los profesorados? </w:t>
      </w:r>
    </w:p>
    <w:p w14:paraId="1F8016ED" w14:textId="77777777" w:rsidR="00F56356" w:rsidRDefault="00F56356">
      <w:pPr>
        <w:spacing w:after="0" w:line="240" w:lineRule="auto"/>
        <w:jc w:val="both"/>
        <w:rPr>
          <w:rFonts w:ascii="Times New Roman" w:eastAsia="Times New Roman" w:hAnsi="Times New Roman" w:cs="Times New Roman"/>
        </w:rPr>
      </w:pPr>
    </w:p>
    <w:p w14:paraId="0FFC4E27" w14:textId="77777777" w:rsidR="00F56356"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Otro aspecto a pensar es el rol de las universidades ante la universalización de la escuela secundaria, frente a la obligatoriedad establecida por la Ley de Educación Nacional, surge la pregunta sobre la responsabilidad de las universidades en la configuración del sistema formador. Los planes orientados históricamente a la preparación de profesionales liberales o científicos ¿logran transformarse lo suficiente para construir perfiles docentes capaces de dar respuesta a los contextos de vulnerabilidad, inclusión y diversidad que exige la escuela secundaria obligatoria actual? ¿La universidad debe priorizar la preservación de sus tradiciones académicas históricas amparada en la autonomía o, por el contrario, debe subordinar parcialmente sus diseños curriculares a las demandas y necesidades críticas emanadas de las transformaciones del sistema educativo obligatorio y los nuevos perfiles de la juventud escolarizada?</w:t>
      </w:r>
    </w:p>
    <w:p w14:paraId="5D4EEFA7"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suma, el análisis comparativo de los planes de estudio de los profesorados en Psicología de la UBA y de la UNLP demuestra que los marcos regulatorios comunes a nivel nacional, federal y de las universidades conviven con tradiciones académicas y decisiones políticas locales que reconfiguran las propuestas formativas. Amparadas en la autonomía institucional, ambas casas de estudio dan lugar a diseños curriculares y perfiles profesionales divergentes que tensionan el principio de equivalencia de los títulos. Lejos de ser un terreno neutral, esta heterogeneidad evidencia la vigencia de un debate inacabado dentro del sistema formador: cómo garantizar la cohesión normativa y la solidez político-pedagógica de la formación docente ante los desafíos de inclusión y universalidad de la escuela secundaria actual, sin anular la riqueza y la diversidad identitaria de las universidades públicas.</w:t>
      </w:r>
    </w:p>
    <w:p w14:paraId="384CD06E" w14:textId="77777777" w:rsidR="00F56356"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este escenario, resulta clave seguir fortaleciendo la articulación entre formación disciplinar y formación pedagógica, promoviendo propuestas curriculares que integren tempranamente la práctica docente y que respondan a las demandas actuales del nivel medio y superior. La mejora de la formación docente requiere no solo de marcos normativos claros, sino también la construcción conjunta de políticas sostenidas que reconozcan la especificidad de cada subsistema y promuevan condiciones institucionales adecuadas para el desarrollo profesional de los futuros profesores.</w:t>
      </w:r>
    </w:p>
    <w:p w14:paraId="75E4E1FA" w14:textId="77777777" w:rsidR="00F56356" w:rsidRDefault="00F56356">
      <w:pPr>
        <w:spacing w:before="240" w:after="240" w:line="240" w:lineRule="auto"/>
        <w:jc w:val="both"/>
        <w:rPr>
          <w:rFonts w:ascii="Times New Roman" w:eastAsia="Times New Roman" w:hAnsi="Times New Roman" w:cs="Times New Roman"/>
          <w:b/>
          <w:bCs/>
        </w:rPr>
      </w:pPr>
    </w:p>
    <w:p w14:paraId="68BE21BD" w14:textId="77777777" w:rsidR="00F56356" w:rsidRDefault="00000000">
      <w:pPr>
        <w:spacing w:before="240" w:after="240" w:line="240" w:lineRule="auto"/>
        <w:jc w:val="both"/>
        <w:rPr>
          <w:rFonts w:ascii="Times New Roman" w:eastAsia="Times New Roman" w:hAnsi="Times New Roman" w:cs="Times New Roman"/>
          <w:b/>
          <w:bCs/>
        </w:rPr>
      </w:pPr>
      <w:r>
        <w:rPr>
          <w:rFonts w:ascii="Times New Roman" w:eastAsia="Times New Roman" w:hAnsi="Times New Roman" w:cs="Times New Roman"/>
          <w:b/>
          <w:bCs/>
        </w:rPr>
        <w:t>Referencias Bibliográficas (APA 7)</w:t>
      </w:r>
    </w:p>
    <w:p w14:paraId="61213B7B"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Apple, M. W. (1997). </w:t>
      </w:r>
      <w:proofErr w:type="spellStart"/>
      <w:r>
        <w:rPr>
          <w:rFonts w:ascii="Times New Roman" w:eastAsia="Times New Roman" w:hAnsi="Times New Roman" w:cs="Times New Roman"/>
          <w:i/>
          <w:iCs/>
        </w:rPr>
        <w:t>Official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knowledge</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Democratic</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education</w:t>
      </w:r>
      <w:proofErr w:type="spellEnd"/>
      <w:r>
        <w:rPr>
          <w:rFonts w:ascii="Times New Roman" w:eastAsia="Times New Roman" w:hAnsi="Times New Roman" w:cs="Times New Roman"/>
          <w:i/>
          <w:iCs/>
        </w:rPr>
        <w:t xml:space="preserve"> in a conservative </w:t>
      </w:r>
      <w:proofErr w:type="spellStart"/>
      <w:r>
        <w:rPr>
          <w:rFonts w:ascii="Times New Roman" w:eastAsia="Times New Roman" w:hAnsi="Times New Roman" w:cs="Times New Roman"/>
          <w:i/>
          <w:iCs/>
        </w:rPr>
        <w:t>age</w:t>
      </w:r>
      <w:proofErr w:type="spellEnd"/>
      <w:r>
        <w:rPr>
          <w:rFonts w:ascii="Times New Roman" w:eastAsia="Times New Roman" w:hAnsi="Times New Roman" w:cs="Times New Roman"/>
        </w:rPr>
        <w:t>. Routledge.</w:t>
      </w:r>
    </w:p>
    <w:p w14:paraId="52F3C622"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Bryman, A. (1988). </w:t>
      </w:r>
      <w:proofErr w:type="spellStart"/>
      <w:r>
        <w:rPr>
          <w:rFonts w:ascii="Times New Roman" w:eastAsia="Times New Roman" w:hAnsi="Times New Roman" w:cs="Times New Roman"/>
        </w:rPr>
        <w:t>Quantity</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quality</w:t>
      </w:r>
      <w:proofErr w:type="spellEnd"/>
      <w:r>
        <w:rPr>
          <w:rFonts w:ascii="Times New Roman" w:eastAsia="Times New Roman" w:hAnsi="Times New Roman" w:cs="Times New Roman"/>
        </w:rPr>
        <w:t xml:space="preserve"> in social </w:t>
      </w:r>
      <w:proofErr w:type="spellStart"/>
      <w:r>
        <w:rPr>
          <w:rFonts w:ascii="Times New Roman" w:eastAsia="Times New Roman" w:hAnsi="Times New Roman" w:cs="Times New Roman"/>
        </w:rPr>
        <w:t>research</w:t>
      </w:r>
      <w:proofErr w:type="spellEnd"/>
      <w:r>
        <w:rPr>
          <w:rFonts w:ascii="Times New Roman" w:eastAsia="Times New Roman" w:hAnsi="Times New Roman" w:cs="Times New Roman"/>
        </w:rPr>
        <w:t>. Routledge.</w:t>
      </w:r>
    </w:p>
    <w:p w14:paraId="6D04E821"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Cheli, M. V. (2015). Aportes de la pedagogía en la formación de grado del Profesorado de Psicología (</w:t>
      </w:r>
      <w:proofErr w:type="spellStart"/>
      <w:r>
        <w:rPr>
          <w:rFonts w:ascii="Times New Roman" w:eastAsia="Times New Roman" w:hAnsi="Times New Roman" w:cs="Times New Roman"/>
        </w:rPr>
        <w:t>FaHCE</w:t>
      </w:r>
      <w:proofErr w:type="spellEnd"/>
      <w:r>
        <w:rPr>
          <w:rFonts w:ascii="Times New Roman" w:eastAsia="Times New Roman" w:hAnsi="Times New Roman" w:cs="Times New Roman"/>
        </w:rPr>
        <w:t xml:space="preserve">, UNLP). En </w:t>
      </w:r>
      <w:r>
        <w:rPr>
          <w:rFonts w:ascii="Times New Roman" w:eastAsia="Times New Roman" w:hAnsi="Times New Roman" w:cs="Times New Roman"/>
          <w:i/>
          <w:iCs/>
        </w:rPr>
        <w:t>X Encuentro de Cátedras de Pedagogía de Universidades Nacionales</w:t>
      </w:r>
      <w:r>
        <w:rPr>
          <w:rFonts w:ascii="Times New Roman" w:eastAsia="Times New Roman" w:hAnsi="Times New Roman" w:cs="Times New Roman"/>
        </w:rPr>
        <w:t xml:space="preserve"> (Tomo I). Universidad Nacional de La Plata.</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color w:val="1155CC"/>
            <w:u w:val="single"/>
          </w:rPr>
          <w:t>http://sedici.unlp.edu.ar/handle/10915/163904</w:t>
        </w:r>
      </w:hyperlink>
      <w:r>
        <w:rPr>
          <w:rFonts w:ascii="Times New Roman" w:eastAsia="Times New Roman" w:hAnsi="Times New Roman" w:cs="Times New Roman"/>
        </w:rPr>
        <w:t xml:space="preserve"> </w:t>
      </w:r>
    </w:p>
    <w:p w14:paraId="704A3BC3"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Connell, R. (1993). </w:t>
      </w:r>
      <w:r>
        <w:rPr>
          <w:rFonts w:ascii="Times New Roman" w:eastAsia="Times New Roman" w:hAnsi="Times New Roman" w:cs="Times New Roman"/>
          <w:i/>
          <w:iCs/>
        </w:rPr>
        <w:t xml:space="preserve">Schools and social </w:t>
      </w:r>
      <w:proofErr w:type="spellStart"/>
      <w:r>
        <w:rPr>
          <w:rFonts w:ascii="Times New Roman" w:eastAsia="Times New Roman" w:hAnsi="Times New Roman" w:cs="Times New Roman"/>
          <w:i/>
          <w:iCs/>
        </w:rPr>
        <w:t>justice</w:t>
      </w:r>
      <w:proofErr w:type="spellEnd"/>
      <w:r>
        <w:rPr>
          <w:rFonts w:ascii="Times New Roman" w:eastAsia="Times New Roman" w:hAnsi="Times New Roman" w:cs="Times New Roman"/>
        </w:rPr>
        <w:t>. Pluto Press.</w:t>
      </w:r>
    </w:p>
    <w:p w14:paraId="6AE398C1"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Congreso de la Nación Argentina. (1995). </w:t>
      </w:r>
      <w:r>
        <w:rPr>
          <w:rFonts w:ascii="Times New Roman" w:eastAsia="Times New Roman" w:hAnsi="Times New Roman" w:cs="Times New Roman"/>
          <w:i/>
          <w:iCs/>
        </w:rPr>
        <w:t>Ley de Educación Superior N.º 24.521</w:t>
      </w:r>
      <w:r>
        <w:rPr>
          <w:rFonts w:ascii="Times New Roman" w:eastAsia="Times New Roman" w:hAnsi="Times New Roman" w:cs="Times New Roman"/>
        </w:rPr>
        <w:t>. Boletín Oficial de la República Argentina.</w:t>
      </w:r>
    </w:p>
    <w:p w14:paraId="38681A20"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Consejo de Universidades. (2012). </w:t>
      </w:r>
      <w:r>
        <w:rPr>
          <w:rFonts w:ascii="Times New Roman" w:eastAsia="Times New Roman" w:hAnsi="Times New Roman" w:cs="Times New Roman"/>
          <w:i/>
          <w:iCs/>
        </w:rPr>
        <w:t>Acuerdo Plenario N.º 117/12</w:t>
      </w:r>
      <w:r>
        <w:rPr>
          <w:rFonts w:ascii="Times New Roman" w:eastAsia="Times New Roman" w:hAnsi="Times New Roman" w:cs="Times New Roman"/>
        </w:rPr>
        <w:t>. Buenos Aires: Ministerio de Educación de la Nación.</w:t>
      </w:r>
    </w:p>
    <w:p w14:paraId="0CBF1AC4"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Consejo Federal de Educación. (2007). </w:t>
      </w:r>
      <w:r>
        <w:rPr>
          <w:rFonts w:ascii="Times New Roman" w:eastAsia="Times New Roman" w:hAnsi="Times New Roman" w:cs="Times New Roman"/>
          <w:i/>
          <w:iCs/>
        </w:rPr>
        <w:t>Resolución CFE N.º 24/07</w:t>
      </w:r>
      <w:r>
        <w:rPr>
          <w:rFonts w:ascii="Times New Roman" w:eastAsia="Times New Roman" w:hAnsi="Times New Roman" w:cs="Times New Roman"/>
        </w:rPr>
        <w:t>. Buenos Aires: Ministerio de Educación de la Nación.</w:t>
      </w:r>
    </w:p>
    <w:p w14:paraId="1A727C37"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Consejo Federal de Educación. (2024). </w:t>
      </w:r>
      <w:r>
        <w:rPr>
          <w:rFonts w:ascii="Times New Roman" w:eastAsia="Times New Roman" w:hAnsi="Times New Roman" w:cs="Times New Roman"/>
          <w:i/>
          <w:iCs/>
        </w:rPr>
        <w:t>Resolución CFE N.º 476/24</w:t>
      </w:r>
      <w:r>
        <w:rPr>
          <w:rFonts w:ascii="Times New Roman" w:eastAsia="Times New Roman" w:hAnsi="Times New Roman" w:cs="Times New Roman"/>
        </w:rPr>
        <w:t>. Buenos Aires: Ministerio de Educación de la Nación.</w:t>
      </w:r>
    </w:p>
    <w:p w14:paraId="3514077F"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Davini, M. C. (1995). </w:t>
      </w:r>
      <w:r>
        <w:rPr>
          <w:rFonts w:ascii="Times New Roman" w:eastAsia="Times New Roman" w:hAnsi="Times New Roman" w:cs="Times New Roman"/>
          <w:i/>
          <w:iCs/>
        </w:rPr>
        <w:t>La formación docente en cuestión: política y pedagogía</w:t>
      </w:r>
      <w:r>
        <w:rPr>
          <w:rFonts w:ascii="Times New Roman" w:eastAsia="Times New Roman" w:hAnsi="Times New Roman" w:cs="Times New Roman"/>
        </w:rPr>
        <w:t xml:space="preserve">. Buenos Aires: Paidós. </w:t>
      </w:r>
    </w:p>
    <w:p w14:paraId="5C7071D8"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 Alba, A. (1991). </w:t>
      </w:r>
      <w:r>
        <w:rPr>
          <w:rFonts w:ascii="Times New Roman" w:eastAsia="Times New Roman" w:hAnsi="Times New Roman" w:cs="Times New Roman"/>
          <w:i/>
          <w:iCs/>
        </w:rPr>
        <w:t>Currículum: crisis, mito y perspectivas</w:t>
      </w:r>
      <w:r>
        <w:rPr>
          <w:rFonts w:ascii="Times New Roman" w:eastAsia="Times New Roman" w:hAnsi="Times New Roman" w:cs="Times New Roman"/>
        </w:rPr>
        <w:t>. UNAM.</w:t>
      </w:r>
    </w:p>
    <w:p w14:paraId="60CC5C16"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Gimeno Sacristán, J. (1998). </w:t>
      </w:r>
      <w:r>
        <w:rPr>
          <w:rFonts w:ascii="Times New Roman" w:eastAsia="Times New Roman" w:hAnsi="Times New Roman" w:cs="Times New Roman"/>
          <w:i/>
          <w:iCs/>
        </w:rPr>
        <w:t>El currículum: una reflexión sobre la práctica</w:t>
      </w:r>
      <w:r>
        <w:rPr>
          <w:rFonts w:ascii="Times New Roman" w:eastAsia="Times New Roman" w:hAnsi="Times New Roman" w:cs="Times New Roman"/>
        </w:rPr>
        <w:t>. Morata.</w:t>
      </w:r>
    </w:p>
    <w:p w14:paraId="1AF5920F"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Hernández, F., &amp; Sancho, J. M. (1993). </w:t>
      </w:r>
      <w:r>
        <w:rPr>
          <w:rFonts w:ascii="Times New Roman" w:eastAsia="Times New Roman" w:hAnsi="Times New Roman" w:cs="Times New Roman"/>
          <w:i/>
          <w:iCs/>
        </w:rPr>
        <w:t>Para enseñar no basta con saber la asignatura</w:t>
      </w:r>
      <w:r>
        <w:rPr>
          <w:rFonts w:ascii="Times New Roman" w:eastAsia="Times New Roman" w:hAnsi="Times New Roman" w:cs="Times New Roman"/>
        </w:rPr>
        <w:t xml:space="preserve"> (Vol. 10, Papeles de pedagogía). Paidós. </w:t>
      </w:r>
    </w:p>
    <w:p w14:paraId="59F109A9"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Ley Nacional N.º 26.206. (2006, 14 de diciembre). Ley de Educación Nacional.</w:t>
      </w:r>
    </w:p>
    <w:p w14:paraId="0F0C8BCA"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Ministerio de Educación de la Nación. (2010). </w:t>
      </w:r>
      <w:r>
        <w:rPr>
          <w:rFonts w:ascii="Times New Roman" w:eastAsia="Times New Roman" w:hAnsi="Times New Roman" w:cs="Times New Roman"/>
          <w:i/>
          <w:iCs/>
        </w:rPr>
        <w:t>Lineamientos para la formación docente inicial</w:t>
      </w:r>
      <w:r>
        <w:rPr>
          <w:rFonts w:ascii="Times New Roman" w:eastAsia="Times New Roman" w:hAnsi="Times New Roman" w:cs="Times New Roman"/>
        </w:rPr>
        <w:t>. Ministerio de Educación.</w:t>
      </w:r>
    </w:p>
    <w:p w14:paraId="6F5B6D5E"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Paredes, S. M. (2017). Expansión y transformación del sistema universitario en la Argentina desde la recuperación de la democracia hasta el año 2015. Voces en el Fénix, (65).</w:t>
      </w:r>
    </w:p>
    <w:p w14:paraId="217F96B4"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Rodríguez Trujillo, </w:t>
      </w:r>
      <w:proofErr w:type="spellStart"/>
      <w:r>
        <w:rPr>
          <w:rFonts w:ascii="Times New Roman" w:eastAsia="Times New Roman" w:hAnsi="Times New Roman" w:cs="Times New Roman"/>
        </w:rPr>
        <w:t>Nacarid</w:t>
      </w:r>
      <w:proofErr w:type="spellEnd"/>
      <w:r>
        <w:rPr>
          <w:rFonts w:ascii="Times New Roman" w:eastAsia="Times New Roman" w:hAnsi="Times New Roman" w:cs="Times New Roman"/>
        </w:rPr>
        <w:t xml:space="preserve"> (2004) Criterios para el Análisis del Diseño Curricular. En Sandra Castañeda (Comp.) Educación, aprendizaje y cognición. Teoría en la práctica (pp.107-122). El Manual Moderno. </w:t>
      </w:r>
    </w:p>
    <w:p w14:paraId="36C52C11"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Ruiz, G. (Comp.) (2011). La investigación científica y la formación docente. Los discursos normativos y las propuestas institucionales. Miño y Dávila.</w:t>
      </w:r>
    </w:p>
    <w:p w14:paraId="45385640"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Ruiz, G. (2012). El debate político pedagógico contemporáneo en perspectiva comparada: El lugar de las teorías de la educación en los procesos de reforma educativa. Informe final del Programa de Postdoctorado en Ciencias Humanas y Sociales, Universidad de Buenos Aires.</w:t>
      </w:r>
    </w:p>
    <w:p w14:paraId="1D51B96E"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Rust, V. (2000).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studies</w:t>
      </w:r>
      <w:proofErr w:type="spellEnd"/>
      <w:r>
        <w:rPr>
          <w:rFonts w:ascii="Times New Roman" w:eastAsia="Times New Roman" w:hAnsi="Times New Roman" w:cs="Times New Roman"/>
        </w:rPr>
        <w:t xml:space="preserve"> in comparative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En D. Phillips, R. Alexander, &amp; M. </w:t>
      </w:r>
      <w:proofErr w:type="spellStart"/>
      <w:r>
        <w:rPr>
          <w:rFonts w:ascii="Times New Roman" w:eastAsia="Times New Roman" w:hAnsi="Times New Roman" w:cs="Times New Roman"/>
        </w:rPr>
        <w:t>Orborn</w:t>
      </w:r>
      <w:proofErr w:type="spellEnd"/>
      <w:r>
        <w:rPr>
          <w:rFonts w:ascii="Times New Roman" w:eastAsia="Times New Roman" w:hAnsi="Times New Roman" w:cs="Times New Roman"/>
        </w:rPr>
        <w:t xml:space="preserve"> (Eds.), </w:t>
      </w:r>
      <w:proofErr w:type="spellStart"/>
      <w:r>
        <w:rPr>
          <w:rFonts w:ascii="Times New Roman" w:eastAsia="Times New Roman" w:hAnsi="Times New Roman" w:cs="Times New Roman"/>
        </w:rPr>
        <w:t>Learning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comparing</w:t>
      </w:r>
      <w:proofErr w:type="spellEnd"/>
      <w:r>
        <w:rPr>
          <w:rFonts w:ascii="Times New Roman" w:eastAsia="Times New Roman" w:hAnsi="Times New Roman" w:cs="Times New Roman"/>
        </w:rPr>
        <w:t xml:space="preserve">. New </w:t>
      </w:r>
      <w:proofErr w:type="spellStart"/>
      <w:r>
        <w:rPr>
          <w:rFonts w:ascii="Times New Roman" w:eastAsia="Times New Roman" w:hAnsi="Times New Roman" w:cs="Times New Roman"/>
        </w:rPr>
        <w:t>directions</w:t>
      </w:r>
      <w:proofErr w:type="spellEnd"/>
      <w:r>
        <w:rPr>
          <w:rFonts w:ascii="Times New Roman" w:eastAsia="Times New Roman" w:hAnsi="Times New Roman" w:cs="Times New Roman"/>
        </w:rPr>
        <w:t xml:space="preserve"> in comparative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research</w:t>
      </w:r>
      <w:proofErr w:type="spellEnd"/>
      <w:r>
        <w:rPr>
          <w:rFonts w:ascii="Times New Roman" w:eastAsia="Times New Roman" w:hAnsi="Times New Roman" w:cs="Times New Roman"/>
        </w:rPr>
        <w:t xml:space="preserve"> (pp. 13–20). </w:t>
      </w:r>
      <w:proofErr w:type="spellStart"/>
      <w:r>
        <w:rPr>
          <w:rFonts w:ascii="Times New Roman" w:eastAsia="Times New Roman" w:hAnsi="Times New Roman" w:cs="Times New Roman"/>
        </w:rPr>
        <w:t>Symposium</w:t>
      </w:r>
      <w:proofErr w:type="spellEnd"/>
      <w:r>
        <w:rPr>
          <w:rFonts w:ascii="Times New Roman" w:eastAsia="Times New Roman" w:hAnsi="Times New Roman" w:cs="Times New Roman"/>
        </w:rPr>
        <w:t xml:space="preserve"> Books.</w:t>
      </w:r>
    </w:p>
    <w:p w14:paraId="6343852E"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Schriewer, J., &amp; </w:t>
      </w:r>
      <w:proofErr w:type="spellStart"/>
      <w:r>
        <w:rPr>
          <w:rFonts w:ascii="Times New Roman" w:eastAsia="Times New Roman" w:hAnsi="Times New Roman" w:cs="Times New Roman"/>
        </w:rPr>
        <w:t>Kaelble</w:t>
      </w:r>
      <w:proofErr w:type="spellEnd"/>
      <w:r>
        <w:rPr>
          <w:rFonts w:ascii="Times New Roman" w:eastAsia="Times New Roman" w:hAnsi="Times New Roman" w:cs="Times New Roman"/>
        </w:rPr>
        <w:t>, H. (</w:t>
      </w:r>
      <w:proofErr w:type="spellStart"/>
      <w:r>
        <w:rPr>
          <w:rFonts w:ascii="Times New Roman" w:eastAsia="Times New Roman" w:hAnsi="Times New Roman" w:cs="Times New Roman"/>
        </w:rPr>
        <w:t>Comps</w:t>
      </w:r>
      <w:proofErr w:type="spellEnd"/>
      <w:r>
        <w:rPr>
          <w:rFonts w:ascii="Times New Roman" w:eastAsia="Times New Roman" w:hAnsi="Times New Roman" w:cs="Times New Roman"/>
        </w:rPr>
        <w:t>.). (2010). La comparación en las ciencias sociales e históricas: Un debate interdisciplinar. Octaedro.</w:t>
      </w:r>
    </w:p>
    <w:p w14:paraId="305915D8"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Smith, J. (1983). </w:t>
      </w:r>
      <w:proofErr w:type="spellStart"/>
      <w:r>
        <w:rPr>
          <w:rFonts w:ascii="Times New Roman" w:eastAsia="Times New Roman" w:hAnsi="Times New Roman" w:cs="Times New Roman"/>
        </w:rPr>
        <w:t>Quantitative</w:t>
      </w:r>
      <w:proofErr w:type="spellEnd"/>
      <w:r>
        <w:rPr>
          <w:rFonts w:ascii="Times New Roman" w:eastAsia="Times New Roman" w:hAnsi="Times New Roman" w:cs="Times New Roman"/>
        </w:rPr>
        <w:t xml:space="preserve"> versus </w:t>
      </w:r>
      <w:proofErr w:type="spellStart"/>
      <w:r>
        <w:rPr>
          <w:rFonts w:ascii="Times New Roman" w:eastAsia="Times New Roman" w:hAnsi="Times New Roman" w:cs="Times New Roman"/>
        </w:rPr>
        <w:t>qualitative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research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attempt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clarify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issue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Researcher</w:t>
      </w:r>
      <w:proofErr w:type="spellEnd"/>
      <w:r>
        <w:rPr>
          <w:rFonts w:ascii="Times New Roman" w:eastAsia="Times New Roman" w:hAnsi="Times New Roman" w:cs="Times New Roman"/>
        </w:rPr>
        <w:t>, 12(3), 6–13.</w:t>
      </w:r>
    </w:p>
    <w:p w14:paraId="168A9A66"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Universidad de Buenos Aires. (2025). </w:t>
      </w:r>
      <w:r>
        <w:rPr>
          <w:rFonts w:ascii="Times New Roman" w:eastAsia="Times New Roman" w:hAnsi="Times New Roman" w:cs="Times New Roman"/>
          <w:i/>
          <w:iCs/>
        </w:rPr>
        <w:t>Resolución Consejo Superior N.º 1323/25</w:t>
      </w:r>
      <w:r>
        <w:rPr>
          <w:rFonts w:ascii="Times New Roman" w:eastAsia="Times New Roman" w:hAnsi="Times New Roman" w:cs="Times New Roman"/>
        </w:rPr>
        <w:t>. Buenos Aires: UBA.</w:t>
      </w:r>
    </w:p>
    <w:p w14:paraId="5E520263"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Universidad de Buenos Aires. (2025). Informe de matrícula estudiantil. Dirección de Estadística.</w:t>
      </w:r>
    </w:p>
    <w:p w14:paraId="0B3266CF"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Universidad de Buenos Aires. (2026). </w:t>
      </w:r>
      <w:r>
        <w:rPr>
          <w:rFonts w:ascii="Times New Roman" w:eastAsia="Times New Roman" w:hAnsi="Times New Roman" w:cs="Times New Roman"/>
          <w:i/>
          <w:iCs/>
        </w:rPr>
        <w:t>Datos UBA</w:t>
      </w:r>
      <w:r>
        <w:rPr>
          <w:rFonts w:ascii="Times New Roman" w:eastAsia="Times New Roman" w:hAnsi="Times New Roman" w:cs="Times New Roman"/>
        </w:rPr>
        <w:t>. Universidad de Buenos Aires. Recuperado el 28 de junio de 2026, de</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https://www.uba.ar/datosuba</w:t>
        </w:r>
      </w:hyperlink>
      <w:r>
        <w:rPr>
          <w:rFonts w:ascii="Times New Roman" w:eastAsia="Times New Roman" w:hAnsi="Times New Roman" w:cs="Times New Roman"/>
        </w:rPr>
        <w:t xml:space="preserve"> </w:t>
      </w:r>
    </w:p>
    <w:p w14:paraId="279EDAAF"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Universidad Nacional de La Plata. (2006). </w:t>
      </w:r>
      <w:r>
        <w:rPr>
          <w:rFonts w:ascii="Times New Roman" w:eastAsia="Times New Roman" w:hAnsi="Times New Roman" w:cs="Times New Roman"/>
          <w:i/>
          <w:iCs/>
        </w:rPr>
        <w:t>Resolución Ministerial N.º 122/06</w:t>
      </w:r>
      <w:r>
        <w:rPr>
          <w:rFonts w:ascii="Times New Roman" w:eastAsia="Times New Roman" w:hAnsi="Times New Roman" w:cs="Times New Roman"/>
        </w:rPr>
        <w:t>. Buenos Aires: UNLP.</w:t>
      </w:r>
    </w:p>
    <w:p w14:paraId="143829FE" w14:textId="77777777" w:rsidR="00F56356"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Universidad Nacional de La Plata. (2024). Informe de matrícula estudiantil. Secretaría Académica.</w:t>
      </w:r>
    </w:p>
    <w:p w14:paraId="49AFB483" w14:textId="77777777" w:rsidR="00F56356"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Universidad Nacional de La Plata. (2018). A 100 años de la Reforma Universitaria. Recuperado de </w:t>
      </w:r>
      <w:hyperlink r:id="rId12">
        <w:r>
          <w:rPr>
            <w:rFonts w:ascii="Times New Roman" w:eastAsia="Times New Roman" w:hAnsi="Times New Roman" w:cs="Times New Roman"/>
          </w:rPr>
          <w:t>https://unlp.edu.ar/institucional/a-100-anos-de-la-reforma-universitaria-10138-1513</w:t>
        </w:r>
      </w:hyperlink>
      <w:r>
        <w:rPr>
          <w:rFonts w:ascii="Times New Roman" w:eastAsia="Times New Roman" w:hAnsi="Times New Roman" w:cs="Times New Roman"/>
        </w:rPr>
        <w:t xml:space="preserve"> </w:t>
      </w:r>
    </w:p>
    <w:p w14:paraId="74ACEB1D" w14:textId="77777777" w:rsidR="00F56356"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Zeichner, K. (2010). </w:t>
      </w:r>
      <w:proofErr w:type="spellStart"/>
      <w:r>
        <w:rPr>
          <w:rFonts w:ascii="Times New Roman" w:eastAsia="Times New Roman" w:hAnsi="Times New Roman" w:cs="Times New Roman"/>
        </w:rPr>
        <w:t>Rethinking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connections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between</w:t>
      </w:r>
      <w:proofErr w:type="spellEnd"/>
      <w:r>
        <w:rPr>
          <w:rFonts w:ascii="Times New Roman" w:eastAsia="Times New Roman" w:hAnsi="Times New Roman" w:cs="Times New Roman"/>
        </w:rPr>
        <w:t xml:space="preserve"> campus </w:t>
      </w:r>
      <w:proofErr w:type="spellStart"/>
      <w:r>
        <w:rPr>
          <w:rFonts w:ascii="Times New Roman" w:eastAsia="Times New Roman" w:hAnsi="Times New Roman" w:cs="Times New Roman"/>
        </w:rPr>
        <w:t>courses</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field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experiences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college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university-based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teacher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Journal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Teacher </w:t>
      </w:r>
      <w:proofErr w:type="spellStart"/>
      <w:r>
        <w:rPr>
          <w:rFonts w:ascii="Times New Roman" w:eastAsia="Times New Roman" w:hAnsi="Times New Roman" w:cs="Times New Roman"/>
        </w:rPr>
        <w:t>Education</w:t>
      </w:r>
      <w:proofErr w:type="spellEnd"/>
      <w:r>
        <w:rPr>
          <w:rFonts w:ascii="Times New Roman" w:eastAsia="Times New Roman" w:hAnsi="Times New Roman" w:cs="Times New Roman"/>
        </w:rPr>
        <w:t xml:space="preserve">, 61(1–2), 89–99. </w:t>
      </w:r>
      <w:hyperlink r:id="rId13">
        <w:r>
          <w:rPr>
            <w:rFonts w:ascii="Times New Roman" w:eastAsia="Times New Roman" w:hAnsi="Times New Roman" w:cs="Times New Roman"/>
            <w:color w:val="1155CC"/>
            <w:u w:val="single"/>
          </w:rPr>
          <w:t>https://doi.org/10.1177/002248710934767</w:t>
        </w:r>
      </w:hyperlink>
      <w:r>
        <w:rPr>
          <w:rFonts w:ascii="Times New Roman" w:eastAsia="Times New Roman" w:hAnsi="Times New Roman" w:cs="Times New Roman"/>
        </w:rPr>
        <w:t xml:space="preserve"> </w:t>
      </w:r>
    </w:p>
    <w:p w14:paraId="28C4BC76" w14:textId="77777777" w:rsidR="00F56356" w:rsidRDefault="00F56356">
      <w:pPr>
        <w:spacing w:line="240" w:lineRule="auto"/>
        <w:jc w:val="center"/>
        <w:rPr>
          <w:rFonts w:ascii="Times New Roman" w:eastAsia="Times New Roman" w:hAnsi="Times New Roman" w:cs="Times New Roman"/>
        </w:rPr>
      </w:pPr>
    </w:p>
    <w:sectPr w:rsidR="00F56356">
      <w:headerReference w:type="default" r:id="rId14"/>
      <w:footerReference w:type="default" r:id="rId15"/>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82C0D" w14:textId="77777777" w:rsidR="00BD14EA" w:rsidRDefault="00BD14EA">
      <w:pPr>
        <w:spacing w:after="0" w:line="240" w:lineRule="auto"/>
      </w:pPr>
      <w:r>
        <w:separator/>
      </w:r>
    </w:p>
  </w:endnote>
  <w:endnote w:type="continuationSeparator" w:id="0">
    <w:p w14:paraId="6F36A237" w14:textId="77777777" w:rsidR="00BD14EA" w:rsidRDefault="00BD14EA">
      <w:pPr>
        <w:spacing w:after="0" w:line="240" w:lineRule="auto"/>
      </w:pPr>
      <w:r>
        <w:continuationSeparator/>
      </w:r>
    </w:p>
  </w:endnote>
  <w:endnote w:id="1">
    <w:p w14:paraId="6C878780" w14:textId="4864B52F" w:rsidR="003D269A" w:rsidRPr="003D269A" w:rsidRDefault="003D269A" w:rsidP="003D269A">
      <w:pPr>
        <w:pStyle w:val="Textonotaalfinal"/>
        <w:jc w:val="both"/>
        <w:rPr>
          <w:lang w:val="es-AR"/>
        </w:rPr>
      </w:pPr>
      <w:r>
        <w:rPr>
          <w:rStyle w:val="Refdenotaalfinal"/>
        </w:rPr>
        <w:endnoteRef/>
      </w:r>
      <w:r>
        <w:t xml:space="preserve"> </w:t>
      </w:r>
      <w:r>
        <w:rPr>
          <w:rFonts w:ascii="Times New Roman" w:eastAsia="Times New Roman" w:hAnsi="Times New Roman" w:cs="Times New Roman"/>
        </w:rPr>
        <w:t>Mediante el Decreto del PEN 8/2023, se estableció una reestructuración de la organización ministerial previamente vigente, como parte de estos cambios, el Ministerio de Educación pasó adoptar una estructura de Secretaría, dependiente del Ministerio de Capital Humano. Este Ministerio centraliza no solo las políticas de educación, sino también las de cultura, trabajo y desarrollo social.</w:t>
      </w:r>
    </w:p>
  </w:endnote>
  <w:endnote w:id="2">
    <w:p w14:paraId="1D6DED82" w14:textId="76776362" w:rsidR="00CA0BA0" w:rsidRPr="00CA0BA0" w:rsidRDefault="00CA0BA0" w:rsidP="00CA0BA0">
      <w:pPr>
        <w:pStyle w:val="Textonotaalfinal"/>
        <w:jc w:val="both"/>
        <w:rPr>
          <w:lang w:val="es-AR"/>
        </w:rPr>
      </w:pPr>
      <w:r>
        <w:rPr>
          <w:rStyle w:val="Refdenotaalfinal"/>
        </w:rPr>
        <w:endnoteRef/>
      </w:r>
      <w:r>
        <w:t xml:space="preserve"> </w:t>
      </w:r>
      <w:r>
        <w:rPr>
          <w:rFonts w:ascii="Times New Roman" w:eastAsia="Times New Roman" w:hAnsi="Times New Roman" w:cs="Times New Roman"/>
        </w:rPr>
        <w:t xml:space="preserve">Los datos de posicionamiento institucional fueron tomados del Ranking Web de Universidades </w:t>
      </w:r>
      <w:proofErr w:type="spellStart"/>
      <w:r>
        <w:rPr>
          <w:rFonts w:ascii="Times New Roman" w:eastAsia="Times New Roman" w:hAnsi="Times New Roman" w:cs="Times New Roman"/>
        </w:rPr>
        <w:t>Webometrics</w:t>
      </w:r>
      <w:proofErr w:type="spellEnd"/>
      <w:r>
        <w:rPr>
          <w:rFonts w:ascii="Times New Roman" w:eastAsia="Times New Roman" w:hAnsi="Times New Roman" w:cs="Times New Roman"/>
        </w:rPr>
        <w:t xml:space="preserve"> (</w:t>
      </w:r>
      <w:hyperlink r:id="rId1" w:history="1">
        <w:r w:rsidRPr="000B420F">
          <w:rPr>
            <w:rStyle w:val="Hipervnculo"/>
            <w:rFonts w:ascii="Times New Roman" w:eastAsia="Times New Roman" w:hAnsi="Times New Roman" w:cs="Times New Roman"/>
          </w:rPr>
          <w:t>https://www.webometrics.org/argentina</w:t>
        </w:r>
      </w:hyperlink>
      <w:r>
        <w:rPr>
          <w:rFonts w:ascii="Times New Roman" w:eastAsia="Times New Roman" w:hAnsi="Times New Roman" w:cs="Times New Roman"/>
        </w:rPr>
        <w:t>)</w:t>
      </w:r>
      <w:r>
        <w:rPr>
          <w:rFonts w:ascii="Times New Roman" w:eastAsia="Times New Roman" w:hAnsi="Times New Roman" w:cs="Times New Roman"/>
        </w:rPr>
        <w:t xml:space="preserve"> elaborado por el Laboratorio de </w:t>
      </w:r>
      <w:proofErr w:type="spellStart"/>
      <w:r>
        <w:rPr>
          <w:rFonts w:ascii="Times New Roman" w:eastAsia="Times New Roman" w:hAnsi="Times New Roman" w:cs="Times New Roman"/>
        </w:rPr>
        <w:t>Cibermetría</w:t>
      </w:r>
      <w:proofErr w:type="spellEnd"/>
      <w:r>
        <w:rPr>
          <w:rFonts w:ascii="Times New Roman" w:eastAsia="Times New Roman" w:hAnsi="Times New Roman" w:cs="Times New Roman"/>
        </w:rPr>
        <w:t xml:space="preserve"> del Instituto de Políticas y Bienes Públicos (CSIC), y del QS World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Rankings,</w:t>
      </w:r>
      <w:r>
        <w:rPr>
          <w:rFonts w:ascii="Times New Roman" w:eastAsia="Times New Roman" w:hAnsi="Times New Roman" w:cs="Times New Roman"/>
        </w:rPr>
        <w:t xml:space="preserve"> (</w:t>
      </w:r>
      <w:hyperlink r:id="rId2" w:history="1">
        <w:r w:rsidR="00F77FBA" w:rsidRPr="000B420F">
          <w:rPr>
            <w:rStyle w:val="Hipervnculo"/>
            <w:rFonts w:ascii="Times New Roman" w:eastAsia="Times New Roman" w:hAnsi="Times New Roman" w:cs="Times New Roman"/>
          </w:rPr>
          <w:t>https://www.topuniversities.co</w:t>
        </w:r>
        <w:r w:rsidR="00F77FBA" w:rsidRPr="000B420F">
          <w:rPr>
            <w:rStyle w:val="Hipervnculo"/>
            <w:rFonts w:ascii="Times New Roman" w:eastAsia="Times New Roman" w:hAnsi="Times New Roman" w:cs="Times New Roman"/>
          </w:rPr>
          <w:t>m</w:t>
        </w:r>
      </w:hyperlink>
      <w:r w:rsidR="00F77FBA">
        <w:rPr>
          <w:rFonts w:ascii="Times New Roman" w:eastAsia="Times New Roman" w:hAnsi="Times New Roman" w:cs="Times New Roman"/>
        </w:rPr>
        <w:t>)</w:t>
      </w:r>
      <w:r>
        <w:rPr>
          <w:rFonts w:ascii="Times New Roman" w:eastAsia="Times New Roman" w:hAnsi="Times New Roman" w:cs="Times New Roman"/>
        </w:rPr>
        <w:t xml:space="preserve"> desarrollado por la consultora </w:t>
      </w:r>
      <w:proofErr w:type="spellStart"/>
      <w:r>
        <w:rPr>
          <w:rFonts w:ascii="Times New Roman" w:eastAsia="Times New Roman" w:hAnsi="Times New Roman" w:cs="Times New Roman"/>
        </w:rPr>
        <w:t>Quacquarelli</w:t>
      </w:r>
      <w:proofErr w:type="spellEnd"/>
      <w:r>
        <w:rPr>
          <w:rFonts w:ascii="Times New Roman" w:eastAsia="Times New Roman" w:hAnsi="Times New Roman" w:cs="Times New Roman"/>
        </w:rPr>
        <w:t xml:space="preserve"> Symonds, ambos orientados a evaluar comparativamente el desempeño y la visibilidad internacional de las universidades.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386BCCE-11EA-407A-8071-4ED29A25F70E}"/>
    <w:embedItalic r:id="rId2" w:fontKey="{8DD55E4F-A37D-4F23-8A53-F615DCA031F2}"/>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E2A23FA2-1814-4675-A2E2-3907F9347F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ABFB" w14:textId="77777777" w:rsidR="00F56356"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3BB68FCB" wp14:editId="65B726D3">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5979829D" w14:textId="77777777" w:rsidR="00F56356" w:rsidRDefault="00F56356">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A1FF" w14:textId="77777777" w:rsidR="00BD14EA" w:rsidRDefault="00BD14EA">
      <w:pPr>
        <w:spacing w:after="0" w:line="240" w:lineRule="auto"/>
      </w:pPr>
      <w:r>
        <w:separator/>
      </w:r>
    </w:p>
  </w:footnote>
  <w:footnote w:type="continuationSeparator" w:id="0">
    <w:p w14:paraId="4FDFA7E3" w14:textId="77777777" w:rsidR="00BD14EA" w:rsidRDefault="00BD14EA">
      <w:pPr>
        <w:spacing w:after="0" w:line="240" w:lineRule="auto"/>
      </w:pPr>
      <w:r>
        <w:continuationSeparator/>
      </w:r>
    </w:p>
  </w:footnote>
  <w:footnote w:id="1">
    <w:p w14:paraId="3E5962D1" w14:textId="3D3C2BAF" w:rsidR="00F56356"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2ECB" w14:textId="77777777" w:rsidR="00F56356"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2B7EB534" wp14:editId="36FA4F07">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56"/>
    <w:rsid w:val="003D269A"/>
    <w:rsid w:val="00542E5F"/>
    <w:rsid w:val="00BD14EA"/>
    <w:rsid w:val="00C04DA1"/>
    <w:rsid w:val="00CA0BA0"/>
    <w:rsid w:val="00F56356"/>
    <w:rsid w:val="00F77FB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8F0C"/>
  <w15:docId w15:val="{E7D94084-8CF9-4A9D-BA43-6B806670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unhideWhenUsed/>
    <w:qFormat/>
    <w:pPr>
      <w:keepNext/>
      <w:keepLines/>
      <w:spacing w:before="160" w:after="80"/>
      <w:outlineLvl w:val="1"/>
    </w:pPr>
    <w:rPr>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Textonotaalfinal">
    <w:name w:val="endnote text"/>
    <w:basedOn w:val="Normal"/>
    <w:link w:val="TextonotaalfinalCar"/>
    <w:uiPriority w:val="99"/>
    <w:semiHidden/>
    <w:unhideWhenUsed/>
    <w:rsid w:val="003D269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D269A"/>
    <w:rPr>
      <w:sz w:val="20"/>
      <w:szCs w:val="20"/>
    </w:rPr>
  </w:style>
  <w:style w:type="character" w:styleId="Refdenotaalfinal">
    <w:name w:val="endnote reference"/>
    <w:basedOn w:val="Fuentedeprrafopredeter"/>
    <w:uiPriority w:val="99"/>
    <w:semiHidden/>
    <w:unhideWhenUsed/>
    <w:rsid w:val="003D269A"/>
    <w:rPr>
      <w:vertAlign w:val="superscript"/>
    </w:rPr>
  </w:style>
  <w:style w:type="character" w:styleId="Hipervnculo">
    <w:name w:val="Hyperlink"/>
    <w:basedOn w:val="Fuentedeprrafopredeter"/>
    <w:uiPriority w:val="99"/>
    <w:unhideWhenUsed/>
    <w:rsid w:val="00CA0BA0"/>
    <w:rPr>
      <w:color w:val="0000FF" w:themeColor="hyperlink"/>
      <w:u w:val="single"/>
    </w:rPr>
  </w:style>
  <w:style w:type="character" w:styleId="Mencinsinresolver">
    <w:name w:val="Unresolved Mention"/>
    <w:basedOn w:val="Fuentedeprrafopredeter"/>
    <w:uiPriority w:val="99"/>
    <w:semiHidden/>
    <w:unhideWhenUsed/>
    <w:rsid w:val="00CA0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ici.unlp.edu.ar/handle/10915/163904" TargetMode="External"/><Relationship Id="rId13" Type="http://schemas.openxmlformats.org/officeDocument/2006/relationships/hyperlink" Target="https://doi.org/10.1177/0022487109347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lp.edu.ar/institucional/a-100-anos-de-la-reforma-universitaria-10138-151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ba.ar/datosuba?utm_source=copilo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ba.ar/datosuba?utm_source=copilot.com" TargetMode="External"/><Relationship Id="rId4" Type="http://schemas.openxmlformats.org/officeDocument/2006/relationships/settings" Target="settings.xml"/><Relationship Id="rId9" Type="http://schemas.openxmlformats.org/officeDocument/2006/relationships/hyperlink" Target="http://sedici.unlp.edu.ar/handle/10915/163904"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s://www.topuniversities.com" TargetMode="External"/><Relationship Id="rId1" Type="http://schemas.openxmlformats.org/officeDocument/2006/relationships/hyperlink" Target="https://www.webometrics.org/argentin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GcwYMp9oZmCxevzJA5Q15/m04w==">CgMxLjAyDmguZ2Qxdmh6YjNuZGxlMg5oLmZtNHlwN252ZnNtaDgAciExS1V5QmZUU2hDUGFaSTkzUnRSRUw0S0ZlYnVhVUZUWVE=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F03A9A-8AD0-4EE5-BFA9-88DDE6D8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7029</Words>
  <Characters>38661</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Pico</cp:lastModifiedBy>
  <cp:revision>2</cp:revision>
  <dcterms:created xsi:type="dcterms:W3CDTF">2026-07-02T00:35:00Z</dcterms:created>
  <dcterms:modified xsi:type="dcterms:W3CDTF">2026-07-02T01:08:00Z</dcterms:modified>
</cp:coreProperties>
</file>