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2410B" w14:textId="77777777" w:rsidR="00D279AA" w:rsidRDefault="00D279AA" w:rsidP="00D279AA">
      <w:pPr>
        <w:spacing w:line="259" w:lineRule="auto"/>
        <w:ind w:left="-141"/>
        <w:jc w:val="center"/>
        <w:rPr>
          <w:rFonts w:ascii="Times New Roman" w:eastAsia="Times New Roman" w:hAnsi="Times New Roman" w:cs="Times New Roman"/>
          <w:b/>
          <w:bCs/>
          <w:shd w:val="clear" w:color="auto" w:fill="FAFAFA"/>
        </w:rPr>
      </w:pPr>
      <w:bookmarkStart w:id="0" w:name="_Hlk234592683"/>
      <w:r>
        <w:rPr>
          <w:rFonts w:ascii="Times New Roman" w:eastAsia="Times New Roman" w:hAnsi="Times New Roman" w:cs="Times New Roman"/>
          <w:b/>
          <w:bCs/>
          <w:shd w:val="clear" w:color="auto" w:fill="FAFAFA"/>
        </w:rPr>
        <w:t>(NO SE AUTORIZA LA PUBLICACIÓN DE LA PONENCIA EN ACTAS)</w:t>
      </w:r>
    </w:p>
    <w:p w14:paraId="43C49479" w14:textId="64E6A698" w:rsidR="005F3B2E" w:rsidRPr="00E25612" w:rsidRDefault="00D279AA" w:rsidP="00E25612">
      <w:pPr>
        <w:spacing w:after="57" w:line="360" w:lineRule="auto"/>
        <w:jc w:val="both"/>
        <w:rPr>
          <w:rFonts w:ascii="Times New Roman" w:eastAsia="Times New Roman" w:hAnsi="Times New Roman" w:cs="Times New Roman"/>
          <w:b/>
          <w:bCs/>
        </w:rPr>
      </w:pPr>
      <w:r>
        <w:rPr>
          <w:rFonts w:ascii="Times New Roman" w:eastAsia="Times New Roman" w:hAnsi="Times New Roman" w:cs="Times New Roman"/>
          <w:b/>
          <w:bCs/>
        </w:rPr>
        <w:t>Trayectorias y prácticas universitarias en la Unión Cívica Radical (Buenos Aires, 1916- 1930)</w:t>
      </w:r>
    </w:p>
    <w:p w14:paraId="555D0894" w14:textId="77777777" w:rsidR="00D279AA" w:rsidRDefault="00D279AA" w:rsidP="00D279AA">
      <w:pPr>
        <w:spacing w:after="57" w:line="240" w:lineRule="auto"/>
        <w:ind w:left="-141"/>
        <w:jc w:val="right"/>
        <w:rPr>
          <w:rFonts w:ascii="Times New Roman" w:eastAsia="Times New Roman" w:hAnsi="Times New Roman" w:cs="Times New Roman"/>
        </w:rPr>
      </w:pPr>
      <w:r>
        <w:rPr>
          <w:rFonts w:ascii="Times New Roman" w:eastAsia="Times New Roman" w:hAnsi="Times New Roman" w:cs="Times New Roman"/>
        </w:rPr>
        <w:t>Luciana Carreño</w:t>
      </w:r>
    </w:p>
    <w:p w14:paraId="556AEF88" w14:textId="5947F8D3" w:rsidR="00D279AA" w:rsidRDefault="00D279AA" w:rsidP="00D279AA">
      <w:pPr>
        <w:spacing w:after="57" w:line="240" w:lineRule="auto"/>
        <w:ind w:left="-141"/>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Consejo Nacional de Investigaciones Científicas y Técnicas, Universidad Nacional de Quilmes, Centro de Investigaciones en Historia, Memoria y Territorios</w:t>
      </w:r>
    </w:p>
    <w:p w14:paraId="3D73DB11" w14:textId="459A6749" w:rsidR="005F3B2E" w:rsidRPr="00BA642E" w:rsidRDefault="00D279AA" w:rsidP="00D279AA">
      <w:pPr>
        <w:spacing w:after="57" w:line="240" w:lineRule="auto"/>
        <w:ind w:left="-141"/>
        <w:jc w:val="right"/>
        <w:rPr>
          <w:rFonts w:ascii="Times New Roman" w:hAnsi="Times New Roman" w:cs="Times New Roman"/>
        </w:rPr>
      </w:pPr>
      <w:r>
        <w:rPr>
          <w:rFonts w:ascii="Times New Roman" w:eastAsia="Times New Roman" w:hAnsi="Times New Roman" w:cs="Times New Roman"/>
          <w:sz w:val="20"/>
          <w:szCs w:val="20"/>
        </w:rPr>
        <w:t>lu.carrenio84@gmail.com/</w:t>
      </w:r>
    </w:p>
    <w:bookmarkEnd w:id="0"/>
    <w:p w14:paraId="7B9027E2" w14:textId="77777777" w:rsidR="00BA642E" w:rsidRPr="00BA642E" w:rsidRDefault="00BA642E" w:rsidP="005F3B2E">
      <w:pPr>
        <w:rPr>
          <w:rFonts w:ascii="Times New Roman" w:hAnsi="Times New Roman" w:cs="Times New Roman"/>
          <w:b/>
          <w:bCs/>
        </w:rPr>
      </w:pPr>
    </w:p>
    <w:p w14:paraId="35A6682C" w14:textId="3E2D24B9"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lang w:val="en-US"/>
        </w:rPr>
        <w:t>Resumen</w:t>
      </w:r>
      <w:r w:rsidR="007B5B5F" w:rsidRPr="007B5B5F">
        <w:rPr>
          <w:rFonts w:ascii="Times New Roman" w:hAnsi="Times New Roman" w:cs="Times New Roman"/>
          <w:b/>
          <w:bCs/>
          <w:lang w:val="en-US"/>
        </w:rPr>
        <w:t xml:space="preserve"> </w:t>
      </w:r>
    </w:p>
    <w:p w14:paraId="5F6EDE56" w14:textId="71E5410B" w:rsidR="00D279AA" w:rsidRDefault="00D279AA" w:rsidP="00D279AA">
      <w:pPr>
        <w:spacing w:after="57" w:line="240" w:lineRule="auto"/>
        <w:jc w:val="both"/>
        <w:rPr>
          <w:rFonts w:ascii="Times New Roman" w:eastAsia="Times New Roman" w:hAnsi="Times New Roman" w:cs="Times New Roman"/>
        </w:rPr>
      </w:pPr>
      <w:r>
        <w:rPr>
          <w:rFonts w:ascii="Times New Roman" w:eastAsia="Times New Roman" w:hAnsi="Times New Roman" w:cs="Times New Roman"/>
        </w:rPr>
        <w:t>El triunfo del radicalismo como fuerza política luego de su acceso al gobierno nacional en 1916 y tras sucesivas instancias electorales, implicó por parte de los partidos y sectores opositores distintas acusaciones (carencia de fines programáticos; impronta electoralista</w:t>
      </w:r>
      <w:r w:rsidR="00082FE4">
        <w:rPr>
          <w:rFonts w:ascii="Times New Roman" w:eastAsia="Times New Roman" w:hAnsi="Times New Roman" w:cs="Times New Roman"/>
        </w:rPr>
        <w:t>;</w:t>
      </w:r>
      <w:r>
        <w:rPr>
          <w:rFonts w:ascii="Times New Roman" w:eastAsia="Times New Roman" w:hAnsi="Times New Roman" w:cs="Times New Roman"/>
        </w:rPr>
        <w:t xml:space="preserve"> uso de prebendas y falta d</w:t>
      </w:r>
      <w:r w:rsidR="00082FE4">
        <w:rPr>
          <w:rFonts w:ascii="Times New Roman" w:eastAsia="Times New Roman" w:hAnsi="Times New Roman" w:cs="Times New Roman"/>
        </w:rPr>
        <w:t>e</w:t>
      </w:r>
      <w:r>
        <w:rPr>
          <w:rFonts w:ascii="Times New Roman" w:eastAsia="Times New Roman" w:hAnsi="Times New Roman" w:cs="Times New Roman"/>
        </w:rPr>
        <w:t xml:space="preserve"> inserción intelectual entre sus funcionarios) que contrapusieron a este actor con los saberes del campo universitario. Sin proponer una desmitificación de estas imágenes, la ponencia busca hacerlas dialogar con distintas trayectorias y prácticas universitarias vinculadas a la Unión Cívica Radical. Se propone indagar sobre las formas en las que la universidad nutrió al reclutamiento político-partidario y reflexionar sobre el papel de la universidad dentro los partidos políticos. Desde una aproximación que abreva de los aportes de la historia de las universidades, de la historia política y de los trabajos que analizaron las relaciones entre estos campos, la ponencia aborda estos problemas tomando como objeto las trayectorias académicas y políticas de un grupo de militantes del Comité Universitario Radical. A partir de un abordaje metodológico cualitativo analizan un grupo de trayectorias seleccionadas, recalando en las formas de acceso y las modalidades de transitar la carrera política; el peso de las credenciales y capitales universitarios en la acción política; el desarrollo paralelo de militancias en la política universitaria o en el movimiento reformista; entre otras dimensiones de estudio que permitan hacer más compleja la comprensión del proceso de profesionalización de la política y las funciones desarrolladas por los cuadros universitarios dentro del partido. Se recurre a un corpus de fuentes compuesto por documentos universitarios (legajos y tesis) y de la prensa periódica partidaria</w:t>
      </w:r>
      <w:r>
        <w:rPr>
          <w:rFonts w:ascii="Times New Roman" w:eastAsia="Times New Roman" w:hAnsi="Times New Roman" w:cs="Times New Roman"/>
        </w:rPr>
        <w:t>.</w:t>
      </w:r>
      <w:r>
        <w:rPr>
          <w:rFonts w:ascii="Times New Roman" w:eastAsia="Times New Roman" w:hAnsi="Times New Roman" w:cs="Times New Roman"/>
        </w:rPr>
        <w:t xml:space="preserve"> </w:t>
      </w:r>
    </w:p>
    <w:p w14:paraId="3B5484E0" w14:textId="2FED5B90" w:rsidR="00D279AA" w:rsidRDefault="00D279AA" w:rsidP="00D279AA">
      <w:pPr>
        <w:spacing w:line="259" w:lineRule="auto"/>
        <w:jc w:val="both"/>
        <w:rPr>
          <w:rFonts w:ascii="Times New Roman" w:eastAsia="Times New Roman" w:hAnsi="Times New Roman" w:cs="Times New Roman"/>
          <w:shd w:val="clear" w:color="auto" w:fill="FAFAFA"/>
        </w:rPr>
      </w:pPr>
      <w:r w:rsidRPr="007B5B5F">
        <w:rPr>
          <w:rFonts w:ascii="Times New Roman" w:hAnsi="Times New Roman" w:cs="Times New Roman"/>
          <w:b/>
          <w:bCs/>
        </w:rPr>
        <w:t xml:space="preserve">Palabras clave: </w:t>
      </w:r>
      <w:r w:rsidRPr="00D279AA">
        <w:rPr>
          <w:rFonts w:ascii="Times New Roman" w:hAnsi="Times New Roman" w:cs="Times New Roman"/>
        </w:rPr>
        <w:t>Universidad, Trayectorias, Partidos</w:t>
      </w:r>
    </w:p>
    <w:p w14:paraId="6A5547A1" w14:textId="347A53FA" w:rsidR="00BA642E" w:rsidRPr="007B5B5F" w:rsidRDefault="00BA642E" w:rsidP="00D279AA">
      <w:pPr>
        <w:spacing w:line="240" w:lineRule="auto"/>
        <w:jc w:val="both"/>
        <w:rPr>
          <w:rFonts w:ascii="Times New Roman" w:hAnsi="Times New Roman" w:cs="Times New Roman"/>
          <w:b/>
          <w:bCs/>
        </w:rPr>
      </w:pPr>
      <w:r w:rsidRPr="007B5B5F">
        <w:rPr>
          <w:rFonts w:ascii="Times New Roman" w:hAnsi="Times New Roman" w:cs="Times New Roman"/>
          <w:b/>
          <w:bCs/>
        </w:rPr>
        <w:t>Introducción</w:t>
      </w:r>
    </w:p>
    <w:p w14:paraId="542195B8" w14:textId="77777777" w:rsidR="00D279AA" w:rsidRDefault="00D279AA" w:rsidP="00D279A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relación entre universidad, estudiantes y política, en la primera mitad del siglo XX, ha sido objeto de aproximaciones diversas, procedentes de los intereses y objetos de los campos de estudio desde los cuales se ha abordado esa vinculación. Desde la historia de la universidad, intelectual y sobre los movimientos estudiantiles, la función política de la universidad ha sido estudiada principalmente en relación con la Reforma Universitaria y con las distintas modalidades de acción política-intelectual desplegada por estudiantes y </w:t>
      </w:r>
      <w:r>
        <w:rPr>
          <w:rFonts w:ascii="Times New Roman" w:eastAsia="Times New Roman" w:hAnsi="Times New Roman" w:cs="Times New Roman"/>
        </w:rPr>
        <w:lastRenderedPageBreak/>
        <w:t>docentes identificados con ese movimiento.</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En cambio, la inserción de estos agentes en la política partidaria no ha recibido la misma atención, en parte debido a las críticas procedentes de la universidad hacia los partidos, especialmente hacia la Unión Cívica Radical (UCR) y al carácter electoralista y no programático que se le adjudicó a este actor. Sin proponer una desmitificación de estas imágenes, la ponencia busca hacerlas dialogar con distintas trayectorias y prácticas universitarias vinculadas a ese partido que accedió al gobierno nacional en 1916 y se consolidó en sucesivas instancias electorales hasta la interrupción de la experiencia democrática, con el golpe de estado de 1930.</w:t>
      </w:r>
    </w:p>
    <w:p w14:paraId="2779A80F" w14:textId="77777777" w:rsidR="00D279AA" w:rsidRDefault="00D279AA" w:rsidP="00E25612">
      <w:pPr>
        <w:spacing w:after="0" w:line="240" w:lineRule="auto"/>
        <w:ind w:firstLine="630"/>
        <w:jc w:val="both"/>
        <w:rPr>
          <w:rFonts w:ascii="Times New Roman" w:eastAsia="Times New Roman" w:hAnsi="Times New Roman" w:cs="Times New Roman"/>
        </w:rPr>
      </w:pPr>
      <w:r>
        <w:rPr>
          <w:rFonts w:ascii="Times New Roman" w:eastAsia="Times New Roman" w:hAnsi="Times New Roman" w:cs="Times New Roman"/>
        </w:rPr>
        <w:t>Para lo cual se centra en las trayectorias de un grupo de militantes del Comité Universitario Radical (CUR), entidad que, desde su fundación en 1915 dio lugar a distintas camadas y agrupaciones político-universitarias vinculadas entre sí. A partir de esa reconstrucción se propone indagar en las formas en las que la universidad nutrió al reclutamiento político-partidario y reflexionar sobre el papel de la universidad dentro los partidos. De modo específico,</w:t>
      </w:r>
      <w:r>
        <w:rPr>
          <w:rFonts w:ascii="Times New Roman" w:eastAsia="Times New Roman" w:hAnsi="Times New Roman" w:cs="Times New Roman"/>
          <w:b/>
          <w:bCs/>
        </w:rPr>
        <w:t xml:space="preserve"> </w:t>
      </w:r>
      <w:r>
        <w:rPr>
          <w:rFonts w:ascii="Times New Roman" w:eastAsia="Times New Roman" w:hAnsi="Times New Roman" w:cs="Times New Roman"/>
        </w:rPr>
        <w:t xml:space="preserve">se busca analizar distintas prácticas y funciones que dan cuenta de las relaciones que acercaron a ambos campos entre sí, pese a la afirmación de la autonomía universitaria y al presumible alejamiento que suponía para los universitarios (en gran mayoría hombres) el proceso de profesionalización de la política. A través de estas vinculaciones se pone a prueba la hipótesis de que ese proceso de profesionalización se benefició de distintas funciones y saberes de la universidad; de algunas de las estrategias de legitimación profesional de los cuerpos de graduados que allí se formaban e, incluso, de las redes de sociabilidad estudiantil- universitaria que se potenciaron con la Reforma. </w:t>
      </w:r>
    </w:p>
    <w:p w14:paraId="013116BA" w14:textId="77777777" w:rsidR="00D279AA" w:rsidRDefault="00D279AA" w:rsidP="00E25612">
      <w:pPr>
        <w:spacing w:after="0" w:line="240" w:lineRule="auto"/>
        <w:ind w:firstLine="707"/>
        <w:jc w:val="both"/>
        <w:rPr>
          <w:rFonts w:ascii="Times New Roman" w:eastAsia="Times New Roman" w:hAnsi="Times New Roman" w:cs="Times New Roman"/>
        </w:rPr>
      </w:pPr>
      <w:r>
        <w:rPr>
          <w:rFonts w:ascii="Times New Roman" w:eastAsia="Times New Roman" w:hAnsi="Times New Roman" w:cs="Times New Roman"/>
        </w:rPr>
        <w:t xml:space="preserve">Desde esta aproximación, se parte de una distinción que alude y hace dialogar distintos conceptos y procesos de “profesionalización”, que remiten respectivamente al campo político y a la dedicación exclusiva (de forma  remunerada o retribuida) de sus miembros a ese oficio (Weber, 1984:99-100) y a los procesos de legitimación social de las profesiones, procedente de la acción de los mismos graduados (modelo </w:t>
      </w:r>
      <w:proofErr w:type="spellStart"/>
      <w:r>
        <w:rPr>
          <w:rFonts w:ascii="Times New Roman" w:eastAsia="Times New Roman" w:hAnsi="Times New Roman" w:cs="Times New Roman"/>
          <w:i/>
          <w:iCs/>
        </w:rPr>
        <w:t>laizze</w:t>
      </w:r>
      <w:proofErr w:type="spellEnd"/>
      <w:r>
        <w:rPr>
          <w:rFonts w:ascii="Times New Roman" w:eastAsia="Times New Roman" w:hAnsi="Times New Roman" w:cs="Times New Roman"/>
          <w:i/>
          <w:iCs/>
        </w:rPr>
        <w:t xml:space="preserve"> -faire</w:t>
      </w:r>
      <w:r>
        <w:rPr>
          <w:rFonts w:ascii="Times New Roman" w:eastAsia="Times New Roman" w:hAnsi="Times New Roman" w:cs="Times New Roman"/>
        </w:rPr>
        <w:t>) y/o de la intervención y reconocimiento del Estado hacia las profesiones (</w:t>
      </w:r>
      <w:proofErr w:type="spellStart"/>
      <w:r>
        <w:rPr>
          <w:rFonts w:ascii="Times New Roman" w:eastAsia="Times New Roman" w:hAnsi="Times New Roman" w:cs="Times New Roman"/>
        </w:rPr>
        <w:t>Sarfatti</w:t>
      </w:r>
      <w:proofErr w:type="spellEnd"/>
      <w:r>
        <w:rPr>
          <w:rFonts w:ascii="Times New Roman" w:eastAsia="Times New Roman" w:hAnsi="Times New Roman" w:cs="Times New Roman"/>
        </w:rPr>
        <w:t xml:space="preserve"> Larson, 1989). En el caso argentino, ambos procesos han sido objeto de investigaciones específicas que se toman como antecedentes. Así, para el campo profesional universitario el factor político, en la demanda e inserción de especialistas en las burocracias estatales se destacó como una tendencia transversal (Frederic, Graciano &amp; Soprano, 2010) y, de modo específico, ha sido analizado para el caso de la medicina, junto a otras estrategias de los médicos en la obtención del monopolio del arte de curar (Gutiérrez </w:t>
      </w:r>
      <w:proofErr w:type="spellStart"/>
      <w:r>
        <w:rPr>
          <w:rFonts w:ascii="Times New Roman" w:eastAsia="Times New Roman" w:hAnsi="Times New Roman" w:cs="Times New Roman"/>
        </w:rPr>
        <w:t>Leandri</w:t>
      </w:r>
      <w:proofErr w:type="spellEnd"/>
      <w:r>
        <w:rPr>
          <w:rFonts w:ascii="Times New Roman" w:eastAsia="Times New Roman" w:hAnsi="Times New Roman" w:cs="Times New Roman"/>
        </w:rPr>
        <w:t xml:space="preserve">, 1999). Mientras que, para el campo político, las investigaciones de Marcela Ferrari analizaron el desarrollo de un proceso de autonomización de lo político durante la “república radical”, que estuvo caracterizado por un recambio generacional; el ingreso de nuevos individuos y el desplazamiento y extinción de los notables y sus formas de acción política. En este proceso, que la autora advierte como paulatino, complejo y no lineal, la condición universitaria, y en especial aquella que provenía de las facultades de derecho, resultó ser un rasgo sobresaliente entre los elencos políticos parlamentarios (2008). Esta ponencia retoma y abreva de estos aportes para recalar en otros periodos y actores que no han sido </w:t>
      </w:r>
      <w:r>
        <w:rPr>
          <w:rFonts w:ascii="Times New Roman" w:eastAsia="Times New Roman" w:hAnsi="Times New Roman" w:cs="Times New Roman"/>
        </w:rPr>
        <w:lastRenderedPageBreak/>
        <w:t xml:space="preserve">parte de estas investigaciones, en especial para profundizar en el estudio de las relaciones entre política y universidad, a partir de la Reforma y a través del seguimiento de militantes universitarios que se vincularon con ese movimiento y se desempeñaron paralelamente en distintas funciones y cargos que se habilitaban desde el partido radical. </w:t>
      </w:r>
    </w:p>
    <w:p w14:paraId="2FD138AD" w14:textId="3FBD0907" w:rsidR="005F3B2E" w:rsidRPr="00D279AA" w:rsidRDefault="00D279AA" w:rsidP="00D279AA">
      <w:pPr>
        <w:spacing w:line="240" w:lineRule="auto"/>
        <w:ind w:firstLine="707"/>
        <w:jc w:val="both"/>
        <w:rPr>
          <w:rFonts w:ascii="Times New Roman" w:eastAsia="Times New Roman" w:hAnsi="Times New Roman" w:cs="Times New Roman"/>
          <w:b/>
          <w:bCs/>
        </w:rPr>
      </w:pPr>
      <w:r>
        <w:rPr>
          <w:rFonts w:ascii="Times New Roman" w:eastAsia="Times New Roman" w:hAnsi="Times New Roman" w:cs="Times New Roman"/>
        </w:rPr>
        <w:t xml:space="preserve">Para ello, desde un abordaje metodológico cualitativo la ponencia avanza, en el primer apartado, en la definición de corpus de trayectorias de militantes universitarios vinculados al CUR en la ciudad de Buenos Aires, identificado a partir del relevamiento de la prensa política partidaria (de los diarios </w:t>
      </w:r>
      <w:r>
        <w:rPr>
          <w:rFonts w:ascii="Times New Roman" w:eastAsia="Times New Roman" w:hAnsi="Times New Roman" w:cs="Times New Roman"/>
          <w:i/>
          <w:iCs/>
        </w:rPr>
        <w:t>El Radical</w:t>
      </w:r>
      <w:r>
        <w:rPr>
          <w:rFonts w:ascii="Times New Roman" w:eastAsia="Times New Roman" w:hAnsi="Times New Roman" w:cs="Times New Roman"/>
        </w:rPr>
        <w:t xml:space="preserve">, </w:t>
      </w:r>
      <w:r>
        <w:rPr>
          <w:rFonts w:ascii="Times New Roman" w:eastAsia="Times New Roman" w:hAnsi="Times New Roman" w:cs="Times New Roman"/>
          <w:i/>
          <w:iCs/>
        </w:rPr>
        <w:t>La Época</w:t>
      </w:r>
      <w:r>
        <w:rPr>
          <w:rFonts w:ascii="Times New Roman" w:eastAsia="Times New Roman" w:hAnsi="Times New Roman" w:cs="Times New Roman"/>
        </w:rPr>
        <w:t xml:space="preserve"> y </w:t>
      </w:r>
      <w:r>
        <w:rPr>
          <w:rFonts w:ascii="Times New Roman" w:eastAsia="Times New Roman" w:hAnsi="Times New Roman" w:cs="Times New Roman"/>
          <w:i/>
          <w:iCs/>
        </w:rPr>
        <w:t>La Acción</w:t>
      </w:r>
      <w:r>
        <w:rPr>
          <w:rFonts w:ascii="Times New Roman" w:eastAsia="Times New Roman" w:hAnsi="Times New Roman" w:cs="Times New Roman"/>
        </w:rPr>
        <w:t xml:space="preserve">) que se complementa con fuentes procedentes de las revistas de los centros de estudiantes, tesis y legajos disponibles en la Biblioteca Nacional y en el Archivo Histórico de la Universidad de Buenos Aires (AHUBA). A partir de este mapeo, en el segundo apartado se procede al análisis de un grupo de trayectorias seleccionadas, que se contrasta no obstante con tendencias y casos procedentes de ese corpus. </w:t>
      </w:r>
    </w:p>
    <w:p w14:paraId="0EADC1BA" w14:textId="77777777" w:rsidR="00D279AA" w:rsidRDefault="00D279AA" w:rsidP="001E701A">
      <w:pPr>
        <w:spacing w:before="240" w:after="0" w:line="360" w:lineRule="auto"/>
        <w:jc w:val="both"/>
        <w:rPr>
          <w:rFonts w:ascii="Times New Roman" w:eastAsia="Times New Roman" w:hAnsi="Times New Roman" w:cs="Times New Roman"/>
          <w:b/>
          <w:bCs/>
        </w:rPr>
      </w:pPr>
      <w:r>
        <w:rPr>
          <w:rFonts w:ascii="Times New Roman" w:eastAsia="Times New Roman" w:hAnsi="Times New Roman" w:cs="Times New Roman"/>
          <w:b/>
          <w:bCs/>
        </w:rPr>
        <w:t>Trayectorias universitarias y militantes del radicalismo: un corpus en construcción</w:t>
      </w:r>
    </w:p>
    <w:p w14:paraId="3AEDB1D8" w14:textId="45C730B0" w:rsidR="00D279AA" w:rsidRDefault="00D279AA" w:rsidP="00E2561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Junto a los citados antecedentes, la reconstrucción de trayectorias universitarias y partidarias en la UBA recoge específicamente los resultados de investigaciones previas sobre la organización de las juventudes dentro del radicalismo metropolitano. En ese espacio, los estudios sobre el CUR, han permitido identificar dos periodos diferenciados de participación estudiantil en el radicalismo durante la experiencia democrática. El primero, con surgimiento del CUR en apoyo a la candidatura de Hipólito Yrigoyen en septiembre de 1915, resulta representativo de la labor propagandística y proselitista que desarrolló la agrupación a lo largo de ese gobierno. No obstante, esa actividad estuvo acompañada de otras funciones propiamente universitarias y gremiales (proyectos de reglamentación de la carrera de ingeniería o de creación de un instituto médico) y de una particular forma de militancia estudiantil, que rescataba las dimensiones educativa y democrática de la Reforma, en adjudicación directa con la obra del gobierno radical (Carreño, 2023). </w:t>
      </w:r>
    </w:p>
    <w:p w14:paraId="4BCC8AED" w14:textId="77777777" w:rsidR="00D279AA" w:rsidRDefault="00D279AA" w:rsidP="00D279AA">
      <w:pPr>
        <w:spacing w:line="240" w:lineRule="auto"/>
        <w:ind w:left="-90" w:firstLine="861"/>
        <w:jc w:val="both"/>
        <w:rPr>
          <w:rFonts w:ascii="Times New Roman" w:eastAsia="Times New Roman" w:hAnsi="Times New Roman" w:cs="Times New Roman"/>
        </w:rPr>
      </w:pPr>
      <w:r>
        <w:rPr>
          <w:rFonts w:ascii="Times New Roman" w:eastAsia="Times New Roman" w:hAnsi="Times New Roman" w:cs="Times New Roman"/>
        </w:rPr>
        <w:t>A partir de la escisión partidaria del radicalismo en 1924 y del cambio del gobierno a nivel nacional, con el acceso de Marcelo T. De Alvear a la presidencia, se inició otra etapa en la cual un grupo de militantes que habían comenzado su trayectoria dentro del CUR, junto a nuevas camadas estudiantiles, constituyeron la Juventud Universitaria Radical Intransigente (JURI) y se destacaron en la reorganización de las juventudes radicales y universitarias en el marco del cisma. En ese contexto, la retracción institucional del movimiento reformista como efecto de la política educativa del nuevo gobierno, junto a otros factores, favorecieron la confluencia entre las juventudes reformistas y radicales e incidieron en la configuración de un nuevo tipo de militancia estudiantil, que elaboró una articulación novedosa entre ambos universos (Carreño, 2024). Esta etapa coincidió además con el desarrollo de una metamorfosis programática dentro del radicalismo vinculada a la cuestión del petróleo y a la legislación obrerista del partido (</w:t>
      </w:r>
      <w:proofErr w:type="spellStart"/>
      <w:r>
        <w:rPr>
          <w:rFonts w:ascii="Times New Roman" w:eastAsia="Times New Roman" w:hAnsi="Times New Roman" w:cs="Times New Roman"/>
        </w:rPr>
        <w:t>Halperín</w:t>
      </w:r>
      <w:proofErr w:type="spellEnd"/>
      <w:r>
        <w:rPr>
          <w:rFonts w:ascii="Times New Roman" w:eastAsia="Times New Roman" w:hAnsi="Times New Roman" w:cs="Times New Roman"/>
        </w:rPr>
        <w:t xml:space="preserve"> Donghi, 1998; 2008), en la cual los militantes universitarios se involucraron activamente, generando actividades que pretendían superar la cuestionada faceta electoralista y propiciaban ese acercamiento con el ideario reformista.</w:t>
      </w:r>
    </w:p>
    <w:p w14:paraId="00FA8FAD" w14:textId="243F9AC3" w:rsidR="00D279AA" w:rsidRDefault="00D279AA" w:rsidP="00D279AA">
      <w:pPr>
        <w:spacing w:line="240" w:lineRule="auto"/>
        <w:ind w:left="-90" w:firstLine="810"/>
        <w:jc w:val="both"/>
        <w:rPr>
          <w:rFonts w:ascii="Times New Roman" w:eastAsia="Times New Roman" w:hAnsi="Times New Roman" w:cs="Times New Roman"/>
        </w:rPr>
      </w:pPr>
      <w:r>
        <w:rPr>
          <w:rFonts w:ascii="Times New Roman" w:eastAsia="Times New Roman" w:hAnsi="Times New Roman" w:cs="Times New Roman"/>
        </w:rPr>
        <w:lastRenderedPageBreak/>
        <w:t>Tal como se observa en estos antecedentes, el universo de la militancia universitaria vinculada a la UCR abarca un espectro amplio, derivado de la multiplicación de agrupaciones tras el cisma partidario y del recambio en las trayectorias. Este universo integra también otros itinerarios de graduados y profesionales que se vincularon a la labor legislativa (Ferrari, 2008) o docente, en la universidad popular vinculada a la UCR (</w:t>
      </w:r>
      <w:proofErr w:type="spellStart"/>
      <w:r>
        <w:rPr>
          <w:rFonts w:ascii="Times New Roman" w:eastAsia="Times New Roman" w:hAnsi="Times New Roman" w:cs="Times New Roman"/>
        </w:rPr>
        <w:t>Yaverovski</w:t>
      </w:r>
      <w:proofErr w:type="spellEnd"/>
      <w:r>
        <w:rPr>
          <w:rFonts w:ascii="Times New Roman" w:eastAsia="Times New Roman" w:hAnsi="Times New Roman" w:cs="Times New Roman"/>
        </w:rPr>
        <w:t>, 2021). Aún si nos ceñimos a la militancia estudiantil o de jóvenes graduados, el abanico sigue siendo amplio no solo por las referidas las ramificaciones producto del cisma (que dieron lugar, por ejemplo, al Comité Universitario Antipersonalista), sino también por la complejidad asociativa en distintas provincias (que contaron también con sedes del CUR) o niveles educativos (por ejemplo, el Comité de Estudiantes Secundarios). A partir de este universo, en esta aproximación se avanza, en primer lugar, en la realización de un primer mapeo de los cuadros radicales estudiantiles y graduados de la ciudad de Buenos Aires, realizado a partir de la identificación y rastreo de militantes en la prensa periódica partidaria y del contraste con las cifras oficiales de la membrecía del CUR.</w:t>
      </w:r>
    </w:p>
    <w:p w14:paraId="0869FCA3" w14:textId="77777777" w:rsidR="00781C89" w:rsidRDefault="00781C89" w:rsidP="00781C89">
      <w:pPr>
        <w:spacing w:line="240" w:lineRule="auto"/>
        <w:ind w:left="-90" w:firstLine="810"/>
        <w:jc w:val="center"/>
        <w:rPr>
          <w:rFonts w:ascii="Times New Roman" w:eastAsia="Times New Roman" w:hAnsi="Times New Roman" w:cs="Times New Roman"/>
          <w:b/>
          <w:bCs/>
        </w:rPr>
      </w:pPr>
      <w:r>
        <w:rPr>
          <w:rFonts w:ascii="Times New Roman" w:eastAsia="Times New Roman" w:hAnsi="Times New Roman" w:cs="Times New Roman"/>
          <w:b/>
          <w:bCs/>
        </w:rPr>
        <w:t>Tabla militancia del CUR en la ciudad de Buenos Aires</w:t>
      </w:r>
    </w:p>
    <w:tbl>
      <w:tblPr>
        <w:tblpPr w:leftFromText="180" w:rightFromText="180" w:vertAnchor="text" w:tblpX="1884" w:tblpY="8"/>
        <w:tblW w:w="509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163"/>
        <w:gridCol w:w="1997"/>
        <w:gridCol w:w="1939"/>
      </w:tblGrid>
      <w:tr w:rsidR="00781C89" w14:paraId="4F0B7DCE" w14:textId="77777777" w:rsidTr="00D17767">
        <w:trPr>
          <w:trHeight w:val="266"/>
        </w:trPr>
        <w:tc>
          <w:tcPr>
            <w:tcW w:w="1163" w:type="dxa"/>
            <w:shd w:val="clear" w:color="auto" w:fill="auto"/>
          </w:tcPr>
          <w:p w14:paraId="650DB0A9" w14:textId="77777777" w:rsidR="00781C89" w:rsidRDefault="00781C89" w:rsidP="00781C89">
            <w:pPr>
              <w:spacing w:line="240" w:lineRule="auto"/>
              <w:jc w:val="center"/>
              <w:rPr>
                <w:rFonts w:ascii="Times New Roman" w:eastAsia="Times New Roman" w:hAnsi="Times New Roman" w:cs="Times New Roman"/>
                <w:color w:val="000000"/>
              </w:rPr>
            </w:pPr>
          </w:p>
        </w:tc>
        <w:tc>
          <w:tcPr>
            <w:tcW w:w="1997" w:type="dxa"/>
            <w:shd w:val="clear" w:color="auto" w:fill="auto"/>
          </w:tcPr>
          <w:p w14:paraId="593F2D1E" w14:textId="77777777" w:rsidR="00781C89" w:rsidRPr="00781C89" w:rsidRDefault="00781C89" w:rsidP="00781C89">
            <w:pPr>
              <w:spacing w:line="240" w:lineRule="auto"/>
              <w:jc w:val="center"/>
              <w:rPr>
                <w:rFonts w:ascii="Times New Roman" w:eastAsia="Times New Roman" w:hAnsi="Times New Roman" w:cs="Times New Roman"/>
                <w:b/>
                <w:bCs/>
                <w:color w:val="000000"/>
                <w:sz w:val="20"/>
                <w:szCs w:val="20"/>
              </w:rPr>
            </w:pPr>
            <w:r w:rsidRPr="00781C89">
              <w:rPr>
                <w:rFonts w:ascii="Times New Roman" w:eastAsia="Times New Roman" w:hAnsi="Times New Roman" w:cs="Times New Roman"/>
                <w:b/>
                <w:bCs/>
                <w:color w:val="000000"/>
                <w:sz w:val="20"/>
                <w:szCs w:val="20"/>
              </w:rPr>
              <w:t>Afiliación general</w:t>
            </w:r>
          </w:p>
        </w:tc>
        <w:tc>
          <w:tcPr>
            <w:tcW w:w="1939" w:type="dxa"/>
            <w:shd w:val="clear" w:color="auto" w:fill="auto"/>
          </w:tcPr>
          <w:p w14:paraId="67B2BD0D" w14:textId="77777777" w:rsidR="00781C89" w:rsidRPr="00781C89" w:rsidRDefault="00781C89" w:rsidP="00781C89">
            <w:pPr>
              <w:spacing w:line="240" w:lineRule="auto"/>
              <w:jc w:val="center"/>
              <w:rPr>
                <w:rFonts w:ascii="Times New Roman" w:eastAsia="Times New Roman" w:hAnsi="Times New Roman" w:cs="Times New Roman"/>
                <w:b/>
                <w:bCs/>
                <w:color w:val="000000"/>
                <w:sz w:val="20"/>
                <w:szCs w:val="20"/>
              </w:rPr>
            </w:pPr>
            <w:r w:rsidRPr="00781C89">
              <w:rPr>
                <w:rFonts w:ascii="Times New Roman" w:eastAsia="Times New Roman" w:hAnsi="Times New Roman" w:cs="Times New Roman"/>
                <w:b/>
                <w:bCs/>
                <w:color w:val="000000"/>
                <w:sz w:val="20"/>
                <w:szCs w:val="20"/>
              </w:rPr>
              <w:t>Trayectorias contabilizadas</w:t>
            </w:r>
          </w:p>
        </w:tc>
      </w:tr>
      <w:tr w:rsidR="00781C89" w14:paraId="1818C3DA" w14:textId="77777777" w:rsidTr="00D17767">
        <w:trPr>
          <w:trHeight w:val="266"/>
        </w:trPr>
        <w:tc>
          <w:tcPr>
            <w:tcW w:w="1163" w:type="dxa"/>
            <w:shd w:val="clear" w:color="auto" w:fill="auto"/>
          </w:tcPr>
          <w:p w14:paraId="06E618C3" w14:textId="77777777" w:rsidR="00781C89" w:rsidRDefault="00781C89" w:rsidP="00781C8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1915</w:t>
            </w:r>
          </w:p>
        </w:tc>
        <w:tc>
          <w:tcPr>
            <w:tcW w:w="1997" w:type="dxa"/>
            <w:shd w:val="clear" w:color="auto" w:fill="auto"/>
          </w:tcPr>
          <w:p w14:paraId="4450AAE9" w14:textId="77777777" w:rsidR="00781C89" w:rsidRDefault="00781C89" w:rsidP="00781C8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1200</w:t>
            </w:r>
          </w:p>
        </w:tc>
        <w:tc>
          <w:tcPr>
            <w:tcW w:w="1939" w:type="dxa"/>
            <w:shd w:val="clear" w:color="auto" w:fill="auto"/>
          </w:tcPr>
          <w:p w14:paraId="65B97DB7" w14:textId="77777777" w:rsidR="00781C89" w:rsidRDefault="00781C89" w:rsidP="00781C8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r>
      <w:tr w:rsidR="00781C89" w14:paraId="166BF1C0" w14:textId="77777777" w:rsidTr="00D17767">
        <w:trPr>
          <w:trHeight w:val="266"/>
        </w:trPr>
        <w:tc>
          <w:tcPr>
            <w:tcW w:w="1163" w:type="dxa"/>
            <w:shd w:val="clear" w:color="auto" w:fill="auto"/>
          </w:tcPr>
          <w:p w14:paraId="091E4B07" w14:textId="77777777" w:rsidR="00781C89" w:rsidRDefault="00781C89" w:rsidP="00781C8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1917</w:t>
            </w:r>
          </w:p>
        </w:tc>
        <w:tc>
          <w:tcPr>
            <w:tcW w:w="1997" w:type="dxa"/>
            <w:shd w:val="clear" w:color="auto" w:fill="auto"/>
          </w:tcPr>
          <w:p w14:paraId="6A31144C" w14:textId="77777777" w:rsidR="00781C89" w:rsidRDefault="00781C89" w:rsidP="00781C8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Sin datos</w:t>
            </w:r>
          </w:p>
        </w:tc>
        <w:tc>
          <w:tcPr>
            <w:tcW w:w="1939" w:type="dxa"/>
            <w:shd w:val="clear" w:color="auto" w:fill="auto"/>
          </w:tcPr>
          <w:p w14:paraId="77E48FC2" w14:textId="77777777" w:rsidR="00781C89" w:rsidRDefault="00781C89" w:rsidP="00781C8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148</w:t>
            </w:r>
          </w:p>
        </w:tc>
      </w:tr>
      <w:tr w:rsidR="00781C89" w14:paraId="61BA7BCD" w14:textId="77777777" w:rsidTr="00D17767">
        <w:trPr>
          <w:trHeight w:val="266"/>
        </w:trPr>
        <w:tc>
          <w:tcPr>
            <w:tcW w:w="1163" w:type="dxa"/>
            <w:shd w:val="clear" w:color="auto" w:fill="auto"/>
          </w:tcPr>
          <w:p w14:paraId="4626185C" w14:textId="77777777" w:rsidR="00781C89" w:rsidRDefault="00781C89" w:rsidP="00781C8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1918</w:t>
            </w:r>
          </w:p>
        </w:tc>
        <w:tc>
          <w:tcPr>
            <w:tcW w:w="1997" w:type="dxa"/>
            <w:shd w:val="clear" w:color="auto" w:fill="auto"/>
          </w:tcPr>
          <w:p w14:paraId="3E815172" w14:textId="77777777" w:rsidR="00781C89" w:rsidRDefault="00781C89" w:rsidP="00781C8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Sin datos</w:t>
            </w:r>
          </w:p>
        </w:tc>
        <w:tc>
          <w:tcPr>
            <w:tcW w:w="1939" w:type="dxa"/>
            <w:shd w:val="clear" w:color="auto" w:fill="auto"/>
          </w:tcPr>
          <w:p w14:paraId="021E5BF5" w14:textId="77777777" w:rsidR="00781C89" w:rsidRDefault="00781C89" w:rsidP="00781C8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r>
      <w:tr w:rsidR="00781C89" w14:paraId="713D09FC" w14:textId="77777777" w:rsidTr="00D17767">
        <w:trPr>
          <w:trHeight w:val="266"/>
        </w:trPr>
        <w:tc>
          <w:tcPr>
            <w:tcW w:w="1163" w:type="dxa"/>
            <w:shd w:val="clear" w:color="auto" w:fill="auto"/>
          </w:tcPr>
          <w:p w14:paraId="4A2C5159" w14:textId="77777777" w:rsidR="00781C89" w:rsidRDefault="00781C89" w:rsidP="00781C8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1919</w:t>
            </w:r>
          </w:p>
        </w:tc>
        <w:tc>
          <w:tcPr>
            <w:tcW w:w="1997" w:type="dxa"/>
            <w:shd w:val="clear" w:color="auto" w:fill="auto"/>
          </w:tcPr>
          <w:p w14:paraId="2139A710" w14:textId="77777777" w:rsidR="00781C89" w:rsidRDefault="00781C89" w:rsidP="00781C8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1600</w:t>
            </w:r>
          </w:p>
        </w:tc>
        <w:tc>
          <w:tcPr>
            <w:tcW w:w="1939" w:type="dxa"/>
            <w:shd w:val="clear" w:color="auto" w:fill="auto"/>
          </w:tcPr>
          <w:p w14:paraId="3BCAE196" w14:textId="77777777" w:rsidR="00781C89" w:rsidRDefault="00781C89" w:rsidP="00781C8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w:t>
            </w:r>
          </w:p>
        </w:tc>
      </w:tr>
    </w:tbl>
    <w:p w14:paraId="4DB50839" w14:textId="77777777" w:rsidR="00781C89" w:rsidRDefault="00781C89" w:rsidP="00781C89">
      <w:pPr>
        <w:spacing w:line="240" w:lineRule="auto"/>
        <w:ind w:left="-90" w:firstLine="810"/>
        <w:jc w:val="center"/>
        <w:rPr>
          <w:rFonts w:ascii="Times New Roman" w:eastAsia="Times New Roman" w:hAnsi="Times New Roman" w:cs="Times New Roman"/>
          <w:b/>
          <w:bCs/>
        </w:rPr>
      </w:pPr>
    </w:p>
    <w:p w14:paraId="35096054" w14:textId="77777777" w:rsidR="00781C89" w:rsidRDefault="00781C89" w:rsidP="00781C89">
      <w:pPr>
        <w:spacing w:line="240" w:lineRule="auto"/>
        <w:ind w:left="-90" w:firstLine="810"/>
        <w:jc w:val="center"/>
        <w:rPr>
          <w:rFonts w:ascii="Times New Roman" w:eastAsia="Times New Roman" w:hAnsi="Times New Roman" w:cs="Times New Roman"/>
          <w:b/>
          <w:bCs/>
        </w:rPr>
      </w:pPr>
    </w:p>
    <w:p w14:paraId="43C14664" w14:textId="77777777" w:rsidR="00781C89" w:rsidRDefault="00781C89" w:rsidP="00781C89">
      <w:pPr>
        <w:spacing w:line="240" w:lineRule="auto"/>
        <w:ind w:left="-90" w:firstLine="810"/>
        <w:jc w:val="center"/>
        <w:rPr>
          <w:rFonts w:ascii="Times New Roman" w:eastAsia="Times New Roman" w:hAnsi="Times New Roman" w:cs="Times New Roman"/>
          <w:b/>
          <w:bCs/>
        </w:rPr>
      </w:pPr>
    </w:p>
    <w:p w14:paraId="3D70D317" w14:textId="192508C0" w:rsidR="00E25612" w:rsidRDefault="00E25612" w:rsidP="00781C89">
      <w:pPr>
        <w:spacing w:after="240" w:line="240" w:lineRule="auto"/>
        <w:rPr>
          <w:rFonts w:ascii="Times New Roman" w:eastAsia="Times New Roman" w:hAnsi="Times New Roman" w:cs="Times New Roman"/>
          <w:sz w:val="20"/>
          <w:szCs w:val="20"/>
        </w:rPr>
      </w:pPr>
    </w:p>
    <w:p w14:paraId="3CCD5C6E" w14:textId="77777777" w:rsidR="00D17767" w:rsidRDefault="00D17767" w:rsidP="00781C89">
      <w:pPr>
        <w:spacing w:after="240" w:line="240" w:lineRule="auto"/>
        <w:rPr>
          <w:rFonts w:ascii="Times New Roman" w:eastAsia="Times New Roman" w:hAnsi="Times New Roman" w:cs="Times New Roman"/>
          <w:sz w:val="20"/>
          <w:szCs w:val="20"/>
        </w:rPr>
      </w:pPr>
    </w:p>
    <w:p w14:paraId="37210282" w14:textId="48B9A71D" w:rsidR="00781C89" w:rsidRPr="00D17767" w:rsidRDefault="00781C89" w:rsidP="00D17767">
      <w:pPr>
        <w:spacing w:after="0" w:line="240" w:lineRule="auto"/>
        <w:ind w:left="-9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Fuente: Elaboración propia a partir de datos procedentes de los diarios </w:t>
      </w:r>
      <w:r>
        <w:rPr>
          <w:rFonts w:ascii="Times New Roman" w:eastAsia="Times New Roman" w:hAnsi="Times New Roman" w:cs="Times New Roman"/>
          <w:i/>
          <w:iCs/>
          <w:sz w:val="20"/>
          <w:szCs w:val="20"/>
        </w:rPr>
        <w:t>El Radical</w:t>
      </w:r>
      <w:r>
        <w:rPr>
          <w:rFonts w:ascii="Times New Roman" w:eastAsia="Times New Roman" w:hAnsi="Times New Roman" w:cs="Times New Roman"/>
          <w:sz w:val="20"/>
          <w:szCs w:val="20"/>
        </w:rPr>
        <w:t xml:space="preserve"> y </w:t>
      </w:r>
      <w:r>
        <w:rPr>
          <w:rFonts w:ascii="Times New Roman" w:eastAsia="Times New Roman" w:hAnsi="Times New Roman" w:cs="Times New Roman"/>
          <w:i/>
          <w:iCs/>
          <w:sz w:val="20"/>
          <w:szCs w:val="20"/>
        </w:rPr>
        <w:t>La Época</w:t>
      </w:r>
    </w:p>
    <w:p w14:paraId="4E893C69" w14:textId="77777777" w:rsidR="00D17767" w:rsidRDefault="00D17767" w:rsidP="0009452B">
      <w:pPr>
        <w:spacing w:after="0" w:line="240" w:lineRule="auto"/>
        <w:jc w:val="both"/>
        <w:rPr>
          <w:rFonts w:ascii="Times New Roman" w:eastAsia="Times New Roman" w:hAnsi="Times New Roman" w:cs="Times New Roman"/>
        </w:rPr>
      </w:pPr>
    </w:p>
    <w:p w14:paraId="3BEDE1B3" w14:textId="2D5FC805" w:rsidR="00781C89" w:rsidRDefault="00781C89" w:rsidP="0009452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diferencia entre las cifras generales de afiliación y los números anuales de trayectorias, que se observa en la tabla, puede deberse a un posible incremento (con fines propagandísticos propios de la prensa partidaria) de esas cifras oficiales. Pero también puede explicarse que la proporción minoritaria de los números de la segunda columna responda al protagonismo y al carácter dirigencial de los cuadros contabilizados, lo cual nos ha permitido justamente acceder a su identificación. Este mapeo (aún en proceso y por ende incompleto) arroja un total de 267 militantes universitarios vinculados efectivamente a la UCR, en tanto que se trata no solamente de casos con nombre y apellido, sino que además se los registra por el ejercicio de alguna función (como oradores, comisarios en manifestaciones públicas, representantes de la juventud universitaria en una misión o viaje) o cargo dentro del partido, del CUR o bien dentro de la universidad (como miembros de las comisiones empadronadoras en las respectivas facultades). No obstante, varios casos proceden de menciones que aparecen de forma única, probablemente a raíz de un recambio en las posiciones de dirigencia; de un alejamiento de la política o bien por problemas heurísticos en el relevamiento.</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 xml:space="preserve"> En </w:t>
      </w:r>
      <w:r>
        <w:rPr>
          <w:rFonts w:ascii="Times New Roman" w:eastAsia="Times New Roman" w:hAnsi="Times New Roman" w:cs="Times New Roman"/>
        </w:rPr>
        <w:lastRenderedPageBreak/>
        <w:t xml:space="preserve">contraste, otros itinerarios se destacan por una actuación prolífica y sostenida, lo cual habilita el seguimiento y reconstrucción de carreras políticas con distintas posiciones dentro de las líneas de jerarquía partidaria, de la militancia estudiantil o del campo universitario en general. </w:t>
      </w:r>
    </w:p>
    <w:p w14:paraId="2FF85A5C" w14:textId="77777777" w:rsidR="00781C89" w:rsidRDefault="00781C89" w:rsidP="00E25612">
      <w:pPr>
        <w:spacing w:line="240" w:lineRule="auto"/>
        <w:ind w:firstLine="810"/>
        <w:jc w:val="both"/>
        <w:rPr>
          <w:rFonts w:ascii="Times New Roman" w:eastAsia="Times New Roman" w:hAnsi="Times New Roman" w:cs="Times New Roman"/>
        </w:rPr>
      </w:pPr>
      <w:r>
        <w:rPr>
          <w:rFonts w:ascii="Times New Roman" w:eastAsia="Times New Roman" w:hAnsi="Times New Roman" w:cs="Times New Roman"/>
        </w:rPr>
        <w:t xml:space="preserve">Producto de este relevamiento aún en proceso, en segundo lugar, la ponencia avanza en el análisis de un corpus provisorio de trayectorias, compuesto de esos itinerarios más estables, los cuales se comparan y relacionan no obstante con los demás casos identificados. De modo específico seguiremos los pasos de una camada de integrantes que se destacaron en el CUR y/o en la JURI. Esta camada (que integra las trayectorias de Diego Luis Molinari, Silvio </w:t>
      </w:r>
      <w:proofErr w:type="spellStart"/>
      <w:r>
        <w:rPr>
          <w:rFonts w:ascii="Times New Roman" w:eastAsia="Times New Roman" w:hAnsi="Times New Roman" w:cs="Times New Roman"/>
        </w:rPr>
        <w:t>Bonardi</w:t>
      </w:r>
      <w:proofErr w:type="spellEnd"/>
      <w:r>
        <w:rPr>
          <w:rFonts w:ascii="Times New Roman" w:eastAsia="Times New Roman" w:hAnsi="Times New Roman" w:cs="Times New Roman"/>
        </w:rPr>
        <w:t xml:space="preserve">, Mario Jurado, Eduardo Araujo, Francisco </w:t>
      </w:r>
      <w:proofErr w:type="spellStart"/>
      <w:r>
        <w:rPr>
          <w:rFonts w:ascii="Times New Roman" w:eastAsia="Times New Roman" w:hAnsi="Times New Roman" w:cs="Times New Roman"/>
        </w:rPr>
        <w:t>Saa</w:t>
      </w:r>
      <w:proofErr w:type="spellEnd"/>
      <w:r>
        <w:rPr>
          <w:rFonts w:ascii="Times New Roman" w:eastAsia="Times New Roman" w:hAnsi="Times New Roman" w:cs="Times New Roman"/>
        </w:rPr>
        <w:t>, entre otros casos) si bien resulta acotada en relación con el corpus más amplio que identificamos y sesgada por el perfil profesional de sus integrantes (estudiantes y graduados de abogacía) permite advertir de modo específico la incidencia de determinados saberes y capitales académicos al servicio del partido y</w:t>
      </w:r>
      <w:r w:rsidRPr="008A4566">
        <w:t xml:space="preserve"> </w:t>
      </w:r>
      <w:r>
        <w:rPr>
          <w:rFonts w:ascii="Times New Roman" w:eastAsia="Times New Roman" w:hAnsi="Times New Roman" w:cs="Times New Roman"/>
        </w:rPr>
        <w:t xml:space="preserve"> contrastar a futuro con el papel de otras formaciones disciplinares. </w:t>
      </w:r>
    </w:p>
    <w:p w14:paraId="6FCE46C4" w14:textId="77777777" w:rsidR="00781C89" w:rsidRDefault="00781C89" w:rsidP="00781C89">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Prácticas y espacios en común: entre la universidad, la sociabilidad asociativa y las lógicas del comité</w:t>
      </w:r>
    </w:p>
    <w:p w14:paraId="577DC77C" w14:textId="77777777" w:rsidR="00781C89" w:rsidRDefault="00781C89" w:rsidP="00E2561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Entre otras dimensiones posibles, el estudio de los vínculos y espacios de sociabilidad, por un lado, y el peso de los capitales y saberes universitarios al servicio de la política, por el otro, nos permitirán advertir la porosidad de instancias y prácticas que comunicaba a la universidad con los partidos y la variedad de funciones que ejercían los universitarios dentro del espacio político en proceso de profesionalización.</w:t>
      </w:r>
    </w:p>
    <w:p w14:paraId="0F5ACAAC" w14:textId="77777777" w:rsidR="00781C89" w:rsidRDefault="00781C89" w:rsidP="00E25612">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En relación con la primera dimensión, los casos seleccionados revelan una continuidad en la función de la universidad como espacio de sociabilidad para el ejercicio de la política. Como se desprende de investigaciones que han analizado trayectorias de políticos formados a finales del siglo XIX e inicios del XX, la función de antesala de la universidad no solo implicaba un espacio de vinculación para el posterior acceso a un partido, sino que proveía oportunidades más o menos formales de capacitación para el ejercicio político, por ejemplo en habilidades como la oratoria o en el desempeño en cargos de representación, como los que se disputaban desde los centros y agrupaciones estudiantiles.</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 xml:space="preserve"> La militancia en el reformismo multiplicó, como es sabido, estos espacios para orientarlos al tipo de intervención política que (a través de revistas, ateneos y agrupaciones no partidarias) caracterizó a este movimiento. Sin embargo, las redes que comunican a estos espacios asociativos, tanto gremiales como reformistas, con el radicalismo no resultan en cambio tan conocidas.</w:t>
      </w:r>
    </w:p>
    <w:p w14:paraId="291DEE2B" w14:textId="77777777" w:rsidR="00781C89" w:rsidRDefault="00781C89" w:rsidP="00781C89">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Las trayectorias de Diego Luis Molinari, Silvio </w:t>
      </w:r>
      <w:proofErr w:type="spellStart"/>
      <w:r>
        <w:rPr>
          <w:rFonts w:ascii="Times New Roman" w:eastAsia="Times New Roman" w:hAnsi="Times New Roman" w:cs="Times New Roman"/>
        </w:rPr>
        <w:t>Bonardi</w:t>
      </w:r>
      <w:proofErr w:type="spellEnd"/>
      <w:r>
        <w:rPr>
          <w:rFonts w:ascii="Times New Roman" w:eastAsia="Times New Roman" w:hAnsi="Times New Roman" w:cs="Times New Roman"/>
        </w:rPr>
        <w:t xml:space="preserve">, Mario Jurado, Eduardo Araujo y Francisco </w:t>
      </w:r>
      <w:proofErr w:type="spellStart"/>
      <w:r>
        <w:rPr>
          <w:rFonts w:ascii="Times New Roman" w:eastAsia="Times New Roman" w:hAnsi="Times New Roman" w:cs="Times New Roman"/>
        </w:rPr>
        <w:t>Saa</w:t>
      </w:r>
      <w:proofErr w:type="spellEnd"/>
      <w:r>
        <w:rPr>
          <w:rFonts w:ascii="Times New Roman" w:eastAsia="Times New Roman" w:hAnsi="Times New Roman" w:cs="Times New Roman"/>
        </w:rPr>
        <w:t xml:space="preserve"> permiten ilustrar esa continuidad en la relación política -universidad y las vinculaciones que, en los primeros años de la Reforma, acercaron a un </w:t>
      </w:r>
      <w:r>
        <w:rPr>
          <w:rFonts w:ascii="Times New Roman" w:eastAsia="Times New Roman" w:hAnsi="Times New Roman" w:cs="Times New Roman"/>
        </w:rPr>
        <w:lastRenderedPageBreak/>
        <w:t>sector del estudiantado de derecho con el radicalismo. Para ello las memorias de Eduardo Araujo nos ayudan a identificar una trama social, intelectual y política que se desarrolló tras su ingreso a la Facultad de Derecho en 1916, luego de graduarse en el Colegio Británico y de haber partido previamente de su hogar en la localidad correntina de Curuzú Cuatiá. Al comenzar sus cursos, se contactó con su comprovinciano Eduardo Madariaga, quien, según nuestros registros, había iniciado su carrera de abogacía en 1913, a la edad de 20 años, y figuraba simultáneamente entre los miembros más activos del CUR.</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 xml:space="preserve"> Producto quizá de la militancia en ese espacio, Madariaga le presentó a Diego Luis Molinari, uno de los miembros fundadores de esa entidad y a su vez profesor de la Facultad de Filosofía y Letras e integrante de su gabinete de historia (Araujo, 1988:72), en paralelo a su carrera rezagada en abogacía.</w:t>
      </w:r>
      <w:r>
        <w:rPr>
          <w:rFonts w:ascii="Times New Roman" w:eastAsia="Times New Roman" w:hAnsi="Times New Roman" w:cs="Times New Roman"/>
          <w:vertAlign w:val="superscript"/>
        </w:rPr>
        <w:footnoteReference w:id="5"/>
      </w:r>
      <w:r>
        <w:rPr>
          <w:rFonts w:ascii="Times New Roman" w:eastAsia="Times New Roman" w:hAnsi="Times New Roman" w:cs="Times New Roman"/>
        </w:rPr>
        <w:t xml:space="preserve"> A partir de esas vinculaciones y de los estudios simultáneos que emprendió en ambas facultades, Araujo comenzó su carrera estudiantil, con una dedicación académica destacada (por la que obtuvo una medalla de oro al graduarse en abogacía) que no le impidió destacarse paralelamente en su actuación gremial e intelectual a través de varios cargos en distintos espacios. Tal como se observa en la siguiente tabla, esa actividad se desarrolló con la participación de varios estudiantes-correligionarios que ya militaban en la causa radical.</w:t>
      </w:r>
    </w:p>
    <w:p w14:paraId="098CB473" w14:textId="77777777" w:rsidR="00781C89" w:rsidRDefault="00781C89" w:rsidP="00781C89">
      <w:pPr>
        <w:jc w:val="center"/>
        <w:rPr>
          <w:rFonts w:ascii="Times New Roman" w:eastAsia="Times New Roman" w:hAnsi="Times New Roman" w:cs="Times New Roman"/>
          <w:b/>
          <w:bCs/>
        </w:rPr>
      </w:pPr>
      <w:r>
        <w:rPr>
          <w:rFonts w:ascii="Times New Roman" w:eastAsia="Times New Roman" w:hAnsi="Times New Roman" w:cs="Times New Roman"/>
          <w:b/>
          <w:bCs/>
        </w:rPr>
        <w:t>Tabla 2: Red estudiantil radical de la Facultad de Derecho</w:t>
      </w:r>
    </w:p>
    <w:tbl>
      <w:tblPr>
        <w:tblpPr w:leftFromText="180" w:rightFromText="180" w:vertAnchor="page" w:horzAnchor="margin" w:tblpY="8911"/>
        <w:tblW w:w="901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776"/>
        <w:gridCol w:w="1016"/>
        <w:gridCol w:w="2153"/>
        <w:gridCol w:w="2160"/>
        <w:gridCol w:w="1914"/>
      </w:tblGrid>
      <w:tr w:rsidR="00E25612" w14:paraId="27041EF7" w14:textId="77777777" w:rsidTr="00E25612">
        <w:tc>
          <w:tcPr>
            <w:tcW w:w="1776" w:type="dxa"/>
          </w:tcPr>
          <w:p w14:paraId="2C92A4AB" w14:textId="77777777" w:rsidR="00E25612" w:rsidRDefault="00E25612" w:rsidP="00E25612">
            <w:pPr>
              <w:spacing w:after="0" w:line="240" w:lineRule="auto"/>
              <w:jc w:val="both"/>
              <w:rPr>
                <w:rFonts w:ascii="Times New Roman" w:eastAsia="Times New Roman" w:hAnsi="Times New Roman" w:cs="Times New Roman"/>
              </w:rPr>
            </w:pPr>
          </w:p>
        </w:tc>
        <w:tc>
          <w:tcPr>
            <w:tcW w:w="1016" w:type="dxa"/>
          </w:tcPr>
          <w:p w14:paraId="10C3FB62" w14:textId="77777777" w:rsidR="00E25612" w:rsidRDefault="00E25612" w:rsidP="00E25612">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Abogacía </w:t>
            </w:r>
          </w:p>
          <w:p w14:paraId="498F881D" w14:textId="77777777" w:rsidR="00E25612" w:rsidRDefault="00E25612" w:rsidP="00E25612">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Años de ingreso y egreso</w:t>
            </w:r>
          </w:p>
        </w:tc>
        <w:tc>
          <w:tcPr>
            <w:tcW w:w="2153" w:type="dxa"/>
          </w:tcPr>
          <w:p w14:paraId="22658C24" w14:textId="77777777" w:rsidR="00E25612" w:rsidRDefault="00E25612" w:rsidP="00E2561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Cargos en el Centro de Estudiantes de Derecho (CED) y Federaciones Universitarias</w:t>
            </w:r>
          </w:p>
        </w:tc>
        <w:tc>
          <w:tcPr>
            <w:tcW w:w="2160" w:type="dxa"/>
          </w:tcPr>
          <w:p w14:paraId="2CBDFF1F" w14:textId="77777777" w:rsidR="00E25612" w:rsidRDefault="00E25612" w:rsidP="00E25612">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Participación revistas y agrupaciones</w:t>
            </w:r>
          </w:p>
        </w:tc>
        <w:tc>
          <w:tcPr>
            <w:tcW w:w="1914" w:type="dxa"/>
          </w:tcPr>
          <w:p w14:paraId="0FF10B07" w14:textId="77777777" w:rsidR="00E25612" w:rsidRDefault="00E25612" w:rsidP="00E25612">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Carrera política</w:t>
            </w:r>
          </w:p>
          <w:p w14:paraId="2D40B8F3" w14:textId="77777777" w:rsidR="00E25612" w:rsidRDefault="00E25612" w:rsidP="00E25612">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UCR</w:t>
            </w:r>
          </w:p>
        </w:tc>
      </w:tr>
      <w:tr w:rsidR="00E25612" w14:paraId="1D16FD01" w14:textId="77777777" w:rsidTr="00E25612">
        <w:tc>
          <w:tcPr>
            <w:tcW w:w="1776" w:type="dxa"/>
          </w:tcPr>
          <w:p w14:paraId="6424B7A7" w14:textId="77777777" w:rsidR="00E25612" w:rsidRDefault="00E25612" w:rsidP="00E25612">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Diego Luis Molinari</w:t>
            </w:r>
          </w:p>
        </w:tc>
        <w:tc>
          <w:tcPr>
            <w:tcW w:w="1016" w:type="dxa"/>
          </w:tcPr>
          <w:p w14:paraId="6FA67E45" w14:textId="77777777" w:rsidR="00E25612" w:rsidRDefault="00E25612" w:rsidP="00E25612">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1908-1929</w:t>
            </w:r>
          </w:p>
        </w:tc>
        <w:tc>
          <w:tcPr>
            <w:tcW w:w="2153" w:type="dxa"/>
          </w:tcPr>
          <w:p w14:paraId="61471FE4" w14:textId="77777777" w:rsidR="00E25612" w:rsidRDefault="00E25612" w:rsidP="00E25612">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Delegado de la FUBA en Congreso Internacional de Estudiantes (</w:t>
            </w:r>
            <w:proofErr w:type="spellStart"/>
            <w:r>
              <w:rPr>
                <w:rFonts w:ascii="Times New Roman" w:eastAsia="Times New Roman" w:hAnsi="Times New Roman" w:cs="Times New Roman"/>
                <w:sz w:val="16"/>
                <w:szCs w:val="16"/>
              </w:rPr>
              <w:t>Ithaca</w:t>
            </w:r>
            <w:proofErr w:type="spellEnd"/>
            <w:r>
              <w:rPr>
                <w:rFonts w:ascii="Times New Roman" w:eastAsia="Times New Roman" w:hAnsi="Times New Roman" w:cs="Times New Roman"/>
                <w:sz w:val="16"/>
                <w:szCs w:val="16"/>
              </w:rPr>
              <w:t xml:space="preserve">, EUA) 1913 </w:t>
            </w:r>
          </w:p>
        </w:tc>
        <w:tc>
          <w:tcPr>
            <w:tcW w:w="2160" w:type="dxa"/>
          </w:tcPr>
          <w:p w14:paraId="009F4D5E" w14:textId="77777777" w:rsidR="00E25612" w:rsidRDefault="00E25612" w:rsidP="00E25612">
            <w:pPr>
              <w:spacing w:after="0" w:line="240" w:lineRule="auto"/>
              <w:jc w:val="center"/>
              <w:rPr>
                <w:rFonts w:ascii="Times New Roman" w:eastAsia="Times New Roman" w:hAnsi="Times New Roman" w:cs="Times New Roman"/>
                <w:sz w:val="16"/>
                <w:szCs w:val="16"/>
              </w:rPr>
            </w:pPr>
          </w:p>
        </w:tc>
        <w:tc>
          <w:tcPr>
            <w:tcW w:w="1914" w:type="dxa"/>
          </w:tcPr>
          <w:p w14:paraId="7A67B2F6"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1915: CUR (Pte. </w:t>
            </w:r>
            <w:proofErr w:type="spellStart"/>
            <w:r>
              <w:rPr>
                <w:rFonts w:ascii="Times New Roman" w:eastAsia="Times New Roman" w:hAnsi="Times New Roman" w:cs="Times New Roman"/>
                <w:sz w:val="14"/>
                <w:szCs w:val="14"/>
              </w:rPr>
              <w:t>a.i</w:t>
            </w:r>
            <w:proofErr w:type="spellEnd"/>
            <w:r>
              <w:rPr>
                <w:rFonts w:ascii="Times New Roman" w:eastAsia="Times New Roman" w:hAnsi="Times New Roman" w:cs="Times New Roman"/>
                <w:sz w:val="14"/>
                <w:szCs w:val="14"/>
              </w:rPr>
              <w:t>)</w:t>
            </w:r>
          </w:p>
          <w:p w14:paraId="774980D3"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1916: Subsecretario de RREE</w:t>
            </w:r>
          </w:p>
          <w:p w14:paraId="59E014F6"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1923: JURI</w:t>
            </w:r>
          </w:p>
          <w:p w14:paraId="04911A61"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1924: Diputado </w:t>
            </w:r>
          </w:p>
          <w:p w14:paraId="4DADBC20"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1928: Senador</w:t>
            </w:r>
          </w:p>
        </w:tc>
      </w:tr>
      <w:tr w:rsidR="00E25612" w14:paraId="49DC5BBB" w14:textId="77777777" w:rsidTr="00E25612">
        <w:tc>
          <w:tcPr>
            <w:tcW w:w="1776" w:type="dxa"/>
          </w:tcPr>
          <w:p w14:paraId="15F4DFFD" w14:textId="77777777" w:rsidR="00E25612" w:rsidRDefault="00E25612" w:rsidP="00E25612">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Eduardo Madariaga</w:t>
            </w:r>
          </w:p>
        </w:tc>
        <w:tc>
          <w:tcPr>
            <w:tcW w:w="1016" w:type="dxa"/>
          </w:tcPr>
          <w:p w14:paraId="6E41B178" w14:textId="77777777" w:rsidR="00E25612" w:rsidRDefault="00E25612" w:rsidP="00E25612">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1913-1918</w:t>
            </w:r>
          </w:p>
        </w:tc>
        <w:tc>
          <w:tcPr>
            <w:tcW w:w="2153" w:type="dxa"/>
          </w:tcPr>
          <w:p w14:paraId="69422A26" w14:textId="77777777" w:rsidR="00E25612" w:rsidRDefault="00E25612" w:rsidP="00E25612">
            <w:pPr>
              <w:spacing w:after="0" w:line="240" w:lineRule="auto"/>
              <w:jc w:val="center"/>
              <w:rPr>
                <w:rFonts w:ascii="Times New Roman" w:eastAsia="Times New Roman" w:hAnsi="Times New Roman" w:cs="Times New Roman"/>
                <w:sz w:val="16"/>
                <w:szCs w:val="16"/>
              </w:rPr>
            </w:pPr>
          </w:p>
        </w:tc>
        <w:tc>
          <w:tcPr>
            <w:tcW w:w="2160" w:type="dxa"/>
          </w:tcPr>
          <w:p w14:paraId="2A57E0D4" w14:textId="77777777" w:rsidR="00E25612" w:rsidRDefault="00E25612" w:rsidP="00E25612">
            <w:pPr>
              <w:spacing w:after="0" w:line="240" w:lineRule="auto"/>
              <w:jc w:val="center"/>
              <w:rPr>
                <w:rFonts w:ascii="Times New Roman" w:eastAsia="Times New Roman" w:hAnsi="Times New Roman" w:cs="Times New Roman"/>
                <w:sz w:val="16"/>
                <w:szCs w:val="16"/>
              </w:rPr>
            </w:pPr>
          </w:p>
        </w:tc>
        <w:tc>
          <w:tcPr>
            <w:tcW w:w="1914" w:type="dxa"/>
          </w:tcPr>
          <w:p w14:paraId="0858E382"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Orador desde 1917</w:t>
            </w:r>
          </w:p>
          <w:p w14:paraId="551CB86F"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1917: miembro de la Comisión reorganizadora y Pte. del CUR</w:t>
            </w:r>
          </w:p>
        </w:tc>
      </w:tr>
      <w:tr w:rsidR="00E25612" w14:paraId="05F25C40" w14:textId="77777777" w:rsidTr="00E25612">
        <w:tc>
          <w:tcPr>
            <w:tcW w:w="1776" w:type="dxa"/>
          </w:tcPr>
          <w:p w14:paraId="25B7F3DF" w14:textId="77777777" w:rsidR="00E25612" w:rsidRDefault="00E25612" w:rsidP="00E25612">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Eduardo Araujo</w:t>
            </w:r>
          </w:p>
        </w:tc>
        <w:tc>
          <w:tcPr>
            <w:tcW w:w="1016" w:type="dxa"/>
          </w:tcPr>
          <w:p w14:paraId="1D136ACF" w14:textId="77777777" w:rsidR="00E25612" w:rsidRDefault="00E25612" w:rsidP="00E25612">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1916-1923</w:t>
            </w:r>
          </w:p>
        </w:tc>
        <w:tc>
          <w:tcPr>
            <w:tcW w:w="2153" w:type="dxa"/>
          </w:tcPr>
          <w:p w14:paraId="0CF554E7" w14:textId="77777777" w:rsidR="00E25612" w:rsidRDefault="00E25612" w:rsidP="00E25612">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CED: delegado de 1er año (1917) y Pte. (1920) agrupación Unión Universitaria</w:t>
            </w:r>
          </w:p>
          <w:p w14:paraId="3AC6E342" w14:textId="77777777" w:rsidR="00E25612" w:rsidRDefault="00E25612" w:rsidP="00E25612">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FUBA, delegado (1920)</w:t>
            </w:r>
          </w:p>
          <w:p w14:paraId="7B091D6F" w14:textId="77777777" w:rsidR="00E25612" w:rsidRDefault="00E25612" w:rsidP="00E25612">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FUA, Pte. 1921</w:t>
            </w:r>
          </w:p>
          <w:p w14:paraId="27BB2FF3" w14:textId="77777777" w:rsidR="00E25612" w:rsidRDefault="00E25612" w:rsidP="00E25612">
            <w:pPr>
              <w:spacing w:after="0" w:line="240" w:lineRule="auto"/>
              <w:jc w:val="center"/>
              <w:rPr>
                <w:rFonts w:ascii="Times New Roman" w:eastAsia="Times New Roman" w:hAnsi="Times New Roman" w:cs="Times New Roman"/>
                <w:sz w:val="16"/>
                <w:szCs w:val="16"/>
              </w:rPr>
            </w:pPr>
          </w:p>
        </w:tc>
        <w:tc>
          <w:tcPr>
            <w:tcW w:w="2160" w:type="dxa"/>
          </w:tcPr>
          <w:p w14:paraId="532B443C" w14:textId="77777777" w:rsidR="00E25612" w:rsidRDefault="00E25612" w:rsidP="00E25612">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Pte. de la Asociación Nacionalista (1917)</w:t>
            </w:r>
          </w:p>
          <w:p w14:paraId="3DE58C29" w14:textId="77777777" w:rsidR="00E25612" w:rsidRDefault="00E25612" w:rsidP="00E25612">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i/>
                <w:iCs/>
                <w:sz w:val="16"/>
                <w:szCs w:val="16"/>
              </w:rPr>
              <w:t>Revista Nacional</w:t>
            </w:r>
            <w:r>
              <w:rPr>
                <w:rFonts w:ascii="Times New Roman" w:eastAsia="Times New Roman" w:hAnsi="Times New Roman" w:cs="Times New Roman"/>
                <w:sz w:val="16"/>
                <w:szCs w:val="16"/>
              </w:rPr>
              <w:t xml:space="preserve"> (1918, colaborador, 1919-20, director, junto con Jurado)</w:t>
            </w:r>
          </w:p>
          <w:p w14:paraId="2A3EDCFC" w14:textId="77777777" w:rsidR="00E25612" w:rsidRDefault="00E25612" w:rsidP="00E25612">
            <w:pPr>
              <w:spacing w:after="0" w:line="240" w:lineRule="auto"/>
              <w:jc w:val="center"/>
              <w:rPr>
                <w:rFonts w:ascii="Times New Roman" w:eastAsia="Times New Roman" w:hAnsi="Times New Roman" w:cs="Times New Roman"/>
                <w:sz w:val="16"/>
                <w:szCs w:val="16"/>
              </w:rPr>
            </w:pPr>
          </w:p>
        </w:tc>
        <w:tc>
          <w:tcPr>
            <w:tcW w:w="1914" w:type="dxa"/>
          </w:tcPr>
          <w:p w14:paraId="48B06C17"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1923: JURI</w:t>
            </w:r>
          </w:p>
          <w:p w14:paraId="332F7F34"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1924 y 1926: Pte. Comité UCR de Balvanera Sur</w:t>
            </w:r>
          </w:p>
          <w:p w14:paraId="402FC75B"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1926: Oficial Mayor Ministerio de Hacienda </w:t>
            </w:r>
            <w:proofErr w:type="spellStart"/>
            <w:r>
              <w:rPr>
                <w:rFonts w:ascii="Times New Roman" w:eastAsia="Times New Roman" w:hAnsi="Times New Roman" w:cs="Times New Roman"/>
                <w:sz w:val="14"/>
                <w:szCs w:val="14"/>
              </w:rPr>
              <w:t>Pcia</w:t>
            </w:r>
            <w:proofErr w:type="spellEnd"/>
            <w:r>
              <w:rPr>
                <w:rFonts w:ascii="Times New Roman" w:eastAsia="Times New Roman" w:hAnsi="Times New Roman" w:cs="Times New Roman"/>
                <w:sz w:val="14"/>
                <w:szCs w:val="14"/>
              </w:rPr>
              <w:t xml:space="preserve"> Bs. As.</w:t>
            </w:r>
          </w:p>
          <w:p w14:paraId="03FFC342" w14:textId="77777777" w:rsidR="00E25612" w:rsidRDefault="00E25612" w:rsidP="00E25612">
            <w:pPr>
              <w:spacing w:after="0" w:line="240" w:lineRule="auto"/>
              <w:rPr>
                <w:rFonts w:ascii="Times New Roman" w:eastAsia="Times New Roman" w:hAnsi="Times New Roman" w:cs="Times New Roman"/>
                <w:sz w:val="14"/>
                <w:szCs w:val="14"/>
              </w:rPr>
            </w:pPr>
          </w:p>
        </w:tc>
      </w:tr>
      <w:tr w:rsidR="00E25612" w14:paraId="385434D0" w14:textId="77777777" w:rsidTr="00E25612">
        <w:tc>
          <w:tcPr>
            <w:tcW w:w="1776" w:type="dxa"/>
          </w:tcPr>
          <w:p w14:paraId="3DC9A93D" w14:textId="77777777" w:rsidR="00E25612" w:rsidRDefault="00E25612" w:rsidP="00E25612">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Mario Jurado</w:t>
            </w:r>
          </w:p>
        </w:tc>
        <w:tc>
          <w:tcPr>
            <w:tcW w:w="1016" w:type="dxa"/>
          </w:tcPr>
          <w:p w14:paraId="7C6E6684" w14:textId="77777777" w:rsidR="00E25612" w:rsidRDefault="00E25612" w:rsidP="00E25612">
            <w:pPr>
              <w:spacing w:after="0" w:line="240" w:lineRule="auto"/>
              <w:jc w:val="center"/>
              <w:rPr>
                <w:rFonts w:ascii="Times New Roman" w:eastAsia="Times New Roman" w:hAnsi="Times New Roman" w:cs="Times New Roman"/>
                <w:sz w:val="16"/>
                <w:szCs w:val="16"/>
              </w:rPr>
            </w:pPr>
          </w:p>
        </w:tc>
        <w:tc>
          <w:tcPr>
            <w:tcW w:w="2153" w:type="dxa"/>
          </w:tcPr>
          <w:p w14:paraId="325FE298" w14:textId="77777777" w:rsidR="00E25612" w:rsidRDefault="00E25612" w:rsidP="00E25612">
            <w:pPr>
              <w:spacing w:after="0" w:line="240" w:lineRule="auto"/>
              <w:jc w:val="both"/>
              <w:rPr>
                <w:rFonts w:ascii="Times New Roman" w:eastAsia="Times New Roman" w:hAnsi="Times New Roman" w:cs="Times New Roman"/>
                <w:sz w:val="16"/>
                <w:szCs w:val="16"/>
              </w:rPr>
            </w:pPr>
          </w:p>
        </w:tc>
        <w:tc>
          <w:tcPr>
            <w:tcW w:w="2160" w:type="dxa"/>
          </w:tcPr>
          <w:p w14:paraId="2384B8D0" w14:textId="77777777" w:rsidR="00E25612" w:rsidRDefault="00E25612" w:rsidP="00E25612">
            <w:pPr>
              <w:spacing w:after="0" w:line="240" w:lineRule="auto"/>
              <w:jc w:val="both"/>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Revista Nacional </w:t>
            </w:r>
            <w:r>
              <w:rPr>
                <w:rFonts w:ascii="Times New Roman" w:eastAsia="Times New Roman" w:hAnsi="Times New Roman" w:cs="Times New Roman"/>
                <w:sz w:val="16"/>
                <w:szCs w:val="16"/>
              </w:rPr>
              <w:t>(1918-1920, director)</w:t>
            </w:r>
          </w:p>
        </w:tc>
        <w:tc>
          <w:tcPr>
            <w:tcW w:w="1914" w:type="dxa"/>
          </w:tcPr>
          <w:p w14:paraId="35B2C400"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CUR (desde 1919 orador, delegado a la junta central, 1922 presidente del Comité Universitario Nacional)</w:t>
            </w:r>
          </w:p>
          <w:p w14:paraId="261615EF" w14:textId="77777777" w:rsidR="00E25612" w:rsidRDefault="00E25612" w:rsidP="00E25612">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4"/>
                <w:szCs w:val="14"/>
              </w:rPr>
              <w:t>1923: JURI</w:t>
            </w:r>
          </w:p>
        </w:tc>
      </w:tr>
      <w:tr w:rsidR="00E25612" w14:paraId="0E3D2103" w14:textId="77777777" w:rsidTr="00E25612">
        <w:tc>
          <w:tcPr>
            <w:tcW w:w="1776" w:type="dxa"/>
          </w:tcPr>
          <w:p w14:paraId="117AD1E1" w14:textId="77777777" w:rsidR="00E25612" w:rsidRDefault="00E25612" w:rsidP="00E25612">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 xml:space="preserve">Silvio </w:t>
            </w:r>
            <w:proofErr w:type="spellStart"/>
            <w:r>
              <w:rPr>
                <w:rFonts w:ascii="Times New Roman" w:eastAsia="Times New Roman" w:hAnsi="Times New Roman" w:cs="Times New Roman"/>
                <w:b/>
                <w:bCs/>
                <w:sz w:val="20"/>
                <w:szCs w:val="20"/>
              </w:rPr>
              <w:t>Bonardi</w:t>
            </w:r>
            <w:proofErr w:type="spellEnd"/>
          </w:p>
        </w:tc>
        <w:tc>
          <w:tcPr>
            <w:tcW w:w="1016" w:type="dxa"/>
          </w:tcPr>
          <w:p w14:paraId="2FD24EB3" w14:textId="77777777" w:rsidR="00E25612" w:rsidRDefault="00E25612" w:rsidP="00E25612">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1916-1922</w:t>
            </w:r>
          </w:p>
        </w:tc>
        <w:tc>
          <w:tcPr>
            <w:tcW w:w="2153" w:type="dxa"/>
          </w:tcPr>
          <w:p w14:paraId="3221F814" w14:textId="77777777" w:rsidR="00E25612" w:rsidRDefault="00E25612" w:rsidP="00E2561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CED: Tesorero (1920), agrupación Unión Universitaria</w:t>
            </w:r>
          </w:p>
        </w:tc>
        <w:tc>
          <w:tcPr>
            <w:tcW w:w="2160" w:type="dxa"/>
          </w:tcPr>
          <w:p w14:paraId="5C36E2F1"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Federación de Estudiantes Mutualistas (1917)</w:t>
            </w:r>
          </w:p>
          <w:p w14:paraId="40AD22EC"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Comité universitario pro neutralidad (1917)</w:t>
            </w:r>
          </w:p>
          <w:p w14:paraId="4D219CBD"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Comité neutralista Dr. Alfredo Colmo (1917).</w:t>
            </w:r>
          </w:p>
          <w:p w14:paraId="1D86D2CF"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Asociación Nacional de Bachilleres, vice Pte. (1920)</w:t>
            </w:r>
          </w:p>
        </w:tc>
        <w:tc>
          <w:tcPr>
            <w:tcW w:w="1914" w:type="dxa"/>
          </w:tcPr>
          <w:p w14:paraId="58520200"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CUR (Desde 1917 varios cargos y funciones).</w:t>
            </w:r>
          </w:p>
          <w:p w14:paraId="5D2399AF"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1923: JURI</w:t>
            </w:r>
          </w:p>
          <w:p w14:paraId="39CBA6B1"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1924: Apoderado de la UCR</w:t>
            </w:r>
          </w:p>
          <w:p w14:paraId="54C69F27"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1925: </w:t>
            </w:r>
            <w:proofErr w:type="gramStart"/>
            <w:r>
              <w:rPr>
                <w:rFonts w:ascii="Times New Roman" w:eastAsia="Times New Roman" w:hAnsi="Times New Roman" w:cs="Times New Roman"/>
                <w:sz w:val="14"/>
                <w:szCs w:val="14"/>
              </w:rPr>
              <w:t>Secretario</w:t>
            </w:r>
            <w:proofErr w:type="gramEnd"/>
            <w:r>
              <w:rPr>
                <w:rFonts w:ascii="Times New Roman" w:eastAsia="Times New Roman" w:hAnsi="Times New Roman" w:cs="Times New Roman"/>
                <w:sz w:val="14"/>
                <w:szCs w:val="14"/>
              </w:rPr>
              <w:t xml:space="preserve"> del Comité Nacional</w:t>
            </w:r>
          </w:p>
          <w:p w14:paraId="62D4869D"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1928: </w:t>
            </w:r>
            <w:proofErr w:type="gramStart"/>
            <w:r>
              <w:rPr>
                <w:rFonts w:ascii="Times New Roman" w:eastAsia="Times New Roman" w:hAnsi="Times New Roman" w:cs="Times New Roman"/>
                <w:sz w:val="14"/>
                <w:szCs w:val="14"/>
              </w:rPr>
              <w:t>Secretario</w:t>
            </w:r>
            <w:proofErr w:type="gramEnd"/>
            <w:r>
              <w:rPr>
                <w:rFonts w:ascii="Times New Roman" w:eastAsia="Times New Roman" w:hAnsi="Times New Roman" w:cs="Times New Roman"/>
                <w:sz w:val="14"/>
                <w:szCs w:val="14"/>
              </w:rPr>
              <w:t xml:space="preserve"> de Hipólito Yrigoyen</w:t>
            </w:r>
          </w:p>
        </w:tc>
      </w:tr>
      <w:tr w:rsidR="00E25612" w14:paraId="742AE319" w14:textId="77777777" w:rsidTr="00E25612">
        <w:tc>
          <w:tcPr>
            <w:tcW w:w="1776" w:type="dxa"/>
          </w:tcPr>
          <w:p w14:paraId="5A2819C0" w14:textId="77777777" w:rsidR="00E25612" w:rsidRDefault="00E25612" w:rsidP="00E25612">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Francisco </w:t>
            </w:r>
            <w:proofErr w:type="spellStart"/>
            <w:r>
              <w:rPr>
                <w:rFonts w:ascii="Times New Roman" w:eastAsia="Times New Roman" w:hAnsi="Times New Roman" w:cs="Times New Roman"/>
                <w:b/>
                <w:bCs/>
                <w:sz w:val="20"/>
                <w:szCs w:val="20"/>
              </w:rPr>
              <w:t>Saa</w:t>
            </w:r>
            <w:proofErr w:type="spellEnd"/>
          </w:p>
        </w:tc>
        <w:tc>
          <w:tcPr>
            <w:tcW w:w="1016" w:type="dxa"/>
          </w:tcPr>
          <w:p w14:paraId="4F70B44A" w14:textId="77777777" w:rsidR="00E25612" w:rsidRDefault="00E25612" w:rsidP="00E25612">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1916</w:t>
            </w:r>
          </w:p>
        </w:tc>
        <w:tc>
          <w:tcPr>
            <w:tcW w:w="2153" w:type="dxa"/>
          </w:tcPr>
          <w:p w14:paraId="31C1570C" w14:textId="77777777" w:rsidR="00E25612" w:rsidRDefault="00E25612" w:rsidP="00E2561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CED: vicepresidente (1920), agrupación Unión Universitaria</w:t>
            </w:r>
          </w:p>
        </w:tc>
        <w:tc>
          <w:tcPr>
            <w:tcW w:w="2160" w:type="dxa"/>
          </w:tcPr>
          <w:p w14:paraId="61352ADE" w14:textId="77777777" w:rsidR="00E25612" w:rsidRDefault="00E25612" w:rsidP="00E25612">
            <w:pPr>
              <w:spacing w:after="0" w:line="240" w:lineRule="auto"/>
              <w:jc w:val="both"/>
              <w:rPr>
                <w:rFonts w:ascii="Times New Roman" w:eastAsia="Times New Roman" w:hAnsi="Times New Roman" w:cs="Times New Roman"/>
              </w:rPr>
            </w:pPr>
          </w:p>
        </w:tc>
        <w:tc>
          <w:tcPr>
            <w:tcW w:w="1914" w:type="dxa"/>
          </w:tcPr>
          <w:p w14:paraId="4FBA79BD"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CUR (Desde 1917 varios cargos y funciones).</w:t>
            </w:r>
          </w:p>
          <w:p w14:paraId="3FDD2180"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1924-1926: secretario del bloque parlamentario UCR</w:t>
            </w:r>
          </w:p>
          <w:p w14:paraId="215AFD2D" w14:textId="77777777" w:rsidR="00E25612" w:rsidRDefault="00E25612" w:rsidP="00E25612">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1925- 29 Pte. Comité de la 7ª UCR</w:t>
            </w:r>
          </w:p>
          <w:p w14:paraId="3AAF5A60" w14:textId="77777777" w:rsidR="00E25612" w:rsidRDefault="00E25612" w:rsidP="00E25612">
            <w:pPr>
              <w:spacing w:after="0" w:line="240" w:lineRule="auto"/>
              <w:jc w:val="both"/>
              <w:rPr>
                <w:rFonts w:ascii="Times New Roman" w:eastAsia="Times New Roman" w:hAnsi="Times New Roman" w:cs="Times New Roman"/>
                <w:sz w:val="14"/>
                <w:szCs w:val="14"/>
              </w:rPr>
            </w:pPr>
          </w:p>
        </w:tc>
      </w:tr>
    </w:tbl>
    <w:p w14:paraId="655175AA" w14:textId="3D931CB3" w:rsidR="00781C89" w:rsidRDefault="00781C89" w:rsidP="00E7076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Fuente: Elaboración propia a partir de datos extraídos de </w:t>
      </w:r>
      <w:r>
        <w:rPr>
          <w:rFonts w:ascii="Times New Roman" w:eastAsia="Times New Roman" w:hAnsi="Times New Roman" w:cs="Times New Roman"/>
          <w:i/>
          <w:iCs/>
          <w:sz w:val="20"/>
          <w:szCs w:val="20"/>
        </w:rPr>
        <w:t>El Radical,</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La Época</w:t>
      </w:r>
      <w:r>
        <w:rPr>
          <w:rFonts w:ascii="Times New Roman" w:eastAsia="Times New Roman" w:hAnsi="Times New Roman" w:cs="Times New Roman"/>
          <w:sz w:val="20"/>
          <w:szCs w:val="20"/>
        </w:rPr>
        <w:t>, AHUBA, (Araujo, 1988)</w:t>
      </w:r>
    </w:p>
    <w:p w14:paraId="3465298A" w14:textId="77777777" w:rsidR="00E70760" w:rsidRDefault="00E70760" w:rsidP="00E2561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alcances de esta red (ceñida a universo relacional de Araujo, pero considerablemente más amplia si consideramos la existencia de militantes del CUR de la sección de derecho) nos permite advertir dos circuitos de sociabilidad política (entre la acción gremial universitaria y la participación intelectual y asociativa) que se desarrollaban de modo paralelo a la actividad política-comicial. En el primero de estos circuitos se advierte una confluencia en el CED, donde la gestión presidida por Araujo en 1920 se desarrolló con la participación de dos compañeros de cursada que ya militaban activamente como oradores o en el ejercicio de cargos dentro del CUR, como lo eran </w:t>
      </w:r>
      <w:proofErr w:type="spellStart"/>
      <w:r>
        <w:rPr>
          <w:rFonts w:ascii="Times New Roman" w:eastAsia="Times New Roman" w:hAnsi="Times New Roman" w:cs="Times New Roman"/>
        </w:rPr>
        <w:t>Bonardi</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Saa</w:t>
      </w:r>
      <w:proofErr w:type="spellEnd"/>
      <w:r>
        <w:rPr>
          <w:rFonts w:ascii="Times New Roman" w:eastAsia="Times New Roman" w:hAnsi="Times New Roman" w:cs="Times New Roman"/>
        </w:rPr>
        <w:t xml:space="preserve">. Esta simultaneidad se repitió posteriormente en el CED, en 1922 con la presidencia de Víctor Cornejo </w:t>
      </w:r>
      <w:proofErr w:type="spellStart"/>
      <w:r>
        <w:rPr>
          <w:rFonts w:ascii="Times New Roman" w:eastAsia="Times New Roman" w:hAnsi="Times New Roman" w:cs="Times New Roman"/>
        </w:rPr>
        <w:t>Paulucci</w:t>
      </w:r>
      <w:proofErr w:type="spellEnd"/>
      <w:r>
        <w:rPr>
          <w:rFonts w:ascii="Times New Roman" w:eastAsia="Times New Roman" w:hAnsi="Times New Roman" w:cs="Times New Roman"/>
        </w:rPr>
        <w:t xml:space="preserve">, también militante del CUR y de la agrupación Unión Universitaria, a la que pertenecían Araujo, </w:t>
      </w:r>
      <w:proofErr w:type="spellStart"/>
      <w:r>
        <w:rPr>
          <w:rFonts w:ascii="Times New Roman" w:eastAsia="Times New Roman" w:hAnsi="Times New Roman" w:cs="Times New Roman"/>
        </w:rPr>
        <w:t>Bonardi</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Saa</w:t>
      </w:r>
      <w:proofErr w:type="spellEnd"/>
      <w:r>
        <w:rPr>
          <w:rFonts w:ascii="Times New Roman" w:eastAsia="Times New Roman" w:hAnsi="Times New Roman" w:cs="Times New Roman"/>
        </w:rPr>
        <w:t xml:space="preserve">. Junto a la posible función propagandística en el ámbito estudiantil (a la que nos referiremos posteriormente) estas trayectorias ilustran la relevancia de las funciones de sociabilidad y de aprendizaje que posibilitaba el asociacionismo estudiantil, en vinculación con el desarrollo paralelo o posterior de una carrera política. Asimismo, si bien estas funciones de socialización representaban una tendencia de continuidad más que una novedad dentro de universo social y político aún reducido de la UBA, la repercusión de la experiencia democrática en las entidades estudiantiles (con las reformas de los estatutos de los centros que replicaban las novedades de la ley electoral reformada a nivel nacional) sumado a un proceso de cierta ampliación de la matrícula estudiantil (Carreño, 2020), tornaron más competitivas las instancias y destrezas electorales dentro y fuera de la universidad. </w:t>
      </w:r>
    </w:p>
    <w:p w14:paraId="27F76B53" w14:textId="77777777" w:rsidR="00E70760" w:rsidRDefault="00E70760" w:rsidP="00E2561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La sociabilidad política y el paralelismo en las contiendas electorales que advertimos en la red estudiantil radical en Derecho, no eran exclusivas de esa Facultad, sino que se repitieron en otro de los centros de mayor membrecía de la UBA, como lo era el Círculo Médico Argentino- Centro de Estudiantes de Medicina. Allí, la vicepresidencia del período 1917-1918 y las presidencias entre 1919-1920 y 1921-1922 fueron ocupadas respectivamente por Lorenzo Galíndez, Martín Becerra y Armando Durante, tres militantes del CUR en esos años.</w:t>
      </w:r>
      <w:r>
        <w:rPr>
          <w:rFonts w:ascii="Times New Roman" w:eastAsia="Times New Roman" w:hAnsi="Times New Roman" w:cs="Times New Roman"/>
          <w:vertAlign w:val="superscript"/>
        </w:rPr>
        <w:footnoteReference w:id="6"/>
      </w:r>
      <w:r>
        <w:rPr>
          <w:rFonts w:ascii="Times New Roman" w:eastAsia="Times New Roman" w:hAnsi="Times New Roman" w:cs="Times New Roman"/>
        </w:rPr>
        <w:t xml:space="preserve"> Pero también se reprodujo en centros de carreras con menor matriculación como el de Ciencias Económicas (CECE), donde la presidencia de los periodos 1915- 1916 y 1916-1917, fueron desempeñadas respectivamente por Víctor </w:t>
      </w:r>
      <w:r>
        <w:rPr>
          <w:rFonts w:ascii="Times New Roman" w:eastAsia="Times New Roman" w:hAnsi="Times New Roman" w:cs="Times New Roman"/>
        </w:rPr>
        <w:lastRenderedPageBreak/>
        <w:t xml:space="preserve">Barón Peña y Luciano </w:t>
      </w:r>
      <w:proofErr w:type="spellStart"/>
      <w:r>
        <w:rPr>
          <w:rFonts w:ascii="Times New Roman" w:eastAsia="Times New Roman" w:hAnsi="Times New Roman" w:cs="Times New Roman"/>
        </w:rPr>
        <w:t>Carruoché</w:t>
      </w:r>
      <w:proofErr w:type="spellEnd"/>
      <w:r>
        <w:rPr>
          <w:rFonts w:ascii="Times New Roman" w:eastAsia="Times New Roman" w:hAnsi="Times New Roman" w:cs="Times New Roman"/>
        </w:rPr>
        <w:t xml:space="preserve"> junto a Guillermo Watson en la vicepresidencia, todos ellos militantes del CUR.</w:t>
      </w:r>
      <w:r>
        <w:rPr>
          <w:rFonts w:ascii="Times New Roman" w:eastAsia="Times New Roman" w:hAnsi="Times New Roman" w:cs="Times New Roman"/>
          <w:vertAlign w:val="superscript"/>
        </w:rPr>
        <w:footnoteReference w:id="7"/>
      </w:r>
      <w:r>
        <w:rPr>
          <w:rFonts w:ascii="Times New Roman" w:eastAsia="Times New Roman" w:hAnsi="Times New Roman" w:cs="Times New Roman"/>
        </w:rPr>
        <w:t xml:space="preserve"> </w:t>
      </w:r>
    </w:p>
    <w:p w14:paraId="59DD20F9" w14:textId="77777777" w:rsidR="00E70760" w:rsidRDefault="00E70760" w:rsidP="00E25612">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El segundo circuito de sociabilidad que advertimos a través de la trayectoria de Araujo nos muestra la variedad de intereses culturales, intelectuales y políticos, que convivían junto a las motivaciones y convicciones político partidarias. Si bien el caso de Silvio </w:t>
      </w:r>
      <w:proofErr w:type="spellStart"/>
      <w:r>
        <w:rPr>
          <w:rFonts w:ascii="Times New Roman" w:eastAsia="Times New Roman" w:hAnsi="Times New Roman" w:cs="Times New Roman"/>
        </w:rPr>
        <w:t>Bonardi</w:t>
      </w:r>
      <w:proofErr w:type="spellEnd"/>
      <w:r>
        <w:rPr>
          <w:rFonts w:ascii="Times New Roman" w:eastAsia="Times New Roman" w:hAnsi="Times New Roman" w:cs="Times New Roman"/>
        </w:rPr>
        <w:t xml:space="preserve"> señala una convergencia entre ambos intereses (en la coincidencia entre la posición neutral frente a la Primera Guerra Mundial del gobierno de Yrigoyen y la de las asociaciones universitarias neutralistas a las que adhirió este estudiante) también es revelador de la referida diversificación social de la matrícula universitaria, tal como puede inferirse en la causa del mutualismo en la cual participó (tabla 2) y observarse también en los orígenes socio ocupacionales humildes que reivindicó Molinari en relación con su infancia y núcleo familiar (Molinari, 1929:49-51).</w:t>
      </w:r>
    </w:p>
    <w:p w14:paraId="1346D7C9" w14:textId="77777777" w:rsidR="00E70760" w:rsidRDefault="00E70760" w:rsidP="00E25612">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En contraste con la coincidencia partidaria -asociativa que advertimos en el caso de </w:t>
      </w:r>
      <w:proofErr w:type="spellStart"/>
      <w:r>
        <w:rPr>
          <w:rFonts w:ascii="Times New Roman" w:eastAsia="Times New Roman" w:hAnsi="Times New Roman" w:cs="Times New Roman"/>
        </w:rPr>
        <w:t>Bonardi</w:t>
      </w:r>
      <w:proofErr w:type="spellEnd"/>
      <w:r>
        <w:rPr>
          <w:rFonts w:ascii="Times New Roman" w:eastAsia="Times New Roman" w:hAnsi="Times New Roman" w:cs="Times New Roman"/>
        </w:rPr>
        <w:t xml:space="preserve">, la participación de Araujo y Jurado en la </w:t>
      </w:r>
      <w:r>
        <w:rPr>
          <w:rFonts w:ascii="Times New Roman" w:eastAsia="Times New Roman" w:hAnsi="Times New Roman" w:cs="Times New Roman"/>
          <w:i/>
          <w:iCs/>
        </w:rPr>
        <w:t>Revista Nacional</w:t>
      </w:r>
      <w:r>
        <w:rPr>
          <w:rFonts w:ascii="Times New Roman" w:eastAsia="Times New Roman" w:hAnsi="Times New Roman" w:cs="Times New Roman"/>
        </w:rPr>
        <w:t>, los alineaba con la inscripción nacionalista de la Reforma que, como ha analizado Bustelo, se oponía a la identidad izquierdista de este movimiento y (en la formulación de uno de sus animadores, Korn Villafañe) a la ética “reñida con el intelectualismo, basada en la ignorancia” del radicalismo (2021: 193). Pese a esta oposición que se trazaba en 1919 en las páginas de la revista que entonces dirigían Julio Irazusta y Mario Jurado, la asociación entre el nacionalismo y el radicalismo yrigoyenista fue la opción elegida entonces por este último, así como también por Araujo.</w:t>
      </w:r>
      <w:r>
        <w:rPr>
          <w:rFonts w:ascii="Times New Roman" w:eastAsia="Times New Roman" w:hAnsi="Times New Roman" w:cs="Times New Roman"/>
          <w:vertAlign w:val="superscript"/>
        </w:rPr>
        <w:footnoteReference w:id="8"/>
      </w:r>
      <w:r>
        <w:rPr>
          <w:rFonts w:ascii="Times New Roman" w:eastAsia="Times New Roman" w:hAnsi="Times New Roman" w:cs="Times New Roman"/>
        </w:rPr>
        <w:t xml:space="preserve"> De este modo, la presencia de militantes activos (como Jurado, </w:t>
      </w:r>
      <w:proofErr w:type="spellStart"/>
      <w:r>
        <w:rPr>
          <w:rFonts w:ascii="Times New Roman" w:eastAsia="Times New Roman" w:hAnsi="Times New Roman" w:cs="Times New Roman"/>
        </w:rPr>
        <w:t>Bonardi</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Saa</w:t>
      </w:r>
      <w:proofErr w:type="spellEnd"/>
      <w:r>
        <w:rPr>
          <w:rFonts w:ascii="Times New Roman" w:eastAsia="Times New Roman" w:hAnsi="Times New Roman" w:cs="Times New Roman"/>
        </w:rPr>
        <w:t xml:space="preserve">) o cercanos al radicalismo (como Araujo) en revistas, asociaciones y agrupaciones (como la </w:t>
      </w:r>
      <w:r w:rsidRPr="00177B0F">
        <w:rPr>
          <w:rFonts w:ascii="Times New Roman" w:eastAsia="Times New Roman" w:hAnsi="Times New Roman" w:cs="Times New Roman"/>
          <w:i/>
          <w:iCs/>
        </w:rPr>
        <w:t>Revista Nacional</w:t>
      </w:r>
      <w:r>
        <w:rPr>
          <w:rFonts w:ascii="Times New Roman" w:eastAsia="Times New Roman" w:hAnsi="Times New Roman" w:cs="Times New Roman"/>
        </w:rPr>
        <w:t>, la Asociación Nacionalista y la Unión Universitaria) vinculadas al reformismo y/o al nacionalismo, podía resultar incompatible con algunas de las fronteras que dentro de esos espacios se trazaban con este actor político, pero a la vez explicable desde las filas y el ideario radical. Como analizó Reyes, desde el gobierno de Yrigoyen se elaboró una síntesis entre nacionalismo y democracia, la cual no obstante (en el clima de violencia y radicalización política que rodeó a la denominada “semana trágica”) encontró límites y disputas con otros actores por monopolizar la representación de la nación (2019a; 2019b). En esa disputa, la identificación nacionalista que encontramos entre los estudiantes radicales de derecho puede observarse en el ofrecimiento de cincuenta integrantes de la sección de derecho del CUR, de prestar su “concurso patriótico” frente al jefe de las fuerzas de policía, en el marco de dichos episodios de represión civil y estatal a la protesta obrera.</w:t>
      </w:r>
      <w:r>
        <w:rPr>
          <w:rFonts w:ascii="Times New Roman" w:eastAsia="Times New Roman" w:hAnsi="Times New Roman" w:cs="Times New Roman"/>
          <w:vertAlign w:val="superscript"/>
        </w:rPr>
        <w:footnoteReference w:id="9"/>
      </w:r>
      <w:r>
        <w:rPr>
          <w:rFonts w:ascii="Times New Roman" w:eastAsia="Times New Roman" w:hAnsi="Times New Roman" w:cs="Times New Roman"/>
        </w:rPr>
        <w:t xml:space="preserve"> Sin embargo, el derrotero de esta vertiente nacionalista, si bien excede los objetivos de esta ponencia, se contrapuso a otra tendencia nacionalista antiliberal que fue elaborada por una parte de </w:t>
      </w:r>
      <w:r>
        <w:rPr>
          <w:rFonts w:ascii="Times New Roman" w:eastAsia="Times New Roman" w:hAnsi="Times New Roman" w:cs="Times New Roman"/>
        </w:rPr>
        <w:lastRenderedPageBreak/>
        <w:t>los elencos de la</w:t>
      </w:r>
      <w:r>
        <w:rPr>
          <w:rFonts w:ascii="Times New Roman" w:eastAsia="Times New Roman" w:hAnsi="Times New Roman" w:cs="Times New Roman"/>
          <w:i/>
          <w:iCs/>
        </w:rPr>
        <w:t xml:space="preserve"> Revista Nacional</w:t>
      </w:r>
      <w:r>
        <w:rPr>
          <w:rFonts w:ascii="Times New Roman" w:eastAsia="Times New Roman" w:hAnsi="Times New Roman" w:cs="Times New Roman"/>
        </w:rPr>
        <w:t xml:space="preserve"> en fines de los años veinte</w:t>
      </w:r>
      <w:r>
        <w:rPr>
          <w:rFonts w:ascii="Times New Roman" w:eastAsia="Times New Roman" w:hAnsi="Times New Roman" w:cs="Times New Roman"/>
          <w:vertAlign w:val="superscript"/>
        </w:rPr>
        <w:footnoteReference w:id="10"/>
      </w:r>
      <w:r>
        <w:rPr>
          <w:rFonts w:ascii="Times New Roman" w:eastAsia="Times New Roman" w:hAnsi="Times New Roman" w:cs="Times New Roman"/>
        </w:rPr>
        <w:t xml:space="preserve"> y continuó en las trayectorias universitarias radicales que identificamos, en la referida intervención de jóvenes políticos como Molinari y </w:t>
      </w:r>
      <w:proofErr w:type="spellStart"/>
      <w:r>
        <w:rPr>
          <w:rFonts w:ascii="Times New Roman" w:eastAsia="Times New Roman" w:hAnsi="Times New Roman" w:cs="Times New Roman"/>
        </w:rPr>
        <w:t>Bonardi</w:t>
      </w:r>
      <w:proofErr w:type="spellEnd"/>
      <w:r>
        <w:rPr>
          <w:rFonts w:ascii="Times New Roman" w:eastAsia="Times New Roman" w:hAnsi="Times New Roman" w:cs="Times New Roman"/>
        </w:rPr>
        <w:t xml:space="preserve"> en la metamorfosis programática del radicalismo y su lectura de la cuestión del petróleo, desde una clave nacional y antiimperialista.   </w:t>
      </w:r>
    </w:p>
    <w:p w14:paraId="1FD10001" w14:textId="6F7A93EC" w:rsidR="00E70760" w:rsidRDefault="00E70760" w:rsidP="00E25612">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La segunda dimensión de análisis que abordamos para el estudio de las trayectorias, se contrapone a la imagen de “ignorancia” asociada con el radicalismo a la que aludía Korn Villafañe. En respuesta quizá a esa imagen, desde el radicalismo la condición universitaria de sus militantes era promocionada en la prensa y estructura partidaria y exhibida en el nombre del CUR. En los casos que reconstruimos la existencia de capitales universitarios se deriva de la formación en la carrera de abogacía, con lo cual las titulaciones obtenidas o no en esa instancia se presentan como un indicador doble, o bien de un posible abandono de los estudios por una profesionalización y dedicación exclusiva a la política o de una capacitación de la política, con los saberes disciplinarios obtenidos para la titulación. Si bien no contamos con un registro completo de los legajos académicos de los militantes de derecho identificados, un muestreo parcial de 42 casos revela un porcentaje elevado (78.5 %) de estudiantes que se graduaron y desarrollaron su carrera en un plazo relativamente acorde al plan de estudios (5 años), lo cual permite ilustrar tentativamente el predominio de la segunda tendencia.</w:t>
      </w:r>
      <w:r>
        <w:rPr>
          <w:rFonts w:ascii="Times New Roman" w:eastAsia="Times New Roman" w:hAnsi="Times New Roman" w:cs="Times New Roman"/>
          <w:vertAlign w:val="superscript"/>
        </w:rPr>
        <w:footnoteReference w:id="11"/>
      </w:r>
      <w:r>
        <w:rPr>
          <w:rFonts w:ascii="Times New Roman" w:eastAsia="Times New Roman" w:hAnsi="Times New Roman" w:cs="Times New Roman"/>
        </w:rPr>
        <w:t xml:space="preserve"> Entre la proporción minoritaria (que incluye a estudiantes que no se graduaron o que demoraron considerablemente en la obtención de su título) se ubican los casos de </w:t>
      </w:r>
      <w:proofErr w:type="spellStart"/>
      <w:r>
        <w:rPr>
          <w:rFonts w:ascii="Times New Roman" w:eastAsia="Times New Roman" w:hAnsi="Times New Roman" w:cs="Times New Roman"/>
        </w:rPr>
        <w:t>Saa</w:t>
      </w:r>
      <w:proofErr w:type="spellEnd"/>
      <w:r>
        <w:rPr>
          <w:rFonts w:ascii="Times New Roman" w:eastAsia="Times New Roman" w:hAnsi="Times New Roman" w:cs="Times New Roman"/>
        </w:rPr>
        <w:t xml:space="preserve"> y Molinari, quienes luego de haber avanzado considerablemente en la aprobación de materias, suspendieron sus estudios en coincidencia con el incremento en su actividad partidaria, que en la trayectoria de </w:t>
      </w:r>
      <w:proofErr w:type="spellStart"/>
      <w:r>
        <w:rPr>
          <w:rFonts w:ascii="Times New Roman" w:eastAsia="Times New Roman" w:hAnsi="Times New Roman" w:cs="Times New Roman"/>
        </w:rPr>
        <w:t>Saa</w:t>
      </w:r>
      <w:proofErr w:type="spellEnd"/>
      <w:r>
        <w:rPr>
          <w:rFonts w:ascii="Times New Roman" w:eastAsia="Times New Roman" w:hAnsi="Times New Roman" w:cs="Times New Roman"/>
        </w:rPr>
        <w:t xml:space="preserve"> se materializó en su destacada labor como conferencista y presidente del Comité seccional de San Carlos Norte y, de modo más notable, en la de Molinari a través de distintos cargos ministeriales y legislativos (tabla 2). </w:t>
      </w:r>
    </w:p>
    <w:p w14:paraId="2FF9F2DE" w14:textId="0320CD38" w:rsidR="00E70760" w:rsidRDefault="00E70760" w:rsidP="00E25612">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Por el contrario, las carreras en término de </w:t>
      </w:r>
      <w:proofErr w:type="spellStart"/>
      <w:r>
        <w:rPr>
          <w:rFonts w:ascii="Times New Roman" w:eastAsia="Times New Roman" w:hAnsi="Times New Roman" w:cs="Times New Roman"/>
        </w:rPr>
        <w:t>Bonardi</w:t>
      </w:r>
      <w:proofErr w:type="spellEnd"/>
      <w:r>
        <w:rPr>
          <w:rFonts w:ascii="Times New Roman" w:eastAsia="Times New Roman" w:hAnsi="Times New Roman" w:cs="Times New Roman"/>
        </w:rPr>
        <w:t xml:space="preserve"> y Araujo les permitieron alcanzar cargos y funciones acordes a sus titulaciones, que en el caso de Araujo se ejercieron en el puesto de oficial mayor del Ministerio de Hacienda de la Provincia de Buenos Aires (tabla 2). Especialmente la trayectoria de </w:t>
      </w:r>
      <w:proofErr w:type="spellStart"/>
      <w:r>
        <w:rPr>
          <w:rFonts w:ascii="Times New Roman" w:eastAsia="Times New Roman" w:hAnsi="Times New Roman" w:cs="Times New Roman"/>
        </w:rPr>
        <w:t>Bonardi</w:t>
      </w:r>
      <w:proofErr w:type="spellEnd"/>
      <w:r>
        <w:rPr>
          <w:rFonts w:ascii="Times New Roman" w:eastAsia="Times New Roman" w:hAnsi="Times New Roman" w:cs="Times New Roman"/>
        </w:rPr>
        <w:t xml:space="preserve"> resulta representativa de las funciones especializadas que habilitaba la titulación profesional al servicio del partido. A partir de la culminación de sus estudios (en diciembre de 1922) y de su activa labor propagandística, logró ocupar los cargos de apoderado y luego de secretario del Comité Nacional del partido en 1925. Desde esas instancias, su experticia como novel litigante en los tribunales de Rosario y Capital Federal (que ejercía desde su propio estudio en esa última ciudad)</w:t>
      </w:r>
      <w:r>
        <w:rPr>
          <w:rFonts w:ascii="Times New Roman" w:eastAsia="Times New Roman" w:hAnsi="Times New Roman" w:cs="Times New Roman"/>
          <w:vertAlign w:val="superscript"/>
        </w:rPr>
        <w:footnoteReference w:id="12"/>
      </w:r>
      <w:r>
        <w:rPr>
          <w:rFonts w:ascii="Times New Roman" w:eastAsia="Times New Roman" w:hAnsi="Times New Roman" w:cs="Times New Roman"/>
        </w:rPr>
        <w:t xml:space="preserve"> se aplicó también en el partido, en su defensa exitosa en la Junta Electoral de la Capital, frente al pedido del radicalismo antipersonalista de monopolizar el uso de nombre Unión Cívica Radical.</w:t>
      </w:r>
      <w:r>
        <w:rPr>
          <w:rFonts w:ascii="Times New Roman" w:eastAsia="Times New Roman" w:hAnsi="Times New Roman" w:cs="Times New Roman"/>
          <w:vertAlign w:val="superscript"/>
        </w:rPr>
        <w:footnoteReference w:id="13"/>
      </w:r>
      <w:r>
        <w:rPr>
          <w:rFonts w:ascii="Times New Roman" w:eastAsia="Times New Roman" w:hAnsi="Times New Roman" w:cs="Times New Roman"/>
        </w:rPr>
        <w:t xml:space="preserve"> Posteriormente, acompasando su actuación como </w:t>
      </w:r>
      <w:r>
        <w:rPr>
          <w:rFonts w:ascii="Times New Roman" w:eastAsia="Times New Roman" w:hAnsi="Times New Roman" w:cs="Times New Roman"/>
        </w:rPr>
        <w:lastRenderedPageBreak/>
        <w:t xml:space="preserve">conferencista “en defensa del petróleo nacional”, en 1928, bajo la recomendación del presidente Yrigoyen, fue contratado por la provincia de Salta como representante en un pleito contra la </w:t>
      </w:r>
      <w:r>
        <w:rPr>
          <w:rFonts w:ascii="Times New Roman" w:eastAsia="Times New Roman" w:hAnsi="Times New Roman" w:cs="Times New Roman"/>
          <w:i/>
          <w:iCs/>
        </w:rPr>
        <w:t xml:space="preserve">Standard </w:t>
      </w:r>
      <w:proofErr w:type="spellStart"/>
      <w:r>
        <w:rPr>
          <w:rFonts w:ascii="Times New Roman" w:eastAsia="Times New Roman" w:hAnsi="Times New Roman" w:cs="Times New Roman"/>
          <w:i/>
          <w:iCs/>
        </w:rPr>
        <w:t>Oil</w:t>
      </w:r>
      <w:proofErr w:type="spellEnd"/>
      <w:r>
        <w:rPr>
          <w:rFonts w:ascii="Times New Roman" w:eastAsia="Times New Roman" w:hAnsi="Times New Roman" w:cs="Times New Roman"/>
          <w:i/>
          <w:iCs/>
        </w:rPr>
        <w:t xml:space="preserve"> Company</w:t>
      </w:r>
      <w:r>
        <w:rPr>
          <w:rFonts w:ascii="Times New Roman" w:eastAsia="Times New Roman" w:hAnsi="Times New Roman" w:cs="Times New Roman"/>
        </w:rPr>
        <w:t xml:space="preserve"> (y otras compañías afines), en el cual renunció a la percepción de sus honorarios profesionales.</w:t>
      </w:r>
      <w:r>
        <w:rPr>
          <w:rFonts w:ascii="Times New Roman" w:eastAsia="Times New Roman" w:hAnsi="Times New Roman" w:cs="Times New Roman"/>
          <w:vertAlign w:val="superscript"/>
        </w:rPr>
        <w:footnoteReference w:id="14"/>
      </w:r>
      <w:r>
        <w:rPr>
          <w:rFonts w:ascii="Times New Roman" w:eastAsia="Times New Roman" w:hAnsi="Times New Roman" w:cs="Times New Roman"/>
        </w:rPr>
        <w:t xml:space="preserve"> A su vez, el desarrollo de su actuación forense (en la acción privada o partidaria) se benefició de la obtención de experiencia y práctica profesional que desempeñó previamente en el consultorio jurídico de la sección 5ª, en la atención gratuita de consultas legales que brindaba ese comité.</w:t>
      </w:r>
      <w:r>
        <w:rPr>
          <w:rFonts w:ascii="Times New Roman" w:eastAsia="Times New Roman" w:hAnsi="Times New Roman" w:cs="Times New Roman"/>
          <w:vertAlign w:val="superscript"/>
        </w:rPr>
        <w:footnoteReference w:id="15"/>
      </w:r>
      <w:r>
        <w:rPr>
          <w:rFonts w:ascii="Times New Roman" w:eastAsia="Times New Roman" w:hAnsi="Times New Roman" w:cs="Times New Roman"/>
        </w:rPr>
        <w:t xml:space="preserve"> </w:t>
      </w:r>
    </w:p>
    <w:p w14:paraId="22E6F396" w14:textId="77777777" w:rsidR="00E70760" w:rsidRDefault="00E70760" w:rsidP="00E70760">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Con lo cual, este tipo de inserción da cuenta de la circulación de prácticas y saberes entre la universidad y el partido y entre los procesos de profesionalización que se desarrollaban en ambos espacios. Así, la implementación de iniciativas como los consultorios jurídicos (o de los consultorios médicos y dispensarios) eran simultáneamente parte de las estrategias partidarias de vinculación con la sociabilidad barrial y vecinal (De </w:t>
      </w:r>
      <w:proofErr w:type="spellStart"/>
      <w:r>
        <w:rPr>
          <w:rFonts w:ascii="Times New Roman" w:eastAsia="Times New Roman" w:hAnsi="Times New Roman" w:cs="Times New Roman"/>
        </w:rPr>
        <w:t>Privitellio</w:t>
      </w:r>
      <w:proofErr w:type="spellEnd"/>
      <w:r>
        <w:rPr>
          <w:rFonts w:ascii="Times New Roman" w:eastAsia="Times New Roman" w:hAnsi="Times New Roman" w:cs="Times New Roman"/>
        </w:rPr>
        <w:t xml:space="preserve">, 2003:80-82) y una de las modalidades de intervención pública del estudiantado de derecho y de medicina, que proveía espacios de consagración gremial y práctica profesional (Carreño, 2022) o de concreción de sus proyectos reformistas (Bustelo, 2018). Al mismo tiempo, como ha estudiado González </w:t>
      </w:r>
      <w:proofErr w:type="spellStart"/>
      <w:r>
        <w:rPr>
          <w:rFonts w:ascii="Times New Roman" w:eastAsia="Times New Roman" w:hAnsi="Times New Roman" w:cs="Times New Roman"/>
        </w:rPr>
        <w:t>Leandri</w:t>
      </w:r>
      <w:proofErr w:type="spellEnd"/>
      <w:r>
        <w:rPr>
          <w:rFonts w:ascii="Times New Roman" w:eastAsia="Times New Roman" w:hAnsi="Times New Roman" w:cs="Times New Roman"/>
        </w:rPr>
        <w:t>, los consultorios eran un componente de las estrategias del cuerpo médico, como medio de afirmación de la profesión en su faz consultiva (1999: 185- 213). A partir de ello, la circulación de prácticas entre los procesos de profesionalización gremial y política, beneficiaba en especial a este último, en tanto que la divulgación de los servicios profesionales con fines propagandísticos se alejaba de los propósitos de legitimación social de las profesiones con los que estas prácticas habían sido ideadas.</w:t>
      </w:r>
      <w:r>
        <w:rPr>
          <w:rFonts w:ascii="Times New Roman" w:eastAsia="Times New Roman" w:hAnsi="Times New Roman" w:cs="Times New Roman"/>
          <w:vertAlign w:val="superscript"/>
        </w:rPr>
        <w:footnoteReference w:id="16"/>
      </w:r>
      <w:r>
        <w:rPr>
          <w:rFonts w:ascii="Times New Roman" w:eastAsia="Times New Roman" w:hAnsi="Times New Roman" w:cs="Times New Roman"/>
        </w:rPr>
        <w:t xml:space="preserve"> A su vez, la dedicación doble que se advierte en la trayectoria de </w:t>
      </w:r>
      <w:proofErr w:type="spellStart"/>
      <w:r>
        <w:rPr>
          <w:rFonts w:ascii="Times New Roman" w:eastAsia="Times New Roman" w:hAnsi="Times New Roman" w:cs="Times New Roman"/>
        </w:rPr>
        <w:t>Bonardi</w:t>
      </w:r>
      <w:proofErr w:type="spellEnd"/>
      <w:r>
        <w:rPr>
          <w:rFonts w:ascii="Times New Roman" w:eastAsia="Times New Roman" w:hAnsi="Times New Roman" w:cs="Times New Roman"/>
        </w:rPr>
        <w:t>, entre el estudio jurídico y el comité, podía operar en desmedro de los criterios de legitimación netamente profesionales (antecedentes, méritos académicos, etc.) y favorecer otros externos a la profesión (la figuración política o la posible inserción ministerial) en la conformación de una clientela, tal como se criticaba desde el CED, a las ventajas que gozaban “los abogados políticos”.</w:t>
      </w:r>
      <w:r>
        <w:rPr>
          <w:rFonts w:ascii="Times New Roman" w:eastAsia="Times New Roman" w:hAnsi="Times New Roman" w:cs="Times New Roman"/>
          <w:vertAlign w:val="superscript"/>
        </w:rPr>
        <w:footnoteReference w:id="17"/>
      </w:r>
      <w:r>
        <w:rPr>
          <w:rFonts w:ascii="Times New Roman" w:eastAsia="Times New Roman" w:hAnsi="Times New Roman" w:cs="Times New Roman"/>
        </w:rPr>
        <w:t xml:space="preserve"> </w:t>
      </w:r>
    </w:p>
    <w:p w14:paraId="111B792B" w14:textId="77777777" w:rsidR="00E70760" w:rsidRDefault="00E70760" w:rsidP="00E7076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Por otra parte, tal como ha señalado Ferrari, el uso de los capitales (sociales y académicos) provenientes de las carreras universitarias podía beneficiar las tareas proselitistas, propagandísticas y de elaboración de ideas a través de documentos y de la prensa partidaria (2008: 125-127). Para el caso que analizamos, el desarrollo de las funciones proselitistas en el ámbito universitario (por ejemplo a través de los vocales del CUR en las mesas empadronadoras en las distintas facultades) evidencia la relación y la movilización de influencias que se generaba entre ambos ámbitos, lo cual era objeto de </w:t>
      </w:r>
      <w:r>
        <w:rPr>
          <w:rFonts w:ascii="Times New Roman" w:eastAsia="Times New Roman" w:hAnsi="Times New Roman" w:cs="Times New Roman"/>
        </w:rPr>
        <w:lastRenderedPageBreak/>
        <w:t xml:space="preserve">críticas en la representación satírica que hacía la revista </w:t>
      </w:r>
      <w:r>
        <w:rPr>
          <w:rFonts w:ascii="Times New Roman" w:eastAsia="Times New Roman" w:hAnsi="Times New Roman" w:cs="Times New Roman"/>
          <w:i/>
          <w:iCs/>
        </w:rPr>
        <w:t>Ideas</w:t>
      </w:r>
      <w:r>
        <w:rPr>
          <w:rFonts w:ascii="Times New Roman" w:eastAsia="Times New Roman" w:hAnsi="Times New Roman" w:cs="Times New Roman"/>
        </w:rPr>
        <w:t xml:space="preserve"> (del Ateneo de Estudiantes Universitarios) sobre las figuras “El candidato”, “El político”, “El caudillo” y “El orador”, incluidos dentro los “diversos tipos del hampa universitaria” de la Facultad de Derecho.</w:t>
      </w:r>
      <w:r>
        <w:rPr>
          <w:rFonts w:ascii="Times New Roman" w:eastAsia="Times New Roman" w:hAnsi="Times New Roman" w:cs="Times New Roman"/>
          <w:vertAlign w:val="superscript"/>
        </w:rPr>
        <w:footnoteReference w:id="18"/>
      </w:r>
      <w:r>
        <w:rPr>
          <w:rFonts w:ascii="Times New Roman" w:eastAsia="Times New Roman" w:hAnsi="Times New Roman" w:cs="Times New Roman"/>
        </w:rPr>
        <w:t xml:space="preserve"> A su vez, las militancias paralelas, entre el reformismo y el radicalismo, cumplían funciones de vinculación que, sin implicar necesariamente un reclutamiento, podían acercar al estudiantado al universo partidario. El itinerario de Guillermo Watson, quien se destacó en el Primer Congreso de Estudiantes Universitarios en la ciudad de Córdoba, revela esta función de intermediación en su gestión para concretar las entrevistas entre las entidades estudiantiles con Yrigoyen, para exponer las demandas del reformismo (Del Mazo, 1976: 96-97 y 106). A su vez, la actuación de Araujo al frente de la FUA y las relaciones que entabló con destacados líderes reformistas en la Facultad de Derecho (como Florentino Sanguinetti o Mario Saénz) se incluyen entre los factores de acercamiento que confluyeron la referida conformación de agrupamientos reformistas y radicales a fines de los años veinte (Carreño, 2024).</w:t>
      </w:r>
    </w:p>
    <w:p w14:paraId="66041885" w14:textId="77777777" w:rsidR="00E70760" w:rsidRDefault="00E70760" w:rsidP="00E70760">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Además de capitalizar o intentar captar los apoyos de las juventudes universitarias a través de una estructura compleja y organizada, el CUR representaba un espacio de reclutamiento de cuadros especializados a disposición de las demandas del partido, en su vasto alcance territorial. En ese sentido, en la señalada función propagandística, el CUR no solo ofrecía a los comités nacionales “conferencias de divulgación científica sobre asuntos de actualidad; constitucionales, políticos, económicos etc.” sino que también tomaba parte en las competitivas disputas por el electorado porteño, capacitando a sus miembros con “un archivo de datos a disposición de los oradores del comité” en temas generales sobre la historia y la obra del partido, en contraste con la de sus rivales políticos.</w:t>
      </w:r>
      <w:r>
        <w:rPr>
          <w:rFonts w:ascii="Times New Roman" w:eastAsia="Times New Roman" w:hAnsi="Times New Roman" w:cs="Times New Roman"/>
          <w:vertAlign w:val="superscript"/>
        </w:rPr>
        <w:footnoteReference w:id="19"/>
      </w:r>
      <w:r>
        <w:rPr>
          <w:rFonts w:ascii="Times New Roman" w:eastAsia="Times New Roman" w:hAnsi="Times New Roman" w:cs="Times New Roman"/>
        </w:rPr>
        <w:t xml:space="preserve"> </w:t>
      </w:r>
    </w:p>
    <w:p w14:paraId="462DA578" w14:textId="77777777" w:rsidR="00E70760" w:rsidRDefault="00E70760" w:rsidP="00E70760">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 través de estas instancias, el CUR brindaba conferencistas capacitados, en quienes la promoción de los proyectos legislativos del gobierno se conjugaba y legitimaba en los saberes de la formación universitaria. Así, entre otros casos, el tópico de “legislación obrera” era abordado por Silvio </w:t>
      </w:r>
      <w:proofErr w:type="spellStart"/>
      <w:r>
        <w:rPr>
          <w:rFonts w:ascii="Times New Roman" w:eastAsia="Times New Roman" w:hAnsi="Times New Roman" w:cs="Times New Roman"/>
        </w:rPr>
        <w:t>Bonardi</w:t>
      </w:r>
      <w:proofErr w:type="spellEnd"/>
      <w:r>
        <w:rPr>
          <w:rFonts w:ascii="Times New Roman" w:eastAsia="Times New Roman" w:hAnsi="Times New Roman" w:cs="Times New Roman"/>
        </w:rPr>
        <w:t>, entonces estudiante de abogacía, en una conferencia durante la campaña electoral de finales de 1920, mientras que Guillermo Watson (graduado por la Facultad de Ciencias Económicas) se destacó, ese año más temprano, como orador en la circunscripción 19ª explicando los beneficios del proyecto de impuesto a la renta promovido por el gobierno de Yrigoyen.</w:t>
      </w:r>
      <w:r>
        <w:rPr>
          <w:rFonts w:ascii="Times New Roman" w:eastAsia="Times New Roman" w:hAnsi="Times New Roman" w:cs="Times New Roman"/>
          <w:vertAlign w:val="superscript"/>
        </w:rPr>
        <w:footnoteReference w:id="20"/>
      </w:r>
      <w:r>
        <w:rPr>
          <w:rFonts w:ascii="Times New Roman" w:eastAsia="Times New Roman" w:hAnsi="Times New Roman" w:cs="Times New Roman"/>
        </w:rPr>
        <w:t xml:space="preserve">  </w:t>
      </w:r>
    </w:p>
    <w:p w14:paraId="6031CFCC" w14:textId="77777777" w:rsidR="00E70760" w:rsidRDefault="00E70760" w:rsidP="00E25612">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La función letrada en beneficio de la acción propagandística se advierte especialmente en el caso del estudiante de derecho Ricardo </w:t>
      </w:r>
      <w:proofErr w:type="spellStart"/>
      <w:r>
        <w:rPr>
          <w:rFonts w:ascii="Times New Roman" w:eastAsia="Times New Roman" w:hAnsi="Times New Roman" w:cs="Times New Roman"/>
        </w:rPr>
        <w:t>Riguera</w:t>
      </w:r>
      <w:proofErr w:type="spellEnd"/>
      <w:r>
        <w:rPr>
          <w:rFonts w:ascii="Times New Roman" w:eastAsia="Times New Roman" w:hAnsi="Times New Roman" w:cs="Times New Roman"/>
        </w:rPr>
        <w:t xml:space="preserve">, en el cual es posible observar la simultaneidad que, a lo largo de su carrera, se estableció entre su trayectoria militante y la especialización académica en el derecho laboral. Así, en 1920, figuró a cargo de una conferencia en la circunscripción 20ª en la cual “se refirió principalmente a la legislación del trabajo abordada con tanto éxito por el poder ejecutivo nacional”; en 1922 fue autor de uno de los “varios folletos” que publicó el CUR ese año, en el cual </w:t>
      </w:r>
      <w:r>
        <w:rPr>
          <w:rFonts w:ascii="Times New Roman" w:eastAsia="Times New Roman" w:hAnsi="Times New Roman" w:cs="Times New Roman"/>
        </w:rPr>
        <w:lastRenderedPageBreak/>
        <w:t>abordaba la acción del gobierno radical en materia de jubilaciones y pensiones y explicaba, entre otras leyes, el proyecto del Código de Trabajo enviado por el Poder Ejecutivo en 1921 al Congreso (</w:t>
      </w:r>
      <w:proofErr w:type="spellStart"/>
      <w:r>
        <w:rPr>
          <w:rFonts w:ascii="Times New Roman" w:eastAsia="Times New Roman" w:hAnsi="Times New Roman" w:cs="Times New Roman"/>
        </w:rPr>
        <w:t>Riguera</w:t>
      </w:r>
      <w:proofErr w:type="spellEnd"/>
      <w:r>
        <w:rPr>
          <w:rFonts w:ascii="Times New Roman" w:eastAsia="Times New Roman" w:hAnsi="Times New Roman" w:cs="Times New Roman"/>
        </w:rPr>
        <w:t>, 1922).  Finalmente, pese a su posterior afiliación en las filas del antipersonalismo, ese mismo antecedente legislativo, entre otras iniciativas legales radicales y no radicales, fue retomado en su tesis en 1926, la cual se abocó al estudio de los contratos colectivos de trabajo (</w:t>
      </w:r>
      <w:proofErr w:type="spellStart"/>
      <w:r>
        <w:rPr>
          <w:rFonts w:ascii="Times New Roman" w:eastAsia="Times New Roman" w:hAnsi="Times New Roman" w:cs="Times New Roman"/>
        </w:rPr>
        <w:t>Riguera</w:t>
      </w:r>
      <w:proofErr w:type="spellEnd"/>
      <w:r>
        <w:rPr>
          <w:rFonts w:ascii="Times New Roman" w:eastAsia="Times New Roman" w:hAnsi="Times New Roman" w:cs="Times New Roman"/>
        </w:rPr>
        <w:t xml:space="preserve">, 1926). </w:t>
      </w:r>
    </w:p>
    <w:p w14:paraId="71FDB1D4" w14:textId="77777777" w:rsidR="00E70760" w:rsidRDefault="00E70760" w:rsidP="00E25612">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Tal como se advierte en estos casos, la formación académica no solo beneficiaba la función propagandística, sino que contribuía a formar una opinión letrada al servicio de la agenda política y legislativa del partido y a capacitar a los universitarios para el desarrollo de una eventual carrera en esos espacios. Ambas funciones se observan en las tesis de doctorado de los militantes del CUR que hemos podido identificar. De un conjunto de 32 tesis se advierte un marcado predominio de los temas políticos y de derecho constitucional. Como analizó </w:t>
      </w:r>
      <w:proofErr w:type="spellStart"/>
      <w:r>
        <w:rPr>
          <w:rFonts w:ascii="Times New Roman" w:eastAsia="Times New Roman" w:hAnsi="Times New Roman" w:cs="Times New Roman"/>
        </w:rPr>
        <w:t>Buchbinder</w:t>
      </w:r>
      <w:proofErr w:type="spellEnd"/>
      <w:r>
        <w:rPr>
          <w:rFonts w:ascii="Times New Roman" w:eastAsia="Times New Roman" w:hAnsi="Times New Roman" w:cs="Times New Roman"/>
        </w:rPr>
        <w:t xml:space="preserve"> estas ramas eran incentivadas desde la Facultad como propuestas formativas para superar la crisis institucional en el ejercicio de la representación política y la impronta profesionalista en el perfil de los egresados pero que, no obstante, no lograban desplazar a los temas de derecho comercial, civil y penal, que se vinculaban al ejercicio de liberal de la abogacía y eran predominantes dentro de las tesis de jurisprudencia (2012). En contraste con esta tendencia profesionalista, la función de capacitación para el ejercicio legislativo se advierte en las tesis de los militantes del CUR que abordaron el funcionamiento del parlamento y sus relaciones con el ejecutivo como las de Roberto M. Berho, Aristóbulo Durañona y José Camilo </w:t>
      </w:r>
      <w:proofErr w:type="spellStart"/>
      <w:r>
        <w:rPr>
          <w:rFonts w:ascii="Times New Roman" w:eastAsia="Times New Roman" w:hAnsi="Times New Roman" w:cs="Times New Roman"/>
        </w:rPr>
        <w:t>Crotto</w:t>
      </w:r>
      <w:proofErr w:type="spellEnd"/>
      <w:r>
        <w:rPr>
          <w:rFonts w:ascii="Times New Roman" w:eastAsia="Times New Roman" w:hAnsi="Times New Roman" w:cs="Times New Roman"/>
        </w:rPr>
        <w:t xml:space="preserve"> (h), que versaron respectivamente sobre los privilegios y periodos parlamentarios (Berho, 1917; Durañona, 1917; </w:t>
      </w:r>
      <w:proofErr w:type="spellStart"/>
      <w:r>
        <w:rPr>
          <w:rFonts w:ascii="Times New Roman" w:eastAsia="Times New Roman" w:hAnsi="Times New Roman" w:cs="Times New Roman"/>
        </w:rPr>
        <w:t>Crotto</w:t>
      </w:r>
      <w:proofErr w:type="spellEnd"/>
      <w:r>
        <w:rPr>
          <w:rFonts w:ascii="Times New Roman" w:eastAsia="Times New Roman" w:hAnsi="Times New Roman" w:cs="Times New Roman"/>
        </w:rPr>
        <w:t xml:space="preserve">, 1922). </w:t>
      </w:r>
    </w:p>
    <w:p w14:paraId="2C9C015C" w14:textId="77777777" w:rsidR="00E70760" w:rsidRDefault="00E70760" w:rsidP="00E25612">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Por otro lado, la función de elaboración teórica sobre los temas de la agenda legislativa del radicalismo se desarrolló de manera más específica en otro conjunto de tesis. Así, aún sobre un tema de derecho laboral que podría vincularse al ejercicio liberal de la profesión, la citada tesis de </w:t>
      </w:r>
      <w:proofErr w:type="spellStart"/>
      <w:r>
        <w:rPr>
          <w:rFonts w:ascii="Times New Roman" w:eastAsia="Times New Roman" w:hAnsi="Times New Roman" w:cs="Times New Roman"/>
        </w:rPr>
        <w:t>Riguera</w:t>
      </w:r>
      <w:proofErr w:type="spellEnd"/>
      <w:r>
        <w:rPr>
          <w:rFonts w:ascii="Times New Roman" w:eastAsia="Times New Roman" w:hAnsi="Times New Roman" w:cs="Times New Roman"/>
        </w:rPr>
        <w:t xml:space="preserve"> sobre los contratos colectivos de trabajo ilustra esta función, que se replica además en las tesis de Elbio Rossi Montero (presidente del CUR de la sección de Derecho en 1919 y luego uno de los miembros fundadores de la JURI en 1923) y de Juan Prat (vicepresidente del CUR de derecho entre 1917-1918). En paralelo a la acción propagandística callejera desarrollada por Watson y posiblemente por ellos mismo sobre el proyecto del poder ejecutivo relativo al impuesto a la renta, ambos estudiantes dedicaron sus tesis a ese asunto y analizaron y defendieron aspectos de ese proyecto y de la comisión legislativa a cargo de analizarlo, presidida por el diputado radical Víctor Molina (Rossi Montero, 1919; Prat, 1920). </w:t>
      </w:r>
    </w:p>
    <w:p w14:paraId="59BCE12F" w14:textId="306ED6AB" w:rsidR="00E70760" w:rsidRDefault="00E70760" w:rsidP="00E25612">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La elaboración teórica de temas de actualidad no solo se ejerció en la defensa de proyectos legislativos, sino que también estuvo vinculada al desarrollo de conflictos políticos del momento. En este sentido, el conflicto sostenido, desde mediados de 1917, entre el Poder Ejecutivo y el Senado (por el rechazo de esta cámara a la solicitud Yrigoyen de aprobación de los nombramientos para integrar la Comisión Municipal) dio lugar a un análisis comparado de legislaciones y de jurisprudencia, en un conjunto de tesis que versaron sobre el “Alcance del inciso 22 del artículo 86 de la Constitución Nacional” (relativo a los nombramientos de empleados con el acuerdo del Senado). A partir de este conflicto, la activa militancia que desplegaron los integrantes del CUR en la organización de una columna universitaria en una manifestación cívica en apoyo a la postura del </w:t>
      </w:r>
      <w:r>
        <w:rPr>
          <w:rFonts w:ascii="Times New Roman" w:eastAsia="Times New Roman" w:hAnsi="Times New Roman" w:cs="Times New Roman"/>
        </w:rPr>
        <w:lastRenderedPageBreak/>
        <w:t>gobierno,</w:t>
      </w:r>
      <w:r>
        <w:rPr>
          <w:rFonts w:ascii="Times New Roman" w:eastAsia="Times New Roman" w:hAnsi="Times New Roman" w:cs="Times New Roman"/>
          <w:vertAlign w:val="superscript"/>
        </w:rPr>
        <w:footnoteReference w:id="21"/>
      </w:r>
      <w:r>
        <w:rPr>
          <w:rFonts w:ascii="Times New Roman" w:eastAsia="Times New Roman" w:hAnsi="Times New Roman" w:cs="Times New Roman"/>
        </w:rPr>
        <w:t xml:space="preserve"> tuvo su correlato teórico en la elaboración de la tesis de Eduardo Madariaga, quien como presidente del CUR en 1917 (Tabla 2) seguramente participó de esa manifestación. Asimismo, la defensa de la postura del ejecutivo que desarrolló Madariaga se replicó en las tesis de Felipe Diaz y Manuel Rodríguez Ocampo (quienes no figuran en nuestros registros de militantes del CUR) y, probablemente, en la de Oscar Bacigalupi (vocal, empadronador y delegado del CUR de la sección de derecho en 1917) sobre el mismo tema (Diaz, 1918; Rodríguez Ocampo, 1919).</w:t>
      </w:r>
      <w:r>
        <w:rPr>
          <w:rFonts w:ascii="Times New Roman" w:eastAsia="Times New Roman" w:hAnsi="Times New Roman" w:cs="Times New Roman"/>
          <w:vertAlign w:val="superscript"/>
        </w:rPr>
        <w:footnoteReference w:id="22"/>
      </w:r>
      <w:r>
        <w:rPr>
          <w:rFonts w:ascii="Times New Roman" w:eastAsia="Times New Roman" w:hAnsi="Times New Roman" w:cs="Times New Roman"/>
        </w:rPr>
        <w:t xml:space="preserve"> Sin embargo, la injerencia de la política dentro de una instancia de reflexión académica que se observa en estas tesis no fue exclusiva de los estudiantes radicales, sino que también se replicó en otras</w:t>
      </w:r>
      <w:r w:rsidR="0009452B">
        <w:rPr>
          <w:rFonts w:ascii="Times New Roman" w:eastAsia="Times New Roman" w:hAnsi="Times New Roman" w:cs="Times New Roman"/>
        </w:rPr>
        <w:t xml:space="preserve"> cuatro</w:t>
      </w:r>
      <w:r>
        <w:rPr>
          <w:rFonts w:ascii="Times New Roman" w:eastAsia="Times New Roman" w:hAnsi="Times New Roman" w:cs="Times New Roman"/>
        </w:rPr>
        <w:t xml:space="preserve"> tesis que elaboraron una interpretación distinta de la legislación y del derecho comparado para rectificar la posición del Senado y condenar la del Ejecutivo, en relación con las facultades para definir la composición de la Comisión Municipal. De este modo, considerando la existencia de actos públicos de la oposición en apoyo a la postura del Senado en paralelo a la manifestación radical (</w:t>
      </w:r>
      <w:proofErr w:type="spellStart"/>
      <w:r>
        <w:rPr>
          <w:rFonts w:ascii="Times New Roman" w:eastAsia="Times New Roman" w:hAnsi="Times New Roman" w:cs="Times New Roman"/>
        </w:rPr>
        <w:t>Mustapic</w:t>
      </w:r>
      <w:proofErr w:type="spellEnd"/>
      <w:r>
        <w:rPr>
          <w:rFonts w:ascii="Times New Roman" w:eastAsia="Times New Roman" w:hAnsi="Times New Roman" w:cs="Times New Roman"/>
        </w:rPr>
        <w:t>, 1984:96), estos casos quizá también sean representativos de la doble praxis (a la vez cívico- callejera y universitaria- teórica) que identificamos en los militantes del CUR de derecho y de la circulación de saberes y prácticas entre la universidad y el campo político que analizamos en sus trayectorias.</w:t>
      </w:r>
    </w:p>
    <w:p w14:paraId="3E17AD01" w14:textId="77777777" w:rsidR="00E70760" w:rsidRDefault="00E70760" w:rsidP="00E7076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Conclusiones</w:t>
      </w:r>
    </w:p>
    <w:p w14:paraId="2D54CC8A" w14:textId="77777777" w:rsidR="00E70760" w:rsidRDefault="00E70760" w:rsidP="00E2561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 partir de investigaciones previas sobre el accionar político y colectivo del CUR, el análisis de las trayectorias desarrollado en esta ponencia ha permitido profundizar y reconstruir distintas facetas del desempeño propiamente universitario (aunque vinculado a la política) de sus militantes en la UBA. Este rastreo a la vez que ha confirmado esa adscripción universitaria que distingue a esta agrupación y a sus miembros de los demás comités de amplia red del radicalismo metropolitano, constituye un primer acercamiento a un estudio más amplio de los elencos político- universitarios de ese partido y de la relación entre universidad y política durante el periodo de la primera experiencia democrática (1912-1930). En esta primera aproximación hemos podido advertir algunas tendencias e hipótesis sobre esa la relación, que no obstante se hallan sujetas a un trabajo de verificación y ordenamiento de datos empíricos aún en progreso. </w:t>
      </w:r>
    </w:p>
    <w:p w14:paraId="2937A76C" w14:textId="589CDF34" w:rsidR="00E70760" w:rsidRDefault="00E70760" w:rsidP="00E2561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Por un lado, las vinculaciones analizadas entre ambos campos si bien responden a novedades de la experiencia democrática y a la mayor intensidad del proceso de profesionalización de la política, no resultan del todo novedosas si se consideran antecedentes de esa relación y las modulaciones “paulatinas, complejas y nunca no lineales” de ese proceso (Ferrari, 2008: 21). Así, hemos podido advertir una continuidad en las funciones y espacios de sociabilidad política que se ejercían desde la universidad y las agrupaciones estudiantiles, en las cuales se seguían operando instancias de aprendizaje y vinculación política. Al mismo tiempo, la especialización académica y el acompasamiento de los estudios con el desarrollo posterior de carreras políticas tampoco </w:t>
      </w:r>
      <w:r>
        <w:rPr>
          <w:rFonts w:ascii="Times New Roman" w:eastAsia="Times New Roman" w:hAnsi="Times New Roman" w:cs="Times New Roman"/>
        </w:rPr>
        <w:lastRenderedPageBreak/>
        <w:t>constituyó una novedad, de acuerdo a las tendencias (</w:t>
      </w:r>
      <w:r w:rsidRPr="00FA2B14">
        <w:rPr>
          <w:rFonts w:ascii="Times New Roman" w:eastAsia="Times New Roman" w:hAnsi="Times New Roman" w:cs="Times New Roman"/>
        </w:rPr>
        <w:t>si bien no extendidas entre el estudiantado de derecho)</w:t>
      </w:r>
      <w:r>
        <w:rPr>
          <w:rFonts w:ascii="Times New Roman" w:eastAsia="Times New Roman" w:hAnsi="Times New Roman" w:cs="Times New Roman"/>
        </w:rPr>
        <w:t xml:space="preserve"> que se observan en la elaboración de las tesis desde principios de siglo y en la función o vocación pública de sus temáticas (</w:t>
      </w:r>
      <w:proofErr w:type="spellStart"/>
      <w:r>
        <w:rPr>
          <w:rFonts w:ascii="Times New Roman" w:eastAsia="Times New Roman" w:hAnsi="Times New Roman" w:cs="Times New Roman"/>
        </w:rPr>
        <w:t>Buchbinder</w:t>
      </w:r>
      <w:proofErr w:type="spellEnd"/>
      <w:r>
        <w:rPr>
          <w:rFonts w:ascii="Times New Roman" w:eastAsia="Times New Roman" w:hAnsi="Times New Roman" w:cs="Times New Roman"/>
        </w:rPr>
        <w:t>, 2012</w:t>
      </w:r>
      <w:r w:rsidR="00082FE4">
        <w:rPr>
          <w:rFonts w:ascii="Times New Roman" w:eastAsia="Times New Roman" w:hAnsi="Times New Roman" w:cs="Times New Roman"/>
        </w:rPr>
        <w:t>)</w:t>
      </w:r>
      <w:r>
        <w:rPr>
          <w:rFonts w:ascii="Times New Roman" w:eastAsia="Times New Roman" w:hAnsi="Times New Roman" w:cs="Times New Roman"/>
        </w:rPr>
        <w:t xml:space="preserve">. La misma composición de las ternas temáticas, elaborada por el cuerpo docente, revela esa continuidad y la relación entre política y universidad, tal como se observa el caso analizado sobre la Comisión Municipal. Sin embargo, la incidencia de la experiencia democrática, sumada al proceso de ampliación moderada de la matrícula, contribuyeron a hacer más dinámicas y diversas estas funciones a través de instancias electorales más competitivas (dentro y fuera de la universidad) y de nuevas modalidades de elaboración y difusión de los capitales universitarios en un sentido más horizontal en servicio de la oratoria, la propaganda y la promoción de proyectos legislativos en la esfera pública, barrial y comicial.   </w:t>
      </w:r>
    </w:p>
    <w:p w14:paraId="544B704F" w14:textId="4D2274EC" w:rsidR="00BC236F" w:rsidRPr="00E25612" w:rsidRDefault="00E70760" w:rsidP="007B5B5F">
      <w:pPr>
        <w:spacing w:line="240" w:lineRule="auto"/>
        <w:jc w:val="both"/>
        <w:rPr>
          <w:rFonts w:ascii="Times New Roman" w:eastAsia="Times New Roman" w:hAnsi="Times New Roman" w:cs="Times New Roman"/>
        </w:rPr>
      </w:pPr>
      <w:r>
        <w:rPr>
          <w:rFonts w:ascii="Times New Roman" w:eastAsia="Times New Roman" w:hAnsi="Times New Roman" w:cs="Times New Roman"/>
        </w:rPr>
        <w:tab/>
        <w:t>Por otro lado, nuestra hipótesis inicial sobre la relación entre el proceso de profesionalización de la política y la universidad se confirma parcialmente, en tanto que, si bien estas nuevas formas de hacer política se beneficiaron de los saberes universitarios e incluso de las estrategias de legitimación profesional de los cuerpos de graduados (como se observa en el caso de los consultorios), las tendencias “profesionales” en función del ejercicio liberal de la abogacía subsistieron y se desarrollan en relación con el proceso de ampliación de la matrícula. Finalmente, la relación observada entre las trayectorias analizadas con las redes de sociabilidad del reformismo nacionalista (Bustelo, 2022), nos permitió dar cuenta de un tipo de militancia estudiantil novedosa que difiere al mismo tiempo de las modalidades de intervención intelectual propias de ese movimiento y de otros intereses que no son los inmediatos de la política partidaria, a la cual esta militancia también adscribía. Sin embargo, si bien esta red de sociabilidad resulta expresiva de intereses culturales y políticos que animaban la participación estudiantil en torno al radicalismo y al nacionalismo (intereses que tendrán incidencia posterior en el derrotero de nuevas camadas juveniles radicales a finales de los años veinte), su acotado desarrollo inicial también revela las limitaciones y dificultades de estos cuadros para conjugar un rol intelectual dentro del partido.</w:t>
      </w:r>
    </w:p>
    <w:p w14:paraId="39B57161" w14:textId="206E165E" w:rsidR="005F3B2E" w:rsidRPr="00BA642E" w:rsidRDefault="00E25612" w:rsidP="007B5B5F">
      <w:pPr>
        <w:spacing w:line="240" w:lineRule="auto"/>
        <w:rPr>
          <w:rFonts w:ascii="Times New Roman" w:hAnsi="Times New Roman" w:cs="Times New Roman"/>
          <w:b/>
          <w:bCs/>
        </w:rPr>
      </w:pPr>
      <w:r w:rsidRPr="00BA642E">
        <w:rPr>
          <w:rFonts w:ascii="Times New Roman" w:hAnsi="Times New Roman" w:cs="Times New Roman"/>
          <w:b/>
          <w:bCs/>
        </w:rPr>
        <w:t>Bibliogr</w:t>
      </w:r>
      <w:r>
        <w:rPr>
          <w:rFonts w:ascii="Times New Roman" w:hAnsi="Times New Roman" w:cs="Times New Roman"/>
          <w:b/>
          <w:bCs/>
        </w:rPr>
        <w:t>afía</w:t>
      </w:r>
      <w:r w:rsidR="005F3B2E" w:rsidRPr="00BA642E">
        <w:rPr>
          <w:rFonts w:ascii="Times New Roman" w:hAnsi="Times New Roman" w:cs="Times New Roman"/>
          <w:b/>
          <w:bCs/>
        </w:rPr>
        <w:t xml:space="preserve"> </w:t>
      </w:r>
    </w:p>
    <w:p w14:paraId="237E45C2" w14:textId="77777777" w:rsidR="00E70760" w:rsidRDefault="00E70760" w:rsidP="00E25612">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Araujo, E. (1988). </w:t>
      </w:r>
      <w:r>
        <w:rPr>
          <w:rFonts w:ascii="Times New Roman" w:eastAsia="Times New Roman" w:hAnsi="Times New Roman" w:cs="Times New Roman"/>
          <w:i/>
          <w:iCs/>
        </w:rPr>
        <w:t>De Yrigoyen a Perón: dos varones ilustres de Plutarco</w:t>
      </w:r>
      <w:r>
        <w:rPr>
          <w:rFonts w:ascii="Times New Roman" w:eastAsia="Times New Roman" w:hAnsi="Times New Roman" w:cs="Times New Roman"/>
        </w:rPr>
        <w:t xml:space="preserve">. </w:t>
      </w:r>
      <w:proofErr w:type="spellStart"/>
      <w:r>
        <w:rPr>
          <w:rFonts w:ascii="Times New Roman" w:eastAsia="Times New Roman" w:hAnsi="Times New Roman" w:cs="Times New Roman"/>
        </w:rPr>
        <w:t>Ergón</w:t>
      </w:r>
      <w:proofErr w:type="spellEnd"/>
      <w:r>
        <w:rPr>
          <w:rFonts w:ascii="Times New Roman" w:eastAsia="Times New Roman" w:hAnsi="Times New Roman" w:cs="Times New Roman"/>
        </w:rPr>
        <w:t>.</w:t>
      </w:r>
    </w:p>
    <w:p w14:paraId="3E46DA40" w14:textId="77777777" w:rsidR="00E70760" w:rsidRDefault="00E70760" w:rsidP="00E25612">
      <w:pPr>
        <w:spacing w:after="0"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Buchbinder</w:t>
      </w:r>
      <w:proofErr w:type="spellEnd"/>
      <w:r>
        <w:rPr>
          <w:rFonts w:ascii="Times New Roman" w:eastAsia="Times New Roman" w:hAnsi="Times New Roman" w:cs="Times New Roman"/>
        </w:rPr>
        <w:t xml:space="preserve">, P. (2012) Formación de los sectores dirigentes y controversias políticas en el ámbito universitario: el caso de las Facultades de Derecho, 1890-1912. </w:t>
      </w:r>
      <w:r>
        <w:rPr>
          <w:rFonts w:ascii="Times New Roman" w:eastAsia="Times New Roman" w:hAnsi="Times New Roman" w:cs="Times New Roman"/>
          <w:i/>
          <w:iCs/>
        </w:rPr>
        <w:t>Boletín del Instituto de Historia Argentina y Americana Dr. Emilio Ravignani</w:t>
      </w:r>
      <w:r>
        <w:rPr>
          <w:rFonts w:ascii="Times New Roman" w:eastAsia="Times New Roman" w:hAnsi="Times New Roman" w:cs="Times New Roman"/>
        </w:rPr>
        <w:t xml:space="preserve"> (37), 115-142.</w:t>
      </w:r>
    </w:p>
    <w:p w14:paraId="3F2F9A9F" w14:textId="77777777" w:rsidR="00E70760" w:rsidRDefault="00E70760" w:rsidP="00E25612">
      <w:pPr>
        <w:spacing w:after="0"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Buchbinder</w:t>
      </w:r>
      <w:proofErr w:type="spellEnd"/>
      <w:r>
        <w:rPr>
          <w:rFonts w:ascii="Times New Roman" w:eastAsia="Times New Roman" w:hAnsi="Times New Roman" w:cs="Times New Roman"/>
        </w:rPr>
        <w:t xml:space="preserve">, P. (2018) La Reforma Universitaria en vísperas de su centenario: notas sobre su historiografía. </w:t>
      </w:r>
      <w:r>
        <w:rPr>
          <w:rFonts w:ascii="Times New Roman" w:eastAsia="Times New Roman" w:hAnsi="Times New Roman" w:cs="Times New Roman"/>
          <w:i/>
          <w:iCs/>
        </w:rPr>
        <w:t>Boletín del Instituto de Historia Argentina y Americana “Dr. Emilio Ravignani”</w:t>
      </w:r>
      <w:r>
        <w:rPr>
          <w:rFonts w:ascii="Times New Roman" w:eastAsia="Times New Roman" w:hAnsi="Times New Roman" w:cs="Times New Roman"/>
        </w:rPr>
        <w:t>, (49), pp. 176-196.</w:t>
      </w:r>
    </w:p>
    <w:p w14:paraId="204BA9A5" w14:textId="77777777" w:rsidR="00E70760" w:rsidRDefault="00E70760" w:rsidP="00E25612">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color w:val="000000"/>
        </w:rPr>
        <w:t xml:space="preserve">Bustelo, N. (2016). </w:t>
      </w:r>
      <w:r>
        <w:rPr>
          <w:rFonts w:ascii="Times New Roman" w:eastAsia="Times New Roman" w:hAnsi="Times New Roman" w:cs="Times New Roman"/>
        </w:rPr>
        <w:t xml:space="preserve">Derecho, extensión universitaria y revolución social. La Reforma Universitaria en la Facultad de Derecho y Ciencias Sociales de la Universidad de Buenos Aires (1918-1930). </w:t>
      </w:r>
      <w:r>
        <w:rPr>
          <w:rFonts w:ascii="Times New Roman" w:eastAsia="Times New Roman" w:hAnsi="Times New Roman" w:cs="Times New Roman"/>
          <w:i/>
          <w:iCs/>
        </w:rPr>
        <w:t>Revista Conflicto Social</w:t>
      </w:r>
      <w:r>
        <w:rPr>
          <w:rFonts w:ascii="Times New Roman" w:eastAsia="Times New Roman" w:hAnsi="Times New Roman" w:cs="Times New Roman"/>
        </w:rPr>
        <w:t>, 9 (16), pp. 60-90.</w:t>
      </w:r>
    </w:p>
    <w:p w14:paraId="11B7D74A" w14:textId="77777777" w:rsidR="00E70760" w:rsidRDefault="00E70760" w:rsidP="00E25612">
      <w:pPr>
        <w:spacing w:after="0" w:line="240" w:lineRule="auto"/>
        <w:ind w:left="720" w:hanging="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Bullrich, E. (1918). Memoria de la Presidencia Bullrich. Periodo 1917- 1918. </w:t>
      </w:r>
      <w:r>
        <w:rPr>
          <w:rFonts w:ascii="Times New Roman" w:eastAsia="Times New Roman" w:hAnsi="Times New Roman" w:cs="Times New Roman"/>
          <w:i/>
          <w:iCs/>
          <w:color w:val="000000"/>
        </w:rPr>
        <w:t>Themis. Órgano del Centro de Estudiantes de Derecho y Ciencias Sociales</w:t>
      </w:r>
      <w:r>
        <w:rPr>
          <w:rFonts w:ascii="Times New Roman" w:eastAsia="Times New Roman" w:hAnsi="Times New Roman" w:cs="Times New Roman"/>
          <w:color w:val="000000"/>
        </w:rPr>
        <w:t>, XI (70), pp. 165-174.</w:t>
      </w:r>
    </w:p>
    <w:p w14:paraId="54CAFC23" w14:textId="77777777" w:rsidR="00E70760" w:rsidRDefault="00E70760" w:rsidP="00E25612">
      <w:pPr>
        <w:spacing w:after="0" w:line="240" w:lineRule="auto"/>
        <w:ind w:left="720" w:hanging="720"/>
        <w:jc w:val="both"/>
        <w:rPr>
          <w:rFonts w:ascii="Times New Roman" w:eastAsia="Times New Roman" w:hAnsi="Times New Roman" w:cs="Times New Roman"/>
          <w:color w:val="000000"/>
        </w:rPr>
      </w:pPr>
      <w:r>
        <w:rPr>
          <w:rFonts w:ascii="Times New Roman" w:eastAsia="Times New Roman" w:hAnsi="Times New Roman" w:cs="Times New Roman"/>
        </w:rPr>
        <w:lastRenderedPageBreak/>
        <w:t xml:space="preserve">Bustelo, N. (2021). </w:t>
      </w:r>
      <w:r>
        <w:rPr>
          <w:rFonts w:ascii="Times New Roman" w:eastAsia="Times New Roman" w:hAnsi="Times New Roman" w:cs="Times New Roman"/>
          <w:i/>
          <w:iCs/>
        </w:rPr>
        <w:t>Inventar a la juventud universitaria. Una historia político-cultural del movimiento argentino de la Reforma Universitaria (1900-1930)</w:t>
      </w:r>
      <w:r>
        <w:rPr>
          <w:rFonts w:ascii="Times New Roman" w:eastAsia="Times New Roman" w:hAnsi="Times New Roman" w:cs="Times New Roman"/>
        </w:rPr>
        <w:t>. Eudeba.</w:t>
      </w:r>
      <w:r>
        <w:rPr>
          <w:rFonts w:ascii="Times New Roman" w:eastAsia="Times New Roman" w:hAnsi="Times New Roman" w:cs="Times New Roman"/>
          <w:color w:val="000000"/>
        </w:rPr>
        <w:t xml:space="preserve"> </w:t>
      </w:r>
    </w:p>
    <w:p w14:paraId="0A37A4C8" w14:textId="77777777" w:rsidR="00E70760" w:rsidRDefault="00E70760" w:rsidP="00E25612">
      <w:pPr>
        <w:spacing w:after="0" w:line="240" w:lineRule="auto"/>
        <w:ind w:left="720" w:hanging="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Candioti</w:t>
      </w:r>
      <w:proofErr w:type="spellEnd"/>
      <w:r>
        <w:rPr>
          <w:rFonts w:ascii="Times New Roman" w:eastAsia="Times New Roman" w:hAnsi="Times New Roman" w:cs="Times New Roman"/>
          <w:color w:val="000000"/>
        </w:rPr>
        <w:t xml:space="preserve">, M. (1920). </w:t>
      </w:r>
      <w:r>
        <w:rPr>
          <w:rFonts w:ascii="Times New Roman" w:eastAsia="Times New Roman" w:hAnsi="Times New Roman" w:cs="Times New Roman"/>
          <w:color w:val="000000"/>
        </w:rPr>
        <w:tab/>
      </w:r>
      <w:r>
        <w:rPr>
          <w:rFonts w:ascii="Times New Roman" w:eastAsia="Times New Roman" w:hAnsi="Times New Roman" w:cs="Times New Roman"/>
          <w:i/>
          <w:iCs/>
          <w:color w:val="000000"/>
        </w:rPr>
        <w:t>Bibliografía doctoral de la Universidad de Buenos Aires y catálogo cronológico de las tesis en su primer centenario</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S.n</w:t>
      </w:r>
      <w:proofErr w:type="spellEnd"/>
      <w:r>
        <w:rPr>
          <w:rFonts w:ascii="Times New Roman" w:eastAsia="Times New Roman" w:hAnsi="Times New Roman" w:cs="Times New Roman"/>
          <w:color w:val="000000"/>
        </w:rPr>
        <w:t xml:space="preserve"> </w:t>
      </w:r>
    </w:p>
    <w:p w14:paraId="13B94CDF" w14:textId="77777777" w:rsidR="00E70760" w:rsidRDefault="00E70760" w:rsidP="00E25612">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Carreño, L. (2020). </w:t>
      </w:r>
      <w:r>
        <w:rPr>
          <w:rFonts w:ascii="Times New Roman" w:eastAsia="Times New Roman" w:hAnsi="Times New Roman" w:cs="Times New Roman"/>
          <w:i/>
          <w:iCs/>
        </w:rPr>
        <w:t>Los estudiantes universitarios en tiempos de reformas. Sociabilidad y vida estudiantil en la universidad porteña (1900- 1930).</w:t>
      </w:r>
      <w:r>
        <w:rPr>
          <w:rFonts w:ascii="Times New Roman" w:eastAsia="Times New Roman" w:hAnsi="Times New Roman" w:cs="Times New Roman"/>
        </w:rPr>
        <w:t xml:space="preserve"> Eudeba.</w:t>
      </w:r>
    </w:p>
    <w:p w14:paraId="46C6D40A" w14:textId="77777777" w:rsidR="00E70760" w:rsidRDefault="00E70760" w:rsidP="00E25612">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Carreño, L. (2022). Modalidades de intervención intelectual en torno a la extensión universitaria en la Universidad de Buenos Aires. En N. C. De Olivera, C. </w:t>
      </w:r>
      <w:proofErr w:type="spellStart"/>
      <w:r>
        <w:rPr>
          <w:rFonts w:ascii="Times New Roman" w:eastAsia="Times New Roman" w:hAnsi="Times New Roman" w:cs="Times New Roman"/>
        </w:rPr>
        <w:t>Suasnábar</w:t>
      </w:r>
      <w:proofErr w:type="spellEnd"/>
      <w:r>
        <w:rPr>
          <w:rFonts w:ascii="Times New Roman" w:eastAsia="Times New Roman" w:hAnsi="Times New Roman" w:cs="Times New Roman"/>
        </w:rPr>
        <w:t xml:space="preserve"> &amp; M. J Weber (</w:t>
      </w:r>
      <w:proofErr w:type="spellStart"/>
      <w:r>
        <w:rPr>
          <w:rFonts w:ascii="Times New Roman" w:eastAsia="Times New Roman" w:hAnsi="Times New Roman" w:cs="Times New Roman"/>
        </w:rPr>
        <w:t>orgs</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 xml:space="preserve">Os </w:t>
      </w:r>
      <w:proofErr w:type="spellStart"/>
      <w:r>
        <w:rPr>
          <w:rFonts w:ascii="Times New Roman" w:eastAsia="Times New Roman" w:hAnsi="Times New Roman" w:cs="Times New Roman"/>
          <w:i/>
          <w:iCs/>
        </w:rPr>
        <w:t>intelectuais</w:t>
      </w:r>
      <w:proofErr w:type="spellEnd"/>
      <w:r>
        <w:rPr>
          <w:rFonts w:ascii="Times New Roman" w:eastAsia="Times New Roman" w:hAnsi="Times New Roman" w:cs="Times New Roman"/>
          <w:i/>
          <w:iCs/>
        </w:rPr>
        <w:t xml:space="preserve"> em contextos </w:t>
      </w:r>
      <w:proofErr w:type="spellStart"/>
      <w:r>
        <w:rPr>
          <w:rFonts w:ascii="Times New Roman" w:eastAsia="Times New Roman" w:hAnsi="Times New Roman" w:cs="Times New Roman"/>
          <w:i/>
          <w:iCs/>
        </w:rPr>
        <w:t>Nacionais</w:t>
      </w:r>
      <w:proofErr w:type="spellEnd"/>
      <w:r>
        <w:rPr>
          <w:rFonts w:ascii="Times New Roman" w:eastAsia="Times New Roman" w:hAnsi="Times New Roman" w:cs="Times New Roman"/>
          <w:i/>
          <w:iCs/>
        </w:rPr>
        <w:t xml:space="preserve"> e </w:t>
      </w:r>
      <w:proofErr w:type="spellStart"/>
      <w:r>
        <w:rPr>
          <w:rFonts w:ascii="Times New Roman" w:eastAsia="Times New Roman" w:hAnsi="Times New Roman" w:cs="Times New Roman"/>
          <w:i/>
          <w:iCs/>
        </w:rPr>
        <w:t>Internacionais</w:t>
      </w:r>
      <w:proofErr w:type="spellEnd"/>
      <w:r>
        <w:rPr>
          <w:rFonts w:ascii="Times New Roman" w:eastAsia="Times New Roman" w:hAnsi="Times New Roman" w:cs="Times New Roman"/>
          <w:i/>
          <w:iCs/>
        </w:rPr>
        <w:t xml:space="preserve"> </w:t>
      </w:r>
      <w:r>
        <w:rPr>
          <w:rFonts w:ascii="Times New Roman" w:eastAsia="Times New Roman" w:hAnsi="Times New Roman" w:cs="Times New Roman"/>
        </w:rPr>
        <w:t xml:space="preserve">(pp. 492 - 524). Editora Fi. </w:t>
      </w:r>
    </w:p>
    <w:p w14:paraId="54C152FB" w14:textId="77777777" w:rsidR="00E70760" w:rsidRDefault="00E70760" w:rsidP="00E25612">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Carreño, L. (2023). Entre el partido, la universidad y la Reforma. La constitución del Comité Universitario Radical en Buenos Aires (1915-1922). </w:t>
      </w:r>
      <w:proofErr w:type="spellStart"/>
      <w:r>
        <w:rPr>
          <w:rFonts w:ascii="Times New Roman" w:eastAsia="Times New Roman" w:hAnsi="Times New Roman" w:cs="Times New Roman"/>
          <w:i/>
          <w:iCs/>
        </w:rPr>
        <w:t>Prohistoria</w:t>
      </w:r>
      <w:proofErr w:type="spellEnd"/>
      <w:r>
        <w:rPr>
          <w:rFonts w:ascii="Times New Roman" w:eastAsia="Times New Roman" w:hAnsi="Times New Roman" w:cs="Times New Roman"/>
        </w:rPr>
        <w:t>, XXVI (40).</w:t>
      </w:r>
    </w:p>
    <w:p w14:paraId="17994EBD" w14:textId="77777777" w:rsidR="00E70760" w:rsidRDefault="00E70760" w:rsidP="00E25612">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Carreño, L. (2024). “Somos la juventud y el partido necesita la afluencia de la juventud”. Las juventudes radicales y reformistas en los años veinte. </w:t>
      </w:r>
      <w:r>
        <w:rPr>
          <w:rFonts w:ascii="Times New Roman" w:eastAsia="Times New Roman" w:hAnsi="Times New Roman" w:cs="Times New Roman"/>
          <w:i/>
          <w:iCs/>
        </w:rPr>
        <w:t>Estudios del ISHIR</w:t>
      </w:r>
      <w:r>
        <w:rPr>
          <w:rFonts w:ascii="Times New Roman" w:eastAsia="Times New Roman" w:hAnsi="Times New Roman" w:cs="Times New Roman"/>
        </w:rPr>
        <w:t>, 14 (38).</w:t>
      </w:r>
    </w:p>
    <w:p w14:paraId="77F9BA93" w14:textId="77777777" w:rsidR="00E70760" w:rsidRDefault="00E70760" w:rsidP="00E25612">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De </w:t>
      </w:r>
      <w:proofErr w:type="spellStart"/>
      <w:r>
        <w:rPr>
          <w:rFonts w:ascii="Times New Roman" w:eastAsia="Times New Roman" w:hAnsi="Times New Roman" w:cs="Times New Roman"/>
        </w:rPr>
        <w:t>Privitellio</w:t>
      </w:r>
      <w:proofErr w:type="spellEnd"/>
      <w:r>
        <w:rPr>
          <w:rFonts w:ascii="Times New Roman" w:eastAsia="Times New Roman" w:hAnsi="Times New Roman" w:cs="Times New Roman"/>
        </w:rPr>
        <w:t xml:space="preserve">, L. (2003). </w:t>
      </w:r>
      <w:r>
        <w:rPr>
          <w:rFonts w:ascii="Times New Roman" w:eastAsia="Times New Roman" w:hAnsi="Times New Roman" w:cs="Times New Roman"/>
          <w:i/>
          <w:iCs/>
        </w:rPr>
        <w:t>Vecinos y ciudadanos: política y sociedad en la Buenos Aires de entreguerras.</w:t>
      </w:r>
      <w:r>
        <w:rPr>
          <w:rFonts w:ascii="Times New Roman" w:eastAsia="Times New Roman" w:hAnsi="Times New Roman" w:cs="Times New Roman"/>
        </w:rPr>
        <w:t xml:space="preserve"> Siglo XXI.</w:t>
      </w:r>
    </w:p>
    <w:p w14:paraId="427785D3" w14:textId="77777777" w:rsidR="00E70760" w:rsidRDefault="00E70760" w:rsidP="00E25612">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Devoto, F. (2005). </w:t>
      </w:r>
      <w:r>
        <w:rPr>
          <w:rFonts w:ascii="Times New Roman" w:eastAsia="Times New Roman" w:hAnsi="Times New Roman" w:cs="Times New Roman"/>
          <w:i/>
          <w:iCs/>
        </w:rPr>
        <w:t>Nacionalismo, fascismo y tradicionalismo en la Argentina moderna, Una historia</w:t>
      </w:r>
      <w:r>
        <w:rPr>
          <w:rFonts w:ascii="Times New Roman" w:eastAsia="Times New Roman" w:hAnsi="Times New Roman" w:cs="Times New Roman"/>
        </w:rPr>
        <w:t>. Siglo XXI.</w:t>
      </w:r>
    </w:p>
    <w:p w14:paraId="7E55C332" w14:textId="77777777" w:rsidR="00E70760" w:rsidRDefault="00E70760" w:rsidP="00E25612">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Diaz, F. (1918). </w:t>
      </w:r>
      <w:r>
        <w:rPr>
          <w:rFonts w:ascii="Times New Roman" w:eastAsia="Times New Roman" w:hAnsi="Times New Roman" w:cs="Times New Roman"/>
          <w:i/>
          <w:iCs/>
        </w:rPr>
        <w:t xml:space="preserve">Alcance de la disposición del inciso 22 del artículo 86 de la Constitución Nacional. </w:t>
      </w:r>
      <w:r>
        <w:rPr>
          <w:rFonts w:ascii="Times New Roman" w:eastAsia="Times New Roman" w:hAnsi="Times New Roman" w:cs="Times New Roman"/>
        </w:rPr>
        <w:t>Tesis para optar al grado de doctor en Jurisprudencia por la Facultad de Derecho y Ciencias Sociales, Universidad de Buenos Aires.</w:t>
      </w:r>
    </w:p>
    <w:p w14:paraId="78D90822" w14:textId="77777777" w:rsidR="00E70760" w:rsidRDefault="00E70760" w:rsidP="00E25612">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Ferrari, M. (2008). </w:t>
      </w:r>
      <w:r>
        <w:rPr>
          <w:rFonts w:ascii="Times New Roman" w:eastAsia="Times New Roman" w:hAnsi="Times New Roman" w:cs="Times New Roman"/>
          <w:i/>
          <w:iCs/>
        </w:rPr>
        <w:t>Los políticos en la república radical. Prácticas políticas y construcción de poder</w:t>
      </w:r>
      <w:r>
        <w:rPr>
          <w:rFonts w:ascii="Times New Roman" w:eastAsia="Times New Roman" w:hAnsi="Times New Roman" w:cs="Times New Roman"/>
        </w:rPr>
        <w:t>. Siglo XXI.</w:t>
      </w:r>
      <w:r w:rsidRPr="009D6211">
        <w:rPr>
          <w:rFonts w:ascii="Times New Roman" w:eastAsia="Times New Roman" w:hAnsi="Times New Roman" w:cs="Times New Roman"/>
        </w:rPr>
        <w:t xml:space="preserve"> </w:t>
      </w:r>
    </w:p>
    <w:p w14:paraId="391A09C5" w14:textId="77777777" w:rsidR="00E70760" w:rsidRDefault="00E70760" w:rsidP="00E25612">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Frederic, S., Graciano O. &amp; Soprano, G. (2010) (coord.). </w:t>
      </w:r>
      <w:r>
        <w:rPr>
          <w:rFonts w:ascii="Times New Roman" w:eastAsia="Times New Roman" w:hAnsi="Times New Roman" w:cs="Times New Roman"/>
          <w:i/>
          <w:iCs/>
        </w:rPr>
        <w:t>El Estado argentino y las profesiones liberales, académicas y armadas</w:t>
      </w:r>
      <w:r>
        <w:rPr>
          <w:rFonts w:ascii="Times New Roman" w:eastAsia="Times New Roman" w:hAnsi="Times New Roman" w:cs="Times New Roman"/>
        </w:rPr>
        <w:t xml:space="preserve">. </w:t>
      </w:r>
      <w:proofErr w:type="spellStart"/>
      <w:r>
        <w:rPr>
          <w:rFonts w:ascii="Times New Roman" w:eastAsia="Times New Roman" w:hAnsi="Times New Roman" w:cs="Times New Roman"/>
        </w:rPr>
        <w:t>Prohistoria</w:t>
      </w:r>
      <w:proofErr w:type="spellEnd"/>
      <w:r>
        <w:rPr>
          <w:rFonts w:ascii="Times New Roman" w:eastAsia="Times New Roman" w:hAnsi="Times New Roman" w:cs="Times New Roman"/>
        </w:rPr>
        <w:t xml:space="preserve"> Ediciones.</w:t>
      </w:r>
    </w:p>
    <w:p w14:paraId="36F5A980" w14:textId="77777777" w:rsidR="00E70760" w:rsidRDefault="00E70760" w:rsidP="00E25612">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color w:val="000000"/>
        </w:rPr>
        <w:t xml:space="preserve">González, </w:t>
      </w:r>
      <w:proofErr w:type="spellStart"/>
      <w:r>
        <w:rPr>
          <w:rFonts w:ascii="Times New Roman" w:eastAsia="Times New Roman" w:hAnsi="Times New Roman" w:cs="Times New Roman"/>
          <w:color w:val="000000"/>
        </w:rPr>
        <w:t>Leandri</w:t>
      </w:r>
      <w:proofErr w:type="spellEnd"/>
      <w:r>
        <w:rPr>
          <w:rFonts w:ascii="Times New Roman" w:eastAsia="Times New Roman" w:hAnsi="Times New Roman" w:cs="Times New Roman"/>
          <w:color w:val="000000"/>
        </w:rPr>
        <w:t xml:space="preserve">, R. R. (1999). </w:t>
      </w:r>
      <w:r>
        <w:rPr>
          <w:rFonts w:ascii="Times New Roman" w:eastAsia="Times New Roman" w:hAnsi="Times New Roman" w:cs="Times New Roman"/>
          <w:i/>
          <w:iCs/>
          <w:color w:val="000000"/>
        </w:rPr>
        <w:t>Curar, persuadir y gobernar. La construcción histórica de la profesión médica en Buenos Aires, 1852-1886</w:t>
      </w:r>
      <w:r>
        <w:rPr>
          <w:rFonts w:ascii="Times New Roman" w:eastAsia="Times New Roman" w:hAnsi="Times New Roman" w:cs="Times New Roman"/>
          <w:color w:val="000000"/>
        </w:rPr>
        <w:t xml:space="preserve">. Consejo Superior de Investigaciones Científicas. </w:t>
      </w:r>
    </w:p>
    <w:p w14:paraId="097472AA" w14:textId="77777777" w:rsidR="00E70760" w:rsidRDefault="00E70760" w:rsidP="00E25612">
      <w:pPr>
        <w:spacing w:after="0" w:line="240" w:lineRule="auto"/>
        <w:ind w:left="720" w:hanging="720"/>
        <w:jc w:val="both"/>
        <w:rPr>
          <w:rFonts w:ascii="Times New Roman" w:eastAsia="Times New Roman" w:hAnsi="Times New Roman" w:cs="Times New Roman"/>
          <w:color w:val="000000"/>
        </w:rPr>
      </w:pPr>
      <w:r>
        <w:rPr>
          <w:rFonts w:ascii="Times New Roman" w:eastAsia="Times New Roman" w:hAnsi="Times New Roman" w:cs="Times New Roman"/>
          <w:color w:val="000000"/>
        </w:rPr>
        <w:t>Graciano, O. (2019) Dossier. La Reforma Universitaria de 1918 en su Centenario. historiapolitica.com. Disponible en: http://www.historiapolitica.com/dossiers/reforma-universitaria-de-1918-en-su-centenario/</w:t>
      </w:r>
    </w:p>
    <w:p w14:paraId="1367FF6C" w14:textId="77777777" w:rsidR="00E70760" w:rsidRDefault="00E70760" w:rsidP="00E25612">
      <w:pPr>
        <w:spacing w:after="0"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Halperin</w:t>
      </w:r>
      <w:proofErr w:type="spellEnd"/>
      <w:r>
        <w:rPr>
          <w:rFonts w:ascii="Times New Roman" w:eastAsia="Times New Roman" w:hAnsi="Times New Roman" w:cs="Times New Roman"/>
        </w:rPr>
        <w:t xml:space="preserve"> Donghi, Tulio (1998). El enigma Yrigoyen. </w:t>
      </w:r>
      <w:r>
        <w:rPr>
          <w:rFonts w:ascii="Times New Roman" w:eastAsia="Times New Roman" w:hAnsi="Times New Roman" w:cs="Times New Roman"/>
          <w:i/>
          <w:iCs/>
        </w:rPr>
        <w:t>Prismas</w:t>
      </w:r>
      <w:r>
        <w:rPr>
          <w:rFonts w:ascii="Times New Roman" w:eastAsia="Times New Roman" w:hAnsi="Times New Roman" w:cs="Times New Roman"/>
        </w:rPr>
        <w:t>, 2(1), pp. 11-21.</w:t>
      </w:r>
    </w:p>
    <w:p w14:paraId="17BE94B3" w14:textId="77777777" w:rsidR="00E70760" w:rsidRDefault="00E70760" w:rsidP="00E25612">
      <w:pPr>
        <w:spacing w:after="0"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Halperín</w:t>
      </w:r>
      <w:proofErr w:type="spellEnd"/>
      <w:r>
        <w:rPr>
          <w:rFonts w:ascii="Times New Roman" w:eastAsia="Times New Roman" w:hAnsi="Times New Roman" w:cs="Times New Roman"/>
        </w:rPr>
        <w:t xml:space="preserve"> Donghi, T. (2000). </w:t>
      </w:r>
      <w:r>
        <w:rPr>
          <w:rFonts w:ascii="Times New Roman" w:eastAsia="Times New Roman" w:hAnsi="Times New Roman" w:cs="Times New Roman"/>
          <w:i/>
          <w:iCs/>
        </w:rPr>
        <w:t>Vida y muerte de la República verdadera</w:t>
      </w:r>
      <w:r>
        <w:rPr>
          <w:rFonts w:ascii="Times New Roman" w:eastAsia="Times New Roman" w:hAnsi="Times New Roman" w:cs="Times New Roman"/>
        </w:rPr>
        <w:t>. Emecé.</w:t>
      </w:r>
    </w:p>
    <w:p w14:paraId="055B4EEE" w14:textId="77777777" w:rsidR="00E70760" w:rsidRDefault="00E70760" w:rsidP="00E25612">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Molinari, Diego Luis, (1929). </w:t>
      </w:r>
      <w:r>
        <w:rPr>
          <w:rFonts w:ascii="Times New Roman" w:eastAsia="Times New Roman" w:hAnsi="Times New Roman" w:cs="Times New Roman"/>
          <w:i/>
          <w:iCs/>
        </w:rPr>
        <w:t>Los diplomas sanjuaninos</w:t>
      </w:r>
      <w:r>
        <w:rPr>
          <w:rFonts w:ascii="Times New Roman" w:eastAsia="Times New Roman" w:hAnsi="Times New Roman" w:cs="Times New Roman"/>
        </w:rPr>
        <w:t>. Ateneo Radical Diego Luis Molinari.</w:t>
      </w:r>
    </w:p>
    <w:p w14:paraId="1AEFA0E8" w14:textId="77777777" w:rsidR="00E70760" w:rsidRDefault="00E70760" w:rsidP="00E25612">
      <w:pPr>
        <w:spacing w:after="0"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Mustapic</w:t>
      </w:r>
      <w:proofErr w:type="spellEnd"/>
      <w:r>
        <w:rPr>
          <w:rFonts w:ascii="Times New Roman" w:eastAsia="Times New Roman" w:hAnsi="Times New Roman" w:cs="Times New Roman"/>
        </w:rPr>
        <w:t xml:space="preserve">, A. M. (1984). Conflictos institucionales durante el primer gobierno radical: 1916-1922. </w:t>
      </w:r>
      <w:r>
        <w:rPr>
          <w:rFonts w:ascii="Times New Roman" w:eastAsia="Times New Roman" w:hAnsi="Times New Roman" w:cs="Times New Roman"/>
          <w:i/>
          <w:iCs/>
        </w:rPr>
        <w:t>Desarrollo Económico</w:t>
      </w:r>
      <w:r>
        <w:rPr>
          <w:rFonts w:ascii="Times New Roman" w:eastAsia="Times New Roman" w:hAnsi="Times New Roman" w:cs="Times New Roman"/>
        </w:rPr>
        <w:t>, 24(93), 85-108.</w:t>
      </w:r>
    </w:p>
    <w:p w14:paraId="75FCB0B5" w14:textId="77777777" w:rsidR="00E70760" w:rsidRDefault="00E70760" w:rsidP="00E25612">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Reyes, F. J. (2019a). ¿Durmiendo con el enemigo? Radicalismo y nacionalismo en la coyuntura de 1916. </w:t>
      </w:r>
      <w:proofErr w:type="spellStart"/>
      <w:r>
        <w:rPr>
          <w:rFonts w:ascii="Times New Roman" w:eastAsia="Times New Roman" w:hAnsi="Times New Roman" w:cs="Times New Roman"/>
          <w:i/>
          <w:iCs/>
        </w:rPr>
        <w:t>PolHis</w:t>
      </w:r>
      <w:proofErr w:type="spellEnd"/>
      <w:r>
        <w:rPr>
          <w:rFonts w:ascii="Times New Roman" w:eastAsia="Times New Roman" w:hAnsi="Times New Roman" w:cs="Times New Roman"/>
        </w:rPr>
        <w:t>, 12 (23), 3-36.</w:t>
      </w:r>
    </w:p>
    <w:p w14:paraId="7A13F414" w14:textId="77777777" w:rsidR="00E70760" w:rsidRDefault="00E70760" w:rsidP="00E25612">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Reyes, F. J. (2019b). Las multitudes, la nación y sus símbolos. Las fiestas patrias del radicalismo en los albores de la “República verdadera”. </w:t>
      </w:r>
      <w:r>
        <w:rPr>
          <w:rFonts w:ascii="Times New Roman" w:eastAsia="Times New Roman" w:hAnsi="Times New Roman" w:cs="Times New Roman"/>
          <w:i/>
          <w:iCs/>
        </w:rPr>
        <w:t>Coordenadas. Revista de Historia local y regional</w:t>
      </w:r>
      <w:r>
        <w:rPr>
          <w:rFonts w:ascii="Times New Roman" w:eastAsia="Times New Roman" w:hAnsi="Times New Roman" w:cs="Times New Roman"/>
        </w:rPr>
        <w:t>, VI (1), 213- 241.</w:t>
      </w:r>
    </w:p>
    <w:p w14:paraId="6A87ABDC" w14:textId="77777777" w:rsidR="00E70760" w:rsidRDefault="00E70760" w:rsidP="00E25612">
      <w:pPr>
        <w:spacing w:after="0"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lastRenderedPageBreak/>
        <w:t>Riguera</w:t>
      </w:r>
      <w:proofErr w:type="spellEnd"/>
      <w:r>
        <w:rPr>
          <w:rFonts w:ascii="Times New Roman" w:eastAsia="Times New Roman" w:hAnsi="Times New Roman" w:cs="Times New Roman"/>
        </w:rPr>
        <w:t xml:space="preserve">, R. (1922). </w:t>
      </w:r>
      <w:r>
        <w:rPr>
          <w:rFonts w:ascii="Times New Roman" w:eastAsia="Times New Roman" w:hAnsi="Times New Roman" w:cs="Times New Roman"/>
          <w:i/>
          <w:iCs/>
        </w:rPr>
        <w:t>La Acción del gobierno Radical en materia de jubilaciones y pensiones.</w:t>
      </w:r>
      <w:r>
        <w:rPr>
          <w:rFonts w:ascii="Times New Roman" w:eastAsia="Times New Roman" w:hAnsi="Times New Roman" w:cs="Times New Roman"/>
        </w:rPr>
        <w:t xml:space="preserve"> Publicaciones del Comité Universitario Radical.</w:t>
      </w:r>
    </w:p>
    <w:p w14:paraId="71D8F5DA" w14:textId="77777777" w:rsidR="00E70760" w:rsidRDefault="00E70760" w:rsidP="00E25612">
      <w:pPr>
        <w:spacing w:after="0"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Riguera</w:t>
      </w:r>
      <w:proofErr w:type="spellEnd"/>
      <w:r>
        <w:rPr>
          <w:rFonts w:ascii="Times New Roman" w:eastAsia="Times New Roman" w:hAnsi="Times New Roman" w:cs="Times New Roman"/>
        </w:rPr>
        <w:t xml:space="preserve">, R. (1926). </w:t>
      </w:r>
      <w:r>
        <w:rPr>
          <w:rFonts w:ascii="Times New Roman" w:eastAsia="Times New Roman" w:hAnsi="Times New Roman" w:cs="Times New Roman"/>
          <w:i/>
          <w:iCs/>
        </w:rPr>
        <w:t>Contrato colectivo de trabajo</w:t>
      </w:r>
      <w:r>
        <w:rPr>
          <w:rFonts w:ascii="Times New Roman" w:eastAsia="Times New Roman" w:hAnsi="Times New Roman" w:cs="Times New Roman"/>
        </w:rPr>
        <w:t>. Tesis para optar al grado de doctor en Jurisprudencia por la Facultad de Derecho y Ciencias Sociales, Universidad de Buenos Aires.</w:t>
      </w:r>
    </w:p>
    <w:p w14:paraId="2B5CB1B8" w14:textId="77777777" w:rsidR="00E70760" w:rsidRDefault="00E70760" w:rsidP="00E25612">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Rodríguez Ocampo, M, (1919). </w:t>
      </w:r>
      <w:r>
        <w:rPr>
          <w:rFonts w:ascii="Times New Roman" w:eastAsia="Times New Roman" w:hAnsi="Times New Roman" w:cs="Times New Roman"/>
          <w:i/>
          <w:iCs/>
        </w:rPr>
        <w:t>Alcance de la disposición del inciso 22 del artículo 86 de la Constitución Nacional</w:t>
      </w:r>
      <w:r>
        <w:rPr>
          <w:rFonts w:ascii="Times New Roman" w:eastAsia="Times New Roman" w:hAnsi="Times New Roman" w:cs="Times New Roman"/>
        </w:rPr>
        <w:t>. Tesis para optar al grado de doctor en Jurisprudencia por la Facultad de Derecho y Ciencias Sociales, Universidad de Buenos Aires.</w:t>
      </w:r>
    </w:p>
    <w:p w14:paraId="1E1AADB2" w14:textId="77777777" w:rsidR="00E70760" w:rsidRDefault="00E70760" w:rsidP="00E25612">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Rossi Montero, E. (1920). </w:t>
      </w:r>
      <w:r>
        <w:rPr>
          <w:rFonts w:ascii="Times New Roman" w:eastAsia="Times New Roman" w:hAnsi="Times New Roman" w:cs="Times New Roman"/>
          <w:i/>
          <w:iCs/>
        </w:rPr>
        <w:t>El impuesto a la renta en la República Argentina</w:t>
      </w:r>
      <w:r>
        <w:rPr>
          <w:rFonts w:ascii="Times New Roman" w:eastAsia="Times New Roman" w:hAnsi="Times New Roman" w:cs="Times New Roman"/>
        </w:rPr>
        <w:t>. Tesis para optar al grado de doctor en Jurisprudencia por la Facultad de Derecho y Ciencias Sociales, Universidad de Buenos Aires.</w:t>
      </w:r>
    </w:p>
    <w:p w14:paraId="008654F1" w14:textId="77777777" w:rsidR="00E70760" w:rsidRDefault="00E70760" w:rsidP="00E25612">
      <w:pPr>
        <w:spacing w:after="0"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Sarfatti</w:t>
      </w:r>
      <w:proofErr w:type="spellEnd"/>
      <w:r>
        <w:rPr>
          <w:rFonts w:ascii="Times New Roman" w:eastAsia="Times New Roman" w:hAnsi="Times New Roman" w:cs="Times New Roman"/>
        </w:rPr>
        <w:t xml:space="preserve"> Larson M. (1989). Acerca de los expertos y las profesiones o la imposibilidad de haberlo dicho todo. </w:t>
      </w:r>
      <w:r>
        <w:rPr>
          <w:rFonts w:ascii="Times New Roman" w:eastAsia="Times New Roman" w:hAnsi="Times New Roman" w:cs="Times New Roman"/>
          <w:i/>
          <w:iCs/>
        </w:rPr>
        <w:t>Revista de Educación</w:t>
      </w:r>
      <w:r>
        <w:rPr>
          <w:rFonts w:ascii="Times New Roman" w:eastAsia="Times New Roman" w:hAnsi="Times New Roman" w:cs="Times New Roman"/>
        </w:rPr>
        <w:t xml:space="preserve"> (</w:t>
      </w:r>
      <w:proofErr w:type="spellStart"/>
      <w:r>
        <w:rPr>
          <w:rFonts w:ascii="Times New Roman" w:eastAsia="Times New Roman" w:hAnsi="Times New Roman" w:cs="Times New Roman"/>
        </w:rPr>
        <w:t>Supl</w:t>
      </w:r>
      <w:proofErr w:type="spellEnd"/>
      <w:r>
        <w:rPr>
          <w:rFonts w:ascii="Times New Roman" w:eastAsia="Times New Roman" w:hAnsi="Times New Roman" w:cs="Times New Roman"/>
        </w:rPr>
        <w:t>. 1), pp. 199-225.</w:t>
      </w:r>
    </w:p>
    <w:p w14:paraId="3C755BC5" w14:textId="77777777" w:rsidR="00E70760" w:rsidRDefault="00E70760" w:rsidP="00E25612">
      <w:pPr>
        <w:spacing w:after="0" w:line="240" w:lineRule="auto"/>
        <w:ind w:left="720" w:hanging="720"/>
        <w:jc w:val="both"/>
        <w:rPr>
          <w:rFonts w:ascii="Times New Roman" w:eastAsia="Times New Roman" w:hAnsi="Times New Roman" w:cs="Times New Roman"/>
          <w:i/>
          <w:iCs/>
        </w:rPr>
      </w:pPr>
      <w:r>
        <w:rPr>
          <w:rFonts w:ascii="Times New Roman" w:eastAsia="Times New Roman" w:hAnsi="Times New Roman" w:cs="Times New Roman"/>
        </w:rPr>
        <w:t>Tato, M. I. (2004).</w:t>
      </w:r>
      <w:r>
        <w:rPr>
          <w:rFonts w:ascii="Times New Roman" w:eastAsia="Times New Roman" w:hAnsi="Times New Roman" w:cs="Times New Roman"/>
          <w:i/>
          <w:iCs/>
        </w:rPr>
        <w:t xml:space="preserve"> Viento de fronda: liberalismo, conservadurismo y democracia en la Argentina, 1911-1932</w:t>
      </w:r>
      <w:r>
        <w:rPr>
          <w:rFonts w:ascii="Times New Roman" w:eastAsia="Times New Roman" w:hAnsi="Times New Roman" w:cs="Times New Roman"/>
        </w:rPr>
        <w:t>. Siglo XXI.      </w:t>
      </w:r>
    </w:p>
    <w:p w14:paraId="45B4BFFE" w14:textId="77777777" w:rsidR="00E70760" w:rsidRDefault="00E70760" w:rsidP="00E25612">
      <w:pPr>
        <w:spacing w:after="0"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Yaverovski</w:t>
      </w:r>
      <w:proofErr w:type="spellEnd"/>
      <w:r>
        <w:rPr>
          <w:rFonts w:ascii="Times New Roman" w:eastAsia="Times New Roman" w:hAnsi="Times New Roman" w:cs="Times New Roman"/>
        </w:rPr>
        <w:t xml:space="preserve">, Alejandro Martín (2021). Tres Repúblicas Barriales y sus Universidades. Las Universidades Populares en la ciudad de Buenos Aires en el período de entreguerras: un esquema. </w:t>
      </w:r>
      <w:r>
        <w:rPr>
          <w:rFonts w:ascii="Times New Roman" w:eastAsia="Times New Roman" w:hAnsi="Times New Roman" w:cs="Times New Roman"/>
          <w:i/>
          <w:iCs/>
        </w:rPr>
        <w:t>Historia Caribe</w:t>
      </w:r>
      <w:r>
        <w:rPr>
          <w:rFonts w:ascii="Times New Roman" w:eastAsia="Times New Roman" w:hAnsi="Times New Roman" w:cs="Times New Roman"/>
        </w:rPr>
        <w:t xml:space="preserve">, XVI (38), pp. 35-80. </w:t>
      </w:r>
    </w:p>
    <w:p w14:paraId="42365B33" w14:textId="77777777" w:rsidR="00E70760" w:rsidRDefault="00E70760" w:rsidP="00E25612">
      <w:pPr>
        <w:spacing w:after="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Weber, M. (1984). </w:t>
      </w:r>
      <w:r>
        <w:rPr>
          <w:rFonts w:ascii="Times New Roman" w:eastAsia="Times New Roman" w:hAnsi="Times New Roman" w:cs="Times New Roman"/>
          <w:i/>
          <w:iCs/>
        </w:rPr>
        <w:t>El político y el científico</w:t>
      </w:r>
      <w:r>
        <w:rPr>
          <w:rFonts w:ascii="Times New Roman" w:eastAsia="Times New Roman" w:hAnsi="Times New Roman" w:cs="Times New Roman"/>
        </w:rPr>
        <w:t>. Alianza.</w:t>
      </w:r>
    </w:p>
    <w:p w14:paraId="7E83515B" w14:textId="2755F3A0"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C840F" w14:textId="77777777" w:rsidR="006F2A63" w:rsidRPr="00BA642E" w:rsidRDefault="006F2A63" w:rsidP="00C802F5">
      <w:pPr>
        <w:spacing w:after="0" w:line="240" w:lineRule="auto"/>
      </w:pPr>
      <w:r w:rsidRPr="00BA642E">
        <w:separator/>
      </w:r>
    </w:p>
  </w:endnote>
  <w:endnote w:type="continuationSeparator" w:id="0">
    <w:p w14:paraId="2E490658" w14:textId="77777777" w:rsidR="006F2A63" w:rsidRPr="00BA642E" w:rsidRDefault="006F2A6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05DD9" w14:textId="77777777" w:rsidR="006F2A63" w:rsidRPr="00BA642E" w:rsidRDefault="006F2A63" w:rsidP="00C802F5">
      <w:pPr>
        <w:spacing w:after="0" w:line="240" w:lineRule="auto"/>
      </w:pPr>
      <w:r w:rsidRPr="00BA642E">
        <w:separator/>
      </w:r>
    </w:p>
  </w:footnote>
  <w:footnote w:type="continuationSeparator" w:id="0">
    <w:p w14:paraId="6F4481DC" w14:textId="77777777" w:rsidR="006F2A63" w:rsidRPr="00BA642E" w:rsidRDefault="006F2A63" w:rsidP="00C802F5">
      <w:pPr>
        <w:spacing w:after="0" w:line="240" w:lineRule="auto"/>
      </w:pPr>
      <w:r w:rsidRPr="00BA642E">
        <w:continuationSeparator/>
      </w:r>
    </w:p>
  </w:footnote>
  <w:footnote w:id="1">
    <w:p w14:paraId="551A90EB" w14:textId="77777777" w:rsidR="00D279AA" w:rsidRDefault="00D279AA" w:rsidP="00D279AA">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sidRPr="009D21E0">
        <w:rPr>
          <w:rFonts w:ascii="Times New Roman" w:hAnsi="Times New Roman" w:cs="Times New Roman"/>
          <w:vertAlign w:val="superscript"/>
        </w:rPr>
        <w:footnoteRef/>
      </w:r>
      <w:r w:rsidRPr="009D21E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Sobre esta dimensión véanse los balances historiográficos de: (</w:t>
      </w:r>
      <w:proofErr w:type="spellStart"/>
      <w:r>
        <w:rPr>
          <w:rFonts w:ascii="Times New Roman" w:eastAsia="Times New Roman" w:hAnsi="Times New Roman" w:cs="Times New Roman"/>
          <w:color w:val="000000"/>
          <w:sz w:val="20"/>
          <w:szCs w:val="20"/>
        </w:rPr>
        <w:t>Buchbinder</w:t>
      </w:r>
      <w:proofErr w:type="spellEnd"/>
      <w:r>
        <w:rPr>
          <w:rFonts w:ascii="Times New Roman" w:eastAsia="Times New Roman" w:hAnsi="Times New Roman" w:cs="Times New Roman"/>
          <w:color w:val="000000"/>
          <w:sz w:val="20"/>
          <w:szCs w:val="20"/>
        </w:rPr>
        <w:t>, 2018; Graciano, 2018).</w:t>
      </w:r>
    </w:p>
  </w:footnote>
  <w:footnote w:id="2">
    <w:p w14:paraId="0F72BF07" w14:textId="4C0A7865" w:rsidR="00781C89" w:rsidRDefault="00781C89" w:rsidP="00E2561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D21E0">
        <w:rPr>
          <w:rFonts w:ascii="Times New Roman" w:hAnsi="Times New Roman" w:cs="Times New Roman"/>
          <w:vertAlign w:val="superscript"/>
        </w:rPr>
        <w:footnoteRef/>
      </w:r>
      <w:r w:rsidRPr="009D21E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Entre estos, además de posibles omisiones en el relevamiento, la prensa no identificaba de manera regular los nombres de las autoridades u oradores del CUR</w:t>
      </w:r>
      <w:r w:rsidR="004B4F62">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detallan</w:t>
      </w:r>
      <w:r w:rsidR="004B4F62">
        <w:rPr>
          <w:rFonts w:ascii="Times New Roman" w:eastAsia="Times New Roman" w:hAnsi="Times New Roman" w:cs="Times New Roman"/>
          <w:sz w:val="20"/>
          <w:szCs w:val="20"/>
        </w:rPr>
        <w:t>do en ocasiones</w:t>
      </w:r>
      <w:r>
        <w:rPr>
          <w:rFonts w:ascii="Times New Roman" w:eastAsia="Times New Roman" w:hAnsi="Times New Roman" w:cs="Times New Roman"/>
          <w:color w:val="000000"/>
          <w:sz w:val="20"/>
          <w:szCs w:val="20"/>
        </w:rPr>
        <w:t xml:space="preserve"> todos nombres en una actividad o comisión directiva y en otros solo a las principales autoridades sin desglosar las nóminas completas. </w:t>
      </w:r>
    </w:p>
  </w:footnote>
  <w:footnote w:id="3">
    <w:p w14:paraId="4C47070A" w14:textId="79A304AF" w:rsidR="00781C89" w:rsidRDefault="00781C89" w:rsidP="00E2561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D21E0">
        <w:rPr>
          <w:rFonts w:ascii="Times New Roman" w:hAnsi="Times New Roman" w:cs="Times New Roman"/>
          <w:vertAlign w:val="superscript"/>
        </w:rPr>
        <w:footnoteRef/>
      </w:r>
      <w:r>
        <w:rPr>
          <w:rFonts w:ascii="Times New Roman" w:eastAsia="Times New Roman" w:hAnsi="Times New Roman" w:cs="Times New Roman"/>
          <w:color w:val="000000"/>
          <w:sz w:val="20"/>
          <w:szCs w:val="20"/>
        </w:rPr>
        <w:t xml:space="preserve"> Según Ferrari, en torno a la Universidad de Córdoba se constituyó e</w:t>
      </w:r>
      <w:r w:rsidR="004B4F62">
        <w:rPr>
          <w:rFonts w:ascii="Times New Roman" w:eastAsia="Times New Roman" w:hAnsi="Times New Roman" w:cs="Times New Roman"/>
          <w:color w:val="000000"/>
          <w:sz w:val="20"/>
          <w:szCs w:val="20"/>
        </w:rPr>
        <w:t>n</w:t>
      </w:r>
      <w:r>
        <w:rPr>
          <w:rFonts w:ascii="Times New Roman" w:eastAsia="Times New Roman" w:hAnsi="Times New Roman" w:cs="Times New Roman"/>
          <w:color w:val="000000"/>
          <w:sz w:val="20"/>
          <w:szCs w:val="20"/>
        </w:rPr>
        <w:t xml:space="preserve"> 1880 </w:t>
      </w:r>
      <w:r w:rsidR="000366E4">
        <w:rPr>
          <w:rFonts w:ascii="Times New Roman" w:eastAsia="Times New Roman" w:hAnsi="Times New Roman" w:cs="Times New Roman"/>
          <w:color w:val="000000"/>
          <w:sz w:val="20"/>
          <w:szCs w:val="20"/>
        </w:rPr>
        <w:t>un</w:t>
      </w:r>
      <w:r>
        <w:rPr>
          <w:rFonts w:ascii="Times New Roman" w:eastAsia="Times New Roman" w:hAnsi="Times New Roman" w:cs="Times New Roman"/>
          <w:color w:val="000000"/>
          <w:sz w:val="20"/>
          <w:szCs w:val="20"/>
        </w:rPr>
        <w:t xml:space="preserve"> Comité Universitario (p</w:t>
      </w:r>
      <w:r w:rsidR="004B4F62">
        <w:rPr>
          <w:rFonts w:ascii="Times New Roman" w:eastAsia="Times New Roman" w:hAnsi="Times New Roman" w:cs="Times New Roman"/>
          <w:color w:val="000000"/>
          <w:sz w:val="20"/>
          <w:szCs w:val="20"/>
        </w:rPr>
        <w:t>ro</w:t>
      </w:r>
      <w:r>
        <w:rPr>
          <w:rFonts w:ascii="Times New Roman" w:eastAsia="Times New Roman" w:hAnsi="Times New Roman" w:cs="Times New Roman"/>
          <w:color w:val="000000"/>
          <w:sz w:val="20"/>
          <w:szCs w:val="20"/>
        </w:rPr>
        <w:t xml:space="preserve"> candidatura</w:t>
      </w:r>
      <w:r w:rsidR="000366E4">
        <w:rPr>
          <w:rFonts w:ascii="Times New Roman" w:eastAsia="Times New Roman" w:hAnsi="Times New Roman" w:cs="Times New Roman"/>
          <w:color w:val="000000"/>
          <w:sz w:val="20"/>
          <w:szCs w:val="20"/>
        </w:rPr>
        <w:t>s</w:t>
      </w:r>
      <w:r>
        <w:rPr>
          <w:rFonts w:ascii="Times New Roman" w:eastAsia="Times New Roman" w:hAnsi="Times New Roman" w:cs="Times New Roman"/>
          <w:color w:val="000000"/>
          <w:sz w:val="20"/>
          <w:szCs w:val="20"/>
        </w:rPr>
        <w:t xml:space="preserve"> de Juárez Celman y de Julio A. Roca como</w:t>
      </w:r>
      <w:r w:rsidR="000366E4">
        <w:rPr>
          <w:rFonts w:ascii="Times New Roman" w:eastAsia="Times New Roman" w:hAnsi="Times New Roman" w:cs="Times New Roman"/>
          <w:color w:val="000000"/>
          <w:sz w:val="20"/>
          <w:szCs w:val="20"/>
        </w:rPr>
        <w:t xml:space="preserve"> gobernador</w:t>
      </w:r>
      <w:r>
        <w:rPr>
          <w:rFonts w:ascii="Times New Roman" w:eastAsia="Times New Roman" w:hAnsi="Times New Roman" w:cs="Times New Roman"/>
          <w:color w:val="000000"/>
          <w:sz w:val="20"/>
          <w:szCs w:val="20"/>
        </w:rPr>
        <w:t xml:space="preserve"> presidente) </w:t>
      </w:r>
      <w:r w:rsidR="004B4F62">
        <w:rPr>
          <w:rFonts w:ascii="Times New Roman" w:eastAsia="Times New Roman" w:hAnsi="Times New Roman" w:cs="Times New Roman"/>
          <w:color w:val="000000"/>
          <w:sz w:val="20"/>
          <w:szCs w:val="20"/>
        </w:rPr>
        <w:t xml:space="preserve">y </w:t>
      </w:r>
      <w:r>
        <w:rPr>
          <w:rFonts w:ascii="Times New Roman" w:eastAsia="Times New Roman" w:hAnsi="Times New Roman" w:cs="Times New Roman"/>
          <w:color w:val="000000"/>
          <w:sz w:val="20"/>
          <w:szCs w:val="20"/>
        </w:rPr>
        <w:t>en la Facultad de Derecho de la UBA se consolidó buena parte del núcleo fundador de la UCR (2008: 123). La trayectoria de Francisco Uriburu, analizada por Tato, ilustra este tipo de círculos en esa facultad,</w:t>
      </w:r>
      <w:r w:rsidR="000366E4">
        <w:rPr>
          <w:rFonts w:ascii="Times New Roman" w:eastAsia="Times New Roman" w:hAnsi="Times New Roman" w:cs="Times New Roman"/>
          <w:color w:val="000000"/>
          <w:sz w:val="20"/>
          <w:szCs w:val="20"/>
        </w:rPr>
        <w:t xml:space="preserve"> mediante</w:t>
      </w:r>
      <w:r>
        <w:rPr>
          <w:rFonts w:ascii="Times New Roman" w:eastAsia="Times New Roman" w:hAnsi="Times New Roman" w:cs="Times New Roman"/>
          <w:color w:val="000000"/>
          <w:sz w:val="20"/>
          <w:szCs w:val="20"/>
        </w:rPr>
        <w:t xml:space="preserve"> espacios de discusión y práctica para la futura inserción política de estudiantes que luego se consagraron como </w:t>
      </w:r>
      <w:r w:rsidR="000366E4">
        <w:rPr>
          <w:rFonts w:ascii="Times New Roman" w:eastAsia="Times New Roman" w:hAnsi="Times New Roman" w:cs="Times New Roman"/>
          <w:color w:val="000000"/>
          <w:sz w:val="20"/>
          <w:szCs w:val="20"/>
        </w:rPr>
        <w:t>políticos</w:t>
      </w:r>
      <w:r>
        <w:rPr>
          <w:rFonts w:ascii="Times New Roman" w:eastAsia="Times New Roman" w:hAnsi="Times New Roman" w:cs="Times New Roman"/>
          <w:color w:val="000000"/>
          <w:sz w:val="20"/>
          <w:szCs w:val="20"/>
        </w:rPr>
        <w:t xml:space="preserve"> (2004:18 y 205 nota al pie).</w:t>
      </w:r>
    </w:p>
  </w:footnote>
  <w:footnote w:id="4">
    <w:p w14:paraId="5BE5F04F" w14:textId="77777777" w:rsidR="00781C89" w:rsidRPr="00781C89" w:rsidRDefault="00781C89" w:rsidP="00781C8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781C89">
        <w:rPr>
          <w:rFonts w:ascii="Times New Roman" w:hAnsi="Times New Roman" w:cs="Times New Roman"/>
          <w:vertAlign w:val="superscript"/>
        </w:rPr>
        <w:footnoteRef/>
      </w:r>
      <w:r w:rsidRPr="00781C89">
        <w:rPr>
          <w:rFonts w:ascii="Times New Roman" w:eastAsia="Times New Roman" w:hAnsi="Times New Roman" w:cs="Times New Roman"/>
          <w:color w:val="000000"/>
          <w:sz w:val="20"/>
          <w:szCs w:val="20"/>
        </w:rPr>
        <w:t xml:space="preserve"> Legajo de Eduardo Demetrio Madariaga, Fondo Facultad de Derecho, AHUBA y datos de </w:t>
      </w:r>
      <w:r w:rsidRPr="00781C89">
        <w:rPr>
          <w:rFonts w:ascii="Times New Roman" w:eastAsia="Times New Roman" w:hAnsi="Times New Roman" w:cs="Times New Roman"/>
          <w:i/>
          <w:iCs/>
          <w:color w:val="000000"/>
          <w:sz w:val="20"/>
          <w:szCs w:val="20"/>
        </w:rPr>
        <w:t>El Radical</w:t>
      </w:r>
      <w:r w:rsidRPr="00781C89">
        <w:rPr>
          <w:rFonts w:ascii="Times New Roman" w:eastAsia="Times New Roman" w:hAnsi="Times New Roman" w:cs="Times New Roman"/>
          <w:color w:val="000000"/>
          <w:sz w:val="20"/>
          <w:szCs w:val="20"/>
        </w:rPr>
        <w:t xml:space="preserve"> y </w:t>
      </w:r>
      <w:r w:rsidRPr="00781C89">
        <w:rPr>
          <w:rFonts w:ascii="Times New Roman" w:eastAsia="Times New Roman" w:hAnsi="Times New Roman" w:cs="Times New Roman"/>
          <w:i/>
          <w:iCs/>
          <w:color w:val="000000"/>
          <w:sz w:val="20"/>
          <w:szCs w:val="20"/>
        </w:rPr>
        <w:t>La Época</w:t>
      </w:r>
      <w:r w:rsidRPr="00781C89">
        <w:rPr>
          <w:rFonts w:ascii="Times New Roman" w:eastAsia="Times New Roman" w:hAnsi="Times New Roman" w:cs="Times New Roman"/>
          <w:color w:val="000000"/>
          <w:sz w:val="20"/>
          <w:szCs w:val="20"/>
        </w:rPr>
        <w:t>.</w:t>
      </w:r>
    </w:p>
  </w:footnote>
  <w:footnote w:id="5">
    <w:p w14:paraId="1F40F333" w14:textId="77777777" w:rsidR="00781C89" w:rsidRPr="00781C89" w:rsidRDefault="00781C89" w:rsidP="00781C89">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781C89">
        <w:rPr>
          <w:rFonts w:ascii="Times New Roman" w:hAnsi="Times New Roman" w:cs="Times New Roman"/>
          <w:vertAlign w:val="superscript"/>
        </w:rPr>
        <w:footnoteRef/>
      </w:r>
      <w:r w:rsidRPr="00781C89">
        <w:rPr>
          <w:rFonts w:ascii="Times New Roman" w:hAnsi="Times New Roman" w:cs="Times New Roman"/>
          <w:color w:val="000000"/>
          <w:sz w:val="20"/>
          <w:szCs w:val="20"/>
        </w:rPr>
        <w:t xml:space="preserve"> </w:t>
      </w:r>
      <w:r w:rsidRPr="00781C89">
        <w:rPr>
          <w:rFonts w:ascii="Times New Roman" w:eastAsia="Times New Roman" w:hAnsi="Times New Roman" w:cs="Times New Roman"/>
          <w:color w:val="000000"/>
          <w:sz w:val="20"/>
          <w:szCs w:val="20"/>
        </w:rPr>
        <w:t xml:space="preserve">Legajo de Diego Luis Molinari, Fondo Facultad de Derecho, AHUBA. Los datos sobre su actuación en la fundación del CUR proceden de </w:t>
      </w:r>
      <w:r w:rsidRPr="00781C89">
        <w:rPr>
          <w:rFonts w:ascii="Times New Roman" w:eastAsia="Times New Roman" w:hAnsi="Times New Roman" w:cs="Times New Roman"/>
          <w:i/>
          <w:iCs/>
          <w:color w:val="000000"/>
          <w:sz w:val="20"/>
          <w:szCs w:val="20"/>
        </w:rPr>
        <w:t>El Radical.</w:t>
      </w:r>
    </w:p>
  </w:footnote>
  <w:footnote w:id="6">
    <w:p w14:paraId="4B012759" w14:textId="06F96C02" w:rsidR="00E70760" w:rsidRPr="00700E68" w:rsidRDefault="00E70760" w:rsidP="00E70760">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sidRPr="00700E68">
        <w:rPr>
          <w:rFonts w:ascii="Times New Roman" w:hAnsi="Times New Roman" w:cs="Times New Roman"/>
          <w:vertAlign w:val="superscript"/>
        </w:rPr>
        <w:footnoteRef/>
      </w:r>
      <w:r w:rsidRPr="00700E68">
        <w:rPr>
          <w:rFonts w:ascii="Times New Roman" w:eastAsia="Times New Roman" w:hAnsi="Times New Roman" w:cs="Times New Roman"/>
          <w:color w:val="000000"/>
          <w:sz w:val="20"/>
          <w:szCs w:val="20"/>
        </w:rPr>
        <w:t xml:space="preserve"> Galíndez fue secretario de la sección de medicina </w:t>
      </w:r>
      <w:proofErr w:type="spellStart"/>
      <w:r w:rsidR="004B4F62">
        <w:rPr>
          <w:rFonts w:ascii="Times New Roman" w:eastAsia="Times New Roman" w:hAnsi="Times New Roman" w:cs="Times New Roman"/>
          <w:color w:val="000000"/>
          <w:sz w:val="20"/>
          <w:szCs w:val="20"/>
        </w:rPr>
        <w:t>e</w:t>
      </w:r>
      <w:proofErr w:type="spellEnd"/>
      <w:r w:rsidR="004B4F62">
        <w:rPr>
          <w:rFonts w:ascii="Times New Roman" w:eastAsia="Times New Roman" w:hAnsi="Times New Roman" w:cs="Times New Roman"/>
          <w:color w:val="000000"/>
          <w:sz w:val="20"/>
          <w:szCs w:val="20"/>
        </w:rPr>
        <w:t xml:space="preserve"> integró</w:t>
      </w:r>
      <w:r w:rsidRPr="00700E68">
        <w:rPr>
          <w:rFonts w:ascii="Times New Roman" w:eastAsia="Times New Roman" w:hAnsi="Times New Roman" w:cs="Times New Roman"/>
          <w:color w:val="000000"/>
          <w:sz w:val="20"/>
          <w:szCs w:val="20"/>
        </w:rPr>
        <w:t xml:space="preserve"> la mesa empadronadora en esa facultad. Becerra y Durante ocuparon respectivamente la presidencia y la vicepresidencia (en segundo término) de la sección de medicina en 1919. Durante fue vicepresidente y presidente de la junta central del CUR entre 1918 y 1921. Datos obtenidos de </w:t>
      </w:r>
      <w:r w:rsidRPr="00700E68">
        <w:rPr>
          <w:rFonts w:ascii="Times New Roman" w:eastAsia="Times New Roman" w:hAnsi="Times New Roman" w:cs="Times New Roman"/>
          <w:i/>
          <w:iCs/>
          <w:color w:val="000000"/>
          <w:sz w:val="20"/>
          <w:szCs w:val="20"/>
        </w:rPr>
        <w:t>La Época</w:t>
      </w:r>
      <w:r w:rsidRPr="00700E68">
        <w:rPr>
          <w:rFonts w:ascii="Times New Roman" w:eastAsia="Times New Roman" w:hAnsi="Times New Roman" w:cs="Times New Roman"/>
          <w:color w:val="000000"/>
          <w:sz w:val="20"/>
          <w:szCs w:val="20"/>
        </w:rPr>
        <w:t>.</w:t>
      </w:r>
    </w:p>
  </w:footnote>
  <w:footnote w:id="7">
    <w:p w14:paraId="064F60CB" w14:textId="314E9A8C" w:rsidR="00E70760" w:rsidRDefault="00E70760" w:rsidP="00E2561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700E68">
        <w:rPr>
          <w:rFonts w:ascii="Times New Roman" w:hAnsi="Times New Roman" w:cs="Times New Roman"/>
          <w:vertAlign w:val="superscript"/>
        </w:rPr>
        <w:footnoteRef/>
      </w:r>
      <w:r w:rsidRPr="00700E68">
        <w:rPr>
          <w:rFonts w:ascii="Times New Roman" w:eastAsia="Times New Roman" w:hAnsi="Times New Roman" w:cs="Times New Roman"/>
          <w:color w:val="000000"/>
          <w:sz w:val="20"/>
          <w:szCs w:val="20"/>
        </w:rPr>
        <w:t xml:space="preserve"> Barón Peña integró la junta provisional </w:t>
      </w:r>
      <w:r>
        <w:rPr>
          <w:rFonts w:ascii="Times New Roman" w:eastAsia="Times New Roman" w:hAnsi="Times New Roman" w:cs="Times New Roman"/>
          <w:color w:val="000000"/>
          <w:sz w:val="20"/>
          <w:szCs w:val="20"/>
        </w:rPr>
        <w:t>originaria del</w:t>
      </w:r>
      <w:r w:rsidRPr="00700E68">
        <w:rPr>
          <w:rFonts w:ascii="Times New Roman" w:eastAsia="Times New Roman" w:hAnsi="Times New Roman" w:cs="Times New Roman"/>
          <w:color w:val="000000"/>
          <w:sz w:val="20"/>
          <w:szCs w:val="20"/>
        </w:rPr>
        <w:t xml:space="preserve"> CUR, en 1915.</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Caourruchre</w:t>
      </w:r>
      <w:proofErr w:type="spellEnd"/>
      <w:r>
        <w:rPr>
          <w:rFonts w:ascii="Times New Roman" w:eastAsia="Times New Roman" w:hAnsi="Times New Roman" w:cs="Times New Roman"/>
          <w:color w:val="000000"/>
          <w:sz w:val="20"/>
          <w:szCs w:val="20"/>
        </w:rPr>
        <w:t xml:space="preserve"> integró una comisión</w:t>
      </w:r>
      <w:r w:rsidR="004B4F62">
        <w:rPr>
          <w:rFonts w:ascii="Times New Roman" w:eastAsia="Times New Roman" w:hAnsi="Times New Roman" w:cs="Times New Roman"/>
          <w:color w:val="000000"/>
          <w:sz w:val="20"/>
          <w:szCs w:val="20"/>
        </w:rPr>
        <w:t xml:space="preserve"> del CUR</w:t>
      </w:r>
      <w:r>
        <w:rPr>
          <w:rFonts w:ascii="Times New Roman" w:eastAsia="Times New Roman" w:hAnsi="Times New Roman" w:cs="Times New Roman"/>
          <w:color w:val="000000"/>
          <w:sz w:val="20"/>
          <w:szCs w:val="20"/>
        </w:rPr>
        <w:t xml:space="preserve"> para saludar al candidato a gobernador por Salta, a fines de 1915 mientras </w:t>
      </w:r>
      <w:r w:rsidR="004B4F62">
        <w:rPr>
          <w:rFonts w:ascii="Times New Roman" w:eastAsia="Times New Roman" w:hAnsi="Times New Roman" w:cs="Times New Roman"/>
          <w:color w:val="000000"/>
          <w:sz w:val="20"/>
          <w:szCs w:val="20"/>
        </w:rPr>
        <w:t>ejercía</w:t>
      </w:r>
      <w:r>
        <w:rPr>
          <w:rFonts w:ascii="Times New Roman" w:eastAsia="Times New Roman" w:hAnsi="Times New Roman" w:cs="Times New Roman"/>
          <w:color w:val="000000"/>
          <w:sz w:val="20"/>
          <w:szCs w:val="20"/>
        </w:rPr>
        <w:t xml:space="preserve"> como director de la </w:t>
      </w:r>
      <w:r>
        <w:rPr>
          <w:rFonts w:ascii="Times New Roman" w:eastAsia="Times New Roman" w:hAnsi="Times New Roman" w:cs="Times New Roman"/>
          <w:i/>
          <w:iCs/>
          <w:color w:val="000000"/>
          <w:sz w:val="20"/>
          <w:szCs w:val="20"/>
        </w:rPr>
        <w:t>Revista del CECE</w:t>
      </w:r>
      <w:r>
        <w:rPr>
          <w:rFonts w:ascii="Times New Roman" w:eastAsia="Times New Roman" w:hAnsi="Times New Roman" w:cs="Times New Roman"/>
          <w:color w:val="000000"/>
          <w:sz w:val="20"/>
          <w:szCs w:val="20"/>
        </w:rPr>
        <w:t xml:space="preserve"> y luego como presidente de esa entidad (1916-1917). Watson, </w:t>
      </w:r>
      <w:r w:rsidR="004B4F62">
        <w:rPr>
          <w:rFonts w:ascii="Times New Roman" w:eastAsia="Times New Roman" w:hAnsi="Times New Roman" w:cs="Times New Roman"/>
          <w:color w:val="000000"/>
          <w:sz w:val="20"/>
          <w:szCs w:val="20"/>
        </w:rPr>
        <w:t>fue</w:t>
      </w:r>
      <w:r>
        <w:rPr>
          <w:rFonts w:ascii="Times New Roman" w:eastAsia="Times New Roman" w:hAnsi="Times New Roman" w:cs="Times New Roman"/>
          <w:color w:val="000000"/>
          <w:sz w:val="20"/>
          <w:szCs w:val="20"/>
        </w:rPr>
        <w:t xml:space="preserve"> vicepresidente del CECE (1916-1917) </w:t>
      </w:r>
      <w:r w:rsidR="004B4F62">
        <w:rPr>
          <w:rFonts w:ascii="Times New Roman" w:eastAsia="Times New Roman" w:hAnsi="Times New Roman" w:cs="Times New Roman"/>
          <w:color w:val="000000"/>
          <w:sz w:val="20"/>
          <w:szCs w:val="20"/>
        </w:rPr>
        <w:t>y actuó</w:t>
      </w:r>
      <w:r>
        <w:rPr>
          <w:rFonts w:ascii="Times New Roman" w:eastAsia="Times New Roman" w:hAnsi="Times New Roman" w:cs="Times New Roman"/>
          <w:color w:val="000000"/>
          <w:sz w:val="20"/>
          <w:szCs w:val="20"/>
        </w:rPr>
        <w:t xml:space="preserve"> en la comisión reorganizadora del CUR y como vocal de esa entidad y de la mesa empadronadora en Ciencias Económicas. Datos de la </w:t>
      </w:r>
      <w:r>
        <w:rPr>
          <w:rFonts w:ascii="Times New Roman" w:eastAsia="Times New Roman" w:hAnsi="Times New Roman" w:cs="Times New Roman"/>
          <w:i/>
          <w:iCs/>
          <w:color w:val="000000"/>
          <w:sz w:val="20"/>
          <w:szCs w:val="20"/>
        </w:rPr>
        <w:t>Revista del CECE</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iCs/>
          <w:color w:val="000000"/>
          <w:sz w:val="20"/>
          <w:szCs w:val="20"/>
        </w:rPr>
        <w:t>El Radical</w:t>
      </w:r>
      <w:r>
        <w:rPr>
          <w:rFonts w:ascii="Times New Roman" w:eastAsia="Times New Roman" w:hAnsi="Times New Roman" w:cs="Times New Roman"/>
          <w:color w:val="000000"/>
          <w:sz w:val="20"/>
          <w:szCs w:val="20"/>
        </w:rPr>
        <w:t xml:space="preserve"> y </w:t>
      </w:r>
      <w:r>
        <w:rPr>
          <w:rFonts w:ascii="Times New Roman" w:eastAsia="Times New Roman" w:hAnsi="Times New Roman" w:cs="Times New Roman"/>
          <w:i/>
          <w:iCs/>
          <w:color w:val="000000"/>
          <w:sz w:val="20"/>
          <w:szCs w:val="20"/>
        </w:rPr>
        <w:t>La Época</w:t>
      </w:r>
      <w:r>
        <w:rPr>
          <w:rFonts w:ascii="Times New Roman" w:eastAsia="Times New Roman" w:hAnsi="Times New Roman" w:cs="Times New Roman"/>
          <w:color w:val="000000"/>
          <w:sz w:val="20"/>
          <w:szCs w:val="20"/>
        </w:rPr>
        <w:t>.</w:t>
      </w:r>
    </w:p>
  </w:footnote>
  <w:footnote w:id="8">
    <w:p w14:paraId="2E410EF5" w14:textId="23E0DD32" w:rsidR="00E70760" w:rsidRDefault="00E70760" w:rsidP="0068510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700E68">
        <w:rPr>
          <w:rFonts w:ascii="Times New Roman" w:hAnsi="Times New Roman" w:cs="Times New Roman"/>
          <w:vertAlign w:val="superscript"/>
        </w:rPr>
        <w:footnoteRef/>
      </w:r>
      <w:r>
        <w:rPr>
          <w:rFonts w:ascii="Times New Roman" w:eastAsia="Times New Roman" w:hAnsi="Times New Roman" w:cs="Times New Roman"/>
          <w:color w:val="000000"/>
          <w:sz w:val="20"/>
          <w:szCs w:val="20"/>
        </w:rPr>
        <w:t xml:space="preserve"> En sus memorias, </w:t>
      </w:r>
      <w:r w:rsidR="0009452B">
        <w:rPr>
          <w:rFonts w:ascii="Times New Roman" w:eastAsia="Times New Roman" w:hAnsi="Times New Roman" w:cs="Times New Roman"/>
          <w:color w:val="000000"/>
          <w:sz w:val="20"/>
          <w:szCs w:val="20"/>
        </w:rPr>
        <w:t>los inicios de</w:t>
      </w:r>
      <w:r>
        <w:rPr>
          <w:rFonts w:ascii="Times New Roman" w:eastAsia="Times New Roman" w:hAnsi="Times New Roman" w:cs="Times New Roman"/>
          <w:color w:val="000000"/>
          <w:sz w:val="20"/>
          <w:szCs w:val="20"/>
        </w:rPr>
        <w:t xml:space="preserve"> su militancia se ubican en 1922 </w:t>
      </w:r>
      <w:r w:rsidR="0009452B">
        <w:rPr>
          <w:rFonts w:ascii="Times New Roman" w:eastAsia="Times New Roman" w:hAnsi="Times New Roman" w:cs="Times New Roman"/>
          <w:color w:val="000000"/>
          <w:sz w:val="20"/>
          <w:szCs w:val="20"/>
        </w:rPr>
        <w:t>integrando</w:t>
      </w:r>
      <w:r>
        <w:rPr>
          <w:rFonts w:ascii="Times New Roman" w:eastAsia="Times New Roman" w:hAnsi="Times New Roman" w:cs="Times New Roman"/>
          <w:color w:val="000000"/>
          <w:sz w:val="20"/>
          <w:szCs w:val="20"/>
        </w:rPr>
        <w:t xml:space="preserve"> una juventud </w:t>
      </w:r>
      <w:r>
        <w:rPr>
          <w:rFonts w:ascii="Times New Roman" w:eastAsia="Times New Roman" w:hAnsi="Times New Roman" w:cs="Times New Roman"/>
          <w:sz w:val="20"/>
          <w:szCs w:val="20"/>
        </w:rPr>
        <w:t>y</w:t>
      </w:r>
      <w:r>
        <w:rPr>
          <w:rFonts w:ascii="Times New Roman" w:eastAsia="Times New Roman" w:hAnsi="Times New Roman" w:cs="Times New Roman"/>
          <w:color w:val="000000"/>
          <w:sz w:val="20"/>
          <w:szCs w:val="20"/>
        </w:rPr>
        <w:t xml:space="preserve">rigoyenista </w:t>
      </w:r>
      <w:r w:rsidR="0009452B">
        <w:rPr>
          <w:rFonts w:ascii="Times New Roman" w:eastAsia="Times New Roman" w:hAnsi="Times New Roman" w:cs="Times New Roman"/>
          <w:color w:val="000000"/>
          <w:sz w:val="20"/>
          <w:szCs w:val="20"/>
        </w:rPr>
        <w:t>que</w:t>
      </w:r>
      <w:r>
        <w:rPr>
          <w:rFonts w:ascii="Times New Roman" w:eastAsia="Times New Roman" w:hAnsi="Times New Roman" w:cs="Times New Roman"/>
          <w:color w:val="000000"/>
          <w:sz w:val="20"/>
          <w:szCs w:val="20"/>
        </w:rPr>
        <w:t xml:space="preserve"> recibi</w:t>
      </w:r>
      <w:r w:rsidR="0009452B">
        <w:rPr>
          <w:rFonts w:ascii="Times New Roman" w:eastAsia="Times New Roman" w:hAnsi="Times New Roman" w:cs="Times New Roman"/>
          <w:color w:val="000000"/>
          <w:sz w:val="20"/>
          <w:szCs w:val="20"/>
        </w:rPr>
        <w:t>ó</w:t>
      </w:r>
      <w:r>
        <w:rPr>
          <w:rFonts w:ascii="Times New Roman" w:eastAsia="Times New Roman" w:hAnsi="Times New Roman" w:cs="Times New Roman"/>
          <w:color w:val="000000"/>
          <w:sz w:val="20"/>
          <w:szCs w:val="20"/>
        </w:rPr>
        <w:t xml:space="preserve"> a Marcelo T. De Alvear y </w:t>
      </w:r>
      <w:r w:rsidR="000366E4">
        <w:rPr>
          <w:rFonts w:ascii="Times New Roman" w:eastAsia="Times New Roman" w:hAnsi="Times New Roman" w:cs="Times New Roman"/>
          <w:color w:val="000000"/>
          <w:sz w:val="20"/>
          <w:szCs w:val="20"/>
        </w:rPr>
        <w:t xml:space="preserve">en las </w:t>
      </w:r>
      <w:r>
        <w:rPr>
          <w:rFonts w:ascii="Times New Roman" w:eastAsia="Times New Roman" w:hAnsi="Times New Roman" w:cs="Times New Roman"/>
          <w:color w:val="000000"/>
          <w:sz w:val="20"/>
          <w:szCs w:val="20"/>
        </w:rPr>
        <w:t>visita</w:t>
      </w:r>
      <w:r w:rsidR="000366E4">
        <w:rPr>
          <w:rFonts w:ascii="Times New Roman" w:eastAsia="Times New Roman" w:hAnsi="Times New Roman" w:cs="Times New Roman"/>
          <w:color w:val="000000"/>
          <w:sz w:val="20"/>
          <w:szCs w:val="20"/>
        </w:rPr>
        <w:t>s</w:t>
      </w:r>
      <w:r>
        <w:rPr>
          <w:rFonts w:ascii="Times New Roman" w:eastAsia="Times New Roman" w:hAnsi="Times New Roman" w:cs="Times New Roman"/>
          <w:color w:val="000000"/>
          <w:sz w:val="20"/>
          <w:szCs w:val="20"/>
        </w:rPr>
        <w:t xml:space="preserve"> </w:t>
      </w:r>
      <w:r w:rsidR="000366E4">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t>l domicilio de Yrigoyen</w:t>
      </w:r>
      <w:r w:rsidR="000366E4">
        <w:rPr>
          <w:rFonts w:ascii="Times New Roman" w:eastAsia="Times New Roman" w:hAnsi="Times New Roman" w:cs="Times New Roman"/>
          <w:color w:val="000000"/>
          <w:sz w:val="20"/>
          <w:szCs w:val="20"/>
        </w:rPr>
        <w:t xml:space="preserve"> </w:t>
      </w:r>
      <w:r w:rsidR="000366E4">
        <w:rPr>
          <w:rFonts w:ascii="Times New Roman" w:eastAsia="Times New Roman" w:hAnsi="Times New Roman" w:cs="Times New Roman"/>
          <w:color w:val="000000"/>
          <w:sz w:val="20"/>
          <w:szCs w:val="20"/>
        </w:rPr>
        <w:t>c</w:t>
      </w:r>
      <w:r w:rsidR="000366E4">
        <w:rPr>
          <w:rFonts w:ascii="Times New Roman" w:eastAsia="Times New Roman" w:hAnsi="Times New Roman" w:cs="Times New Roman"/>
          <w:color w:val="000000"/>
          <w:sz w:val="20"/>
          <w:szCs w:val="20"/>
        </w:rPr>
        <w:t>omo</w:t>
      </w:r>
      <w:r w:rsidR="000366E4">
        <w:rPr>
          <w:rFonts w:ascii="Times New Roman" w:eastAsia="Times New Roman" w:hAnsi="Times New Roman" w:cs="Times New Roman"/>
          <w:color w:val="000000"/>
          <w:sz w:val="20"/>
          <w:szCs w:val="20"/>
        </w:rPr>
        <w:t xml:space="preserve"> amigo del Dr. Antonio Agudo Ávila</w:t>
      </w:r>
      <w:r>
        <w:rPr>
          <w:rFonts w:ascii="Times New Roman" w:eastAsia="Times New Roman" w:hAnsi="Times New Roman" w:cs="Times New Roman"/>
          <w:color w:val="000000"/>
          <w:sz w:val="20"/>
          <w:szCs w:val="20"/>
        </w:rPr>
        <w:t xml:space="preserve"> (Araujo, 1988: 73).</w:t>
      </w:r>
    </w:p>
  </w:footnote>
  <w:footnote w:id="9">
    <w:p w14:paraId="10E7A439" w14:textId="77777777" w:rsidR="00E70760" w:rsidRPr="00700E68" w:rsidRDefault="00E70760" w:rsidP="0068510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700E68">
        <w:rPr>
          <w:rFonts w:ascii="Times New Roman" w:hAnsi="Times New Roman" w:cs="Times New Roman"/>
          <w:vertAlign w:val="superscript"/>
        </w:rPr>
        <w:footnoteRef/>
      </w:r>
      <w:r w:rsidRPr="00700E68">
        <w:rPr>
          <w:rFonts w:ascii="Times New Roman" w:eastAsia="Times New Roman" w:hAnsi="Times New Roman" w:cs="Times New Roman"/>
          <w:color w:val="000000"/>
          <w:sz w:val="20"/>
          <w:szCs w:val="20"/>
        </w:rPr>
        <w:t xml:space="preserve"> Centro Universitario (11/01/1919). </w:t>
      </w:r>
      <w:r w:rsidRPr="00700E68">
        <w:rPr>
          <w:rFonts w:ascii="Times New Roman" w:eastAsia="Times New Roman" w:hAnsi="Times New Roman" w:cs="Times New Roman"/>
          <w:i/>
          <w:iCs/>
          <w:color w:val="000000"/>
          <w:sz w:val="20"/>
          <w:szCs w:val="20"/>
        </w:rPr>
        <w:t>La Época</w:t>
      </w:r>
      <w:r w:rsidRPr="00700E68">
        <w:rPr>
          <w:rFonts w:ascii="Times New Roman" w:eastAsia="Times New Roman" w:hAnsi="Times New Roman" w:cs="Times New Roman"/>
          <w:color w:val="000000"/>
          <w:sz w:val="20"/>
          <w:szCs w:val="20"/>
        </w:rPr>
        <w:t>, p. 2.</w:t>
      </w:r>
    </w:p>
  </w:footnote>
  <w:footnote w:id="10">
    <w:p w14:paraId="2193E2AB" w14:textId="30E1406B" w:rsidR="00E70760" w:rsidRPr="00700E68" w:rsidRDefault="00E70760" w:rsidP="00E2561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700E68">
        <w:rPr>
          <w:rFonts w:ascii="Times New Roman" w:hAnsi="Times New Roman" w:cs="Times New Roman"/>
          <w:vertAlign w:val="superscript"/>
        </w:rPr>
        <w:footnoteRef/>
      </w:r>
      <w:r w:rsidRPr="00700E68">
        <w:rPr>
          <w:rFonts w:ascii="Times New Roman" w:eastAsia="Times New Roman" w:hAnsi="Times New Roman" w:cs="Times New Roman"/>
          <w:color w:val="000000"/>
          <w:sz w:val="20"/>
          <w:szCs w:val="20"/>
        </w:rPr>
        <w:t xml:space="preserve"> Esta tendencia del nacionalismo estuvo representada, a finales de 1927, en la revista </w:t>
      </w:r>
      <w:r w:rsidRPr="00700E68">
        <w:rPr>
          <w:rFonts w:ascii="Times New Roman" w:eastAsia="Times New Roman" w:hAnsi="Times New Roman" w:cs="Times New Roman"/>
          <w:i/>
          <w:iCs/>
          <w:color w:val="000000"/>
          <w:sz w:val="20"/>
          <w:szCs w:val="20"/>
        </w:rPr>
        <w:t>La Nueva República</w:t>
      </w:r>
      <w:r>
        <w:rPr>
          <w:rFonts w:ascii="Times New Roman" w:eastAsia="Times New Roman" w:hAnsi="Times New Roman" w:cs="Times New Roman"/>
          <w:color w:val="000000"/>
          <w:sz w:val="20"/>
          <w:szCs w:val="20"/>
        </w:rPr>
        <w:t xml:space="preserve"> </w:t>
      </w:r>
      <w:r w:rsidRPr="00700E68">
        <w:rPr>
          <w:rFonts w:ascii="Times New Roman" w:eastAsia="Times New Roman" w:hAnsi="Times New Roman" w:cs="Times New Roman"/>
          <w:color w:val="000000"/>
          <w:sz w:val="20"/>
          <w:szCs w:val="20"/>
        </w:rPr>
        <w:t>(Devoto, 2005: 178-231). Según Bustelo, Julio Irazusta señala que Araujo participó en las reuniones fundacionales de esa revista, pero se alejó por su adhesión al yrigoyenismo (2021: 190).</w:t>
      </w:r>
    </w:p>
  </w:footnote>
  <w:footnote w:id="11">
    <w:p w14:paraId="416B8A4B" w14:textId="77777777" w:rsidR="00E70760" w:rsidRDefault="00E70760" w:rsidP="00E2561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700E68">
        <w:rPr>
          <w:rFonts w:ascii="Times New Roman" w:hAnsi="Times New Roman" w:cs="Times New Roman"/>
          <w:vertAlign w:val="superscript"/>
        </w:rPr>
        <w:footnoteRef/>
      </w:r>
      <w:r w:rsidRPr="00700E68">
        <w:rPr>
          <w:rFonts w:ascii="Times New Roman" w:eastAsia="Times New Roman" w:hAnsi="Times New Roman" w:cs="Times New Roman"/>
          <w:color w:val="000000"/>
          <w:sz w:val="20"/>
          <w:szCs w:val="20"/>
        </w:rPr>
        <w:t xml:space="preserve"> Datos obtenidos del relevamiento de </w:t>
      </w:r>
      <w:r>
        <w:rPr>
          <w:rFonts w:ascii="Times New Roman" w:eastAsia="Times New Roman" w:hAnsi="Times New Roman" w:cs="Times New Roman"/>
          <w:color w:val="000000"/>
          <w:sz w:val="20"/>
          <w:szCs w:val="20"/>
        </w:rPr>
        <w:t>l</w:t>
      </w:r>
      <w:r w:rsidRPr="00700E68">
        <w:rPr>
          <w:rFonts w:ascii="Times New Roman" w:eastAsia="Times New Roman" w:hAnsi="Times New Roman" w:cs="Times New Roman"/>
          <w:color w:val="000000"/>
          <w:sz w:val="20"/>
          <w:szCs w:val="20"/>
        </w:rPr>
        <w:t>egajos y certificados analíticos</w:t>
      </w:r>
      <w:r>
        <w:rPr>
          <w:rFonts w:ascii="Times New Roman" w:eastAsia="Times New Roman" w:hAnsi="Times New Roman" w:cs="Times New Roman"/>
          <w:color w:val="000000"/>
          <w:sz w:val="20"/>
          <w:szCs w:val="20"/>
        </w:rPr>
        <w:t>,</w:t>
      </w:r>
      <w:r w:rsidRPr="00700E68">
        <w:rPr>
          <w:rFonts w:ascii="Times New Roman" w:eastAsia="Times New Roman" w:hAnsi="Times New Roman" w:cs="Times New Roman"/>
          <w:color w:val="000000"/>
          <w:sz w:val="20"/>
          <w:szCs w:val="20"/>
        </w:rPr>
        <w:t xml:space="preserve"> Fondo Facultad de </w:t>
      </w:r>
      <w:r>
        <w:rPr>
          <w:rFonts w:ascii="Times New Roman" w:eastAsia="Times New Roman" w:hAnsi="Times New Roman" w:cs="Times New Roman"/>
          <w:color w:val="000000"/>
          <w:sz w:val="20"/>
          <w:szCs w:val="20"/>
        </w:rPr>
        <w:t>Derecho y Ciencias Sociales, AHUBA.</w:t>
      </w:r>
    </w:p>
  </w:footnote>
  <w:footnote w:id="12">
    <w:p w14:paraId="55A546B9" w14:textId="77777777" w:rsidR="00E70760" w:rsidRDefault="00E70760" w:rsidP="00E2561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941CF9">
        <w:rPr>
          <w:rFonts w:ascii="Times New Roman" w:hAnsi="Times New Roman" w:cs="Times New Roman"/>
          <w:vertAlign w:val="superscript"/>
        </w:rPr>
        <w:footnoteRef/>
      </w:r>
      <w:r>
        <w:rPr>
          <w:rFonts w:ascii="Times New Roman" w:eastAsia="Times New Roman" w:hAnsi="Times New Roman" w:cs="Times New Roman"/>
          <w:color w:val="000000"/>
          <w:sz w:val="20"/>
          <w:szCs w:val="20"/>
        </w:rPr>
        <w:t xml:space="preserve"> Silvio </w:t>
      </w:r>
      <w:proofErr w:type="spellStart"/>
      <w:r>
        <w:rPr>
          <w:rFonts w:ascii="Times New Roman" w:eastAsia="Times New Roman" w:hAnsi="Times New Roman" w:cs="Times New Roman"/>
          <w:color w:val="000000"/>
          <w:sz w:val="20"/>
          <w:szCs w:val="20"/>
        </w:rPr>
        <w:t>Bonardi</w:t>
      </w:r>
      <w:proofErr w:type="spellEnd"/>
      <w:r>
        <w:rPr>
          <w:rFonts w:ascii="Times New Roman" w:eastAsia="Times New Roman" w:hAnsi="Times New Roman" w:cs="Times New Roman"/>
          <w:color w:val="000000"/>
          <w:sz w:val="20"/>
          <w:szCs w:val="20"/>
        </w:rPr>
        <w:t xml:space="preserve"> (11/05/1925). Silvio </w:t>
      </w:r>
      <w:proofErr w:type="spellStart"/>
      <w:r>
        <w:rPr>
          <w:rFonts w:ascii="Times New Roman" w:eastAsia="Times New Roman" w:hAnsi="Times New Roman" w:cs="Times New Roman"/>
          <w:color w:val="000000"/>
          <w:sz w:val="20"/>
          <w:szCs w:val="20"/>
        </w:rPr>
        <w:t>Bonardi</w:t>
      </w:r>
      <w:proofErr w:type="spellEnd"/>
      <w:r>
        <w:rPr>
          <w:rFonts w:ascii="Times New Roman" w:eastAsia="Times New Roman" w:hAnsi="Times New Roman" w:cs="Times New Roman"/>
          <w:color w:val="000000"/>
          <w:sz w:val="20"/>
          <w:szCs w:val="20"/>
        </w:rPr>
        <w:t xml:space="preserve"> [Anuncio]. </w:t>
      </w:r>
      <w:r>
        <w:rPr>
          <w:rFonts w:ascii="Times New Roman" w:eastAsia="Times New Roman" w:hAnsi="Times New Roman" w:cs="Times New Roman"/>
          <w:i/>
          <w:iCs/>
          <w:color w:val="000000"/>
          <w:sz w:val="20"/>
          <w:szCs w:val="20"/>
        </w:rPr>
        <w:t>La Época</w:t>
      </w:r>
      <w:r>
        <w:rPr>
          <w:rFonts w:ascii="Times New Roman" w:eastAsia="Times New Roman" w:hAnsi="Times New Roman" w:cs="Times New Roman"/>
          <w:color w:val="000000"/>
          <w:sz w:val="20"/>
          <w:szCs w:val="20"/>
        </w:rPr>
        <w:t>, p. 4.</w:t>
      </w:r>
    </w:p>
  </w:footnote>
  <w:footnote w:id="13">
    <w:p w14:paraId="4096FB21" w14:textId="60BCC158" w:rsidR="00E70760" w:rsidRDefault="00E70760" w:rsidP="0068510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41CF9">
        <w:rPr>
          <w:rFonts w:ascii="Times New Roman" w:hAnsi="Times New Roman" w:cs="Times New Roman"/>
          <w:vertAlign w:val="superscript"/>
        </w:rPr>
        <w:footnoteRef/>
      </w:r>
      <w:r>
        <w:rPr>
          <w:rFonts w:ascii="Times New Roman" w:eastAsia="Times New Roman" w:hAnsi="Times New Roman" w:cs="Times New Roman"/>
          <w:color w:val="000000"/>
          <w:sz w:val="20"/>
          <w:szCs w:val="20"/>
        </w:rPr>
        <w:t xml:space="preserve"> El derecho al uso de la denominación “Unión Cívica Radical” (31/10/1924), </w:t>
      </w:r>
      <w:r>
        <w:rPr>
          <w:rFonts w:ascii="Times New Roman" w:eastAsia="Times New Roman" w:hAnsi="Times New Roman" w:cs="Times New Roman"/>
          <w:i/>
          <w:iCs/>
          <w:color w:val="000000"/>
          <w:sz w:val="20"/>
          <w:szCs w:val="20"/>
        </w:rPr>
        <w:t>La Época</w:t>
      </w:r>
      <w:r>
        <w:rPr>
          <w:rFonts w:ascii="Times New Roman" w:eastAsia="Times New Roman" w:hAnsi="Times New Roman" w:cs="Times New Roman"/>
          <w:color w:val="000000"/>
          <w:sz w:val="20"/>
          <w:szCs w:val="20"/>
        </w:rPr>
        <w:t xml:space="preserve">, p. 3 y 4. </w:t>
      </w:r>
    </w:p>
  </w:footnote>
  <w:footnote w:id="14">
    <w:p w14:paraId="7B2CE53F" w14:textId="77777777" w:rsidR="00E70760" w:rsidRPr="00941CF9" w:rsidRDefault="00E70760" w:rsidP="00685109">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941CF9">
        <w:rPr>
          <w:rFonts w:ascii="Times New Roman" w:hAnsi="Times New Roman" w:cs="Times New Roman"/>
          <w:vertAlign w:val="superscript"/>
        </w:rPr>
        <w:footnoteRef/>
      </w:r>
      <w:r w:rsidRPr="00941CF9">
        <w:rPr>
          <w:rFonts w:ascii="Times New Roman" w:eastAsia="Times New Roman" w:hAnsi="Times New Roman" w:cs="Times New Roman"/>
          <w:color w:val="000000"/>
          <w:sz w:val="20"/>
          <w:szCs w:val="20"/>
        </w:rPr>
        <w:t xml:space="preserve"> Desinterés y patriotismo en la defensa del petróleo nacional (21/03/1929). </w:t>
      </w:r>
      <w:r w:rsidRPr="00941CF9">
        <w:rPr>
          <w:rFonts w:ascii="Times New Roman" w:eastAsia="Times New Roman" w:hAnsi="Times New Roman" w:cs="Times New Roman"/>
          <w:i/>
          <w:iCs/>
          <w:color w:val="000000"/>
          <w:sz w:val="20"/>
          <w:szCs w:val="20"/>
        </w:rPr>
        <w:t>La Época</w:t>
      </w:r>
      <w:r w:rsidRPr="00941CF9">
        <w:rPr>
          <w:rFonts w:ascii="Times New Roman" w:eastAsia="Times New Roman" w:hAnsi="Times New Roman" w:cs="Times New Roman"/>
          <w:color w:val="000000"/>
          <w:sz w:val="20"/>
          <w:szCs w:val="20"/>
        </w:rPr>
        <w:t>, p. 1.</w:t>
      </w:r>
    </w:p>
  </w:footnote>
  <w:footnote w:id="15">
    <w:p w14:paraId="04638DF0" w14:textId="77777777" w:rsidR="00E70760" w:rsidRPr="00941CF9" w:rsidRDefault="00E70760" w:rsidP="00685109">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941CF9">
        <w:rPr>
          <w:rFonts w:ascii="Times New Roman" w:hAnsi="Times New Roman" w:cs="Times New Roman"/>
          <w:vertAlign w:val="superscript"/>
        </w:rPr>
        <w:footnoteRef/>
      </w:r>
      <w:r w:rsidRPr="00941CF9">
        <w:rPr>
          <w:rFonts w:ascii="Times New Roman" w:eastAsia="Times New Roman" w:hAnsi="Times New Roman" w:cs="Times New Roman"/>
          <w:color w:val="000000"/>
          <w:sz w:val="20"/>
          <w:szCs w:val="20"/>
        </w:rPr>
        <w:t xml:space="preserve"> Comité de la circunscripción 5ª (20/02/1924). </w:t>
      </w:r>
      <w:r w:rsidRPr="00941CF9">
        <w:rPr>
          <w:rFonts w:ascii="Times New Roman" w:eastAsia="Times New Roman" w:hAnsi="Times New Roman" w:cs="Times New Roman"/>
          <w:i/>
          <w:iCs/>
          <w:color w:val="000000"/>
          <w:sz w:val="20"/>
          <w:szCs w:val="20"/>
        </w:rPr>
        <w:t>La Época</w:t>
      </w:r>
      <w:r w:rsidRPr="00941CF9">
        <w:rPr>
          <w:rFonts w:ascii="Times New Roman" w:eastAsia="Times New Roman" w:hAnsi="Times New Roman" w:cs="Times New Roman"/>
          <w:color w:val="000000"/>
          <w:sz w:val="20"/>
          <w:szCs w:val="20"/>
        </w:rPr>
        <w:t>, p. 5.</w:t>
      </w:r>
    </w:p>
  </w:footnote>
  <w:footnote w:id="16">
    <w:p w14:paraId="58EB4716" w14:textId="16AB1C31" w:rsidR="00E70760" w:rsidRDefault="00E70760" w:rsidP="0068510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41CF9">
        <w:rPr>
          <w:rFonts w:ascii="Times New Roman" w:hAnsi="Times New Roman" w:cs="Times New Roman"/>
          <w:vertAlign w:val="superscript"/>
        </w:rPr>
        <w:footnoteRef/>
      </w:r>
      <w:r w:rsidRPr="00941CF9">
        <w:rPr>
          <w:rFonts w:ascii="Times New Roman" w:eastAsia="Times New Roman" w:hAnsi="Times New Roman" w:cs="Times New Roman"/>
          <w:color w:val="000000"/>
          <w:sz w:val="20"/>
          <w:szCs w:val="20"/>
        </w:rPr>
        <w:t xml:space="preserve"> En el CED la apertura de un consultorio jurídico gratuito en 1917, no solo buscaba fomentar la enseñanza práctica entre los estudiantes, sino también desarrollar una legitimación y “acción social” entre distintas sociedades de beneficencia, de socorros mutuos, círculos obreros y comités de partidos a quienes se comunicó de los servicios del consultorio (Bullrich, 1918: 170).</w:t>
      </w:r>
    </w:p>
  </w:footnote>
  <w:footnote w:id="17">
    <w:p w14:paraId="5512EB6F" w14:textId="77777777" w:rsidR="00E70760" w:rsidRDefault="00E70760" w:rsidP="0068510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41CF9">
        <w:rPr>
          <w:rFonts w:ascii="Times New Roman" w:hAnsi="Times New Roman" w:cs="Times New Roman"/>
          <w:vertAlign w:val="superscript"/>
        </w:rPr>
        <w:footnoteRef/>
      </w:r>
      <w:r>
        <w:rPr>
          <w:rFonts w:ascii="Times New Roman" w:eastAsia="Times New Roman" w:hAnsi="Times New Roman" w:cs="Times New Roman"/>
          <w:color w:val="000000"/>
          <w:sz w:val="20"/>
          <w:szCs w:val="20"/>
        </w:rPr>
        <w:t xml:space="preserve"> Esa crítica se ejercía en 1912, en la reproducción de una nota de la </w:t>
      </w:r>
      <w:r>
        <w:rPr>
          <w:rFonts w:ascii="Times New Roman" w:eastAsia="Times New Roman" w:hAnsi="Times New Roman" w:cs="Times New Roman"/>
          <w:i/>
          <w:iCs/>
          <w:color w:val="000000"/>
          <w:sz w:val="20"/>
          <w:szCs w:val="20"/>
        </w:rPr>
        <w:t xml:space="preserve">Revista de Derecho, Jurisprudencia y Administración </w:t>
      </w:r>
      <w:r w:rsidRPr="00941CF9">
        <w:rPr>
          <w:rFonts w:ascii="Times New Roman" w:eastAsia="Times New Roman" w:hAnsi="Times New Roman" w:cs="Times New Roman"/>
          <w:color w:val="000000"/>
          <w:sz w:val="20"/>
          <w:szCs w:val="20"/>
        </w:rPr>
        <w:t>de Montevideo</w:t>
      </w:r>
      <w:r>
        <w:rPr>
          <w:rFonts w:ascii="Times New Roman" w:eastAsia="Times New Roman" w:hAnsi="Times New Roman" w:cs="Times New Roman"/>
          <w:color w:val="000000"/>
          <w:sz w:val="20"/>
          <w:szCs w:val="20"/>
        </w:rPr>
        <w:t xml:space="preserve">, que adhería a un pedido de los colegios de abogados franceses para que se sancione una ley que prohibiera el ejercicio de la abogacía a los parlamentarios.  Los abogados políticos (enero de 1912). </w:t>
      </w:r>
      <w:r>
        <w:rPr>
          <w:rFonts w:ascii="Times New Roman" w:eastAsia="Times New Roman" w:hAnsi="Times New Roman" w:cs="Times New Roman"/>
          <w:i/>
          <w:iCs/>
          <w:color w:val="000000"/>
          <w:sz w:val="20"/>
          <w:szCs w:val="20"/>
        </w:rPr>
        <w:t>Revista del Centro de Estudiantes de Derecho</w:t>
      </w:r>
      <w:r>
        <w:rPr>
          <w:rFonts w:ascii="Times New Roman" w:eastAsia="Times New Roman" w:hAnsi="Times New Roman" w:cs="Times New Roman"/>
          <w:color w:val="000000"/>
          <w:sz w:val="20"/>
          <w:szCs w:val="20"/>
        </w:rPr>
        <w:t>, V (28). pp. 1084-1085.</w:t>
      </w:r>
    </w:p>
  </w:footnote>
  <w:footnote w:id="18">
    <w:p w14:paraId="51DEF65D" w14:textId="77777777" w:rsidR="00E70760" w:rsidRDefault="00E70760" w:rsidP="00E70760">
      <w:pPr>
        <w:pBdr>
          <w:top w:val="nil"/>
          <w:left w:val="nil"/>
          <w:bottom w:val="nil"/>
          <w:right w:val="nil"/>
          <w:between w:val="nil"/>
        </w:pBdr>
        <w:spacing w:after="0" w:line="240" w:lineRule="auto"/>
        <w:rPr>
          <w:color w:val="000000"/>
          <w:sz w:val="20"/>
          <w:szCs w:val="20"/>
        </w:rPr>
      </w:pPr>
      <w:r w:rsidRPr="00941CF9">
        <w:rPr>
          <w:rFonts w:ascii="Times New Roman" w:hAnsi="Times New Roman" w:cs="Times New Roman"/>
          <w:vertAlign w:val="superscript"/>
        </w:rPr>
        <w:footnoteRef/>
      </w:r>
      <w:r w:rsidRPr="00941CF9">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Aserrín. Memorias de un modesto estudiante- El político. (enero de 1918). </w:t>
      </w:r>
      <w:r>
        <w:rPr>
          <w:rFonts w:ascii="Times New Roman" w:eastAsia="Times New Roman" w:hAnsi="Times New Roman" w:cs="Times New Roman"/>
          <w:i/>
          <w:iCs/>
          <w:color w:val="000000"/>
          <w:sz w:val="20"/>
          <w:szCs w:val="20"/>
        </w:rPr>
        <w:t>Ideas</w:t>
      </w:r>
      <w:r>
        <w:rPr>
          <w:rFonts w:ascii="Times New Roman" w:eastAsia="Times New Roman" w:hAnsi="Times New Roman" w:cs="Times New Roman"/>
          <w:color w:val="000000"/>
          <w:sz w:val="20"/>
          <w:szCs w:val="20"/>
        </w:rPr>
        <w:t>. III (15). pp. 380-381.</w:t>
      </w:r>
    </w:p>
  </w:footnote>
  <w:footnote w:id="19">
    <w:p w14:paraId="719E1CFB" w14:textId="77777777" w:rsidR="00E70760" w:rsidRPr="00941CF9" w:rsidRDefault="00E70760" w:rsidP="00E70760">
      <w:pPr>
        <w:spacing w:after="0" w:line="240" w:lineRule="auto"/>
        <w:rPr>
          <w:rFonts w:ascii="Times New Roman" w:eastAsia="Times New Roman" w:hAnsi="Times New Roman" w:cs="Times New Roman"/>
          <w:sz w:val="20"/>
          <w:szCs w:val="20"/>
        </w:rPr>
      </w:pPr>
      <w:r w:rsidRPr="00941CF9">
        <w:rPr>
          <w:rFonts w:ascii="Times New Roman" w:hAnsi="Times New Roman" w:cs="Times New Roman"/>
          <w:vertAlign w:val="superscript"/>
        </w:rPr>
        <w:footnoteRef/>
      </w:r>
      <w:r w:rsidRPr="00941CF9">
        <w:rPr>
          <w:rFonts w:ascii="Times New Roman" w:eastAsia="Times New Roman" w:hAnsi="Times New Roman" w:cs="Times New Roman"/>
          <w:sz w:val="20"/>
          <w:szCs w:val="20"/>
        </w:rPr>
        <w:t xml:space="preserve"> CUR</w:t>
      </w:r>
      <w:r>
        <w:rPr>
          <w:rFonts w:ascii="Times New Roman" w:eastAsia="Times New Roman" w:hAnsi="Times New Roman" w:cs="Times New Roman"/>
          <w:sz w:val="20"/>
          <w:szCs w:val="20"/>
        </w:rPr>
        <w:t>.</w:t>
      </w:r>
      <w:r w:rsidRPr="00941CF9">
        <w:rPr>
          <w:rFonts w:ascii="Times New Roman" w:eastAsia="Times New Roman" w:hAnsi="Times New Roman" w:cs="Times New Roman"/>
          <w:sz w:val="20"/>
          <w:szCs w:val="20"/>
        </w:rPr>
        <w:t xml:space="preserve"> Resoluciones adoptadas (18/01/1918). </w:t>
      </w:r>
      <w:r w:rsidRPr="00941CF9">
        <w:rPr>
          <w:rFonts w:ascii="Times New Roman" w:eastAsia="Times New Roman" w:hAnsi="Times New Roman" w:cs="Times New Roman"/>
          <w:i/>
          <w:iCs/>
          <w:sz w:val="20"/>
          <w:szCs w:val="20"/>
        </w:rPr>
        <w:t>La Época</w:t>
      </w:r>
      <w:r w:rsidRPr="00941CF9">
        <w:rPr>
          <w:rFonts w:ascii="Times New Roman" w:eastAsia="Times New Roman" w:hAnsi="Times New Roman" w:cs="Times New Roman"/>
          <w:sz w:val="20"/>
          <w:szCs w:val="20"/>
        </w:rPr>
        <w:t>.</w:t>
      </w:r>
    </w:p>
  </w:footnote>
  <w:footnote w:id="20">
    <w:p w14:paraId="59CAC929" w14:textId="77777777" w:rsidR="00E70760" w:rsidRDefault="00E70760" w:rsidP="00E70760">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sidRPr="00941CF9">
        <w:rPr>
          <w:rFonts w:ascii="Times New Roman" w:hAnsi="Times New Roman" w:cs="Times New Roman"/>
          <w:vertAlign w:val="superscript"/>
        </w:rPr>
        <w:footnoteRef/>
      </w:r>
      <w:r w:rsidRPr="00941CF9">
        <w:rPr>
          <w:rFonts w:ascii="Times New Roman" w:eastAsia="Times New Roman" w:hAnsi="Times New Roman" w:cs="Times New Roman"/>
          <w:color w:val="000000"/>
          <w:sz w:val="20"/>
          <w:szCs w:val="20"/>
        </w:rPr>
        <w:t xml:space="preserve"> Las conferencias de propaganda (4/11/1920). </w:t>
      </w:r>
      <w:r w:rsidRPr="00941CF9">
        <w:rPr>
          <w:rFonts w:ascii="Times New Roman" w:eastAsia="Times New Roman" w:hAnsi="Times New Roman" w:cs="Times New Roman"/>
          <w:i/>
          <w:iCs/>
          <w:color w:val="000000"/>
          <w:sz w:val="20"/>
          <w:szCs w:val="20"/>
        </w:rPr>
        <w:t>La Época</w:t>
      </w:r>
      <w:r w:rsidRPr="00941CF9">
        <w:rPr>
          <w:rFonts w:ascii="Times New Roman" w:eastAsia="Times New Roman" w:hAnsi="Times New Roman" w:cs="Times New Roman"/>
          <w:color w:val="000000"/>
          <w:sz w:val="20"/>
          <w:szCs w:val="20"/>
        </w:rPr>
        <w:t xml:space="preserve">, p. 2; C. 19a. Pilar. Una conferencia brillante (01/01/1920), </w:t>
      </w:r>
      <w:r w:rsidRPr="00941CF9">
        <w:rPr>
          <w:rFonts w:ascii="Times New Roman" w:eastAsia="Times New Roman" w:hAnsi="Times New Roman" w:cs="Times New Roman"/>
          <w:i/>
          <w:iCs/>
          <w:color w:val="000000"/>
          <w:sz w:val="20"/>
          <w:szCs w:val="20"/>
        </w:rPr>
        <w:t>La Época</w:t>
      </w:r>
      <w:r w:rsidRPr="00941CF9">
        <w:rPr>
          <w:rFonts w:ascii="Times New Roman" w:eastAsia="Times New Roman" w:hAnsi="Times New Roman" w:cs="Times New Roman"/>
          <w:color w:val="000000"/>
          <w:sz w:val="20"/>
          <w:szCs w:val="20"/>
        </w:rPr>
        <w:t>, p. 3.</w:t>
      </w:r>
    </w:p>
  </w:footnote>
  <w:footnote w:id="21">
    <w:p w14:paraId="53940D06" w14:textId="77777777" w:rsidR="00E70760" w:rsidRDefault="00E70760" w:rsidP="00E70760">
      <w:pPr>
        <w:pBdr>
          <w:top w:val="nil"/>
          <w:left w:val="nil"/>
          <w:bottom w:val="nil"/>
          <w:right w:val="nil"/>
          <w:between w:val="nil"/>
        </w:pBdr>
        <w:spacing w:after="0" w:line="240" w:lineRule="auto"/>
        <w:jc w:val="both"/>
        <w:rPr>
          <w:color w:val="000000"/>
          <w:sz w:val="20"/>
          <w:szCs w:val="20"/>
        </w:rPr>
      </w:pPr>
      <w:r w:rsidRPr="00941CF9">
        <w:rPr>
          <w:rFonts w:ascii="Times New Roman" w:hAnsi="Times New Roman" w:cs="Times New Roman"/>
          <w:vertAlign w:val="superscript"/>
        </w:rPr>
        <w:footnoteRef/>
      </w:r>
      <w:r>
        <w:rPr>
          <w:rFonts w:ascii="Times New Roman" w:eastAsia="Times New Roman" w:hAnsi="Times New Roman" w:cs="Times New Roman"/>
          <w:color w:val="000000"/>
          <w:sz w:val="20"/>
          <w:szCs w:val="20"/>
        </w:rPr>
        <w:t xml:space="preserve"> La gran manifestación de anoche (30/06/1917).</w:t>
      </w:r>
      <w:r>
        <w:rPr>
          <w:rFonts w:ascii="Times New Roman" w:eastAsia="Times New Roman" w:hAnsi="Times New Roman" w:cs="Times New Roman"/>
          <w:i/>
          <w:iCs/>
          <w:color w:val="000000"/>
          <w:sz w:val="20"/>
          <w:szCs w:val="20"/>
        </w:rPr>
        <w:t xml:space="preserve"> La Época</w:t>
      </w:r>
      <w:r>
        <w:rPr>
          <w:rFonts w:ascii="Times New Roman" w:eastAsia="Times New Roman" w:hAnsi="Times New Roman" w:cs="Times New Roman"/>
          <w:color w:val="000000"/>
          <w:sz w:val="20"/>
          <w:szCs w:val="20"/>
        </w:rPr>
        <w:t xml:space="preserve">, p 5. </w:t>
      </w:r>
    </w:p>
  </w:footnote>
  <w:footnote w:id="22">
    <w:p w14:paraId="71C484EE" w14:textId="48C04562" w:rsidR="00E70760" w:rsidRDefault="00E70760" w:rsidP="00E7076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41CF9">
        <w:rPr>
          <w:rFonts w:ascii="Times New Roman" w:hAnsi="Times New Roman" w:cs="Times New Roman"/>
          <w:vertAlign w:val="superscript"/>
        </w:rPr>
        <w:footnoteRef/>
      </w:r>
      <w:r>
        <w:rPr>
          <w:rFonts w:ascii="Times New Roman" w:eastAsia="Times New Roman" w:hAnsi="Times New Roman" w:cs="Times New Roman"/>
          <w:color w:val="000000"/>
          <w:sz w:val="20"/>
          <w:szCs w:val="20"/>
        </w:rPr>
        <w:t xml:space="preserve"> No hemos podido acceder a la tesis de Bacigalupi cuyo título figura en (</w:t>
      </w:r>
      <w:proofErr w:type="spellStart"/>
      <w:r>
        <w:rPr>
          <w:rFonts w:ascii="Times New Roman" w:eastAsia="Times New Roman" w:hAnsi="Times New Roman" w:cs="Times New Roman"/>
          <w:color w:val="000000"/>
          <w:sz w:val="20"/>
          <w:szCs w:val="20"/>
        </w:rPr>
        <w:t>Candioti</w:t>
      </w:r>
      <w:proofErr w:type="spellEnd"/>
      <w:r>
        <w:rPr>
          <w:rFonts w:ascii="Times New Roman" w:eastAsia="Times New Roman" w:hAnsi="Times New Roman" w:cs="Times New Roman"/>
          <w:color w:val="000000"/>
          <w:sz w:val="20"/>
          <w:szCs w:val="20"/>
        </w:rPr>
        <w:t>, 1920). A partir de ese listado y de las tesis consultadas en la BNMM, sabemos que entre 1918 y 1919, se defendieron un total de diez tesis sobre esa temática.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366E4"/>
    <w:rsid w:val="00082FE4"/>
    <w:rsid w:val="0009452B"/>
    <w:rsid w:val="001816D6"/>
    <w:rsid w:val="00185F5E"/>
    <w:rsid w:val="001923DC"/>
    <w:rsid w:val="001E701A"/>
    <w:rsid w:val="002327C3"/>
    <w:rsid w:val="00312392"/>
    <w:rsid w:val="004040C0"/>
    <w:rsid w:val="00437E9C"/>
    <w:rsid w:val="004B4F62"/>
    <w:rsid w:val="00550766"/>
    <w:rsid w:val="005B2203"/>
    <w:rsid w:val="005F3B2E"/>
    <w:rsid w:val="00685109"/>
    <w:rsid w:val="006F2A63"/>
    <w:rsid w:val="00701F64"/>
    <w:rsid w:val="00781C89"/>
    <w:rsid w:val="007B5B5F"/>
    <w:rsid w:val="007D233B"/>
    <w:rsid w:val="0085070B"/>
    <w:rsid w:val="00A17247"/>
    <w:rsid w:val="00BA642E"/>
    <w:rsid w:val="00BC236F"/>
    <w:rsid w:val="00C802F5"/>
    <w:rsid w:val="00C96B2C"/>
    <w:rsid w:val="00CC04C1"/>
    <w:rsid w:val="00D17767"/>
    <w:rsid w:val="00D279AA"/>
    <w:rsid w:val="00D843EC"/>
    <w:rsid w:val="00E25612"/>
    <w:rsid w:val="00E7076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7257</Words>
  <Characters>41370</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lu_ca</cp:lastModifiedBy>
  <cp:revision>2</cp:revision>
  <dcterms:created xsi:type="dcterms:W3CDTF">2026-07-10T20:15:00Z</dcterms:created>
  <dcterms:modified xsi:type="dcterms:W3CDTF">2026-07-10T20:15:00Z</dcterms:modified>
</cp:coreProperties>
</file>