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color w:val="1f1f1f"/>
          <w:sz w:val="28"/>
          <w:szCs w:val="28"/>
          <w:rtl w:val="0"/>
        </w:rPr>
        <w:t xml:space="preserve">A Institucionalização do Capacitismo: Uma Análise da Exclusão de Estudantes com Deficiência no Ambiente Acadêmico</w:t>
      </w:r>
    </w:p>
    <w:p w:rsidR="00000000" w:rsidDel="00000000" w:rsidP="00000000" w:rsidRDefault="00000000" w:rsidRPr="00000000" w14:paraId="00000002">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RUTILÉIA CAMPOS RODRIGUES</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UNIVERSIDADE FEDERAL DE SANTA MARIA</w:t>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hyperlink r:id="rId6">
        <w:r w:rsidDel="00000000" w:rsidR="00000000" w:rsidRPr="00000000">
          <w:rPr>
            <w:rFonts w:ascii="Times New Roman" w:cs="Times New Roman" w:eastAsia="Times New Roman" w:hAnsi="Times New Roman"/>
            <w:color w:val="1155cc"/>
            <w:u w:val="single"/>
            <w:rtl w:val="0"/>
          </w:rPr>
          <w:t xml:space="preserve">camposruth107@gmail.com</w:t>
        </w:r>
      </w:hyperlink>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color w:val="ee0000"/>
        </w:rPr>
      </w:pPr>
      <w:r w:rsidDel="00000000" w:rsidR="00000000" w:rsidRPr="00000000">
        <w:rPr>
          <w:rFonts w:ascii="Times New Roman" w:cs="Times New Roman" w:eastAsia="Times New Roman" w:hAnsi="Times New Roman"/>
          <w:b w:val="1"/>
          <w:bCs w:val="1"/>
          <w:color w:val="ee0000"/>
          <w:rtl w:val="0"/>
        </w:rPr>
        <w:t xml:space="preserve">Instrucciones:</w:t>
      </w:r>
      <w:r w:rsidDel="00000000" w:rsidR="00000000" w:rsidRPr="00000000">
        <w:rPr>
          <w:rFonts w:ascii="Times New Roman" w:cs="Times New Roman" w:eastAsia="Times New Roman" w:hAnsi="Times New Roman"/>
          <w:color w:val="ee0000"/>
          <w:rtl w:val="0"/>
        </w:rPr>
        <w:t xml:space="preserve"> </w:t>
      </w:r>
    </w:p>
    <w:p w:rsidR="00000000" w:rsidDel="00000000" w:rsidP="00000000" w:rsidRDefault="00000000" w:rsidRPr="00000000" w14:paraId="0000000B">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color w:val="ee0000"/>
        </w:rPr>
      </w:pPr>
      <w:r w:rsidDel="00000000" w:rsidR="00000000" w:rsidRPr="00000000">
        <w:rPr>
          <w:rFonts w:ascii="Times New Roman" w:cs="Times New Roman" w:eastAsia="Times New Roman" w:hAnsi="Times New Roman"/>
          <w:color w:val="ee0000"/>
          <w:rtl w:val="0"/>
        </w:rPr>
        <w:t xml:space="preserve">Las ponencias completas deberán tener una extensión de entre 5.000 y 8.000 palabras. Deben enviarse este archivo en formato Word (en ningún caso PDF). 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Roman de 12, interlineado simple. Justificado. Solo usar negrita para títulos y subtítulos.</w:t>
      </w:r>
    </w:p>
    <w:p w:rsidR="00000000" w:rsidDel="00000000" w:rsidP="00000000" w:rsidRDefault="00000000" w:rsidRPr="00000000" w14:paraId="0000000C">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Aquellos trabajos que no cumplan con estas pautas serán devueltos a sus autores para su corrección.</w:t>
      </w:r>
    </w:p>
    <w:p w:rsidR="00000000" w:rsidDel="00000000" w:rsidP="00000000" w:rsidRDefault="00000000" w:rsidRPr="00000000" w14:paraId="0000000D">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E">
      <w:pPr>
        <w:spacing w:line="240" w:lineRule="auto"/>
        <w:jc w:val="both"/>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color w:val="1f1f1f"/>
          <w:rtl w:val="0"/>
        </w:rPr>
        <w:t xml:space="preserve">Este estudo analisa o capacitismo estrutural e institucional no ensino superior brasileiro, compreendido como a discriminação que adota a ausência de deficiência como padrão normativo de superioridade. Por meio de uma pesquisa qualitativa, bibliográfica e documental fundamentada na Lei Brasileira de Inclusão, o trabalho investiga como as instituições reproduzem lógicas excludentes que inviabilizam a permanência discente. Adotando de forma central uma lente interseccional, a análise cruza o capacitismo com o racismo estrutural, demonstrando que a corponormatividade na academia é atravessada pela branquitude como referência de competência. Esse processo submete estudantes negros com deficiência a uma múltipla vulnerabilização, na qual o racismo epistemológico deslegitima seus saberes e restringe sua presença nos espaços de poder e prestígio, como as áreas de Saúde e Engenharias. Diante da dicotomia entre um arcabouço jurídico progressista e a negligência prática das instituições, conclui-se que a real democratização acadêmica exige a adoção do Desenho Universal para a Aprendizagem (DUA) e uma mudança paradigmática profunda, deslocando o foco do impedimento individual para a eliminação das barreiras estruturais, atitudinais e raciais do ambiente.</w:t>
      </w:r>
    </w:p>
    <w:p w:rsidR="00000000" w:rsidDel="00000000" w:rsidP="00000000" w:rsidRDefault="00000000" w:rsidRPr="00000000" w14:paraId="0000000F">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w:t>
      </w:r>
      <w:r w:rsidDel="00000000" w:rsidR="00000000" w:rsidRPr="00000000">
        <w:rPr>
          <w:rFonts w:ascii="Times New Roman" w:cs="Times New Roman" w:eastAsia="Times New Roman" w:hAnsi="Times New Roman"/>
          <w:color w:val="1f1f1f"/>
          <w:rtl w:val="0"/>
        </w:rPr>
        <w:t xml:space="preserve">Capacitismo Estrutural; Ensino Superior; Interseccionalidade.</w:t>
      </w: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3">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240" w:before="0" w:line="276" w:lineRule="auto"/>
        <w:rPr>
          <w:rFonts w:ascii="Times New Roman" w:cs="Times New Roman" w:eastAsia="Times New Roman" w:hAnsi="Times New Roman"/>
          <w:color w:val="1f1f1f"/>
          <w:sz w:val="24"/>
          <w:szCs w:val="24"/>
        </w:rPr>
      </w:pPr>
      <w:bookmarkStart w:colFirst="0" w:colLast="0" w:name="_t00i84z99lkq" w:id="0"/>
      <w:bookmarkEnd w:id="0"/>
      <w:r w:rsidDel="00000000" w:rsidR="00000000" w:rsidRPr="00000000">
        <w:rPr>
          <w:rFonts w:ascii="Times New Roman" w:cs="Times New Roman" w:eastAsia="Times New Roman" w:hAnsi="Times New Roman"/>
          <w:color w:val="1f1f1f"/>
          <w:sz w:val="24"/>
          <w:szCs w:val="24"/>
          <w:rtl w:val="0"/>
        </w:rPr>
        <w:t xml:space="preserve">O presente trabalho analisa o capacitismo, uma opressão estrutural manifestada na sociedade por meio de profundos estereótipos e preconceitos, os quais acabam sendo reproduzidos pelas instituições de ensino, desde a educação básica até o ensino superior. O capacitismo define-se, fundamentalmente, como a discriminação ou o preconceito contra pessoas com deficiência, sustentado pela crença equivocada de que a ausência de deficiência é o padrão de "normalidade", funcionalidade e superioridade. Essa visão reducionista e biologicista avalia a totalidade do sujeito estritamente a partir de sua condição médica ou impedimento físico, sensorial ou intelectual, ignorando suas potencialidades, suas trajetórias singulares e suas ricas subjetividades.</w:t>
      </w:r>
    </w:p>
    <w:p w:rsidR="00000000" w:rsidDel="00000000" w:rsidP="00000000" w:rsidRDefault="00000000" w:rsidRPr="00000000" w14:paraId="00000014">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240" w:before="0" w:line="276" w:lineRule="auto"/>
        <w:rPr>
          <w:rFonts w:ascii="Times New Roman" w:cs="Times New Roman" w:eastAsia="Times New Roman" w:hAnsi="Times New Roman"/>
          <w:color w:val="1f1f1f"/>
          <w:sz w:val="24"/>
          <w:szCs w:val="24"/>
        </w:rPr>
      </w:pPr>
      <w:bookmarkStart w:colFirst="0" w:colLast="0" w:name="_t00i84z99lkq" w:id="0"/>
      <w:bookmarkEnd w:id="0"/>
      <w:r w:rsidDel="00000000" w:rsidR="00000000" w:rsidRPr="00000000">
        <w:rPr>
          <w:rFonts w:ascii="Times New Roman" w:cs="Times New Roman" w:eastAsia="Times New Roman" w:hAnsi="Times New Roman"/>
          <w:color w:val="1f1f1f"/>
          <w:sz w:val="24"/>
          <w:szCs w:val="24"/>
          <w:rtl w:val="0"/>
        </w:rPr>
        <w:t xml:space="preserve">Na transição dos níveis educacionais, o capacitismo assume contornos distintos, mas igualmente violentos. Na educação básica, ele frequentemente se camufla sob o véu do assistencialismo, da compaixão paralisante ou da subestimação intelectual deliberada espaço no qual o aluno é matriculado formalmente para cumprir índices legais, mas, na realidade prática do cotidiano escolar, não recebe o suporte pedagógico necessário, as adaptações curriculares adequadas ou o estímulo cognitivo essencial para o seu desenvolvimento pleno e autônomo. À medida que o estudante avança na sua jornada acadêmica e tenta romper os cercados invisíveis da exclusão social, esse fenômeno se intensifica, tornando-se consideravelmente mais complexo, refinado e institucionalizado.</w:t>
      </w:r>
    </w:p>
    <w:p w:rsidR="00000000" w:rsidDel="00000000" w:rsidP="00000000" w:rsidRDefault="00000000" w:rsidRPr="00000000" w14:paraId="00000015">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240" w:before="0" w:line="276" w:lineRule="auto"/>
        <w:rPr>
          <w:rFonts w:ascii="Times New Roman" w:cs="Times New Roman" w:eastAsia="Times New Roman" w:hAnsi="Times New Roman"/>
          <w:color w:val="1f1f1f"/>
          <w:sz w:val="24"/>
          <w:szCs w:val="24"/>
        </w:rPr>
      </w:pPr>
      <w:bookmarkStart w:colFirst="0" w:colLast="0" w:name="_t00i84z99lkq" w:id="0"/>
      <w:bookmarkEnd w:id="0"/>
      <w:r w:rsidDel="00000000" w:rsidR="00000000" w:rsidRPr="00000000">
        <w:rPr>
          <w:rFonts w:ascii="Times New Roman" w:cs="Times New Roman" w:eastAsia="Times New Roman" w:hAnsi="Times New Roman"/>
          <w:color w:val="1f1f1f"/>
          <w:sz w:val="24"/>
          <w:szCs w:val="24"/>
          <w:rtl w:val="0"/>
        </w:rPr>
        <w:t xml:space="preserve">No topo dessa pirâmide educacional, especificamente no ensino superior, as barreiras deixam de ser apenas atitudinais primárias e passam a ser metodológicas, burocráticas e profundamente enraizadas nas estruturas das instituições. A cultura da meritocracia acadêmica, historicamente elitista, rígida e pouco flexível, tende a excluir sumariamente aqueles cujos corpos, mentes ou ritmos de aprendizagem não se encaixam perfeitamente na velocidade e nos padrões de produtividade exigidos pelo mercado de trabalho contemporâneo e pela própria academia. Diante disso, faz-se urgente lançar uma lente analítica rigorosa sobre a dimensão mais perversa e menos visibilizada desse fenômeno: as barreiras atitudinais.</w:t>
      </w:r>
    </w:p>
    <w:p w:rsidR="00000000" w:rsidDel="00000000" w:rsidP="00000000" w:rsidRDefault="00000000" w:rsidRPr="00000000" w14:paraId="00000016">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240" w:before="0" w:line="276" w:lineRule="auto"/>
        <w:rPr>
          <w:rFonts w:ascii="Times New Roman" w:cs="Times New Roman" w:eastAsia="Times New Roman" w:hAnsi="Times New Roman"/>
          <w:color w:val="1f1f1f"/>
          <w:sz w:val="24"/>
          <w:szCs w:val="24"/>
        </w:rPr>
      </w:pPr>
      <w:bookmarkStart w:colFirst="0" w:colLast="0" w:name="_t00i84z99lkq" w:id="0"/>
      <w:bookmarkEnd w:id="0"/>
      <w:r w:rsidDel="00000000" w:rsidR="00000000" w:rsidRPr="00000000">
        <w:rPr>
          <w:rFonts w:ascii="Times New Roman" w:cs="Times New Roman" w:eastAsia="Times New Roman" w:hAnsi="Times New Roman"/>
          <w:color w:val="1f1f1f"/>
          <w:sz w:val="24"/>
          <w:szCs w:val="24"/>
          <w:rtl w:val="0"/>
        </w:rPr>
        <w:t xml:space="preserve">As barreiras atitudinais compreendem os comportamentos, os estigmas, os olhares de desconfiança, as negligências docentes e as posturas institucionais que impedem ou limitam a participação social da pessoa com deficiência em igualdade de condições. Longe de serem manifestações isoladas de falta de educação individual, as barreiras atitudinais no ensino superior são reflexos de uma estrutura social que lê o corpo com deficiência como um "corpo intruso", um elemento disfuncional que desestabiliza a ordem natural da sala de aula. Esse preconceito comportamental manifesta-se desde o julgamento silencioso de professores que consideram a presença do estudante com deficiência um "fardo extra" ou um "problema do setor de acessibilidade", até o paternalismo exacerbado que invalida a capacidade intelectual do discente sob o pretexto de protegê-lo.</w:t>
      </w:r>
    </w:p>
    <w:p w:rsidR="00000000" w:rsidDel="00000000" w:rsidP="00000000" w:rsidRDefault="00000000" w:rsidRPr="00000000" w14:paraId="00000017">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240" w:before="0" w:line="276" w:lineRule="auto"/>
        <w:rPr>
          <w:rFonts w:ascii="Times New Roman" w:cs="Times New Roman" w:eastAsia="Times New Roman" w:hAnsi="Times New Roman"/>
          <w:color w:val="1f1f1f"/>
          <w:sz w:val="24"/>
          <w:szCs w:val="24"/>
        </w:rPr>
      </w:pPr>
      <w:bookmarkStart w:colFirst="0" w:colLast="0" w:name="_t00i84z99lkq" w:id="0"/>
      <w:bookmarkEnd w:id="0"/>
      <w:r w:rsidDel="00000000" w:rsidR="00000000" w:rsidRPr="00000000">
        <w:rPr>
          <w:rFonts w:ascii="Times New Roman" w:cs="Times New Roman" w:eastAsia="Times New Roman" w:hAnsi="Times New Roman"/>
          <w:color w:val="1f1f1f"/>
          <w:sz w:val="24"/>
          <w:szCs w:val="24"/>
          <w:rtl w:val="0"/>
        </w:rPr>
        <w:t xml:space="preserve">A barreira atitudinal funciona como o alicerce de todas as outras exclusões. Se um docente adota uma postura de resistência ideológica ou pedagógica, ele se recusará a planejar sua aula de forma acessível, ignorando a necessidade de disponibilizar materiais com antecedência ou de diversificar os instrumentos de avaliação. O estudante com deficiência passa, então, a habitar um espaço de constante hostilidade passiva. Ele precisa gastar energia vital não apenas para estudar os conteúdos programáticos de sua graduação, mas para justificar, dia após dia, que possui o direito legítimo de ocupar aquela cadeira acadêmica. A universidade, ao omitir-se frente a esses comportamentos e ao não promover uma formação continuada que desconstrua o viés capacitista de seu corpo docente e técnico, valida silenciosamente a violência atitudinal.</w:t>
      </w:r>
    </w:p>
    <w:p w:rsidR="00000000" w:rsidDel="00000000" w:rsidP="00000000" w:rsidRDefault="00000000" w:rsidRPr="00000000" w14:paraId="00000018">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240" w:before="0" w:line="276" w:lineRule="auto"/>
        <w:rPr>
          <w:rFonts w:ascii="Times New Roman" w:cs="Times New Roman" w:eastAsia="Times New Roman" w:hAnsi="Times New Roman"/>
          <w:color w:val="1f1f1f"/>
          <w:sz w:val="24"/>
          <w:szCs w:val="24"/>
        </w:rPr>
      </w:pPr>
      <w:bookmarkStart w:colFirst="0" w:colLast="0" w:name="_t00i84z99lkq" w:id="0"/>
      <w:bookmarkEnd w:id="0"/>
      <w:r w:rsidDel="00000000" w:rsidR="00000000" w:rsidRPr="00000000">
        <w:rPr>
          <w:rFonts w:ascii="Times New Roman" w:cs="Times New Roman" w:eastAsia="Times New Roman" w:hAnsi="Times New Roman"/>
          <w:color w:val="1f1f1f"/>
          <w:sz w:val="24"/>
          <w:szCs w:val="24"/>
          <w:rtl w:val="0"/>
        </w:rPr>
        <w:t xml:space="preserve">Dessa forma, este estudo busca investigar detalhadamente como o ambiente acadêmico, que idealmente deveria se configurar como um espaço de emancipação crítica, produção científica democrática e cidadania, acaba por reproduzir e sofisticar lógicas excludentes históricas. Ao invisibilizar as necessidades específicas, as adaptações razoáveis e as ricas contribuições de estudantes com deficiência, o capacitismo institucional não apenas fere de morte o direito constitucional e humano à educação superior, mas também empobrece severamente a diversidade, a pluralidade e a profundidade do pensamento científico e social contemporâneo.</w:t>
      </w:r>
    </w:p>
    <w:p w:rsidR="00000000" w:rsidDel="00000000" w:rsidP="00000000" w:rsidRDefault="00000000" w:rsidRPr="00000000" w14:paraId="00000019">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240" w:before="0" w:line="276" w:lineRule="auto"/>
        <w:rPr>
          <w:rFonts w:ascii="Times New Roman" w:cs="Times New Roman" w:eastAsia="Times New Roman" w:hAnsi="Times New Roman"/>
          <w:color w:val="1f1f1f"/>
          <w:sz w:val="24"/>
          <w:szCs w:val="24"/>
        </w:rPr>
      </w:pPr>
      <w:bookmarkStart w:colFirst="0" w:colLast="0" w:name="_orrgigiunjwd" w:id="1"/>
      <w:bookmarkEnd w:id="1"/>
      <w:r w:rsidDel="00000000" w:rsidR="00000000" w:rsidRPr="00000000">
        <w:rPr>
          <w:rFonts w:ascii="Times New Roman" w:cs="Times New Roman" w:eastAsia="Times New Roman" w:hAnsi="Times New Roman"/>
          <w:color w:val="1f1f1f"/>
          <w:sz w:val="24"/>
          <w:szCs w:val="24"/>
          <w:rtl w:val="0"/>
        </w:rPr>
        <w:t xml:space="preserve">Essa estrutura segregacionista e corponormativa coloca a pessoa com deficiência em situações de extrema vulnerabilidade multidimensional, uma vez que a negação sistemática de um ensino digno, acessível e equânime reflete, em última instância, a omissão continuada do Estado e das instituições em garantir direitos políticos básicos e fundamentais. O capacitismo não se resume a um preconceito abstrato; ele se materializa em uma complexa e perversa arquitetura de exclusão que abrange desde a precariedade gritante da infraestrutura física, arquitetônica e tecnológica das universidades até a rigidez intransigente das barreiras pedagógicas, avaliativas e atitudinais. Ao impedir o livre exercício do direito de "ir e vir" e, sobretudo, do direito humano e político de "permanecer" e "pertencer" com dignidade, o sistema educacional superior interrompe violentamente trajetórias de vida promissoras e priva o sujeito de sua autonomia existencial, transformando o espaço que deveria ser do saber e da liberdade em um território hostil de interdição, sofrimento psíquico e invisibilidade programada.</w:t>
      </w:r>
    </w:p>
    <w:p w:rsidR="00000000" w:rsidDel="00000000" w:rsidP="00000000" w:rsidRDefault="00000000" w:rsidRPr="00000000" w14:paraId="0000001A">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before="0" w:line="276" w:lineRule="auto"/>
        <w:rPr>
          <w:rFonts w:ascii="Times New Roman" w:cs="Times New Roman" w:eastAsia="Times New Roman" w:hAnsi="Times New Roman"/>
          <w:color w:val="1f1f1f"/>
          <w:sz w:val="24"/>
          <w:szCs w:val="24"/>
        </w:rPr>
      </w:pPr>
      <w:bookmarkStart w:colFirst="0" w:colLast="0" w:name="_t00i84z99lkq" w:id="0"/>
      <w:bookmarkEnd w:id="0"/>
      <w:r w:rsidDel="00000000" w:rsidR="00000000" w:rsidRPr="00000000">
        <w:rPr>
          <w:rtl w:val="0"/>
        </w:rPr>
      </w:r>
    </w:p>
    <w:p w:rsidR="00000000" w:rsidDel="00000000" w:rsidP="00000000" w:rsidRDefault="00000000" w:rsidRPr="00000000" w14:paraId="0000001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before="0" w:line="276" w:lineRule="auto"/>
        <w:rPr>
          <w:rFonts w:ascii="Times New Roman" w:cs="Times New Roman" w:eastAsia="Times New Roman" w:hAnsi="Times New Roman"/>
          <w:b w:val="1"/>
          <w:bCs w:val="1"/>
          <w:color w:val="1f1f1f"/>
          <w:sz w:val="24"/>
          <w:szCs w:val="24"/>
        </w:rPr>
      </w:pPr>
      <w:bookmarkStart w:colFirst="0" w:colLast="0" w:name="_pv1sah1772qb" w:id="2"/>
      <w:bookmarkEnd w:id="2"/>
      <w:r w:rsidDel="00000000" w:rsidR="00000000" w:rsidRPr="00000000">
        <w:rPr>
          <w:rtl w:val="0"/>
        </w:rPr>
      </w:r>
    </w:p>
    <w:p w:rsidR="00000000" w:rsidDel="00000000" w:rsidP="00000000" w:rsidRDefault="00000000" w:rsidRPr="00000000" w14:paraId="0000001C">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before="0" w:line="276" w:lineRule="auto"/>
        <w:rPr>
          <w:rFonts w:ascii="Times New Roman" w:cs="Times New Roman" w:eastAsia="Times New Roman" w:hAnsi="Times New Roman"/>
          <w:b w:val="1"/>
          <w:bCs w:val="1"/>
          <w:color w:val="1f1f1f"/>
          <w:sz w:val="24"/>
          <w:szCs w:val="24"/>
        </w:rPr>
      </w:pPr>
      <w:bookmarkStart w:colFirst="0" w:colLast="0" w:name="_gl633lcf6mip" w:id="3"/>
      <w:bookmarkEnd w:id="3"/>
      <w:r w:rsidDel="00000000" w:rsidR="00000000" w:rsidRPr="00000000">
        <w:rPr>
          <w:rtl w:val="0"/>
        </w:rPr>
      </w:r>
    </w:p>
    <w:p w:rsidR="00000000" w:rsidDel="00000000" w:rsidP="00000000" w:rsidRDefault="00000000" w:rsidRPr="00000000" w14:paraId="0000001D">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A reflexão sobre a inclusão de pessoas com deficiência no ensino superior exige, antes de tudo, compreender que os centros formativos brasileiros ainda operam sob a égide de um capacitismo estrutural e atitudinal profundamente arraigado. Historicamente concebida como um espaço de privilégio e de legitimação de uma pretensa "normalidade" corporal e cognitiva, a academia perpetua barreiras que vão muito além da ausência de rampas ou de softwares adaptados; elas residem nas mentalidades, nas práticas pedagógicas e na própria concepção de quem tem o direito de produzir saber. É nesse cenário de tensões e resistências coloniais que a implementação da Lei nº 13.146/2015 (Lei Brasileira de Inclusão - LBI) deve ser analisada, revelando uma dicotomia permanente: de um lado, um arcabouço normativo progressista que assegura o direito a materiais pedagógicos acessíveis e tecnologias assistivas; de outro, uma realidade institucional marcada pela negligência e pelo descompasso operacional.</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Essa distância entre o texto legal e a vivência cotidiana dos acadêmicos evidencia que a acessibilidade, no que se refere especificamente ao acesso ao conhecimento, não é apenas uma diretriz técnica. A obrigatoriedade de disponibilizar textos em braille, audiodescrição e materiais compatíveis com leitores de tela constitui-se como um imperativo ético para garantir que o ensino superior não se torne um privilégio de corpos funcionais. Todavia, a materialização desses direitos ainda encontra limites concretos que demonstram como a inclusão, muitas vezes, permanece restrita ao plano formal, falhando em se efetivar nas dimensões arquitetônica, pedagógica e, sobretudo, atitudinal.</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As barreiras enfrentadas por discentes com deficiência, portanto, não devem ser compreendidas como falhas pontuais de gestão, mas como expressões de um sistema historicamente excludente. O ambiente acadêmico foi estruturado a partir de padrões normativos de corpo e cognição que definem quem é o "sujeito do saber". Essa estrutura, fundamentada no capacitismo, produz e reproduz desigualdades ao naturalizar a inadequação dos sujeitos em vez de problematizar a rigidez dos espaços institucionais.</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A precariedade das condições arquitetônicas, exemplificada pelo relato traumático no estudo de Lopes (2021), no qual um aluno sofre uma queda devido a uma rampa inacabada e um elevador danificado, configura o que se denomina capacitismo estrutural. Essa negligência com o espaço físico comunica uma mensagem simbólica violenta: a de que aquele corpo não foi previsto pelo projeto da instituição. A acessibilidade incompleta ou "remendada" transforma o ambiente acadêmico em um espaço de risco, no qual o estudante é obrigado a negociar sua integridade física para exercer o direito à educação. Essa falha física, por conseguinte, constitui o primeiro estágio de uma exclusão que se aprofunda no campo simbólico.</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Contudo, a exclusão física é acompanhada e muitas vezes intensificada por uma barreira ainda mais profunda: o preconceito atitudinal. Como destaca Bezerra (2021), a sociedade frequentemente promove uma "anulação da pessoa humana" em favor da deficiência. No contexto acadêmico, isso resulta na construção do estudante como alguém "menos capaz" ou "deficitário" antes mesmo que suas competências intelectuais sejam devidamente avaliadas. Essa deslegitimação é reforçada por uma visão paternalista e invalidante que transforma a experiência da deficiência em um "objeto de inspiração".</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O relato apresentado por Rodrigues (2024), no qual um discente afirma estar exausto de ser visto como um "livro de autoajuda ambulante", ilustra com precisão essa violência atitudinal. Ao chamar um aluno com deficiência apenas para falar de sua vida pessoal e de sua "superação", a instituição opera um apagamento sistemático de tudo o que o constitui como indivíduo. Esse processo assume um caráter vexatório porque, ao convidar o sujeito apenas para que o público tome consciência de que pessoas com deficiência existem, o centro de ensino o transforma em uma mera atração pedagógica. Sua privacidade é invadida com perguntas íntimas sobre sua rotina e limitações e, após essa exposição forçada, o evento acaba e a plateia se sente inspirada, mas as barreiras reais enfrentadas diariamente continuam exatamente no mesmo lugar.</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Ignora-se, dessa forma, a pesquisa acadêmica que ele desenvolve, a sua capacidade técnica no interior dos laboratórios, a sua personalidade singular, os seus gostos e as suas visões de mundo. Cria-se, assim, um cenário de fadiga imensa e crônica, no qual o indivíduo se vê obrigado a performar publicamente a sua própria deficiência e um otimismo inabalável apenas para arrancar da comunidade acadêmica a validação e a aceitação que deveriam ser suas por direito.</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Ao converter a luta por direitos em "superação individual", a instituição esvazia a dimensão política da deficiência e invisibiliza a sua própria responsabilidade em prover acessibilidade. Focar na superação individual é uma tática conveniente para o sistema, pois, quando o discurso se baseia na premissa de que o estudante conseguiu vencer as barreiras apenas devido ao seu esforço próprio, a corporação se esquiva de responder a perguntas desconfortáveis sobre por que a estrutura física continua inacessível, por que os materiais pedagógicos não estão adaptados e por que a inclusão só acontece na base do sacrifício do aluno. Desse modo, a responsabilidade de adaptação é empurrada inteiramente para as costas do indivíduo, enquanto o ambiente se isenta de cumprir o seu papel legal e social. O discente é, portanto, forçado a ser um "herói" para compensar a incompetência estrutural da instituição.</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Essa visão estigmatizada materializa-se de forma crítica nas práticas pedagógicas. O relato em que o estudante afirma que o docente declarou que ele "está se aproveitar da deficiência" ao solicitar tempo adicional na pesquisa feita por Lopes (2021) revela um desconhecimento profundo sobre o conceito de equidade. Adaptações curriculares e temporais não são privilégios, mas sim mecanismos de direito necessários para nivelar as condições de participação em um sistema desenhado originalmente para quem não possui impedimentos. Essa postura pedagógica confunde igualdade formal com justiça social: tratar de forma idêntica indivíduos com pontos de partida desiguais apenas perpetua a exclusão. Para que a inclusão educacional deixe de ser uma concessão benevolente e se torne um direito efetivo, é urgente transformar a cultura docente, desconstruindo o viés meritocrático que enxerga a acessibilidade como uma vantagem indevida, e não como um imperativo ético e legal.</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Nesse cenário, a academia falha ao não incorporar os princípios do Desenho Universal para a Aprendizagem (DUA). Em vez de criar currículos e metodologias que contemplem a diversidade funcional desde a sua gênese, a instituição transfere para o aluno com deficiência a carga exaustiva de solicitar, justificar e, muitas vezes, lutar por cada fragmento de material acessível. Como aponta Bezerra (2021), isso torna o processo de aprendizagem muito mais desgastante, exigindo um esforço cognitivo e emocional adicional que não é demandado dos pares sem deficiência. A recusa de docentes em adaptar práticas simples, como o uso de filmes legendados ou a descrição de imagens, demonstra que a barreira atitudinal está enraizada em uma resistência profunda à alteridade.</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A implementação da Tecnologia Assistiva (TA) no ensino superior enfrenta um "funil" de exclusão ainda mais estreito quando se transita das disciplinas puramente teóricas para aquelas que exigem manipulação técnica ou interpretação de dados complexos. É neste ponto que a fragilidade institucional se torna mais evidente, pois as instâncias educacionais, frequentemente, limitam sua política de acessibilidade ao texto impresso, negligenciando a complexidade das práticas laboratoriais e das linguagens simbólicas. Segundo as pesquisas de campo, as disciplinas das áreas de Ciências Exatas e da Saúde são aquelas nas quais os discentes com deficiência encontram as maiores barreiras pedagógicas e institucionais.</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Nas áreas de Engenharia, Matemática e Física, o conhecimento é mediado por equações, gráficos e diagramas. Para um estudante cego ou com baixa visão, a TA padrão (leitores de tela) frequentemente falha, pois muitos softwares de leitura não conseguem interpretar adequadamente a sintaxe de fórmulas matemáticas complexas ou gráficos estatísticos. Aqui, a tecnologia assistiva deveria envolver o uso de impressoras braille de última geração, capazes de produzir gráficos táteis, e o domínio de linguagens de marcação científica. No entanto, o que as investigações de campo, como as de Lopes (2021), indicam, é que o aluno muitas vezes é "aconselhado" a mudar de curso ou a aceitar uma formação simplificada, visto que o corpo docente e a instituição não providenciam a mediação tecnológica necessária. Essa exclusão pedagógica é uma face do capacitismo que dita que as "ciências duras" são território exclusivo de mentes e corpos ditos "normais", relegando as pessoas com deficiência às áreas de humanas, onde o texto linear é a norma.</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Outrossim, nos cursos de Saúde (Medicina, Enfermagem, Fisioterapia), a barreira concentra-se no laboratório. A Tecnologia Assistiva nesses espaços deveria incluir desde microscópios com saída de vídeo e softwares de ampliação até estetoscópios eletrônicos para estudantes com deficiência auditiva. A recusa institucional em adquirir esses equipamentos ou em adaptar protocolos de segurança laboratoriais para discentes com deficiência física (como bancadas com regulagem de altura) opera na lógica daquilo que Fanon (2020) conceitua como "zona do não-ser". Nesse espaço de negação radical, o corpo do aluno com deficiência é desumanizado e destituído de agência, sendo descartado </w:t>
      </w:r>
      <w:r w:rsidDel="00000000" w:rsidR="00000000" w:rsidRPr="00000000">
        <w:rPr>
          <w:rFonts w:ascii="Times New Roman" w:cs="Times New Roman" w:eastAsia="Times New Roman" w:hAnsi="Times New Roman"/>
          <w:i w:val="1"/>
          <w:iCs w:val="1"/>
          <w:color w:val="1f1f1f"/>
          <w:rtl w:val="0"/>
        </w:rPr>
        <w:t xml:space="preserve">a priori</w:t>
      </w:r>
      <w:r w:rsidDel="00000000" w:rsidR="00000000" w:rsidRPr="00000000">
        <w:rPr>
          <w:rFonts w:ascii="Times New Roman" w:cs="Times New Roman" w:eastAsia="Times New Roman" w:hAnsi="Times New Roman"/>
          <w:color w:val="1f1f1f"/>
          <w:rtl w:val="0"/>
        </w:rPr>
        <w:t xml:space="preserve"> como inapto para o cuidado do outro por não corresponder à ontologia corporal exigida pela instituição. A justificativa de que a TA não traria a "segurança necessária" mascara uma norma de desempenho inflexível que empurra o desvio para a invisibilidade. A tecnologia assistiva, portanto, emerge como ferramenta de subversão dessa lógica, provando que a competência clínica reside na mediação técnica e intelectual, e não na reprodução de uma funcionalidade padrão.</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No campo do Direito, a TA torna-se uma ferramenta crucial de acesso à cidadania e ao poder. O estudante com deficiência visual, por exemplo, enfrenta plataformas de Processo Eletrônico que são, em sua essência, inacessíveis. Se a instituição não treina o acadêmico no uso de softwares de reconhecimento óptico de caracteres (OCR) de alta precisão e não exige que seus próprios repositórios de jurisprudência sejam acessíveis, ela está formando um profissional que já sai ao mercado em desvantagem estrutural. A barreira atitudinal aqui se manifesta na ideia obsoleta de que "o Direito é pura leitura física", deduzindo-se que, se o aluno não consegue ler o volume massivo de livros impressos, ele não serve para a profissão. Ignora-se, assim, que a TA como audiolivros jurídicos e sistemas de busca por voz constitui forma legítima de processamento de informação.</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Retomando o diálogo com Mello (2016), a falta de TA nessas áreas específicas não é apenas um problema técnico de software, mas um mecanismo de manutenção do </w:t>
      </w:r>
      <w:r w:rsidDel="00000000" w:rsidR="00000000" w:rsidRPr="00000000">
        <w:rPr>
          <w:rFonts w:ascii="Times New Roman" w:cs="Times New Roman" w:eastAsia="Times New Roman" w:hAnsi="Times New Roman"/>
          <w:i w:val="1"/>
          <w:iCs w:val="1"/>
          <w:color w:val="1f1f1f"/>
          <w:rtl w:val="0"/>
        </w:rPr>
        <w:t xml:space="preserve">status quo</w:t>
      </w:r>
      <w:r w:rsidDel="00000000" w:rsidR="00000000" w:rsidRPr="00000000">
        <w:rPr>
          <w:rFonts w:ascii="Times New Roman" w:cs="Times New Roman" w:eastAsia="Times New Roman" w:hAnsi="Times New Roman"/>
          <w:color w:val="1f1f1f"/>
          <w:rtl w:val="0"/>
        </w:rPr>
        <w:t xml:space="preserve">. Ao dificultar o acesso tecnológico em cursos de alto prestígio social (como Medicina e Engenharia), o espaço universitário garante que as instâncias de decisão e de alta remuneração continuem sendo ocupadas por sujeitos que performam a dita "normalidade". A Tecnologia Assistiva é, portanto, um elemento de justiça restaurativa. Para que a instituição deixe de ser um dispositivo de manutenção de desigualdades, como apontam Melo e Vendramin (2022), ela precisa entender que a provisão de uma linha braille ou de um software de modelagem acessível configura-se como um ato de reparação histórica.</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Para compreender a profundidade da resistência institucional a essa reparação, torna-se imprescindível recorrer ao conceito de corponormatividade. De acordo com Mello (2016), a corponormatividade opera como um regime político e epistemológico que dita quais corpos possuem legitimidade e validade para ocupar os espaços públicos e de produção de conhecimento. Sob essa ótica, a deficiência deixa de ser vista sob o viés estritamente biomédico de "lesão" e passa a ser compreendida como o produto do agenciamento entre um corpo com impedimentos e uma estrutura social que se recusa a acolhê-lo. A norma, portanto, não constitui um dado biológico neutro, mas uma construção política que define quem será reconhecido como sujeito de direitos e quem será produzido como o "outro", o desajustado.</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No contexto acadêmico, essa lógica se materializa no capacitismo institucional. A academia, historicamente erguida sob parâmetros elitistas, organiza suas estruturas físicas, pedagógicas e tecnológicas a partir da figura de um estudante universal idealizado. Ao privilegiar determinados modos de aprender, avaliar e produzir ciência, a instituição marginaliza experiências que escapam desse padrão normativo, transformando a ausência de acessibilidade em uma barreira política de exclusão.</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Assim, o discente com deficiência habita um espaço de constante necessidade de validação. Sua presença é permanentemente tensionada pela estrutura institucional, que frequentemente o percebe como um sujeito que demanda custos e adaptações adicionais, em vez de reconhecê-lo como parte legítima da diversidade interna. Dessa forma, a exclusão não decorre da deficiência em si, mas da persistência de uma organização coletiva incapaz de reconhecer a pluralidade dos corpos e das formas de participação no ambiente de ensino.</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Nesse contexto, é importante destacar que estudantes negros com deficiência vivenciam essas dinâmicas de exclusão de maneira ainda mais intensa, pois experimentam simultaneamente os efeitos do racismo e do capacitismo, ambos estruturados por relações históricas de poder e desigualdade. A intersecção entre esses sistemas de opressão produz uma condição de múltipla vulnerabilização, na qual as barreiras impostas pela deficiência são potencializadas pelas desigualdades raciais, ampliando os obstáculos ao acesso, à permanência e ao reconhecimento de seus direitos.</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Essa realidade evidencia que a corponormatividade também é atravessada pela branquitude como referência de humanidade, inteligência e competência. Assim, o corpo negro com deficiência distancia-se ainda mais do ideal de sujeito considerado legítimo pela instituição, sendo frequentemente associado à incapacidade, à baixa produtividade e à insuficiência intelectual. Não se trata apenas da exclusão em razão da deficiência, mas da sobreposição de marcadores sociais que reforçam processos de invisibilização e deslegitimação.</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No ambiente acadêmico, essa exclusão manifesta-se por meio de práticas institucionais e simbólicas que reproduzem desigualdades. Além das barreiras arquitetônicas, comunicacionais e tecnológicas, persistem barreiras atitudinais sustentadas por estereótipos raciais e capacitistas. Nesse cenário, a deficiência e a negritude deixam de ser compreendidas como marcadores sociais produzidos em contextos de desigualdade e passam a ser interpretadas como justificativas para a inferiorização das capacidades intelectuais e acadêmicas desses estudantes. Como consequência, suas competências são constantemente questionadas, sua produção científica tende a ser desvalorizada e sua presença nos espaços de pesquisa, extensão e tomada de decisão permanece sob permanente suspeita.</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Esse cenário é agravado pelas desigualdades socioeconômicas produzidas pelo racismo estrutural, que historicamente restringiu à população negra o acesso a direitos fundamentais, como educação de qualidade, saúde, mobilidade urbana, renda e condições dignas de vida. Dessa forma, estudantes negros com deficiência enfrentam obstáculos adicionais para ingressar, permanecer e concluir o ciclo acadêmico, pois as limitações materiais somam-se às barreiras institucionais impostas pela própria administração de ensino. A insuficiência de recursos de acessibilidade, de práticas pedagógicas inclusivas e de políticas efetivas de permanência evidencia que a exclusão desses sujeitos não decorre de suas características individuais, mas de uma estrutura concebida para atender a um sujeito universal idealizado: homem, branco, cisgênero, sem deficiência e pertencente a grupos socialmente privilegiados.</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Além das barreiras materiais e institucionais, esses estudantes enfrentam o racismo epistemológico, expresso na desqualificação sistemática de seus saberes, experiências e formas de produzir conhecimento. A academia, historicamente fundamentada em referenciais eurocêntricos e capacitistas, tende a reconhecer como legítimos apenas determinados sujeitos e modos de conhecer, relegando as pessoas negras com deficiência à condição de objetos de investigação, em vez de reconhecê-las como produtoras de conhecimento. Desse modo, a discriminação ultrapassa as barreiras de acesso e permanência, alcançando a própria legitimidade desses sujeitos enquanto pesquisadores, intelectuais e participantes da comunidade científica.</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Como apontam Melo e Vendramin (2022), o capacitismo classifica os corpos pela sua utilidade e produtividade dentro de uma lógica capitalista de desempenho. Ao reproduzir essas hierarquias, a instituição deixa de ser um espaço de emancipação para se tornar um dispositivo de manutenção das desigualdades sociais.</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Posto isso, a discussão aqui posta demonstra que a acessibilidade não pode ser reduzida a uma mera adaptação técnica ou ao cumprimento de protocolos burocráticos. Ela exige, fundamentalmente, uma transformação estrutural e epistemológica. A inclusão plena só ocorrerá quando o ambiente de ensino abdicar de sua rigidez normativa e reconhecer que a deficiência é uma característica da diversidade humana, e não uma patologia a ser tolerada de forma benevolente.</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A materialização dos direitos previstos na Lei Brasileira de Inclusão da Pessoa com Deficiência (LBI) depende, portanto, de uma formação crítica dos docentes e de uma reforma política institucional que desloque o foco do "impedimento do sujeito" para a "barreira do ambiente". Somente ao confrontar o capacitismo estrutural e as heranças coloniais que ditam quem pode produzir saber é que a academia cumprirá seu papel de promover uma educação verdadeiramente equânime e democrática. Para transmutar esse cenário, </w:t>
      </w:r>
      <w:r w:rsidDel="00000000" w:rsidR="00000000" w:rsidRPr="00000000">
        <w:rPr>
          <w:rFonts w:ascii="Times New Roman" w:cs="Times New Roman" w:eastAsia="Times New Roman" w:hAnsi="Times New Roman"/>
          <w:b w:val="1"/>
          <w:bCs w:val="1"/>
          <w:color w:val="1f1f1f"/>
          <w:rtl w:val="0"/>
        </w:rPr>
        <w:t xml:space="preserve">a instituição precisa migrar do modelo médico  que patologiza o sujeito para o modelo social da deficiência, o qual desloca o foco do impedimento biológico para as barreiras da própria estrutura.</w:t>
      </w:r>
      <w:r w:rsidDel="00000000" w:rsidR="00000000" w:rsidRPr="00000000">
        <w:rPr>
          <w:rFonts w:ascii="Times New Roman" w:cs="Times New Roman" w:eastAsia="Times New Roman" w:hAnsi="Times New Roman"/>
          <w:color w:val="1f1f1f"/>
          <w:rtl w:val="0"/>
        </w:rPr>
        <w:t xml:space="preserve"> Sob essa ótica, a comunidade acadêmica deve reconhecer o estudante com deficiência a partir de suas potências e capacidades.</w:t>
      </w:r>
    </w:p>
    <w:p w:rsidR="00000000" w:rsidDel="00000000" w:rsidP="00000000" w:rsidRDefault="00000000" w:rsidRPr="00000000" w14:paraId="0000003A">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pacing w:after="24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A presente pesquisa permitiu compreender, com rigor analítico e densidade teórica, que a real e plena inclusão de pessoas com deficiência no ensino superior brasileiro ainda se configura como um dos maiores e mais complexos desafios éticos, políticos e pedagógicos para as instituições contemporâneas, apesar dos inegáveis e celebrados avanços normativos alcançados a duras penas nas últimas décadas no campo dos direitos educacionais e das ações afirmativas. A análise crítica desenvolvida ao longo deste estudo evidenciou com clareza que a mera existência de leis progressistas, decretos detalhados e estatutos formais que asseguram abstratamente a acessibilidade não possui o condão de garantir, por si só, a efetivação prática e cotidiana de uma educação genuinamente inclusiva e democrática. Isso ocorre porque persistem, de forma resiliente e institucionalizada, estruturas de opressão e obstáculos profundos que limitam violentamente o acesso físico, a permanência material e psíquica, a participação política ativa e o pleno desenvolvimento do potencial acadêmico, científico e humano dos discentes com deficiência. Dessa forma, a distância abissal e contraditória existente entre o que é solenemente assegurado no plano legal e constitucional e a dura realidade corporal vivenciada diariamente no chão da universidade demonstra que a inclusão ainda permanece, na esmagadora maioria dos contextos universitários, muito mais como um verniz retórico, um compromisso formal ou uma burocracia a ser cumprida, do que como uma prática institucional orgânica, consolidada e transversal.</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pacing w:after="24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Ao longo de toda a discussão teórica e empírica estabelecida, verificou-se de forma inequívoca que o capacitismo, em sua dimensão estrutural, institucional e atitudinal, constitui o principal elemento ideológico e material responsável pela perpetuação e sofisticação dessas desigualdades históricas no ambiente acadêmico. As barreiras arquitetônicas que confinam corpos, as barreiras pedagógicas que excluem mentes, as barreiras comunicacionais que silenciam vozes, as barreiras tecnológicas que geram desvantagens e, com centralidade dramática, as barreiras atitudinais e comportamentais revelam que o ambiente universitário contemporâneo continua sendo rigidamente pensado, planejado e organizado a partir de um modelo idealizado e compulsório de normalidade corporal e cognitiva que desconsidera, patologiza e rejeita a rica e intrínseca diversidade da experiência humana.</w:t>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pacing w:after="24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Nesse contexto opressivo, a experiência da deficiência deixa de ser compreendida sob a ótica política e sociológica do modelo social como o resultado complexo da interação dialética entre os impedimentos do corpo e as barreiras historicamente construídas pelo meio , e passa a ser tratada de forma arcaica e violenta como um problema estritamente individual, clínico e patológico do sujeito. Essa distorção ideológica opera um perverso deslocamento de responsabilidade, empurrando inteiramente para as costas do próprio estudante com deficiência a carga exaustiva, solitária e violenta de se adaptar, sobreviver e performar sucesso em uma estrutura institucional que permanece em sua essência excludente, rígida e hostil à diferença.</w:t>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pacing w:after="24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Os resultados consolidados nesta investigação também demonstraram com clareza solar que a efetivação real da acessibilidade e da justiça curricular exige das universidades muito mais do que a adoção de adaptações isoladas, emergenciais, paliativas ou o mero cumprimento protocolar e burocrático de exigências e índices legais mínimos. A incorporação radical, transversal e definitiva dos princípios norteadores do Desenho Universal para a Aprendizagem (DUA) em todos os projetos pedagógicos de curso, o investimento financeiro massivo e permanente na aquisição e desenvolvimento de Tecnologias Assistivas avançadas e a formação continuada, obrigatória e politizada de todo o corpo docente, técnico-administrativo e de gestores configuram-se como estratégias metodológicas e políticas absolutamente indispensáveis e urgentes para assegurar condições equitativas, dignas e humanas de aprendizagem e produção científica.</w:t>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pacing w:after="24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Da mesma forma, a construção cotidiana de práticas pedagógicas genuinamente inclusivas depende de forma crucial da superação radical e definitiva de concepções meritocráticas elitistas, bem como de posturas paternalistas e caridosas que ainda compreendem de forma distorcida os recursos de acessibilidade, os tempos flexibilizados e as tecnologias de mediação como privilégios indevidos, regalias ou facilidades, quando, na realidade mais estrita do direito, representam instrumentos políticos e técnicos essenciais para tentar garantir uma igualdade real de oportunidades e o nivelamento de uma disputa histórica que sempre foi violenta e desigual.</w:t>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pacing w:after="24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Outro aspecto teórico e político de fundamental relevância evidenciado ao longo deste estudo refere-se à necessidade urgente, teórica e prática, de compreender a deficiência sob uma perspectiva radicalmente social, decolonial e interseccional. A pesquisa demonstrou de forma contundente que os estudantes negros com deficiência enfrentam formas combinadas, simultâneas e exponenciais de exclusão, silenciamento e violência ontólica que são produzidas pela atuação articulada, simbiótica e sistêmica do racismo estrutural e do capacitismo institucional, dois sistemas históricos de opressão colonial que atuam em perfeita harmonia biopolítica para intensificar as desigualdades, o adoecimento mental e a exclusão nos espaços de maior prestígio do ensino superior. Essa realidade complexa amplia de forma geométrica as barreiras materiais e simbólicas de acesso, permanência com dignidade, reconhecimento acadêmico e participação ativa nos espaços de ponta da produção científica e intelectual do país. Isso evidencia com urgência que as políticas institucionais e as ações afirmativas universitárias precisam, o mais rápido possível, considerar a diversidade em toda a sua complexidade interseccional, reconhecendo com responsabilidade que diferentes marcadores sociais de raça, classe, gênero e corpo produzem experiências qualitativamente distintas e perversas de exclusão e sofrimento que não podem ser respondidas por políticas genéricas, homogeneizadoras e universais.</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pacing w:after="24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Nesse sentido civilizatório, a construção de uma universidade verdadeira e plenamente inclusiva pressupõe, antes de tudo, uma transformação estrutural, material e epistemológica profunda de todas as estruturas físicas, das metodologias pedagógicas, das culturas institucionais e das relações de poder que historicamente definiram e delimitaram quais corpos, quais raças e quais sujeitos seriam considerados legítimos, belos e inteligentes para ocupar os espaços sagrados de produção e validação do conhecimento humano. Romper de forma radical com o regime político da corponormatividade e com as práticas cotidianas do capacitismo institucionalizado significa, em última análise, reconhecer politicamente que a diversidade funcional, neurocognitiva e corporal humana constitui um elemento essencial, enriquecor e absolutamente indispensável da vida universitária e da inteligência coletiva de uma nação. O direito humano à educação superior somente se concretizará de forma plena e justa quando todas as pessoas, independentemente de seus arranjos corporais ou étnico-raciais, encontrarem condições materiais, atitudinais e políticas reais de participar, aprender, pesquisar, criar e produzir conhecimento original em absoluta igualdade de oportunidades, dignidade e respeito à sua singularidade existencial.</w:t>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pacing w:after="240" w:line="276"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Conclui-se, portanto, que a efetivação concreta da inclusão no terceiro grau da educação nacional depende de forma irrevogável da consolidação de políticas públicas e institucionais de caráter permanente, dotadas de orçamento próprio e imune a cortes, e da adoção definitiva do modelo social e interseccional da deficiência como a lente paradigmática norteadora para toda a organização administrativa, espacial e pedagógica das instituições de ensino. Mais do que implementar rampas ou eliminar barreiras físicas superficiais, faz-se imperioso e urgente promover uma profunda revolução cultural nas mentalidades e nas posturas acadêmicas, capaz de transformar radicalmente concepções arcaicas, práticas docentes engessadas e relações de poder excludentes que ainda sustentam e legitimam os processos coloniais de exclusão e eugenia social. Somente por meio desse compromisso ético e coletivo será possível construir uma universidade democrática, socialmente justa, decolonial e verdadeiramente comprometida com o reconhecimento pleno da pluralidade dos corpos, das experiências históricas e das diferentes formas humanas de existir, pensar e produzir conhecimento transformador para o mundo. Para que esse cenário de exclusões mude de forma efetiva, a academia precisa garantir que, se um estudante com deficiência pertence à área de exatas, humanas ou biológicas, ele seja valorizado e convidado a palestrar sobre sua área de conhecimento científico especializado, de modo que sua condição trespasse a sua vivência corporal, mas jamais se converta no único crachá que lhe confere o direito de ter voz e cidadania nos espaços do saber.</w:t>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pacing w:after="0" w:line="276" w:lineRule="auto"/>
        <w:rPr>
          <w:rFonts w:ascii="Times New Roman" w:cs="Times New Roman" w:eastAsia="Times New Roman" w:hAnsi="Times New Roman"/>
          <w:color w:val="1f1f1f"/>
        </w:rPr>
      </w:pPr>
      <w:r w:rsidDel="00000000" w:rsidR="00000000" w:rsidRPr="00000000">
        <w:rPr>
          <w:rtl w:val="0"/>
        </w:rPr>
      </w:r>
    </w:p>
    <w:p w:rsidR="00000000" w:rsidDel="00000000" w:rsidP="00000000" w:rsidRDefault="00000000" w:rsidRPr="00000000" w14:paraId="00000046">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7">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(APA 7)</w:t>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pacing w:after="0" w:line="276" w:lineRule="auto"/>
        <w:rPr>
          <w:rFonts w:ascii="Arial" w:cs="Arial" w:eastAsia="Arial" w:hAnsi="Arial"/>
          <w:color w:val="1f1f1f"/>
          <w:sz w:val="22"/>
          <w:szCs w:val="22"/>
        </w:rPr>
      </w:pPr>
      <w:r w:rsidDel="00000000" w:rsidR="00000000" w:rsidRPr="00000000">
        <w:rPr>
          <w:rFonts w:ascii="Arial" w:cs="Arial" w:eastAsia="Arial" w:hAnsi="Arial"/>
          <w:color w:val="1f1f1f"/>
          <w:sz w:val="22"/>
          <w:szCs w:val="22"/>
          <w:rtl w:val="0"/>
        </w:rPr>
        <w:t xml:space="preserve">AZEVEDO, C. </w:t>
      </w:r>
      <w:r w:rsidDel="00000000" w:rsidR="00000000" w:rsidRPr="00000000">
        <w:rPr>
          <w:rFonts w:ascii="Arial" w:cs="Arial" w:eastAsia="Arial" w:hAnsi="Arial"/>
          <w:b w:val="1"/>
          <w:bCs w:val="1"/>
          <w:color w:val="1f1f1f"/>
          <w:sz w:val="22"/>
          <w:szCs w:val="22"/>
          <w:rtl w:val="0"/>
        </w:rPr>
        <w:t xml:space="preserve">Acessibilidade e tecnologia assistiva no ensino superior</w:t>
      </w:r>
      <w:r w:rsidDel="00000000" w:rsidR="00000000" w:rsidRPr="00000000">
        <w:rPr>
          <w:rFonts w:ascii="Arial" w:cs="Arial" w:eastAsia="Arial" w:hAnsi="Arial"/>
          <w:color w:val="1f1f1f"/>
          <w:sz w:val="22"/>
          <w:szCs w:val="22"/>
          <w:rtl w:val="0"/>
        </w:rPr>
        <w:t xml:space="preserve">. São Paulo: Editora Acadêmica, 2023.</w:t>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pacing w:after="0" w:line="276" w:lineRule="auto"/>
        <w:rPr>
          <w:rFonts w:ascii="Arial" w:cs="Arial" w:eastAsia="Arial" w:hAnsi="Arial"/>
          <w:color w:val="1f1f1f"/>
          <w:sz w:val="22"/>
          <w:szCs w:val="22"/>
        </w:rPr>
      </w:pPr>
      <w:r w:rsidDel="00000000" w:rsidR="00000000" w:rsidRPr="00000000">
        <w:rPr>
          <w:rFonts w:ascii="Arial" w:cs="Arial" w:eastAsia="Arial" w:hAnsi="Arial"/>
          <w:color w:val="1f1f1f"/>
          <w:sz w:val="22"/>
          <w:szCs w:val="22"/>
          <w:rtl w:val="0"/>
        </w:rPr>
        <w:t xml:space="preserve">BEZERRA, G. F. Entre o dito e o feito: as barreiras atitudinais no cotidiano universitário. </w:t>
      </w:r>
      <w:r w:rsidDel="00000000" w:rsidR="00000000" w:rsidRPr="00000000">
        <w:rPr>
          <w:rFonts w:ascii="Arial" w:cs="Arial" w:eastAsia="Arial" w:hAnsi="Arial"/>
          <w:b w:val="1"/>
          <w:bCs w:val="1"/>
          <w:color w:val="1f1f1f"/>
          <w:sz w:val="22"/>
          <w:szCs w:val="22"/>
          <w:rtl w:val="0"/>
        </w:rPr>
        <w:t xml:space="preserve">Revista Brasileira de Educação Especial</w:t>
      </w:r>
      <w:r w:rsidDel="00000000" w:rsidR="00000000" w:rsidRPr="00000000">
        <w:rPr>
          <w:rFonts w:ascii="Arial" w:cs="Arial" w:eastAsia="Arial" w:hAnsi="Arial"/>
          <w:color w:val="1f1f1f"/>
          <w:sz w:val="22"/>
          <w:szCs w:val="22"/>
          <w:rtl w:val="0"/>
        </w:rPr>
        <w:t xml:space="preserve">, v. 27, p. 1-18, 2021.</w:t>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pacing w:after="0" w:line="276" w:lineRule="auto"/>
        <w:rPr>
          <w:rFonts w:ascii="Arial" w:cs="Arial" w:eastAsia="Arial" w:hAnsi="Arial"/>
          <w:color w:val="1f1f1f"/>
          <w:sz w:val="22"/>
          <w:szCs w:val="22"/>
        </w:rPr>
      </w:pPr>
      <w:r w:rsidDel="00000000" w:rsidR="00000000" w:rsidRPr="00000000">
        <w:rPr>
          <w:rFonts w:ascii="Arial" w:cs="Arial" w:eastAsia="Arial" w:hAnsi="Arial"/>
          <w:color w:val="1f1f1f"/>
          <w:sz w:val="22"/>
          <w:szCs w:val="22"/>
          <w:rtl w:val="0"/>
        </w:rPr>
        <w:t xml:space="preserve">BOLYARD, L. </w:t>
      </w:r>
      <w:r w:rsidDel="00000000" w:rsidR="00000000" w:rsidRPr="00000000">
        <w:rPr>
          <w:rFonts w:ascii="Arial" w:cs="Arial" w:eastAsia="Arial" w:hAnsi="Arial"/>
          <w:b w:val="1"/>
          <w:bCs w:val="1"/>
          <w:color w:val="1f1f1f"/>
          <w:sz w:val="22"/>
          <w:szCs w:val="22"/>
          <w:rtl w:val="0"/>
        </w:rPr>
        <w:t xml:space="preserve">Educação Inclusiva</w:t>
      </w:r>
      <w:r w:rsidDel="00000000" w:rsidR="00000000" w:rsidRPr="00000000">
        <w:rPr>
          <w:rFonts w:ascii="Arial" w:cs="Arial" w:eastAsia="Arial" w:hAnsi="Arial"/>
          <w:color w:val="1f1f1f"/>
          <w:sz w:val="22"/>
          <w:szCs w:val="22"/>
          <w:rtl w:val="0"/>
        </w:rPr>
        <w:t xml:space="preserve">: do assistencialismo à acessibilidade universal. Porto Alegre: Penso, 2021.</w:t>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pacing w:after="0" w:line="276" w:lineRule="auto"/>
        <w:rPr>
          <w:rFonts w:ascii="Arial" w:cs="Arial" w:eastAsia="Arial" w:hAnsi="Arial"/>
          <w:color w:val="1f1f1f"/>
          <w:sz w:val="22"/>
          <w:szCs w:val="22"/>
        </w:rPr>
      </w:pPr>
      <w:r w:rsidDel="00000000" w:rsidR="00000000" w:rsidRPr="00000000">
        <w:rPr>
          <w:rFonts w:ascii="Arial" w:cs="Arial" w:eastAsia="Arial" w:hAnsi="Arial"/>
          <w:color w:val="1f1f1f"/>
          <w:sz w:val="22"/>
          <w:szCs w:val="22"/>
          <w:rtl w:val="0"/>
        </w:rPr>
        <w:t xml:space="preserve">BRASIL. [Constituição (1988)]. </w:t>
      </w:r>
      <w:r w:rsidDel="00000000" w:rsidR="00000000" w:rsidRPr="00000000">
        <w:rPr>
          <w:rFonts w:ascii="Arial" w:cs="Arial" w:eastAsia="Arial" w:hAnsi="Arial"/>
          <w:b w:val="1"/>
          <w:bCs w:val="1"/>
          <w:color w:val="1f1f1f"/>
          <w:sz w:val="22"/>
          <w:szCs w:val="22"/>
          <w:rtl w:val="0"/>
        </w:rPr>
        <w:t xml:space="preserve">Constituição da República Federativa do Brasil de 1988</w:t>
      </w:r>
      <w:r w:rsidDel="00000000" w:rsidR="00000000" w:rsidRPr="00000000">
        <w:rPr>
          <w:rFonts w:ascii="Arial" w:cs="Arial" w:eastAsia="Arial" w:hAnsi="Arial"/>
          <w:color w:val="1f1f1f"/>
          <w:sz w:val="22"/>
          <w:szCs w:val="22"/>
          <w:rtl w:val="0"/>
        </w:rPr>
        <w:t xml:space="preserve">. Brasília, DF: Presidência da República, 1988.</w:t>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pacing w:after="0" w:line="276" w:lineRule="auto"/>
        <w:rPr>
          <w:rFonts w:ascii="Arial" w:cs="Arial" w:eastAsia="Arial" w:hAnsi="Arial"/>
          <w:color w:val="1f1f1f"/>
          <w:sz w:val="22"/>
          <w:szCs w:val="22"/>
        </w:rPr>
      </w:pPr>
      <w:r w:rsidDel="00000000" w:rsidR="00000000" w:rsidRPr="00000000">
        <w:rPr>
          <w:rFonts w:ascii="Arial" w:cs="Arial" w:eastAsia="Arial" w:hAnsi="Arial"/>
          <w:color w:val="1f1f1f"/>
          <w:sz w:val="22"/>
          <w:szCs w:val="22"/>
          <w:rtl w:val="0"/>
        </w:rPr>
        <w:t xml:space="preserve">BRASIL. </w:t>
      </w:r>
      <w:r w:rsidDel="00000000" w:rsidR="00000000" w:rsidRPr="00000000">
        <w:rPr>
          <w:rFonts w:ascii="Arial" w:cs="Arial" w:eastAsia="Arial" w:hAnsi="Arial"/>
          <w:b w:val="1"/>
          <w:bCs w:val="1"/>
          <w:color w:val="1f1f1f"/>
          <w:sz w:val="22"/>
          <w:szCs w:val="22"/>
          <w:rtl w:val="0"/>
        </w:rPr>
        <w:t xml:space="preserve">Decreto nº 5.296, de 2 de dezembro de 2004</w:t>
      </w:r>
      <w:r w:rsidDel="00000000" w:rsidR="00000000" w:rsidRPr="00000000">
        <w:rPr>
          <w:rFonts w:ascii="Arial" w:cs="Arial" w:eastAsia="Arial" w:hAnsi="Arial"/>
          <w:color w:val="1f1f1f"/>
          <w:sz w:val="22"/>
          <w:szCs w:val="22"/>
          <w:rtl w:val="0"/>
        </w:rPr>
        <w:t xml:space="preserve">. Estabelece normas gerais e critérios básicos para a promoção da acessibilidade. Brasília, DF: Presidência da República, 2004.</w:t>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spacing w:after="0" w:line="276" w:lineRule="auto"/>
        <w:rPr>
          <w:rFonts w:ascii="Arial" w:cs="Arial" w:eastAsia="Arial" w:hAnsi="Arial"/>
          <w:color w:val="1f1f1f"/>
          <w:sz w:val="22"/>
          <w:szCs w:val="22"/>
        </w:rPr>
      </w:pPr>
      <w:r w:rsidDel="00000000" w:rsidR="00000000" w:rsidRPr="00000000">
        <w:rPr>
          <w:rFonts w:ascii="Arial" w:cs="Arial" w:eastAsia="Arial" w:hAnsi="Arial"/>
          <w:color w:val="1f1f1f"/>
          <w:sz w:val="22"/>
          <w:szCs w:val="22"/>
          <w:rtl w:val="0"/>
        </w:rPr>
        <w:t xml:space="preserve">BRASIL. </w:t>
      </w:r>
      <w:r w:rsidDel="00000000" w:rsidR="00000000" w:rsidRPr="00000000">
        <w:rPr>
          <w:rFonts w:ascii="Arial" w:cs="Arial" w:eastAsia="Arial" w:hAnsi="Arial"/>
          <w:b w:val="1"/>
          <w:bCs w:val="1"/>
          <w:color w:val="1f1f1f"/>
          <w:sz w:val="22"/>
          <w:szCs w:val="22"/>
          <w:rtl w:val="0"/>
        </w:rPr>
        <w:t xml:space="preserve">Decreto nº 6.949, de 25 de agosto de 2009</w:t>
      </w:r>
      <w:r w:rsidDel="00000000" w:rsidR="00000000" w:rsidRPr="00000000">
        <w:rPr>
          <w:rFonts w:ascii="Arial" w:cs="Arial" w:eastAsia="Arial" w:hAnsi="Arial"/>
          <w:color w:val="1f1f1f"/>
          <w:sz w:val="22"/>
          <w:szCs w:val="22"/>
          <w:rtl w:val="0"/>
        </w:rPr>
        <w:t xml:space="preserve">. Promulga a Convenção Internacional sobre os Direitos das Pessoas com Deficiência. Brasília, DF: Presidência da República, 2009.</w:t>
      </w:r>
    </w:p>
    <w:p w:rsidR="00000000" w:rsidDel="00000000" w:rsidP="00000000" w:rsidRDefault="00000000" w:rsidRPr="00000000" w14:paraId="0000004F">
      <w:pPr>
        <w:pBdr>
          <w:top w:color="auto" w:space="0" w:sz="0" w:val="none"/>
          <w:left w:color="auto" w:space="0" w:sz="0" w:val="none"/>
          <w:bottom w:color="auto" w:space="0" w:sz="0" w:val="none"/>
          <w:right w:color="auto" w:space="0" w:sz="0" w:val="none"/>
          <w:between w:color="auto" w:space="0" w:sz="0" w:val="none"/>
        </w:pBdr>
        <w:spacing w:after="0" w:line="276" w:lineRule="auto"/>
        <w:rPr>
          <w:rFonts w:ascii="Arial" w:cs="Arial" w:eastAsia="Arial" w:hAnsi="Arial"/>
          <w:color w:val="1f1f1f"/>
          <w:sz w:val="22"/>
          <w:szCs w:val="22"/>
        </w:rPr>
      </w:pPr>
      <w:r w:rsidDel="00000000" w:rsidR="00000000" w:rsidRPr="00000000">
        <w:rPr>
          <w:rFonts w:ascii="Arial" w:cs="Arial" w:eastAsia="Arial" w:hAnsi="Arial"/>
          <w:color w:val="1f1f1f"/>
          <w:sz w:val="22"/>
          <w:szCs w:val="22"/>
          <w:rtl w:val="0"/>
        </w:rPr>
        <w:t xml:space="preserve">BRASIL. </w:t>
      </w:r>
      <w:r w:rsidDel="00000000" w:rsidR="00000000" w:rsidRPr="00000000">
        <w:rPr>
          <w:rFonts w:ascii="Arial" w:cs="Arial" w:eastAsia="Arial" w:hAnsi="Arial"/>
          <w:b w:val="1"/>
          <w:bCs w:val="1"/>
          <w:color w:val="1f1f1f"/>
          <w:sz w:val="22"/>
          <w:szCs w:val="22"/>
          <w:rtl w:val="0"/>
        </w:rPr>
        <w:t xml:space="preserve">Decreto nº 7.611, de 17 de novembro de 2011</w:t>
      </w:r>
      <w:r w:rsidDel="00000000" w:rsidR="00000000" w:rsidRPr="00000000">
        <w:rPr>
          <w:rFonts w:ascii="Arial" w:cs="Arial" w:eastAsia="Arial" w:hAnsi="Arial"/>
          <w:color w:val="1f1f1f"/>
          <w:sz w:val="22"/>
          <w:szCs w:val="22"/>
          <w:rtl w:val="0"/>
        </w:rPr>
        <w:t xml:space="preserve">. Dispõe sobre a educação especial e o atendimento educacional especializado. Brasília, DF: Presidência da República, 2011.</w:t>
      </w:r>
    </w:p>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spacing w:after="0" w:line="276" w:lineRule="auto"/>
        <w:rPr>
          <w:rFonts w:ascii="Arial" w:cs="Arial" w:eastAsia="Arial" w:hAnsi="Arial"/>
          <w:color w:val="1f1f1f"/>
          <w:sz w:val="22"/>
          <w:szCs w:val="22"/>
        </w:rPr>
      </w:pPr>
      <w:r w:rsidDel="00000000" w:rsidR="00000000" w:rsidRPr="00000000">
        <w:rPr>
          <w:rFonts w:ascii="Arial" w:cs="Arial" w:eastAsia="Arial" w:hAnsi="Arial"/>
          <w:color w:val="1f1f1f"/>
          <w:sz w:val="22"/>
          <w:szCs w:val="22"/>
          <w:rtl w:val="0"/>
        </w:rPr>
        <w:t xml:space="preserve">BRASIL. </w:t>
      </w:r>
      <w:r w:rsidDel="00000000" w:rsidR="00000000" w:rsidRPr="00000000">
        <w:rPr>
          <w:rFonts w:ascii="Arial" w:cs="Arial" w:eastAsia="Arial" w:hAnsi="Arial"/>
          <w:b w:val="1"/>
          <w:bCs w:val="1"/>
          <w:color w:val="1f1f1f"/>
          <w:sz w:val="22"/>
          <w:szCs w:val="22"/>
          <w:rtl w:val="0"/>
        </w:rPr>
        <w:t xml:space="preserve">Lei nº 9.394, de 20 de dezembro de 1996</w:t>
      </w:r>
      <w:r w:rsidDel="00000000" w:rsidR="00000000" w:rsidRPr="00000000">
        <w:rPr>
          <w:rFonts w:ascii="Arial" w:cs="Arial" w:eastAsia="Arial" w:hAnsi="Arial"/>
          <w:color w:val="1f1f1f"/>
          <w:sz w:val="22"/>
          <w:szCs w:val="22"/>
          <w:rtl w:val="0"/>
        </w:rPr>
        <w:t xml:space="preserve">. Estabelece as diretrizes e bases da educação nacional (LDB). Brasília, DF: Presidência da República, 1996.</w:t>
      </w:r>
    </w:p>
    <w:p w:rsidR="00000000" w:rsidDel="00000000" w:rsidP="00000000" w:rsidRDefault="00000000" w:rsidRPr="00000000" w14:paraId="00000051">
      <w:pPr>
        <w:pBdr>
          <w:top w:color="auto" w:space="0" w:sz="0" w:val="none"/>
          <w:left w:color="auto" w:space="0" w:sz="0" w:val="none"/>
          <w:bottom w:color="auto" w:space="0" w:sz="0" w:val="none"/>
          <w:right w:color="auto" w:space="0" w:sz="0" w:val="none"/>
          <w:between w:color="auto" w:space="0" w:sz="0" w:val="none"/>
        </w:pBdr>
        <w:spacing w:after="0" w:line="276" w:lineRule="auto"/>
        <w:rPr>
          <w:rFonts w:ascii="Arial" w:cs="Arial" w:eastAsia="Arial" w:hAnsi="Arial"/>
          <w:color w:val="1f1f1f"/>
          <w:sz w:val="22"/>
          <w:szCs w:val="22"/>
        </w:rPr>
      </w:pPr>
      <w:r w:rsidDel="00000000" w:rsidR="00000000" w:rsidRPr="00000000">
        <w:rPr>
          <w:rFonts w:ascii="Arial" w:cs="Arial" w:eastAsia="Arial" w:hAnsi="Arial"/>
          <w:color w:val="1f1f1f"/>
          <w:sz w:val="22"/>
          <w:szCs w:val="22"/>
          <w:rtl w:val="0"/>
        </w:rPr>
        <w:t xml:space="preserve">BRASIL. </w:t>
      </w:r>
      <w:r w:rsidDel="00000000" w:rsidR="00000000" w:rsidRPr="00000000">
        <w:rPr>
          <w:rFonts w:ascii="Arial" w:cs="Arial" w:eastAsia="Arial" w:hAnsi="Arial"/>
          <w:b w:val="1"/>
          <w:bCs w:val="1"/>
          <w:color w:val="1f1f1f"/>
          <w:sz w:val="22"/>
          <w:szCs w:val="22"/>
          <w:rtl w:val="0"/>
        </w:rPr>
        <w:t xml:space="preserve">Lei nº 13.146, de 6 de julho de 2015</w:t>
      </w:r>
      <w:r w:rsidDel="00000000" w:rsidR="00000000" w:rsidRPr="00000000">
        <w:rPr>
          <w:rFonts w:ascii="Arial" w:cs="Arial" w:eastAsia="Arial" w:hAnsi="Arial"/>
          <w:color w:val="1f1f1f"/>
          <w:sz w:val="22"/>
          <w:szCs w:val="22"/>
          <w:rtl w:val="0"/>
        </w:rPr>
        <w:t xml:space="preserve">. Institui a Lei Brasileira de Inclusão da Pessoa com Deficiência (Estatuto da Pessoa com Deficiência). Brasília, DF: Presidência da República, 2015.</w:t>
      </w:r>
    </w:p>
    <w:p w:rsidR="00000000" w:rsidDel="00000000" w:rsidP="00000000" w:rsidRDefault="00000000" w:rsidRPr="00000000" w14:paraId="00000052">
      <w:pPr>
        <w:pBdr>
          <w:top w:color="auto" w:space="0" w:sz="0" w:val="none"/>
          <w:left w:color="auto" w:space="0" w:sz="0" w:val="none"/>
          <w:bottom w:color="auto" w:space="0" w:sz="0" w:val="none"/>
          <w:right w:color="auto" w:space="0" w:sz="0" w:val="none"/>
          <w:between w:color="auto" w:space="0" w:sz="0" w:val="none"/>
        </w:pBdr>
        <w:spacing w:after="0" w:line="276" w:lineRule="auto"/>
        <w:rPr>
          <w:rFonts w:ascii="Arial" w:cs="Arial" w:eastAsia="Arial" w:hAnsi="Arial"/>
          <w:color w:val="1f1f1f"/>
          <w:sz w:val="22"/>
          <w:szCs w:val="22"/>
        </w:rPr>
      </w:pPr>
      <w:r w:rsidDel="00000000" w:rsidR="00000000" w:rsidRPr="00000000">
        <w:rPr>
          <w:rFonts w:ascii="Arial" w:cs="Arial" w:eastAsia="Arial" w:hAnsi="Arial"/>
          <w:color w:val="1f1f1f"/>
          <w:sz w:val="22"/>
          <w:szCs w:val="22"/>
          <w:rtl w:val="0"/>
        </w:rPr>
        <w:t xml:space="preserve">FANON, Frantz. </w:t>
      </w:r>
      <w:r w:rsidDel="00000000" w:rsidR="00000000" w:rsidRPr="00000000">
        <w:rPr>
          <w:rFonts w:ascii="Arial" w:cs="Arial" w:eastAsia="Arial" w:hAnsi="Arial"/>
          <w:b w:val="1"/>
          <w:bCs w:val="1"/>
          <w:color w:val="1f1f1f"/>
          <w:sz w:val="22"/>
          <w:szCs w:val="22"/>
          <w:rtl w:val="0"/>
        </w:rPr>
        <w:t xml:space="preserve">Peles negras, máscaras brancas</w:t>
      </w:r>
      <w:r w:rsidDel="00000000" w:rsidR="00000000" w:rsidRPr="00000000">
        <w:rPr>
          <w:rFonts w:ascii="Arial" w:cs="Arial" w:eastAsia="Arial" w:hAnsi="Arial"/>
          <w:color w:val="1f1f1f"/>
          <w:sz w:val="22"/>
          <w:szCs w:val="22"/>
          <w:rtl w:val="0"/>
        </w:rPr>
        <w:t xml:space="preserve">. Tradução de Sebastião Nascimento. São Paulo: Ubu Editora, 2020.</w:t>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spacing w:after="0" w:line="276" w:lineRule="auto"/>
        <w:rPr>
          <w:rFonts w:ascii="Arial" w:cs="Arial" w:eastAsia="Arial" w:hAnsi="Arial"/>
          <w:color w:val="1f1f1f"/>
          <w:sz w:val="22"/>
          <w:szCs w:val="22"/>
        </w:rPr>
      </w:pPr>
      <w:r w:rsidDel="00000000" w:rsidR="00000000" w:rsidRPr="00000000">
        <w:rPr>
          <w:rFonts w:ascii="Arial" w:cs="Arial" w:eastAsia="Arial" w:hAnsi="Arial"/>
          <w:color w:val="1f1f1f"/>
          <w:sz w:val="22"/>
          <w:szCs w:val="22"/>
          <w:rtl w:val="0"/>
        </w:rPr>
        <w:t xml:space="preserve">GLÓRIA, R. </w:t>
      </w:r>
      <w:r w:rsidDel="00000000" w:rsidR="00000000" w:rsidRPr="00000000">
        <w:rPr>
          <w:rFonts w:ascii="Arial" w:cs="Arial" w:eastAsia="Arial" w:hAnsi="Arial"/>
          <w:b w:val="1"/>
          <w:bCs w:val="1"/>
          <w:color w:val="1f1f1f"/>
          <w:sz w:val="22"/>
          <w:szCs w:val="22"/>
          <w:rtl w:val="0"/>
        </w:rPr>
        <w:t xml:space="preserve">Metodologias flexíveis e o combate ao capacitismo institucional</w:t>
      </w:r>
      <w:r w:rsidDel="00000000" w:rsidR="00000000" w:rsidRPr="00000000">
        <w:rPr>
          <w:rFonts w:ascii="Arial" w:cs="Arial" w:eastAsia="Arial" w:hAnsi="Arial"/>
          <w:color w:val="1f1f1f"/>
          <w:sz w:val="22"/>
          <w:szCs w:val="22"/>
          <w:rtl w:val="0"/>
        </w:rPr>
        <w:t xml:space="preserve">. Rio de Janeiro: Vozes, 2020.</w:t>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pacing w:after="0" w:line="276" w:lineRule="auto"/>
        <w:rPr>
          <w:rFonts w:ascii="Arial" w:cs="Arial" w:eastAsia="Arial" w:hAnsi="Arial"/>
          <w:color w:val="1f1f1f"/>
          <w:sz w:val="22"/>
          <w:szCs w:val="22"/>
        </w:rPr>
      </w:pPr>
      <w:r w:rsidDel="00000000" w:rsidR="00000000" w:rsidRPr="00000000">
        <w:rPr>
          <w:rFonts w:ascii="Arial" w:cs="Arial" w:eastAsia="Arial" w:hAnsi="Arial"/>
          <w:color w:val="1f1f1f"/>
          <w:sz w:val="22"/>
          <w:szCs w:val="22"/>
          <w:rtl w:val="0"/>
        </w:rPr>
        <w:t xml:space="preserve">LOPES, M. A. </w:t>
      </w:r>
      <w:r w:rsidDel="00000000" w:rsidR="00000000" w:rsidRPr="00000000">
        <w:rPr>
          <w:rFonts w:ascii="Arial" w:cs="Arial" w:eastAsia="Arial" w:hAnsi="Arial"/>
          <w:b w:val="1"/>
          <w:bCs w:val="1"/>
          <w:color w:val="1f1f1f"/>
          <w:sz w:val="22"/>
          <w:szCs w:val="22"/>
          <w:rtl w:val="0"/>
        </w:rPr>
        <w:t xml:space="preserve">Corpos (in)visíveis</w:t>
      </w:r>
      <w:r w:rsidDel="00000000" w:rsidR="00000000" w:rsidRPr="00000000">
        <w:rPr>
          <w:rFonts w:ascii="Arial" w:cs="Arial" w:eastAsia="Arial" w:hAnsi="Arial"/>
          <w:color w:val="1f1f1f"/>
          <w:sz w:val="22"/>
          <w:szCs w:val="22"/>
          <w:rtl w:val="0"/>
        </w:rPr>
        <w:t xml:space="preserve">: um estudo sobre a arquitetura da exclusão. 2021. Dissertação (Mestrado em Educação) – Universidade Federal de Santa Maria, Santa Maria, 2021.</w:t>
      </w:r>
    </w:p>
    <w:p w:rsidR="00000000" w:rsidDel="00000000" w:rsidP="00000000" w:rsidRDefault="00000000" w:rsidRPr="00000000" w14:paraId="00000055">
      <w:pPr>
        <w:pBdr>
          <w:top w:color="auto" w:space="0" w:sz="0" w:val="none"/>
          <w:left w:color="auto" w:space="0" w:sz="0" w:val="none"/>
          <w:bottom w:color="auto" w:space="0" w:sz="0" w:val="none"/>
          <w:right w:color="auto" w:space="0" w:sz="0" w:val="none"/>
          <w:between w:color="auto" w:space="0" w:sz="0" w:val="none"/>
        </w:pBdr>
        <w:spacing w:after="0" w:line="276" w:lineRule="auto"/>
        <w:rPr>
          <w:rFonts w:ascii="Arial" w:cs="Arial" w:eastAsia="Arial" w:hAnsi="Arial"/>
          <w:color w:val="1f1f1f"/>
          <w:sz w:val="22"/>
          <w:szCs w:val="22"/>
        </w:rPr>
      </w:pPr>
      <w:r w:rsidDel="00000000" w:rsidR="00000000" w:rsidRPr="00000000">
        <w:rPr>
          <w:rFonts w:ascii="Arial" w:cs="Arial" w:eastAsia="Arial" w:hAnsi="Arial"/>
          <w:color w:val="1f1f1f"/>
          <w:sz w:val="22"/>
          <w:szCs w:val="22"/>
          <w:rtl w:val="0"/>
        </w:rPr>
        <w:t xml:space="preserve">MARIA, S. Pluralidade democrática e a invisibilização da deficiência na ciência. </w:t>
      </w:r>
      <w:r w:rsidDel="00000000" w:rsidR="00000000" w:rsidRPr="00000000">
        <w:rPr>
          <w:rFonts w:ascii="Arial" w:cs="Arial" w:eastAsia="Arial" w:hAnsi="Arial"/>
          <w:b w:val="1"/>
          <w:bCs w:val="1"/>
          <w:color w:val="1f1f1f"/>
          <w:sz w:val="22"/>
          <w:szCs w:val="22"/>
          <w:rtl w:val="0"/>
        </w:rPr>
        <w:t xml:space="preserve">Cadernos de Pesquisa</w:t>
      </w:r>
      <w:r w:rsidDel="00000000" w:rsidR="00000000" w:rsidRPr="00000000">
        <w:rPr>
          <w:rFonts w:ascii="Arial" w:cs="Arial" w:eastAsia="Arial" w:hAnsi="Arial"/>
          <w:color w:val="1f1f1f"/>
          <w:sz w:val="22"/>
          <w:szCs w:val="22"/>
          <w:rtl w:val="0"/>
        </w:rPr>
        <w:t xml:space="preserve">, v. 52, e09231, 2022.</w:t>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spacing w:after="0" w:line="276" w:lineRule="auto"/>
        <w:rPr>
          <w:rFonts w:ascii="Arial" w:cs="Arial" w:eastAsia="Arial" w:hAnsi="Arial"/>
          <w:color w:val="1f1f1f"/>
          <w:sz w:val="22"/>
          <w:szCs w:val="22"/>
        </w:rPr>
      </w:pPr>
      <w:r w:rsidDel="00000000" w:rsidR="00000000" w:rsidRPr="00000000">
        <w:rPr>
          <w:rFonts w:ascii="Arial" w:cs="Arial" w:eastAsia="Arial" w:hAnsi="Arial"/>
          <w:color w:val="1f1f1f"/>
          <w:sz w:val="22"/>
          <w:szCs w:val="22"/>
          <w:rtl w:val="0"/>
        </w:rPr>
        <w:t xml:space="preserve">MELLO, Anahi Guedes de. Deficiência, incapacidade e vulnerabilidade: do modelo médico ao modelo social e biocultural constitucional. </w:t>
      </w:r>
      <w:r w:rsidDel="00000000" w:rsidR="00000000" w:rsidRPr="00000000">
        <w:rPr>
          <w:rFonts w:ascii="Arial" w:cs="Arial" w:eastAsia="Arial" w:hAnsi="Arial"/>
          <w:b w:val="1"/>
          <w:bCs w:val="1"/>
          <w:color w:val="1f1f1f"/>
          <w:sz w:val="22"/>
          <w:szCs w:val="22"/>
          <w:rtl w:val="0"/>
        </w:rPr>
        <w:t xml:space="preserve">REVEDUC</w:t>
      </w:r>
      <w:r w:rsidDel="00000000" w:rsidR="00000000" w:rsidRPr="00000000">
        <w:rPr>
          <w:rFonts w:ascii="Arial" w:cs="Arial" w:eastAsia="Arial" w:hAnsi="Arial"/>
          <w:color w:val="1f1f1f"/>
          <w:sz w:val="22"/>
          <w:szCs w:val="22"/>
          <w:rtl w:val="0"/>
        </w:rPr>
        <w:t xml:space="preserve">, v. 10, n. 2, 2016.</w:t>
      </w:r>
    </w:p>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spacing w:after="0" w:line="276" w:lineRule="auto"/>
        <w:rPr>
          <w:rFonts w:ascii="Arial" w:cs="Arial" w:eastAsia="Arial" w:hAnsi="Arial"/>
          <w:color w:val="1f1f1f"/>
          <w:sz w:val="22"/>
          <w:szCs w:val="22"/>
        </w:rPr>
      </w:pPr>
      <w:r w:rsidDel="00000000" w:rsidR="00000000" w:rsidRPr="00000000">
        <w:rPr>
          <w:rFonts w:ascii="Arial" w:cs="Arial" w:eastAsia="Arial" w:hAnsi="Arial"/>
          <w:color w:val="1f1f1f"/>
          <w:sz w:val="22"/>
          <w:szCs w:val="22"/>
          <w:rtl w:val="0"/>
        </w:rPr>
        <w:t xml:space="preserve">MELO, A. G. de; VENDRAMIN, C. Capacitismo estrutural e a hierarquização dos corpos. </w:t>
      </w:r>
      <w:r w:rsidDel="00000000" w:rsidR="00000000" w:rsidRPr="00000000">
        <w:rPr>
          <w:rFonts w:ascii="Arial" w:cs="Arial" w:eastAsia="Arial" w:hAnsi="Arial"/>
          <w:b w:val="1"/>
          <w:bCs w:val="1"/>
          <w:color w:val="1f1f1f"/>
          <w:sz w:val="22"/>
          <w:szCs w:val="22"/>
          <w:rtl w:val="0"/>
        </w:rPr>
        <w:t xml:space="preserve">Revista Estudos Feministas</w:t>
      </w:r>
      <w:r w:rsidDel="00000000" w:rsidR="00000000" w:rsidRPr="00000000">
        <w:rPr>
          <w:rFonts w:ascii="Arial" w:cs="Arial" w:eastAsia="Arial" w:hAnsi="Arial"/>
          <w:color w:val="1f1f1f"/>
          <w:sz w:val="22"/>
          <w:szCs w:val="22"/>
          <w:rtl w:val="0"/>
        </w:rPr>
        <w:t xml:space="preserve">, Florianópolis, v. 30, n. 1, e75421, 2022.</w:t>
      </w:r>
    </w:p>
    <w:p w:rsidR="00000000" w:rsidDel="00000000" w:rsidP="00000000" w:rsidRDefault="00000000" w:rsidRPr="00000000" w14:paraId="0000005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yellow"/>
          <w:rtl w:val="0"/>
        </w:rPr>
        <w:t xml:space="preserve">/SUBIR EN FORMATO WORD</w:t>
      </w:r>
      <w:r w:rsidDel="00000000" w:rsidR="00000000" w:rsidRPr="00000000">
        <w:rPr>
          <w:rFonts w:ascii="Times New Roman" w:cs="Times New Roman" w:eastAsia="Times New Roman" w:hAnsi="Times New Roman"/>
          <w:rtl w:val="0"/>
        </w:rPr>
        <w:t xml:space="preserve">/</w:t>
      </w:r>
    </w:p>
    <w:sectPr>
      <w:headerReference r:id="rId7" w:type="default"/>
      <w:footerReference r:id="rId8"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camposruth107@gmail.com" TargetMode="Externa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