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5C0310F4" w14:textId="77777777" w:rsidR="002F4CBF" w:rsidRDefault="002F4CBF" w:rsidP="002F4CBF">
      <w:pPr>
        <w:spacing w:line="240" w:lineRule="exact"/>
        <w:jc w:val="center"/>
        <w:rPr>
          <w:rFonts w:ascii="Times New Roman" w:eastAsia="Times New Roman" w:hAnsi="Times New Roman" w:cs="Times New Roman"/>
          <w:b/>
          <w:bCs/>
        </w:rPr>
      </w:pPr>
      <w:r w:rsidRPr="00A46ECA">
        <w:rPr>
          <w:rFonts w:ascii="Times New Roman" w:eastAsia="Times New Roman" w:hAnsi="Times New Roman" w:cs="Times New Roman"/>
          <w:b/>
          <w:bCs/>
        </w:rPr>
        <w:t xml:space="preserve">Gobernanza universitaria y currículum: </w:t>
      </w:r>
    </w:p>
    <w:p w14:paraId="7CAE4CC2" w14:textId="77777777" w:rsidR="002F4CBF" w:rsidRPr="002F4CBF" w:rsidRDefault="002F4CBF" w:rsidP="002F4CBF">
      <w:pPr>
        <w:spacing w:line="240" w:lineRule="exact"/>
        <w:jc w:val="center"/>
        <w:rPr>
          <w:b/>
          <w:bCs/>
        </w:rPr>
      </w:pPr>
      <w:r w:rsidRPr="002F4CBF">
        <w:rPr>
          <w:rFonts w:ascii="Times New Roman" w:eastAsia="Times New Roman" w:hAnsi="Times New Roman" w:cs="Times New Roman"/>
          <w:b/>
          <w:bCs/>
        </w:rPr>
        <w:t>Los lineamientos de política universitaria como dispositivos de articulación estratégica en el sistema universitario argentino</w:t>
      </w:r>
    </w:p>
    <w:p w14:paraId="43C49479" w14:textId="77777777" w:rsidR="005F3B2E" w:rsidRPr="00BA642E" w:rsidRDefault="005F3B2E" w:rsidP="001923DC">
      <w:pPr>
        <w:jc w:val="center"/>
        <w:rPr>
          <w:rFonts w:ascii="Times New Roman" w:hAnsi="Times New Roman" w:cs="Times New Roman"/>
        </w:rPr>
      </w:pPr>
    </w:p>
    <w:p w14:paraId="4E738780" w14:textId="6451A609" w:rsidR="005F3B2E" w:rsidRPr="00BA642E" w:rsidRDefault="002F4CBF" w:rsidP="005F3B2E">
      <w:pPr>
        <w:spacing w:after="0" w:line="240" w:lineRule="auto"/>
        <w:jc w:val="right"/>
        <w:rPr>
          <w:rFonts w:ascii="Times New Roman" w:hAnsi="Times New Roman" w:cs="Times New Roman"/>
        </w:rPr>
      </w:pPr>
      <w:r>
        <w:rPr>
          <w:rFonts w:ascii="Times New Roman" w:hAnsi="Times New Roman" w:cs="Times New Roman"/>
        </w:rPr>
        <w:t xml:space="preserve">Capurro, Antonela </w:t>
      </w:r>
    </w:p>
    <w:p w14:paraId="6C2AECCA" w14:textId="0FD2A88A" w:rsidR="005F3B2E" w:rsidRPr="002F4CBF" w:rsidRDefault="002F4CBF" w:rsidP="005F3B2E">
      <w:pPr>
        <w:spacing w:after="0" w:line="240" w:lineRule="auto"/>
        <w:jc w:val="right"/>
        <w:rPr>
          <w:rFonts w:ascii="Times New Roman" w:hAnsi="Times New Roman" w:cs="Times New Roman"/>
          <w:i/>
          <w:iCs/>
        </w:rPr>
      </w:pPr>
      <w:r w:rsidRPr="002F4CBF">
        <w:rPr>
          <w:rFonts w:ascii="Times New Roman" w:hAnsi="Times New Roman" w:cs="Times New Roman"/>
          <w:i/>
          <w:iCs/>
        </w:rPr>
        <w:t>Doctorado en Política y Gestión de la educación Superior- UNTREF</w:t>
      </w:r>
    </w:p>
    <w:p w14:paraId="7D0026CD" w14:textId="01376293" w:rsidR="005F3B2E" w:rsidRPr="00BA642E" w:rsidRDefault="00653F94" w:rsidP="005F3B2E">
      <w:pPr>
        <w:spacing w:after="0" w:line="240" w:lineRule="auto"/>
        <w:jc w:val="right"/>
        <w:rPr>
          <w:rFonts w:ascii="Times New Roman" w:hAnsi="Times New Roman" w:cs="Times New Roman"/>
        </w:rPr>
      </w:pPr>
      <w:hyperlink r:id="rId8" w:history="1">
        <w:r w:rsidR="002F4CBF" w:rsidRPr="00BA7427">
          <w:rPr>
            <w:rStyle w:val="Hipervnculo"/>
            <w:rFonts w:ascii="Times New Roman" w:hAnsi="Times New Roman" w:cs="Times New Roman"/>
          </w:rPr>
          <w:t>acapurro@undav.edu.ar</w:t>
        </w:r>
      </w:hyperlink>
      <w:r w:rsidR="002F4CBF">
        <w:rPr>
          <w:rFonts w:ascii="Times New Roman" w:hAnsi="Times New Roman" w:cs="Times New Roman"/>
        </w:rPr>
        <w:t xml:space="preserve"> </w:t>
      </w:r>
    </w:p>
    <w:p w14:paraId="1FA0F857" w14:textId="77777777" w:rsidR="005F3B2E" w:rsidRPr="00BA642E" w:rsidRDefault="005F3B2E" w:rsidP="005F3B2E">
      <w:pPr>
        <w:rPr>
          <w:rFonts w:ascii="Times New Roman" w:hAnsi="Times New Roman" w:cs="Times New Roman"/>
        </w:rPr>
      </w:pPr>
    </w:p>
    <w:p w14:paraId="35A6682C" w14:textId="5759FC78" w:rsidR="00BA642E" w:rsidRDefault="00BA642E" w:rsidP="007B5B5F">
      <w:pPr>
        <w:spacing w:line="240" w:lineRule="auto"/>
        <w:jc w:val="both"/>
        <w:rPr>
          <w:rFonts w:ascii="Times New Roman" w:hAnsi="Times New Roman" w:cs="Times New Roman"/>
          <w:lang w:val="en-US"/>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p>
    <w:p w14:paraId="32376BED" w14:textId="0B4A8B3D" w:rsidR="00271F43" w:rsidRPr="007B5B5F" w:rsidRDefault="00271F43" w:rsidP="00271F43">
      <w:pPr>
        <w:pStyle w:val="NormalWeb"/>
        <w:jc w:val="both"/>
        <w:rPr>
          <w:b/>
          <w:bCs/>
        </w:rPr>
      </w:pPr>
      <w:r w:rsidRPr="004B67F2">
        <w:rPr>
          <w:lang w:val="es-AR"/>
        </w:rPr>
        <w:t xml:space="preserve">Las transformaciones recientes de la educación superior han reconfigurado las formas de organización, gobierno y gestión de las universidades. En este escenario, comprender cómo se articulan las decisiones de gobierno con los procesos de configuración curricular resulta central para analizar las estrategias mediante las cuales las instituciones orientan su desarrollo académico y se posicionan frente a los desafíos sociales, políticos y económicos contemporáneos. La expansión de los sistemas universitarios, la diversificación de las trayectorias estudiantiles, la internacionalización del conocimiento y el fortalecimiento de los dispositivos de evaluación y aseguramiento de la calidad han impulsado nuevas formas de pensar la gestión institucional y curricular, desplazando la mirada desde enfoques exclusivamente administrativos hacia perspectivas que integran información, conocimiento y toma de decisiones académicas. La literatura sobre gobernanza universitaria ha señalado que las universidades constituyen organizaciones complejas (Clark, 1983), atravesadas por múltiples fuentes de autoridad, por la autonomía relativa de los campos disciplinares y por la interacción entre distintos niveles de regulación y coordinación institucional. Desde esta perspectiva, la universidad puede comprenderse como una organización basada en el conocimiento, en la que los procesos decisorios emergen de la interacción entre actores académicos, administrativos y políticos, y en la que las dinámicas institucionales se encuentran atravesadas por tradiciones disciplinares, marcos regulatorios y orientaciones de política pública. En ese marco, los proyectos institucionales universitarios pueden interpretarse como configuraciones estratégicas que articulan orientaciones de política universitaria, identidades institucionales y definiciones sobre el conocimiento socialmente relevante. Uno de los ámbitos donde estas definiciones se materializan con mayor claridad es el currículum universitario. Desde la teoría del currículum, diversos autores han señalado que este constituye un dispositivo político e institucional que organiza la selección y transmisión del conocimiento socialmente legitimado (De Alba, 1995; Gimeno Sacristán, 1992). En el nivel universitario, el diseño curricular expresa no solo decisiones pedagógicas, sino también orientaciones estratégicas vinculadas con los proyectos institucionales y las políticas públicas de educación superior. Este trabajo analiza la relación entre gobernanza universitaria y currículum en el sistema universitario argentino, tomando los lineamientos de política universitaria como objeto de análisis. A partir del </w:t>
      </w:r>
      <w:r w:rsidRPr="004B67F2">
        <w:rPr>
          <w:lang w:val="es-AR"/>
        </w:rPr>
        <w:lastRenderedPageBreak/>
        <w:t>estudio de documentos producidos por el Consejo Interuniversitario Nacional (CIN) y la Secretaría de Políticas Universitarias (SPU), se argumenta que dichos lineamientos operan como dispositivos de articulación estratégica que median entre las orientaciones del nivel central del sistema y las decisiones curriculares institucionales. El análisis se centra en dos dispositivos específicos: el Sistema Argentino de Créditos Académicos Universitarios (SACAU) y los mecanismos de aseguramiento de la calidad. Desde allí, se propone comprender la relación entre gobernanza universitaria y currículum como una clave interpretativa para analizar el modo en que las universidades construyen y orientan sus proyectos institucionales en contextos de transformación de la educación superior, y para reflexionar sobre sus capacidades estratégicas para articular autonomía académica, responsabilidad pública y desarrollo del conocimiento</w:t>
      </w:r>
      <w:r>
        <w:rPr>
          <w:lang w:val="es-AR"/>
        </w:rPr>
        <w:t>.</w:t>
      </w:r>
    </w:p>
    <w:p w14:paraId="20A74D73" w14:textId="78C02967" w:rsidR="00271F43" w:rsidRDefault="00BA642E" w:rsidP="00271F43">
      <w:pPr>
        <w:spacing w:line="240" w:lineRule="auto"/>
        <w:jc w:val="both"/>
        <w:rPr>
          <w:rFonts w:ascii="Times New Roman" w:hAnsi="Times New Roman" w:cs="Times New Roman"/>
        </w:rPr>
      </w:pPr>
      <w:r w:rsidRPr="007B5B5F">
        <w:rPr>
          <w:rFonts w:ascii="Times New Roman" w:hAnsi="Times New Roman" w:cs="Times New Roman"/>
          <w:b/>
          <w:bCs/>
        </w:rPr>
        <w:t>Palabras clave:</w:t>
      </w:r>
      <w:r w:rsidR="00271F43">
        <w:rPr>
          <w:rFonts w:ascii="Times New Roman" w:hAnsi="Times New Roman" w:cs="Times New Roman"/>
          <w:b/>
          <w:bCs/>
        </w:rPr>
        <w:t xml:space="preserve"> </w:t>
      </w:r>
      <w:r w:rsidR="00271F43">
        <w:rPr>
          <w:rFonts w:ascii="Times New Roman" w:hAnsi="Times New Roman" w:cs="Times New Roman"/>
        </w:rPr>
        <w:t>G</w:t>
      </w:r>
      <w:r w:rsidR="00271F43" w:rsidRPr="00271F43">
        <w:rPr>
          <w:rFonts w:ascii="Times New Roman" w:hAnsi="Times New Roman" w:cs="Times New Roman"/>
        </w:rPr>
        <w:t xml:space="preserve">obernanza </w:t>
      </w:r>
      <w:r w:rsidR="00711436">
        <w:rPr>
          <w:rFonts w:ascii="Times New Roman" w:hAnsi="Times New Roman" w:cs="Times New Roman"/>
        </w:rPr>
        <w:t>U</w:t>
      </w:r>
      <w:r w:rsidR="00271F43" w:rsidRPr="00271F43">
        <w:rPr>
          <w:rFonts w:ascii="Times New Roman" w:hAnsi="Times New Roman" w:cs="Times New Roman"/>
        </w:rPr>
        <w:t xml:space="preserve">niversitaria, </w:t>
      </w:r>
      <w:r w:rsidR="00711436">
        <w:rPr>
          <w:rFonts w:ascii="Times New Roman" w:hAnsi="Times New Roman" w:cs="Times New Roman"/>
        </w:rPr>
        <w:t>C</w:t>
      </w:r>
      <w:r w:rsidR="00271F43" w:rsidRPr="00271F43">
        <w:rPr>
          <w:rFonts w:ascii="Times New Roman" w:hAnsi="Times New Roman" w:cs="Times New Roman"/>
        </w:rPr>
        <w:t xml:space="preserve">urrículum </w:t>
      </w:r>
      <w:r w:rsidR="00711436">
        <w:rPr>
          <w:rFonts w:ascii="Times New Roman" w:hAnsi="Times New Roman" w:cs="Times New Roman"/>
        </w:rPr>
        <w:t>U</w:t>
      </w:r>
      <w:r w:rsidR="00271F43" w:rsidRPr="00271F43">
        <w:rPr>
          <w:rFonts w:ascii="Times New Roman" w:hAnsi="Times New Roman" w:cs="Times New Roman"/>
        </w:rPr>
        <w:t xml:space="preserve">niversitario, </w:t>
      </w:r>
      <w:r w:rsidR="00711436">
        <w:rPr>
          <w:rFonts w:ascii="Times New Roman" w:hAnsi="Times New Roman" w:cs="Times New Roman"/>
        </w:rPr>
        <w:t>I</w:t>
      </w:r>
      <w:r w:rsidR="00271F43" w:rsidRPr="00271F43">
        <w:rPr>
          <w:rFonts w:ascii="Times New Roman" w:hAnsi="Times New Roman" w:cs="Times New Roman"/>
        </w:rPr>
        <w:t xml:space="preserve">dentidad institucional, </w:t>
      </w:r>
      <w:r w:rsidR="00711436">
        <w:rPr>
          <w:rFonts w:ascii="Times New Roman" w:hAnsi="Times New Roman" w:cs="Times New Roman"/>
        </w:rPr>
        <w:t>P</w:t>
      </w:r>
      <w:r w:rsidR="00271F43" w:rsidRPr="00271F43">
        <w:rPr>
          <w:rFonts w:ascii="Times New Roman" w:hAnsi="Times New Roman" w:cs="Times New Roman"/>
        </w:rPr>
        <w:t xml:space="preserve">royectos institucionales, </w:t>
      </w:r>
      <w:r w:rsidR="00711436">
        <w:rPr>
          <w:rFonts w:ascii="Times New Roman" w:hAnsi="Times New Roman" w:cs="Times New Roman"/>
        </w:rPr>
        <w:t>E</w:t>
      </w:r>
      <w:r w:rsidR="00271F43" w:rsidRPr="00271F43">
        <w:rPr>
          <w:rFonts w:ascii="Times New Roman" w:hAnsi="Times New Roman" w:cs="Times New Roman"/>
        </w:rPr>
        <w:t xml:space="preserve">ducación </w:t>
      </w:r>
      <w:r w:rsidR="00711436">
        <w:rPr>
          <w:rFonts w:ascii="Times New Roman" w:hAnsi="Times New Roman" w:cs="Times New Roman"/>
        </w:rPr>
        <w:t>S</w:t>
      </w:r>
      <w:r w:rsidR="00271F43" w:rsidRPr="00271F43">
        <w:rPr>
          <w:rFonts w:ascii="Times New Roman" w:hAnsi="Times New Roman" w:cs="Times New Roman"/>
        </w:rPr>
        <w:t>uperior.</w:t>
      </w:r>
    </w:p>
    <w:p w14:paraId="6A5547A1" w14:textId="4D52F4FE" w:rsidR="00BA642E" w:rsidRPr="007B5B5F" w:rsidRDefault="00BA642E" w:rsidP="00271F43">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3DB90247" w14:textId="77777777" w:rsidR="00711436" w:rsidRPr="00A46ECA" w:rsidRDefault="00711436" w:rsidP="00711436">
      <w:pPr>
        <w:spacing w:after="0" w:line="240" w:lineRule="auto"/>
        <w:jc w:val="both"/>
      </w:pPr>
      <w:r>
        <w:rPr>
          <w:rFonts w:ascii="Times New Roman" w:hAnsi="Times New Roman"/>
        </w:rPr>
        <w:t xml:space="preserve">El sistema universitario argentino atraviesa un momento de transformación significativa. La elaboración de lineamientos de política universitaria promovidos por el Consejo Interuniversitario Nacional (CIN) y la Secretaría de Políticas Universitarias (SPU), junto con la sanción de normativas específicas, como la Resolución Ministerial </w:t>
      </w:r>
      <w:proofErr w:type="spellStart"/>
      <w:r>
        <w:rPr>
          <w:rFonts w:ascii="Times New Roman" w:hAnsi="Times New Roman"/>
        </w:rPr>
        <w:t>N.°</w:t>
      </w:r>
      <w:proofErr w:type="spellEnd"/>
      <w:r>
        <w:rPr>
          <w:rFonts w:ascii="Times New Roman" w:hAnsi="Times New Roman"/>
        </w:rPr>
        <w:t xml:space="preserve"> 556/2025 que instituye el Sistema Argentino de Créditos Académicos Universitarios (SACAU), ha configurado un escenario en el que las decisiones de gobernanza y las definiciones curriculares se articulan de manera particularmente visible. Estas transformaciones interpelan, al mismo tiempo, la autonomía académica de las instituciones y sus capacidades para orientar proyectos académicos propios en un sistema en proceso de reconfiguración.</w:t>
      </w:r>
    </w:p>
    <w:p w14:paraId="7D993A1A" w14:textId="77777777" w:rsidR="00711436" w:rsidRPr="00A46ECA" w:rsidRDefault="00711436" w:rsidP="00711436">
      <w:pPr>
        <w:spacing w:after="0" w:line="240" w:lineRule="auto"/>
        <w:jc w:val="both"/>
      </w:pPr>
      <w:r>
        <w:rPr>
          <w:rFonts w:ascii="Times New Roman" w:hAnsi="Times New Roman"/>
        </w:rPr>
        <w:t>El propio documento del CIN (2021) establece como punto de partida que la complejidad de la sociedad actual requiere una redefinición del currículum universitario, con eje en las necesidades del contexto, de las y los estudiantes y de los procesos de aprendizaje. Desde allí, configura una agenda de políticas universitarias que vincula trayectorias diversas, complejidad creciente de los escenarios y calidad. Esta declaración es sintomática: enmarca la transformación curricular no como una cuestión pedagógica interna, sino como un imperativo de política universitaria que el conjunto del sistema debe asumir. Los lineamientos que desarrolla el documento expresan el modo en que el CIN le da lugar a estos procesos que pueden visibilizarse en la gobernanza y en el curriculum.</w:t>
      </w:r>
    </w:p>
    <w:p w14:paraId="7A56EF41" w14:textId="77777777" w:rsidR="00711436" w:rsidRPr="00A46ECA" w:rsidRDefault="00711436" w:rsidP="00711436">
      <w:pPr>
        <w:spacing w:after="0" w:line="240" w:lineRule="auto"/>
        <w:jc w:val="both"/>
      </w:pPr>
      <w:r>
        <w:rPr>
          <w:rFonts w:ascii="Times New Roman" w:hAnsi="Times New Roman"/>
        </w:rPr>
        <w:t xml:space="preserve">Comprender cómo se articulan las decisiones de gobierno con los procesos de configuración curricular resulta clave para analizar las estrategias mediante las cuales las universidades orientan su desarrollo académico frente a los desafíos sociales, políticos y económicos contemporáneos. Como sostienen </w:t>
      </w:r>
      <w:proofErr w:type="spellStart"/>
      <w:r>
        <w:rPr>
          <w:rFonts w:ascii="Times New Roman" w:hAnsi="Times New Roman"/>
        </w:rPr>
        <w:t>Lascoumes</w:t>
      </w:r>
      <w:proofErr w:type="spellEnd"/>
      <w:r>
        <w:rPr>
          <w:rFonts w:ascii="Times New Roman" w:hAnsi="Times New Roman"/>
        </w:rPr>
        <w:t xml:space="preserve"> y Le </w:t>
      </w:r>
      <w:proofErr w:type="spellStart"/>
      <w:r>
        <w:rPr>
          <w:rFonts w:ascii="Times New Roman" w:hAnsi="Times New Roman"/>
        </w:rPr>
        <w:t>Galès</w:t>
      </w:r>
      <w:proofErr w:type="spellEnd"/>
      <w:r>
        <w:rPr>
          <w:rFonts w:ascii="Times New Roman" w:hAnsi="Times New Roman"/>
        </w:rPr>
        <w:t xml:space="preserve"> (2007), las políticas públicas son siempre el resultado de compromisos entre lógicas de acción diversas (estatales, profesionales, institucionales y disciplinares), y su implementación reactiva tensiones que su formulación había procesado. En el campo universitario, esto implica que los lineamientos nacionales no se traducen de manera directa en decisiones </w:t>
      </w:r>
      <w:r>
        <w:rPr>
          <w:rFonts w:ascii="Times New Roman" w:hAnsi="Times New Roman"/>
        </w:rPr>
        <w:lastRenderedPageBreak/>
        <w:t>curriculares, sino que son interpretados, apropiados, negociados o resistidos según las condiciones específicas de cada institución.</w:t>
      </w:r>
    </w:p>
    <w:p w14:paraId="74257B88" w14:textId="77777777" w:rsidR="00711436" w:rsidRPr="00A46ECA" w:rsidRDefault="00711436" w:rsidP="00711436">
      <w:pPr>
        <w:spacing w:after="0" w:line="240" w:lineRule="auto"/>
        <w:jc w:val="both"/>
      </w:pPr>
      <w:r>
        <w:rPr>
          <w:rFonts w:ascii="Times New Roman" w:hAnsi="Times New Roman"/>
        </w:rPr>
        <w:t>Este trabajo propone analizar los lineamientos de política universitaria como dispositivos de articulación estratégica entre gobernanza y currículum en el sistema universitario argentino. El argumento central sostiene que estos lineamientos no operan únicamente como prescripciones normativas, sino como dispositivos que configuran zonas de tensión y negociación en las que las universidades construyen sus posicionamientos curriculares. La aproximación es analítico-conceptual y se sustenta en el análisis de documentos de política universitaria del período y en literatura académica especializada sobre gobernanza universitaria y currículum.</w:t>
      </w:r>
    </w:p>
    <w:p w14:paraId="5D011866" w14:textId="17693473" w:rsidR="00711436" w:rsidRDefault="00711436" w:rsidP="00711436">
      <w:pPr>
        <w:spacing w:after="0" w:line="240" w:lineRule="auto"/>
        <w:jc w:val="both"/>
        <w:rPr>
          <w:rFonts w:ascii="Times New Roman" w:hAnsi="Times New Roman" w:cs="Times New Roman"/>
        </w:rPr>
      </w:pPr>
      <w:r w:rsidRPr="007D2F7C">
        <w:rPr>
          <w:rFonts w:ascii="Times New Roman" w:hAnsi="Times New Roman" w:cs="Times New Roman"/>
        </w:rPr>
        <w:t>El trabajo se organiza del siguiente modo. En primer lugar, se presentan los marcos conceptuales que articulan gobernanza universitaria, currículum, identidad institucional y dispositivos de política como categorías analíticas vinculadas. En segundo lugar, se explicita la estrategia metodológica adoptada, de carácter cualitativo, analítico-conceptual y documental, precisando el corpus, los criterios de selección de las fuentes y las dimensiones de análisis. En tercer lugar, se analiza el documento del CIN como superficie de articulación entre gobernanza y currículum, con especial atención a sus lineamientos vinculados con organización curricular, trayectorias estudiantiles y calidad. En cuarto lugar, se examina de qué modo el SACAU y los mecanismos de aseguramiento de la calidad operan como dispositivos de articulación, así como las tensiones que producen en relación con la autonomía académica, las tradiciones disciplinares y las capacidades institucionales. Finalmente, se discuten sus implicancias para pensar los proyectos universitarios, la identidad institucional y las capacidades estratégicas de las universidades en el contexto actual de transformación de la educación superior.</w:t>
      </w:r>
    </w:p>
    <w:p w14:paraId="3A0DE456" w14:textId="77777777" w:rsidR="00711436" w:rsidRPr="007D2F7C" w:rsidRDefault="00711436" w:rsidP="00711436">
      <w:pPr>
        <w:spacing w:after="0" w:line="240" w:lineRule="auto"/>
        <w:jc w:val="both"/>
        <w:rPr>
          <w:rFonts w:ascii="Times New Roman" w:hAnsi="Times New Roman" w:cs="Times New Roman"/>
        </w:rPr>
      </w:pP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48A38C9F" w14:textId="66D71344" w:rsidR="00711436" w:rsidRDefault="00711436" w:rsidP="00711436">
      <w:pPr>
        <w:spacing w:after="0" w:line="240" w:lineRule="auto"/>
        <w:jc w:val="both"/>
        <w:rPr>
          <w:rFonts w:ascii="Times New Roman" w:hAnsi="Times New Roman"/>
          <w:b/>
        </w:rPr>
      </w:pPr>
      <w:r>
        <w:rPr>
          <w:rFonts w:ascii="Times New Roman" w:hAnsi="Times New Roman"/>
          <w:b/>
        </w:rPr>
        <w:t xml:space="preserve">1. Marco conceptual: gobernanza universitaria, currículum, identidad institucional y dispositivos de política. </w:t>
      </w:r>
    </w:p>
    <w:p w14:paraId="640B1847" w14:textId="77777777" w:rsidR="00711436" w:rsidRPr="00A46ECA" w:rsidRDefault="00711436" w:rsidP="00711436">
      <w:pPr>
        <w:spacing w:after="0" w:line="240" w:lineRule="auto"/>
        <w:jc w:val="both"/>
      </w:pPr>
    </w:p>
    <w:p w14:paraId="45567C6A" w14:textId="14B57E68" w:rsidR="00711436" w:rsidRPr="00A46ECA" w:rsidRDefault="00711436" w:rsidP="00711436">
      <w:pPr>
        <w:spacing w:after="0" w:line="240" w:lineRule="auto"/>
        <w:jc w:val="both"/>
      </w:pPr>
      <w:r>
        <w:rPr>
          <w:rFonts w:ascii="Times New Roman" w:eastAsia="Times New Roman" w:hAnsi="Times New Roman" w:cs="Times New Roman"/>
          <w:b/>
          <w:bCs/>
        </w:rPr>
        <w:t>1.1</w:t>
      </w:r>
      <w:r w:rsidRPr="00A46ECA">
        <w:rPr>
          <w:rFonts w:ascii="Times New Roman" w:eastAsia="Times New Roman" w:hAnsi="Times New Roman" w:cs="Times New Roman"/>
          <w:b/>
          <w:bCs/>
        </w:rPr>
        <w:t xml:space="preserve"> La universidad como organización compleja: gobernanza y coordinación</w:t>
      </w:r>
    </w:p>
    <w:p w14:paraId="21EFC161" w14:textId="77777777" w:rsidR="00711436" w:rsidRPr="00A46ECA" w:rsidRDefault="00711436" w:rsidP="00711436">
      <w:pPr>
        <w:spacing w:after="0" w:line="240" w:lineRule="auto"/>
        <w:jc w:val="both"/>
      </w:pPr>
      <w:r>
        <w:rPr>
          <w:rFonts w:ascii="Times New Roman" w:hAnsi="Times New Roman"/>
        </w:rPr>
        <w:t>La literatura sobre gobernanza universitaria ha señalado de manera consistente que las universidades constituyen organizaciones singularmente complejas, caracterizadas por la coexistencia de múltiples fuentes de autoridad, la autonomía de los campos disciplinares y la interacción entre distintos niveles de regulación y coordinación institucional (Clark, 1983). Ganga, Abello y Quiroz (2014) sostienen que la gobernanza universitaria debe ocuparse del modo en que las universidades se organizan y estructuran, de la manera en que son administradas desde la perspectiva de su gobierno y gestión, y del diseño que adoptan para establecer y conducir sus vínculos con actores del entorno. Esta complejidad no es accidental: resulta de la naturaleza del conocimiento como objeto de trabajo universitario, que requiere autonomía disciplinar para su producción y transmisión, pero que, al mismo tiempo, se desarrolla en instituciones que deben responder a demandas sociales, políticas y económicas.</w:t>
      </w:r>
    </w:p>
    <w:p w14:paraId="05DA7C09" w14:textId="77777777" w:rsidR="00711436" w:rsidRDefault="00711436" w:rsidP="00711436">
      <w:pPr>
        <w:spacing w:after="0" w:line="240" w:lineRule="auto"/>
        <w:jc w:val="both"/>
      </w:pPr>
      <w:r>
        <w:rPr>
          <w:rFonts w:ascii="Times New Roman" w:hAnsi="Times New Roman"/>
        </w:rPr>
        <w:t xml:space="preserve">En esta misma línea, Brunner (2011) define la gobernanza universitaria como la manera en que las instituciones se hallan organizadas y son operadas internamente, desde el punto </w:t>
      </w:r>
      <w:r>
        <w:rPr>
          <w:rFonts w:ascii="Times New Roman" w:hAnsi="Times New Roman"/>
        </w:rPr>
        <w:lastRenderedPageBreak/>
        <w:t>de vista de su gobierno y gestión, y como el conjunto de relaciones que establecen con entidades y actores externos para asegurar los objetivos de la educación superior. Esta definición resulta especialmente pertinente para el análisis propuesto, porque permite comprender que la gobernanza no se reduce a la estructura formal de gobierno, sino que involucra también capacidades de coordinación, procesos de decisión y formas de articulación con el entorno. Desde esta perspectiva, los lineamientos de política universitaria pueden ser leídos como parte de esos mecanismos de coordinación que orientan la acción institucional sin sustituir las decisiones propias de cada universidad.</w:t>
      </w:r>
    </w:p>
    <w:p w14:paraId="29D517EC" w14:textId="77777777" w:rsidR="00711436" w:rsidRDefault="00711436" w:rsidP="00711436">
      <w:pPr>
        <w:spacing w:after="0" w:line="240" w:lineRule="auto"/>
        <w:jc w:val="both"/>
      </w:pPr>
      <w:r>
        <w:rPr>
          <w:rFonts w:ascii="Times New Roman" w:hAnsi="Times New Roman"/>
        </w:rPr>
        <w:t>Esta perspectiva permite introducir la noción de identidad institucional como una dimensión relevante para comprender el modo en que las universidades procesan los lineamientos de política universitaria. Desde el análisis institucional, la identidad no puede reducirse a una declaración formal de principios, sino que remite a una construcción histórica de sentidos, tradiciones, estilos de funcionamiento, prioridades académicas y vínculos con el entorno que orientan la vida institucional (Fernández, 1994). En consecuencia, los mecanismos de coordinación sistémica no se incorporan de manera homogénea en todas las universidades, sino que son interpretados desde matrices institucionales específicas.</w:t>
      </w:r>
    </w:p>
    <w:p w14:paraId="6F038A7B" w14:textId="77777777" w:rsidR="00711436" w:rsidRPr="00A46ECA" w:rsidRDefault="00711436" w:rsidP="00711436">
      <w:pPr>
        <w:spacing w:after="0" w:line="240" w:lineRule="auto"/>
        <w:jc w:val="both"/>
      </w:pPr>
      <w:r>
        <w:rPr>
          <w:rFonts w:ascii="Times New Roman" w:hAnsi="Times New Roman"/>
        </w:rPr>
        <w:t>En el campo argentino, Marquina y Morresi (2017) han identificado que las universidades públicas nacionales se rigen simultáneamente por tres lógicas en tensión: una lógica académica, vinculada con la formación, la investigación y la extensión; una lógica política, asociada a los procesos de gobierno y representación institucional; y una lógica burocrática, relacionada con la transparencia y la eficiencia en la gestión de recursos públicos. Esta coexistencia tensa de lógicas condiciona directamente las formas en que los lineamientos de política son procesados dentro de las instituciones. Un rasgo significativo del período reciente, documentado por los mismos autores, es la tendencia hacia la concentración de capacidades en los órganos no colegiados de gobierno, particularmente en los rectorados: rectores y decanos participan activamente en el establecimiento de pautas generales que luego son presentadas ante los órganos colegiados como hechos consumados, cuya discusión pierde sentido práctico dado su origen externo. Esta dinámica resulta especialmente relevante para comprender cómo los lineamientos del CIN se traducen al interior de las instituciones.</w:t>
      </w:r>
    </w:p>
    <w:p w14:paraId="75E4710A" w14:textId="18AF504F" w:rsidR="00711436" w:rsidRDefault="00711436" w:rsidP="00711436">
      <w:pPr>
        <w:spacing w:after="0" w:line="240" w:lineRule="auto"/>
        <w:jc w:val="both"/>
        <w:rPr>
          <w:rFonts w:ascii="Times New Roman" w:hAnsi="Times New Roman"/>
        </w:rPr>
      </w:pPr>
      <w:r>
        <w:rPr>
          <w:rFonts w:ascii="Times New Roman" w:hAnsi="Times New Roman"/>
        </w:rPr>
        <w:t xml:space="preserve">Un elemento central para analizar la gobernanza universitaria argentina es el proceso de reconfiguración de la autonomía que acompaña la consolidación del Estado evaluador. </w:t>
      </w:r>
      <w:proofErr w:type="spellStart"/>
      <w:r>
        <w:rPr>
          <w:rFonts w:ascii="Times New Roman" w:hAnsi="Times New Roman"/>
        </w:rPr>
        <w:t>Nosiglia</w:t>
      </w:r>
      <w:proofErr w:type="spellEnd"/>
      <w:r>
        <w:rPr>
          <w:rFonts w:ascii="Times New Roman" w:hAnsi="Times New Roman"/>
        </w:rPr>
        <w:t xml:space="preserve"> y Mulle (2009) han mostrado que la LES </w:t>
      </w:r>
      <w:proofErr w:type="spellStart"/>
      <w:r>
        <w:rPr>
          <w:rFonts w:ascii="Times New Roman" w:hAnsi="Times New Roman"/>
        </w:rPr>
        <w:t>N.°</w:t>
      </w:r>
      <w:proofErr w:type="spellEnd"/>
      <w:r>
        <w:rPr>
          <w:rFonts w:ascii="Times New Roman" w:hAnsi="Times New Roman"/>
        </w:rPr>
        <w:t xml:space="preserve"> 24.521 institucionalizó una nueva racionalidad de gobierno del sistema, basada en la evaluación, la coordinación sistémica y la regulación indirecta. En este modelo, la autonomía universitaria no desaparece, sino que se redefine en tensión con mecanismos de evaluación externa, acreditación de carreras y asignación de recursos por programas. Desde este ángulo, los lineamientos de política universitaria constituyen formas de coordinación sistémica que orientan la agenda institucional sin suprimir formalmente la autonomía.</w:t>
      </w:r>
    </w:p>
    <w:p w14:paraId="18A8AB7C" w14:textId="19C78426" w:rsidR="00711436" w:rsidRDefault="00711436" w:rsidP="00711436">
      <w:pPr>
        <w:spacing w:after="0" w:line="240" w:lineRule="auto"/>
        <w:jc w:val="both"/>
        <w:rPr>
          <w:rFonts w:ascii="Times New Roman" w:hAnsi="Times New Roman"/>
        </w:rPr>
      </w:pPr>
    </w:p>
    <w:p w14:paraId="57D17D40" w14:textId="01004563" w:rsidR="00711436" w:rsidRPr="00A46ECA" w:rsidRDefault="00711436" w:rsidP="00711436">
      <w:pPr>
        <w:spacing w:after="0" w:line="240" w:lineRule="auto"/>
        <w:jc w:val="both"/>
      </w:pPr>
      <w:r>
        <w:rPr>
          <w:rFonts w:ascii="Times New Roman" w:eastAsia="Times New Roman" w:hAnsi="Times New Roman" w:cs="Times New Roman"/>
          <w:b/>
          <w:bCs/>
        </w:rPr>
        <w:t>1.2</w:t>
      </w:r>
      <w:r w:rsidRPr="00A46ECA">
        <w:rPr>
          <w:rFonts w:ascii="Times New Roman" w:eastAsia="Times New Roman" w:hAnsi="Times New Roman" w:cs="Times New Roman"/>
          <w:b/>
          <w:bCs/>
        </w:rPr>
        <w:t xml:space="preserve"> El currículum universitario como dispositivo político-institucional</w:t>
      </w:r>
    </w:p>
    <w:p w14:paraId="1ABEDA64" w14:textId="77777777" w:rsidR="00711436" w:rsidRPr="00A46ECA" w:rsidRDefault="00711436" w:rsidP="00711436">
      <w:pPr>
        <w:spacing w:after="0" w:line="240" w:lineRule="auto"/>
        <w:jc w:val="both"/>
      </w:pPr>
      <w:r>
        <w:rPr>
          <w:rFonts w:ascii="Times New Roman" w:hAnsi="Times New Roman"/>
        </w:rPr>
        <w:t xml:space="preserve">Desde la teoría del currículum, diversos autores han señalado que este constituye un dispositivo político e institucional que organiza la selección y transmisión del conocimiento socialmente legitimado. De Alba (1995) lo define como la síntesis de </w:t>
      </w:r>
      <w:r>
        <w:rPr>
          <w:rFonts w:ascii="Times New Roman" w:hAnsi="Times New Roman"/>
        </w:rPr>
        <w:lastRenderedPageBreak/>
        <w:t>elementos culturales (conocimientos, valores, costumbres, creencias y hábitos) que conforman una propuesta político-educativa, resultado de una lucha por la hegemonía en la que participan distintos grupos sociales con intereses y posicionamientos diferenciados. Gimeno Sacristán (1992) refuerza esta caracterización al señalar que el currículum no es un objeto neutro ni natural, sino una construcción cultural que expresa opciones y valoraciones sobre el conocimiento y la sociedad.</w:t>
      </w:r>
    </w:p>
    <w:p w14:paraId="26CCF583" w14:textId="77777777" w:rsidR="00711436" w:rsidRDefault="00711436" w:rsidP="00711436">
      <w:pPr>
        <w:spacing w:after="0" w:line="240" w:lineRule="auto"/>
        <w:jc w:val="both"/>
      </w:pPr>
      <w:r>
        <w:rPr>
          <w:rFonts w:ascii="Times New Roman" w:hAnsi="Times New Roman"/>
        </w:rPr>
        <w:t>Estos aportes permiten ubicar al currículum como una superficie de inscripción de disputas, acuerdos y decisiones institucionales. En consecuencia, analizar los lineamientos de política universitaria desde el currículum supone indagar no solo la organización formal de los planes de estudio, sino también las concepciones de conocimiento, formación y legitimidad académica que dichos planes expresan.</w:t>
      </w:r>
    </w:p>
    <w:p w14:paraId="1FF36B7F" w14:textId="77777777" w:rsidR="00711436" w:rsidRDefault="00711436" w:rsidP="00711436">
      <w:pPr>
        <w:spacing w:after="0" w:line="240" w:lineRule="auto"/>
        <w:jc w:val="both"/>
      </w:pPr>
      <w:r>
        <w:rPr>
          <w:rFonts w:ascii="Times New Roman" w:hAnsi="Times New Roman"/>
        </w:rPr>
        <w:t>En este sentido, el currículum universitario también puede comprenderse como una superficie privilegiada de expresión de la identidad institucional. Las decisiones sobre la organización de los planes de estudio, la selección de saberes, el lugar asignado a las disciplinas, la relación con el territorio, la incorporación de prácticas profesionales, la extensión o las trayectorias flexibles expresan modos específicos de definir qué formación se considera valiosa y qué proyecto universitario se procura sostener. Por ello, el análisis de los lineamientos de política requiere atender no solo a su formulación normativa, sino también a las formas en que cada institución los traduce desde su historia, sus culturas académicas y sus prioridades estratégicas.</w:t>
      </w:r>
    </w:p>
    <w:p w14:paraId="586FB6DC" w14:textId="0E881C0E" w:rsidR="00711436" w:rsidRDefault="00711436" w:rsidP="00711436">
      <w:pPr>
        <w:spacing w:after="0" w:line="240" w:lineRule="auto"/>
        <w:jc w:val="both"/>
        <w:rPr>
          <w:rFonts w:ascii="Times New Roman" w:hAnsi="Times New Roman"/>
        </w:rPr>
      </w:pPr>
      <w:r>
        <w:rPr>
          <w:rFonts w:ascii="Times New Roman" w:hAnsi="Times New Roman"/>
        </w:rPr>
        <w:t xml:space="preserve">En el nivel universitario, el diseño curricular expresa no solo decisiones pedagógicas, sino también orientaciones estratégicas vinculadas con los proyectos institucionales y las políticas públicas. Camilloni (2001) advirtió que el cambio curricular implica revisar no solo la estructura de los planes de estudio, sino también las concepciones de conocimiento y formación que orientan la educación superior. Asimismo, desde la perspectiva del análisis institucional, el currículum universitario puede comprenderse como un potente analizador institucional en el sentido propuesto por </w:t>
      </w:r>
      <w:proofErr w:type="spellStart"/>
      <w:r>
        <w:rPr>
          <w:rFonts w:ascii="Times New Roman" w:hAnsi="Times New Roman"/>
        </w:rPr>
        <w:t>Lapassade</w:t>
      </w:r>
      <w:proofErr w:type="spellEnd"/>
      <w:r>
        <w:rPr>
          <w:rFonts w:ascii="Times New Roman" w:hAnsi="Times New Roman"/>
        </w:rPr>
        <w:t xml:space="preserve"> (1979): un dispositivo que, al condensar decisiones político-pedagógicas, regulaciones estatales y tradiciones disciplinares, permite revelar las lógicas institucionales que lo producen. El currículum opera como analizador cuando es interpelado por procesos de reforma, exigencias de acreditación o cambios en las orientaciones de política universitaria, como los que caracterizan el período 2021-2026 en Argentina.</w:t>
      </w:r>
    </w:p>
    <w:p w14:paraId="16A90A53" w14:textId="77777777" w:rsidR="00711436" w:rsidRPr="00A46ECA" w:rsidRDefault="00711436" w:rsidP="00711436">
      <w:pPr>
        <w:spacing w:after="0" w:line="240" w:lineRule="auto"/>
        <w:jc w:val="both"/>
      </w:pPr>
    </w:p>
    <w:p w14:paraId="50C6F9F3" w14:textId="30AF6753" w:rsidR="00711436" w:rsidRPr="00A46ECA" w:rsidRDefault="00711436" w:rsidP="00711436">
      <w:pPr>
        <w:spacing w:after="0" w:line="240" w:lineRule="auto"/>
        <w:jc w:val="both"/>
      </w:pPr>
      <w:r>
        <w:rPr>
          <w:rFonts w:ascii="Times New Roman" w:eastAsia="Times New Roman" w:hAnsi="Times New Roman" w:cs="Times New Roman"/>
          <w:b/>
          <w:bCs/>
        </w:rPr>
        <w:t>1.3</w:t>
      </w:r>
      <w:r w:rsidRPr="00A46ECA">
        <w:rPr>
          <w:rFonts w:ascii="Times New Roman" w:eastAsia="Times New Roman" w:hAnsi="Times New Roman" w:cs="Times New Roman"/>
          <w:b/>
          <w:bCs/>
        </w:rPr>
        <w:t xml:space="preserve"> Los lineamientos de política como dispositivos de articulación</w:t>
      </w:r>
    </w:p>
    <w:p w14:paraId="7C6FCBEC" w14:textId="77777777" w:rsidR="00711436" w:rsidRPr="00A46ECA" w:rsidRDefault="00711436" w:rsidP="00711436">
      <w:pPr>
        <w:spacing w:after="0" w:line="240" w:lineRule="auto"/>
        <w:jc w:val="both"/>
      </w:pPr>
      <w:proofErr w:type="spellStart"/>
      <w:r>
        <w:rPr>
          <w:rFonts w:ascii="Times New Roman" w:hAnsi="Times New Roman"/>
        </w:rPr>
        <w:t>Lascoumes</w:t>
      </w:r>
      <w:proofErr w:type="spellEnd"/>
      <w:r>
        <w:rPr>
          <w:rFonts w:ascii="Times New Roman" w:hAnsi="Times New Roman"/>
        </w:rPr>
        <w:t xml:space="preserve"> y Le </w:t>
      </w:r>
      <w:proofErr w:type="spellStart"/>
      <w:r>
        <w:rPr>
          <w:rFonts w:ascii="Times New Roman" w:hAnsi="Times New Roman"/>
        </w:rPr>
        <w:t>Galès</w:t>
      </w:r>
      <w:proofErr w:type="spellEnd"/>
      <w:r>
        <w:rPr>
          <w:rFonts w:ascii="Times New Roman" w:hAnsi="Times New Roman"/>
        </w:rPr>
        <w:t xml:space="preserve"> (2007) han propuesto analizar los instrumentos de política pública no como herramientas neutras, sino como dispositivos que condensan una teoría de la acción política y producen efectos sobre la distribución de poder, los modos de decisión y la construcción de los problemas públicos. Desde esta perspectiva, los lineamientos de política universitaria no son simples documentos orientadores: son dispositivos que estructuran el campo de acción institucional, establecen categorías de valoración y configuran las condiciones bajo las cuales las universidades deben posicionarse. Esta conceptualización permite articular gobernanza y currículum, en tanto los lineamientos operan como dispositivos de gobernanza con incidencia directa sobre las decisiones curriculares de las instituciones.</w:t>
      </w:r>
    </w:p>
    <w:p w14:paraId="448ACBF3" w14:textId="6DFDBF55" w:rsidR="00711436" w:rsidRDefault="00711436" w:rsidP="00711436">
      <w:pPr>
        <w:spacing w:after="0" w:line="240" w:lineRule="auto"/>
        <w:jc w:val="both"/>
        <w:rPr>
          <w:rFonts w:ascii="Times New Roman" w:hAnsi="Times New Roman"/>
        </w:rPr>
      </w:pPr>
      <w:r>
        <w:rPr>
          <w:rFonts w:ascii="Times New Roman" w:hAnsi="Times New Roman"/>
        </w:rPr>
        <w:lastRenderedPageBreak/>
        <w:t xml:space="preserve">Desde la perspectiva del planeamiento estratégico universitario, Navarro (1996) ha señalado que las instituciones de educación superior requieren enfoques teóricos y metodológicos flexibles, abiertos y dinámicos, capaces de responder a una realidad social cambiante. Esta condición resulta especialmente pertinente para analizar cómo las universidades procesan los lineamientos de política: no como receptoras pasivas de prescripciones externas, sino como instituciones que construyen posicionamientos estratégicos en contextos turbulentos, atravesados por </w:t>
      </w:r>
      <w:proofErr w:type="spellStart"/>
      <w:r>
        <w:rPr>
          <w:rFonts w:ascii="Times New Roman" w:hAnsi="Times New Roman"/>
        </w:rPr>
        <w:t>interjuegos</w:t>
      </w:r>
      <w:proofErr w:type="spellEnd"/>
      <w:r>
        <w:rPr>
          <w:rFonts w:ascii="Times New Roman" w:hAnsi="Times New Roman"/>
        </w:rPr>
        <w:t xml:space="preserve"> de poder y relaciones institucionales.</w:t>
      </w:r>
    </w:p>
    <w:p w14:paraId="3AA20E06" w14:textId="77777777" w:rsidR="00711436" w:rsidRDefault="00711436" w:rsidP="00711436">
      <w:pPr>
        <w:spacing w:after="0" w:line="240" w:lineRule="auto"/>
        <w:jc w:val="both"/>
        <w:rPr>
          <w:rFonts w:ascii="Times New Roman" w:hAnsi="Times New Roman"/>
        </w:rPr>
      </w:pPr>
    </w:p>
    <w:p w14:paraId="1BBF15B3" w14:textId="44BEA416" w:rsidR="00711436" w:rsidRPr="000D1867" w:rsidRDefault="00711436" w:rsidP="00711436">
      <w:pPr>
        <w:spacing w:after="0" w:line="240" w:lineRule="auto"/>
        <w:ind w:left="360"/>
        <w:rPr>
          <w:rFonts w:ascii="Times New Roman" w:eastAsia="Times New Roman" w:hAnsi="Times New Roman" w:cs="Times New Roman"/>
          <w:b/>
          <w:bCs/>
          <w:lang w:eastAsia="es-AR"/>
        </w:rPr>
      </w:pPr>
      <w:r>
        <w:rPr>
          <w:rFonts w:ascii="Times New Roman" w:eastAsia="Times New Roman" w:hAnsi="Times New Roman" w:cs="Times New Roman"/>
          <w:b/>
          <w:bCs/>
          <w:lang w:eastAsia="es-AR"/>
        </w:rPr>
        <w:t xml:space="preserve">2. </w:t>
      </w:r>
      <w:r w:rsidRPr="000D1867">
        <w:rPr>
          <w:rFonts w:ascii="Times New Roman" w:eastAsia="Times New Roman" w:hAnsi="Times New Roman" w:cs="Times New Roman"/>
          <w:b/>
          <w:bCs/>
          <w:lang w:eastAsia="es-AR"/>
        </w:rPr>
        <w:t>Estrategia metodológica: análisis documental y construcción conceptual</w:t>
      </w:r>
    </w:p>
    <w:p w14:paraId="0CB04780" w14:textId="77777777" w:rsidR="00711436" w:rsidRPr="000D1867" w:rsidRDefault="00711436" w:rsidP="00711436">
      <w:pPr>
        <w:spacing w:after="0" w:line="240" w:lineRule="auto"/>
        <w:jc w:val="both"/>
        <w:rPr>
          <w:rFonts w:ascii="Times New Roman" w:eastAsia="Times New Roman" w:hAnsi="Times New Roman" w:cs="Times New Roman"/>
          <w:lang w:eastAsia="es-AR"/>
        </w:rPr>
      </w:pPr>
      <w:r w:rsidRPr="000D1867">
        <w:rPr>
          <w:rFonts w:ascii="Times New Roman" w:eastAsia="Times New Roman" w:hAnsi="Times New Roman" w:cs="Times New Roman"/>
          <w:lang w:eastAsia="es-AR"/>
        </w:rPr>
        <w:t xml:space="preserve">El presente trabajo adopta una estrategia metodológica de carácter cualitativo, analítico-conceptual y documental. Su propósito no es reconstruir empíricamente la implementación institucional de los lineamientos de política universitaria en una universidad específica, sino analizar el modo en que determinados dispositivos de política producen condiciones de articulación entre gobernanza universitaria, currículum, aseguramiento de la calidad e identidad institucional. En este sentido, la ponencia se inscribe como un avance </w:t>
      </w:r>
      <w:r>
        <w:rPr>
          <w:rFonts w:ascii="Times New Roman" w:eastAsia="Times New Roman" w:hAnsi="Times New Roman" w:cs="Times New Roman"/>
          <w:lang w:eastAsia="es-AR"/>
        </w:rPr>
        <w:t>en las temáticas propuestas para la</w:t>
      </w:r>
      <w:r w:rsidRPr="000D1867">
        <w:rPr>
          <w:rFonts w:ascii="Times New Roman" w:eastAsia="Times New Roman" w:hAnsi="Times New Roman" w:cs="Times New Roman"/>
          <w:lang w:eastAsia="es-AR"/>
        </w:rPr>
        <w:t xml:space="preserve"> tesis doctoral, orientado a construir categorías interpretativas para comprender cómo las universidades nacionales procesan, traducen y resignifican orientaciones sistémicas en sus propias decisiones académicas y curriculares.</w:t>
      </w:r>
    </w:p>
    <w:p w14:paraId="61B3BA50" w14:textId="77777777" w:rsidR="00711436" w:rsidRPr="000D1867" w:rsidRDefault="00711436" w:rsidP="00711436">
      <w:pPr>
        <w:spacing w:after="0" w:line="240" w:lineRule="auto"/>
        <w:jc w:val="both"/>
        <w:rPr>
          <w:rFonts w:ascii="Times New Roman" w:eastAsia="Times New Roman" w:hAnsi="Times New Roman" w:cs="Times New Roman"/>
          <w:lang w:eastAsia="es-AR"/>
        </w:rPr>
      </w:pPr>
      <w:r w:rsidRPr="000D1867">
        <w:rPr>
          <w:rFonts w:ascii="Times New Roman" w:eastAsia="Times New Roman" w:hAnsi="Times New Roman" w:cs="Times New Roman"/>
          <w:lang w:eastAsia="es-AR"/>
        </w:rPr>
        <w:t xml:space="preserve">El objeto de análisis está constituido por un corpus documental integrado por lineamientos de política universitaria producidos en el período 2021-2026, con especial atención al documento del Consejo Interuniversitario Nacional, La universidad argentina: hacia el desarrollo económico y el progreso social (CIN, 2021), y a la normativa vinculada con la creación del Sistema Argentino de Créditos Académicos Universitarios (SACAU), particularmente la Resolución Ministerial </w:t>
      </w:r>
      <w:proofErr w:type="spellStart"/>
      <w:r w:rsidRPr="000D1867">
        <w:rPr>
          <w:rFonts w:ascii="Times New Roman" w:eastAsia="Times New Roman" w:hAnsi="Times New Roman" w:cs="Times New Roman"/>
          <w:lang w:eastAsia="es-AR"/>
        </w:rPr>
        <w:t>N.°</w:t>
      </w:r>
      <w:proofErr w:type="spellEnd"/>
      <w:r w:rsidRPr="000D1867">
        <w:rPr>
          <w:rFonts w:ascii="Times New Roman" w:eastAsia="Times New Roman" w:hAnsi="Times New Roman" w:cs="Times New Roman"/>
          <w:lang w:eastAsia="es-AR"/>
        </w:rPr>
        <w:t xml:space="preserve"> 556/2025. Asimismo, se consideran documentos y debates vinculados con los mecanismos de aseguramiento de la calidad, en tanto estos inciden sobre la organización curricular, las formas de evaluación institucional y la construcción de capacidades de gestión académica.</w:t>
      </w:r>
    </w:p>
    <w:p w14:paraId="46FF6D79" w14:textId="77777777" w:rsidR="00711436" w:rsidRPr="000D1867" w:rsidRDefault="00711436" w:rsidP="00711436">
      <w:pPr>
        <w:spacing w:after="0" w:line="240" w:lineRule="auto"/>
        <w:jc w:val="both"/>
        <w:rPr>
          <w:rFonts w:ascii="Times New Roman" w:eastAsia="Times New Roman" w:hAnsi="Times New Roman" w:cs="Times New Roman"/>
          <w:lang w:eastAsia="es-AR"/>
        </w:rPr>
      </w:pPr>
      <w:r w:rsidRPr="000D1867">
        <w:rPr>
          <w:rFonts w:ascii="Times New Roman" w:eastAsia="Times New Roman" w:hAnsi="Times New Roman" w:cs="Times New Roman"/>
          <w:lang w:eastAsia="es-AR"/>
        </w:rPr>
        <w:t>La selección del corpus responde a un criterio teórico-intencional. Se privilegian aquellos documentos que permiten observar la relación entre orientaciones de política universitaria, definiciones curriculares y mecanismos de coordinación sistémica. En este sentido, el caso de análisis no se corresponde con una universidad singular, sino con un conjunto de dispositivos de política universitaria que permiten problematizar el modo en que el sistema universitario argentino redefine sus formas de gobierno, regulación y gestión académica. Esta decisión metodológica resulta pertinente para el objetivo de la ponencia, en tanto permite abordar a la universidad como objeto de estudio desde una escala sistémica, sin perder de vista que dichas orientaciones son luego apropiadas de manera diferenciada por instituciones con historias, culturas académicas, identidades y capacidades de gestión diversas.</w:t>
      </w:r>
    </w:p>
    <w:p w14:paraId="50178FB3" w14:textId="77777777" w:rsidR="00711436" w:rsidRPr="000D1867" w:rsidRDefault="00711436" w:rsidP="00711436">
      <w:pPr>
        <w:spacing w:after="0" w:line="240" w:lineRule="auto"/>
        <w:jc w:val="both"/>
        <w:rPr>
          <w:rFonts w:ascii="Times New Roman" w:eastAsia="Times New Roman" w:hAnsi="Times New Roman" w:cs="Times New Roman"/>
          <w:lang w:eastAsia="es-AR"/>
        </w:rPr>
      </w:pPr>
      <w:r w:rsidRPr="000D1867">
        <w:rPr>
          <w:rFonts w:ascii="Times New Roman" w:eastAsia="Times New Roman" w:hAnsi="Times New Roman" w:cs="Times New Roman"/>
          <w:lang w:eastAsia="es-AR"/>
        </w:rPr>
        <w:t xml:space="preserve">La técnica principal utilizada es el análisis documental de contenido, orientado a identificar problemas construidos por los documentos, categorías recurrentes, supuestos conceptuales, orientaciones normativas y efectos esperados sobre la organización curricular. El análisis no se limita a describir el contenido de los documentos, sino que busca interpretarlos como instrumentos de política pública en el sentido propuesto por </w:t>
      </w:r>
      <w:proofErr w:type="spellStart"/>
      <w:r w:rsidRPr="000D1867">
        <w:rPr>
          <w:rFonts w:ascii="Times New Roman" w:eastAsia="Times New Roman" w:hAnsi="Times New Roman" w:cs="Times New Roman"/>
          <w:lang w:eastAsia="es-AR"/>
        </w:rPr>
        <w:lastRenderedPageBreak/>
        <w:t>Lascoumes</w:t>
      </w:r>
      <w:proofErr w:type="spellEnd"/>
      <w:r w:rsidRPr="000D1867">
        <w:rPr>
          <w:rFonts w:ascii="Times New Roman" w:eastAsia="Times New Roman" w:hAnsi="Times New Roman" w:cs="Times New Roman"/>
          <w:lang w:eastAsia="es-AR"/>
        </w:rPr>
        <w:t xml:space="preserve"> y Le </w:t>
      </w:r>
      <w:proofErr w:type="spellStart"/>
      <w:r w:rsidRPr="000D1867">
        <w:rPr>
          <w:rFonts w:ascii="Times New Roman" w:eastAsia="Times New Roman" w:hAnsi="Times New Roman" w:cs="Times New Roman"/>
          <w:lang w:eastAsia="es-AR"/>
        </w:rPr>
        <w:t>Galès</w:t>
      </w:r>
      <w:proofErr w:type="spellEnd"/>
      <w:r w:rsidRPr="000D1867">
        <w:rPr>
          <w:rFonts w:ascii="Times New Roman" w:eastAsia="Times New Roman" w:hAnsi="Times New Roman" w:cs="Times New Roman"/>
          <w:lang w:eastAsia="es-AR"/>
        </w:rPr>
        <w:t xml:space="preserve"> (2007): dispositivos que no son neutros, sino que condensan una determinada teoría de la acción, producen categorías de intervención y reorganizan relaciones entre actores, instituciones y niveles de decisión.</w:t>
      </w:r>
    </w:p>
    <w:p w14:paraId="32F0B094" w14:textId="77777777" w:rsidR="00711436" w:rsidRPr="000D1867" w:rsidRDefault="00711436" w:rsidP="00711436">
      <w:pPr>
        <w:spacing w:after="0" w:line="240" w:lineRule="auto"/>
        <w:jc w:val="both"/>
        <w:rPr>
          <w:rFonts w:ascii="Times New Roman" w:eastAsia="Times New Roman" w:hAnsi="Times New Roman" w:cs="Times New Roman"/>
          <w:lang w:eastAsia="es-AR"/>
        </w:rPr>
      </w:pPr>
      <w:r w:rsidRPr="000D1867">
        <w:rPr>
          <w:rFonts w:ascii="Times New Roman" w:eastAsia="Times New Roman" w:hAnsi="Times New Roman" w:cs="Times New Roman"/>
          <w:lang w:eastAsia="es-AR"/>
        </w:rPr>
        <w:t>A partir de esta perspectiva, el análisis se organiza en torno a cuatro dimensiones. La primera refiere a la gobernanza universitaria y permite observar cómo los lineamientos configuran mecanismos de coordinación entre el nivel central del sistema y las instituciones. La segunda dimensión se vincula con el currículum universitario, entendido como dispositivo político-institucional y como superficie de expresión de decisiones sobre el conocimiento, la formación y las trayectorias estudiantiles. La tercera dimensión aborda el aseguramiento de la calidad, considerando su incidencia sobre los planes de estudio, los procesos de revisión curricular y las capacidades internas de evaluación. La cuarta dimensión incorpora la identidad institucional como mediación analítica para comprender que los lineamientos no son incorporados de manera homogénea, sino traducidos desde proyectos, tradiciones y prioridades institucionales específicas.</w:t>
      </w:r>
    </w:p>
    <w:p w14:paraId="56B2DC7B" w14:textId="77777777" w:rsidR="00711436" w:rsidRPr="000D1867" w:rsidRDefault="00711436" w:rsidP="00711436">
      <w:pPr>
        <w:spacing w:after="0" w:line="240" w:lineRule="auto"/>
        <w:jc w:val="both"/>
        <w:rPr>
          <w:rFonts w:ascii="Times New Roman" w:eastAsia="Times New Roman" w:hAnsi="Times New Roman" w:cs="Times New Roman"/>
          <w:lang w:eastAsia="es-AR"/>
        </w:rPr>
      </w:pPr>
      <w:r w:rsidRPr="000D1867">
        <w:rPr>
          <w:rFonts w:ascii="Times New Roman" w:eastAsia="Times New Roman" w:hAnsi="Times New Roman" w:cs="Times New Roman"/>
          <w:lang w:eastAsia="es-AR"/>
        </w:rPr>
        <w:t xml:space="preserve">En términos procedimentales, la lectura del corpus se desarrolló mediante una estrategia de codificación temática orientada por categorías teóricas previamente definidas, aunque abierta a la emergencia de nuevas relaciones conceptuales. Se identificaron referencias a duración de las carreras, créditos académicos, trayectorias estudiantiles, reconocimiento de aprendizajes, titulaciones intermedias, modalidades de enseñanza, curricularización de la extensión, aseguramiento de la calidad y articulación con el entorno. </w:t>
      </w:r>
    </w:p>
    <w:p w14:paraId="26C135CC" w14:textId="7600D69D" w:rsidR="00711436" w:rsidRDefault="00711436" w:rsidP="00711436">
      <w:pPr>
        <w:spacing w:after="0" w:line="240" w:lineRule="auto"/>
        <w:jc w:val="both"/>
        <w:rPr>
          <w:rFonts w:ascii="Times New Roman" w:eastAsia="Times New Roman" w:hAnsi="Times New Roman" w:cs="Times New Roman"/>
          <w:lang w:eastAsia="es-AR"/>
        </w:rPr>
      </w:pPr>
      <w:r w:rsidRPr="000D1867">
        <w:rPr>
          <w:rFonts w:ascii="Times New Roman" w:eastAsia="Times New Roman" w:hAnsi="Times New Roman" w:cs="Times New Roman"/>
          <w:lang w:eastAsia="es-AR"/>
        </w:rPr>
        <w:t>Esta estrategia permite sostener que el análisis de los lineamientos de política universitaria constituye una vía fértil para comprender cómo se reconfiguran las relaciones entre autonomía académica, regulación estatal, responsabilidad pública e identidad institucional</w:t>
      </w:r>
      <w:r>
        <w:rPr>
          <w:rFonts w:ascii="Times New Roman" w:eastAsia="Times New Roman" w:hAnsi="Times New Roman" w:cs="Times New Roman"/>
          <w:lang w:eastAsia="es-AR"/>
        </w:rPr>
        <w:t>.</w:t>
      </w:r>
    </w:p>
    <w:p w14:paraId="19364E75" w14:textId="77777777" w:rsidR="00711436" w:rsidRPr="00A46ECA" w:rsidRDefault="00711436" w:rsidP="00711436">
      <w:pPr>
        <w:spacing w:after="0" w:line="240" w:lineRule="auto"/>
        <w:jc w:val="both"/>
      </w:pPr>
    </w:p>
    <w:p w14:paraId="5D39A827" w14:textId="19D29A84" w:rsidR="00711436" w:rsidRDefault="00711436" w:rsidP="0071143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3</w:t>
      </w:r>
      <w:r w:rsidRPr="00A46ECA">
        <w:rPr>
          <w:rFonts w:ascii="Times New Roman" w:eastAsia="Times New Roman" w:hAnsi="Times New Roman" w:cs="Times New Roman"/>
          <w:b/>
          <w:bCs/>
        </w:rPr>
        <w:t>. Los lineamientos de política universitaria del CIN: contenido curricular y aseguramiento de la calidad</w:t>
      </w:r>
      <w:r>
        <w:rPr>
          <w:rFonts w:ascii="Times New Roman" w:eastAsia="Times New Roman" w:hAnsi="Times New Roman" w:cs="Times New Roman"/>
          <w:b/>
          <w:bCs/>
        </w:rPr>
        <w:t xml:space="preserve">. </w:t>
      </w:r>
    </w:p>
    <w:p w14:paraId="3F7E7B4A" w14:textId="77777777" w:rsidR="00711436" w:rsidRPr="00A46ECA" w:rsidRDefault="00711436" w:rsidP="00711436">
      <w:pPr>
        <w:spacing w:after="0" w:line="240" w:lineRule="auto"/>
        <w:jc w:val="both"/>
      </w:pPr>
    </w:p>
    <w:p w14:paraId="07F4C03B" w14:textId="16EA1697" w:rsidR="00711436" w:rsidRPr="00A46ECA" w:rsidRDefault="00711436" w:rsidP="00711436">
      <w:pPr>
        <w:spacing w:after="0" w:line="240" w:lineRule="auto"/>
        <w:jc w:val="both"/>
      </w:pPr>
      <w:r>
        <w:rPr>
          <w:rFonts w:ascii="Times New Roman" w:eastAsia="Times New Roman" w:hAnsi="Times New Roman" w:cs="Times New Roman"/>
          <w:b/>
          <w:bCs/>
        </w:rPr>
        <w:t>3.1</w:t>
      </w:r>
      <w:r w:rsidRPr="00A46ECA">
        <w:rPr>
          <w:rFonts w:ascii="Times New Roman" w:eastAsia="Times New Roman" w:hAnsi="Times New Roman" w:cs="Times New Roman"/>
          <w:b/>
          <w:bCs/>
        </w:rPr>
        <w:t xml:space="preserve"> El documento del CIN como superficie de articulación entre gobernanza y currículum</w:t>
      </w:r>
    </w:p>
    <w:p w14:paraId="537F45AA" w14:textId="77777777" w:rsidR="00711436" w:rsidRPr="00A46ECA" w:rsidRDefault="00711436" w:rsidP="00711436">
      <w:pPr>
        <w:spacing w:after="0" w:line="240" w:lineRule="auto"/>
        <w:jc w:val="both"/>
      </w:pPr>
      <w:r>
        <w:rPr>
          <w:rFonts w:ascii="Times New Roman" w:hAnsi="Times New Roman"/>
        </w:rPr>
        <w:t>El documento del CIN (2021), "La universidad argentina: hacia el desarrollo económico y el progreso social", constituye la fuente primaria central de este análisis. Su elaboración en el ámbito del CIN, organismo que nuclea a los rectores y rectoras de todas las universidades nacionales, le otorga un carácter singular: no se trata de una norma estatal, sino de un consenso del campo universitario que, aun sin fuerza coercitiva, expresa acuerdos de alto peso político. El documento parte de una premisa que articula directamente gobernanza y currículum: la complejidad de la sociedad actual requiere una redefinición del currículum universitario, con eje en las necesidades del contexto, de las y los estudiantes y de los procesos de aprendizaje (CIN, 2021). Esta premisa convierte los cambios curriculares como un imperativo político que trasciende las decisiones pedagógicas de cada institución.</w:t>
      </w:r>
    </w:p>
    <w:p w14:paraId="54A0675E" w14:textId="724CAEB4" w:rsidR="00711436" w:rsidRDefault="00711436" w:rsidP="00711436">
      <w:pPr>
        <w:spacing w:after="0" w:line="240" w:lineRule="auto"/>
        <w:jc w:val="both"/>
        <w:rPr>
          <w:rFonts w:ascii="Times New Roman" w:hAnsi="Times New Roman"/>
        </w:rPr>
      </w:pPr>
      <w:r>
        <w:rPr>
          <w:rFonts w:ascii="Times New Roman" w:hAnsi="Times New Roman"/>
        </w:rPr>
        <w:t xml:space="preserve">Los siete lineamientos desarrollados por el documento abordan dimensiones estratégicas de la vida universitaria, pero cinco de ellos tienen incidencia directa y explícita sobre el currículum: la reconfiguración de las modalidades de enseñanza y aprendizaje (lineamiento 1), la revisión de la duración de las carreras y la implementación de créditos </w:t>
      </w:r>
      <w:r>
        <w:rPr>
          <w:rFonts w:ascii="Times New Roman" w:hAnsi="Times New Roman"/>
        </w:rPr>
        <w:lastRenderedPageBreak/>
        <w:t>académicos (lineamiento 2), las titulaciones intermedias y el reconocimiento de competencias (lineamiento 3), el reconocimiento de la calidad en las carreras del artículo 42 (lineamiento 5) y la curricularización de la extensión (lineamiento 7). El análisis de estos lineamientos permite identificar cómo el CIN conceptualiza los problemas del currículum universitario y qué soluciones propone, configurando así el campo de orientaciones dentro del cual las instituciones deben posicionarse.</w:t>
      </w:r>
    </w:p>
    <w:p w14:paraId="02D73405" w14:textId="77777777" w:rsidR="00711436" w:rsidRPr="00A46ECA" w:rsidRDefault="00711436" w:rsidP="00711436">
      <w:pPr>
        <w:spacing w:after="0" w:line="240" w:lineRule="auto"/>
        <w:jc w:val="both"/>
      </w:pPr>
    </w:p>
    <w:p w14:paraId="28AA6E78" w14:textId="6E53C55A" w:rsidR="00711436" w:rsidRPr="00A46ECA" w:rsidRDefault="00711436" w:rsidP="00711436">
      <w:pPr>
        <w:spacing w:after="0" w:line="240" w:lineRule="auto"/>
        <w:jc w:val="both"/>
      </w:pPr>
      <w:r>
        <w:rPr>
          <w:rFonts w:ascii="Times New Roman" w:eastAsia="Times New Roman" w:hAnsi="Times New Roman" w:cs="Times New Roman"/>
          <w:b/>
          <w:bCs/>
        </w:rPr>
        <w:t>3</w:t>
      </w:r>
      <w:r w:rsidRPr="00A46ECA">
        <w:rPr>
          <w:rFonts w:ascii="Times New Roman" w:eastAsia="Times New Roman" w:hAnsi="Times New Roman" w:cs="Times New Roman"/>
          <w:b/>
          <w:bCs/>
        </w:rPr>
        <w:t xml:space="preserve">.2 Los lineamientos sobre currículum: </w:t>
      </w:r>
      <w:r>
        <w:rPr>
          <w:rFonts w:ascii="Times New Roman" w:eastAsia="Times New Roman" w:hAnsi="Times New Roman" w:cs="Times New Roman"/>
          <w:b/>
          <w:bCs/>
        </w:rPr>
        <w:t>un diagnóstico posible</w:t>
      </w:r>
    </w:p>
    <w:p w14:paraId="2D5CCBF5" w14:textId="77777777" w:rsidR="00711436" w:rsidRPr="00A46ECA" w:rsidRDefault="00711436" w:rsidP="00711436">
      <w:pPr>
        <w:spacing w:after="0" w:line="240" w:lineRule="auto"/>
        <w:jc w:val="both"/>
      </w:pPr>
      <w:r>
        <w:rPr>
          <w:rFonts w:ascii="Times New Roman" w:hAnsi="Times New Roman"/>
        </w:rPr>
        <w:t>El segundo lineamiento, referido a la revisión de la duración de las carreras y a los créditos académicos, es el que mayor impacto tiene sobre la organización curricular. El CIN (2021) identifica como problema central la brecha entre la duración teórica y la duración real de los planes de estudio: solo el 29,6 % de los estudiantes universitarios argentinos egresa en el tiempo teórico previsto, mientras que la tasa de desgranamiento en el primer año alcanza el 60 %. Frente a este diagnóstico, el documento señala que el modo en que se estructura el currículum determina continuidades, rupturas y demoras en la formación y el egreso. Este encuadre del problema es significativo: la brecha entre duración teórica y real no se explica únicamente por factores socioeconómicos o biográficos de los estudiantes, sino también por la organización curricular de las instituciones. El currículum se convierte así, desde la perspectiva del CIN, en una variable de política sobre la cual es posible, y necesario, intervenir.</w:t>
      </w:r>
    </w:p>
    <w:p w14:paraId="5C095217" w14:textId="77777777" w:rsidR="00711436" w:rsidRPr="00A46ECA" w:rsidRDefault="00711436" w:rsidP="00711436">
      <w:pPr>
        <w:spacing w:after="0" w:line="240" w:lineRule="auto"/>
        <w:jc w:val="both"/>
      </w:pPr>
      <w:r>
        <w:rPr>
          <w:rFonts w:ascii="Times New Roman" w:hAnsi="Times New Roman"/>
        </w:rPr>
        <w:t>Asociado a este diagnóstico, el lineamiento señala la tensión no resuelta entre las horas de contacto docente-estudiante y las horas de trabajo independiente: la normativa vigente establece los mínimos requeridos para las titulaciones en lo referido a las horas de contacto, pero no precisa el volumen total de trabajo del estudiante, lo que da como resultado planes de estudio con una carga estimada que puede superar las 60 horas semanales (CIN, 2021). Esta tensión se inscribe en el debate sobre los créditos académicos y su implementación en los planes de estudio. El SACAU es, en este sentido, la respuesta normativa a un diagnóstico construido por el propio campo universitario: no una imposición externa, sino la formalización de una agenda que el CIN venía procesando desde 2021.</w:t>
      </w:r>
    </w:p>
    <w:p w14:paraId="6C9F1F42" w14:textId="77777777" w:rsidR="00711436" w:rsidRPr="00A46ECA" w:rsidRDefault="00711436" w:rsidP="00711436">
      <w:pPr>
        <w:spacing w:after="0" w:line="240" w:lineRule="auto"/>
        <w:jc w:val="both"/>
      </w:pPr>
      <w:r>
        <w:rPr>
          <w:rFonts w:ascii="Times New Roman" w:hAnsi="Times New Roman"/>
        </w:rPr>
        <w:t xml:space="preserve">El tercer lineamiento, referido a titulaciones intermedias y reconocimiento de competencias, da cuenta de otro problema estructural del currículum argentino: la persistencia de planes de estudio organizados según una lógica decimonónica, con una tradición </w:t>
      </w:r>
      <w:proofErr w:type="spellStart"/>
      <w:r>
        <w:rPr>
          <w:rFonts w:ascii="Times New Roman" w:hAnsi="Times New Roman"/>
        </w:rPr>
        <w:t>profesionalista</w:t>
      </w:r>
      <w:proofErr w:type="spellEnd"/>
      <w:r>
        <w:rPr>
          <w:rFonts w:ascii="Times New Roman" w:hAnsi="Times New Roman"/>
        </w:rPr>
        <w:t xml:space="preserve"> y enciclopedista que configura trayectos curriculares fuertemente estructurados y con escasa disponibilidad para la articulación con otros niveles del sistema (CIN, 2021). El documento señala que solo el 10 % de las carreras de grado presenta opciones de titulaciones intermedias, lo que constituye una limitación importante para la retención y graduación de estudiantes cuyas trayectorias no son lineales. La propuesta de considerar certificaciones académicas y reconocimiento de saberes adquiridos fuera del aula universitaria implica una revisión profunda de los supuestos epistemológicos sobre los que se organiza el currículum: ya no se trata de un recorrido predefinido de saberes disciplinares, sino de una construcción de trayectorias diversas cuyos componentes pueden provenir de múltiples fuentes de aprendizaje.</w:t>
      </w:r>
    </w:p>
    <w:p w14:paraId="2F7F1E30" w14:textId="14F3446A" w:rsidR="00711436" w:rsidRDefault="00711436" w:rsidP="00711436">
      <w:pPr>
        <w:spacing w:after="0" w:line="240" w:lineRule="auto"/>
        <w:jc w:val="both"/>
        <w:rPr>
          <w:rFonts w:ascii="Times New Roman" w:hAnsi="Times New Roman"/>
        </w:rPr>
      </w:pPr>
      <w:r>
        <w:rPr>
          <w:rFonts w:ascii="Times New Roman" w:hAnsi="Times New Roman"/>
        </w:rPr>
        <w:t xml:space="preserve">El séptimo lineamiento, referido a la curricularización de la extensión, introduce una dimensión que desafía la organización disciplinar tradicional de los planes de estudio. El </w:t>
      </w:r>
      <w:r>
        <w:rPr>
          <w:rFonts w:ascii="Times New Roman" w:hAnsi="Times New Roman"/>
        </w:rPr>
        <w:lastRenderedPageBreak/>
        <w:t>CIN (2021) reconoce que, a pesar del consenso en torno a la formación integral y a la importancia de la extensión, esta función continúa ocupando un lugar relativamente marginal en su reconocimiento como instancia curricular. Resignificar el currículum universitario desde la perspectiva de la integralidad implica revisar la práctica docente y su incorporación a un proceso de formación comprehensivo, amplio y diverso. Este lineamiento resulta analíticamente relevante porque visibiliza una tensión que atraviesa el campo universitario argentino: la extensión universitaria, valorada discursivamente como función sustantiva, opera en la práctica con escaso reconocimiento curricular, lo que refleja la persistencia de estructuras disciplinares que reservan el espacio curricular para los saberes académicos formales.</w:t>
      </w:r>
    </w:p>
    <w:p w14:paraId="53944A82" w14:textId="77777777" w:rsidR="00711436" w:rsidRPr="00A46ECA" w:rsidRDefault="00711436" w:rsidP="00711436">
      <w:pPr>
        <w:spacing w:after="0" w:line="240" w:lineRule="auto"/>
        <w:jc w:val="both"/>
      </w:pPr>
    </w:p>
    <w:p w14:paraId="3AB5F0FA" w14:textId="71D06546" w:rsidR="00711436" w:rsidRDefault="00711436" w:rsidP="0071143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3</w:t>
      </w:r>
      <w:r w:rsidRPr="00A46ECA">
        <w:rPr>
          <w:rFonts w:ascii="Times New Roman" w:eastAsia="Times New Roman" w:hAnsi="Times New Roman" w:cs="Times New Roman"/>
          <w:b/>
          <w:bCs/>
        </w:rPr>
        <w:t>.3 Calidad y currículum: el lineamiento 5 y la diferenciación entre artículos 42 y 43</w:t>
      </w:r>
    </w:p>
    <w:p w14:paraId="62CA1CA6" w14:textId="77777777" w:rsidR="00955D64" w:rsidRPr="00A46ECA" w:rsidRDefault="00955D64" w:rsidP="00711436">
      <w:pPr>
        <w:spacing w:after="0" w:line="240" w:lineRule="auto"/>
        <w:jc w:val="both"/>
      </w:pPr>
    </w:p>
    <w:p w14:paraId="70EA82FB" w14:textId="77777777" w:rsidR="00711436" w:rsidRPr="00A46ECA" w:rsidRDefault="00711436" w:rsidP="00711436">
      <w:pPr>
        <w:spacing w:after="0" w:line="240" w:lineRule="auto"/>
        <w:jc w:val="both"/>
      </w:pPr>
      <w:r>
        <w:rPr>
          <w:rFonts w:ascii="Times New Roman" w:hAnsi="Times New Roman"/>
        </w:rPr>
        <w:t>El quinto lineamiento aborda directamente la relación entre aseguramiento de la calidad y currículum a partir de una tensión estructural del sistema universitario argentino: la existencia de circuitos diferenciados de reconocimiento de la calidad entre las carreras reguladas por el artículo 43 de la LES, sujetas a acreditación obligatoria por la CONEAU, y las carreras del artículo 42, que no tienen esa exigencia. El CIN (2021) reconoce que la acreditación obligatoria de las carreras del artículo 43 ha constituido una marca fundacional para la mejora continua de las propuestas académicas, y propone extender esa búsqueda de mejora a las carreras del artículo 42 mediante un sistema de certificación de la calidad.</w:t>
      </w:r>
    </w:p>
    <w:p w14:paraId="6FAFC10E" w14:textId="77777777" w:rsidR="00711436" w:rsidRPr="00A46ECA" w:rsidRDefault="00711436" w:rsidP="00711436">
      <w:pPr>
        <w:spacing w:after="0" w:line="240" w:lineRule="auto"/>
        <w:jc w:val="both"/>
      </w:pPr>
      <w:r>
        <w:rPr>
          <w:rFonts w:ascii="Times New Roman" w:hAnsi="Times New Roman"/>
        </w:rPr>
        <w:t>Esta distinción conceptual entre acreditación y certificación resulta analíticamente relevante porque revela cómo el CIN piensa la relación entre aseguramiento de la calidad y autonomía curricular. La acreditación, tal como funciona para las carreras del artículo 43, implica la evaluación externa de estándares curriculares predefinidos, lo que reduce los márgenes de decisión institucional sobre la organización de los planes de estudio. La certificación propuesta para las carreras del artículo 42, en cambio, podría desarrollarse en el marco de las tradiciones disciplinares o profesionales de cada campo, por la CONEAU o con su supervisión, en articulación con las propias asociaciones de decanos, facultades o carreras según el campo profesional (CIN, 2021). Esta formulación introduce a las comunidades disciplinares como actores centrales del aseguramiento de la calidad y modifica la distribución de autoridad sobre las definiciones curriculares.</w:t>
      </w:r>
    </w:p>
    <w:p w14:paraId="448E2940" w14:textId="7AFB5050" w:rsidR="00711436" w:rsidRDefault="00711436" w:rsidP="00711436">
      <w:pPr>
        <w:spacing w:after="0" w:line="240" w:lineRule="auto"/>
        <w:jc w:val="both"/>
        <w:rPr>
          <w:rFonts w:ascii="Times New Roman" w:hAnsi="Times New Roman"/>
        </w:rPr>
      </w:pPr>
      <w:r>
        <w:rPr>
          <w:rFonts w:ascii="Times New Roman" w:hAnsi="Times New Roman"/>
        </w:rPr>
        <w:t>Desde la perspectiva analítica propuesta en este trabajo, el lineamiento 5 puede leerse como un intento de ampliar el campo del aseguramiento de la calidad sin reproducir la lógica de homogeneización que caracteriza a la acreditación del artículo 43. Pacheco (2023) ha señalado que una política saludable de aseguramiento de la calidad busca un equilibrio adecuado entre aseguramiento interno y externo, mientras que una política intrusiva puede volverse excesivamente prescriptiva e intentar definir cómo debe ser el sistema de calidad de todas las instituciones. El lineamiento 5 del CIN se inscribe en esta tensión: propone ampliar la cobertura del aseguramiento sin uniformizar los criterios, aunque el modo en que cada institución y cada campo disciplinar procese esta propuesta dependerá de sus propias tradiciones, capacidades y posicionamientos.</w:t>
      </w:r>
    </w:p>
    <w:p w14:paraId="16450D45" w14:textId="77777777" w:rsidR="00711436" w:rsidRPr="00A46ECA" w:rsidRDefault="00711436" w:rsidP="00711436">
      <w:pPr>
        <w:spacing w:after="0" w:line="240" w:lineRule="auto"/>
        <w:jc w:val="both"/>
      </w:pPr>
    </w:p>
    <w:p w14:paraId="1CD15D22" w14:textId="7EB9EDA2" w:rsidR="00711436" w:rsidRDefault="00711436" w:rsidP="0071143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4</w:t>
      </w:r>
      <w:r w:rsidRPr="00A46ECA">
        <w:rPr>
          <w:rFonts w:ascii="Times New Roman" w:eastAsia="Times New Roman" w:hAnsi="Times New Roman" w:cs="Times New Roman"/>
          <w:b/>
          <w:bCs/>
        </w:rPr>
        <w:t>. Análisis: los lineamientos como dispositivos de articulación entre gobernanza y currículum</w:t>
      </w:r>
      <w:r>
        <w:rPr>
          <w:rFonts w:ascii="Times New Roman" w:eastAsia="Times New Roman" w:hAnsi="Times New Roman" w:cs="Times New Roman"/>
          <w:b/>
          <w:bCs/>
        </w:rPr>
        <w:t xml:space="preserve">. </w:t>
      </w:r>
    </w:p>
    <w:p w14:paraId="3DDE5E2E" w14:textId="77777777" w:rsidR="00955D64" w:rsidRDefault="00955D64" w:rsidP="00711436">
      <w:pPr>
        <w:spacing w:after="0" w:line="240" w:lineRule="auto"/>
        <w:jc w:val="both"/>
        <w:rPr>
          <w:rFonts w:ascii="Times New Roman" w:eastAsia="Times New Roman" w:hAnsi="Times New Roman" w:cs="Times New Roman"/>
          <w:b/>
          <w:bCs/>
        </w:rPr>
      </w:pPr>
    </w:p>
    <w:p w14:paraId="26EEB5DF" w14:textId="57F0446C" w:rsidR="00711436" w:rsidRDefault="00711436" w:rsidP="0071143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4</w:t>
      </w:r>
      <w:r w:rsidRPr="00A46ECA">
        <w:rPr>
          <w:rFonts w:ascii="Times New Roman" w:eastAsia="Times New Roman" w:hAnsi="Times New Roman" w:cs="Times New Roman"/>
          <w:b/>
          <w:bCs/>
        </w:rPr>
        <w:t>.1 El SACAU: reorganización curricular y gobernanza de las trayectorias</w:t>
      </w:r>
    </w:p>
    <w:p w14:paraId="377DD7E6" w14:textId="77777777" w:rsidR="00955D64" w:rsidRPr="00A46ECA" w:rsidRDefault="00955D64" w:rsidP="00711436">
      <w:pPr>
        <w:spacing w:after="0" w:line="240" w:lineRule="auto"/>
        <w:jc w:val="both"/>
      </w:pPr>
    </w:p>
    <w:p w14:paraId="2EC401A8" w14:textId="77777777" w:rsidR="00711436" w:rsidRPr="00A46ECA" w:rsidRDefault="00711436" w:rsidP="00711436">
      <w:pPr>
        <w:spacing w:after="0" w:line="240" w:lineRule="auto"/>
        <w:jc w:val="both"/>
      </w:pPr>
      <w:r>
        <w:rPr>
          <w:rFonts w:ascii="Times New Roman" w:hAnsi="Times New Roman"/>
        </w:rPr>
        <w:t xml:space="preserve">La institución del SACAU, a través de la Resolución Ministerial </w:t>
      </w:r>
      <w:proofErr w:type="spellStart"/>
      <w:r>
        <w:rPr>
          <w:rFonts w:ascii="Times New Roman" w:hAnsi="Times New Roman"/>
        </w:rPr>
        <w:t>N.°</w:t>
      </w:r>
      <w:proofErr w:type="spellEnd"/>
      <w:r>
        <w:rPr>
          <w:rFonts w:ascii="Times New Roman" w:hAnsi="Times New Roman"/>
        </w:rPr>
        <w:t xml:space="preserve"> 556/2025, constituye la concreción normativa de una agenda que el CIN venía construyendo desde 2021. El segundo lineamiento del documento del CIN identifica la tensión entre horas de contacto y horas de trabajo independiente como uno de los problemas centrales del currículum universitario argentino, y señala la implementación de créditos académicos como una de las vías para resolverla. En este sentido, el SACAU es la respuesta institucional a un diagnóstico construido por el propio campo universitario: establece el Crédito de Referencia del/la Estudiante (CRE) como unidad de tiempo total de trabajo académico estimado necesario para alcanzar los objetivos de cada unidad curricular, cubriendo entre 25 y 30 horas de trabajo total del estudiante (Marquina, 2025).</w:t>
      </w:r>
    </w:p>
    <w:p w14:paraId="3080551C" w14:textId="77777777" w:rsidR="00711436" w:rsidRPr="00A46ECA" w:rsidRDefault="00711436" w:rsidP="00711436">
      <w:pPr>
        <w:spacing w:after="0" w:line="240" w:lineRule="auto"/>
        <w:jc w:val="both"/>
        <w:rPr>
          <w:rFonts w:ascii="Times New Roman" w:hAnsi="Times New Roman" w:cs="Times New Roman"/>
        </w:rPr>
      </w:pPr>
      <w:r>
        <w:rPr>
          <w:rFonts w:ascii="Times New Roman" w:hAnsi="Times New Roman"/>
        </w:rPr>
        <w:t>Esta definición tiene implicancias directas para la gobernanza curricular: al desplazar la unidad de medida desde las horas de contacto docente, métrica tradicional de la normativa argentina, hacia el tiempo total de trabajo del estudiante, el SACAU introduce una lógica centrada en el aprendizaje que modifica las relaciones de autoridad sobre la organización del tiempo formativo. El cálculo del tiempo del estudiante no es una tarea individual del docente, sino que debe establecerse mediante acuerdos institucionales que garanticen criterios homogéneos (Marquina, 2025). Esta redistribución de la autoridad curricular, desde el docente individual hacia la institución y desde la institución hacia un marco de referencia nacional, constituye uno de los efectos de gobernanza más significativos del SACAU.</w:t>
      </w:r>
    </w:p>
    <w:p w14:paraId="464DED29" w14:textId="77777777" w:rsidR="00711436" w:rsidRPr="00A46ECA" w:rsidRDefault="00711436" w:rsidP="00711436">
      <w:pPr>
        <w:spacing w:after="0" w:line="240" w:lineRule="auto"/>
        <w:jc w:val="both"/>
      </w:pPr>
      <w:r>
        <w:rPr>
          <w:rFonts w:ascii="Times New Roman" w:hAnsi="Times New Roman"/>
        </w:rPr>
        <w:t>Retomando a Bernstein (1975) y sus conceptos de clasificación y enmarcamiento, el SACAU puede interpretarse como un mecanismo de reclasificación y reenmarcamiento del conocimiento universitario. La clasificación refiere a la nitidez de los límites entre disciplinas; el enmarcamiento, al grado de control que docentes y estudiantes ejercen sobre la selección, secuencia y ritmo del conocimiento transmitido. Al cuantificar y hacer comparable el peso formativo de distintas actividades académicas, incluidas prácticas profesionales, actividades de extensión, aprendizajes informales y trayectos de libre elección, el SACAU modifica ambas dimensiones. Es pertinente recordar que el tercer lineamiento del CIN (2021) propone ampliar el reconocimiento de saberes adquiridos fuera del aula universitaria como una de las estrategias para favorecer la graduación y la retención. El SACAU es el instrumento que debería hacer posible ese reconocimiento, aunque, como señala Marquina (2025), la discusión pública sobre su implementación ha dejado fuera hasta ahora esta posibilidad.</w:t>
      </w:r>
    </w:p>
    <w:p w14:paraId="36901D81" w14:textId="77777777" w:rsidR="00711436" w:rsidRPr="00A46ECA" w:rsidRDefault="00711436" w:rsidP="00711436">
      <w:pPr>
        <w:spacing w:after="0" w:line="240" w:lineRule="auto"/>
        <w:jc w:val="both"/>
      </w:pPr>
      <w:r>
        <w:rPr>
          <w:rFonts w:ascii="Times New Roman" w:hAnsi="Times New Roman"/>
        </w:rPr>
        <w:t xml:space="preserve">El cuarto lineamiento del CIN, referido a la internacionalización inclusiva, también articula explícitamente los créditos académicos con la política curricular. El documento señala que la definición de crédito académico y su asignación a todos los componentes curriculares, junto con la instrumentación del Suplemento al Título, constituyen herramientas para avanzar hacia una nueva generación de estrategias de internacionalización que alcancen a la totalidad de los estudiantes (CIN, 2021). Esta articulación entre créditos, internacionalización y currículum muestra que el SACAU no </w:t>
      </w:r>
      <w:r>
        <w:rPr>
          <w:rFonts w:ascii="Times New Roman" w:hAnsi="Times New Roman"/>
        </w:rPr>
        <w:lastRenderedPageBreak/>
        <w:t>es un instrumento técnico aislado, sino un dispositivo que conecta múltiples agendas de política universitaria.</w:t>
      </w:r>
    </w:p>
    <w:p w14:paraId="51C8AF03" w14:textId="5C6CD81B" w:rsidR="00711436" w:rsidRDefault="00711436" w:rsidP="00711436">
      <w:pPr>
        <w:spacing w:after="0" w:line="240" w:lineRule="auto"/>
        <w:jc w:val="both"/>
        <w:rPr>
          <w:rFonts w:ascii="Times New Roman" w:hAnsi="Times New Roman"/>
        </w:rPr>
      </w:pPr>
      <w:r>
        <w:rPr>
          <w:rFonts w:ascii="Times New Roman" w:hAnsi="Times New Roman"/>
        </w:rPr>
        <w:t>Sin embargo, como señala Marquina (2025), la discusión en Argentina sobre la implementación del SACAU enfrenta un problema central: la tensión con las carreras reguladas por el artículo 43 de la LES, que presentan estructuras curriculares predefinidas por los estándares de acreditación. Esta tensión muestra que el SACAU no puede resolverse en el plano de la política curricular sin afectar, simultáneamente, la política de aseguramiento de la calidad. Las disciplinas con fuertes vínculos con colegios profesionales y con marcos regulatorios de habilitación enfrentan el desafío de compatibilizar los créditos académicos con los estándares de acreditación profesional, lo que requiere negociaciones que trascienden el campo universitario e involucran a actores externos al sistema educativo.</w:t>
      </w:r>
    </w:p>
    <w:p w14:paraId="56AB7732" w14:textId="77777777" w:rsidR="00711436" w:rsidRPr="00A46ECA" w:rsidRDefault="00711436" w:rsidP="00711436">
      <w:pPr>
        <w:spacing w:after="0" w:line="240" w:lineRule="auto"/>
        <w:jc w:val="both"/>
      </w:pPr>
    </w:p>
    <w:p w14:paraId="1AEED511" w14:textId="75E66D6C" w:rsidR="00711436" w:rsidRPr="00A46ECA" w:rsidRDefault="00711436" w:rsidP="00711436">
      <w:pPr>
        <w:spacing w:after="0" w:line="240" w:lineRule="auto"/>
        <w:jc w:val="both"/>
      </w:pPr>
      <w:r>
        <w:rPr>
          <w:rFonts w:ascii="Times New Roman" w:eastAsia="Times New Roman" w:hAnsi="Times New Roman" w:cs="Times New Roman"/>
          <w:b/>
          <w:bCs/>
        </w:rPr>
        <w:t>4</w:t>
      </w:r>
      <w:r w:rsidRPr="00A46ECA">
        <w:rPr>
          <w:rFonts w:ascii="Times New Roman" w:eastAsia="Times New Roman" w:hAnsi="Times New Roman" w:cs="Times New Roman"/>
          <w:b/>
          <w:bCs/>
        </w:rPr>
        <w:t>.2 El aseguramiento de la calidad: sistemas internos, coordinación sistémica y currículum</w:t>
      </w:r>
    </w:p>
    <w:p w14:paraId="5770B1E2" w14:textId="77777777" w:rsidR="00711436" w:rsidRPr="00A46ECA" w:rsidRDefault="00711436" w:rsidP="00711436">
      <w:pPr>
        <w:spacing w:after="0" w:line="240" w:lineRule="auto"/>
        <w:jc w:val="both"/>
      </w:pPr>
      <w:r>
        <w:rPr>
          <w:rFonts w:ascii="Times New Roman" w:hAnsi="Times New Roman"/>
        </w:rPr>
        <w:t>La relación entre aseguramiento de la calidad y currículum universitario es uno de los ejes centrales de los lineamientos del CIN. El quinto lineamiento aborda explícitamente la tensión entre los dos circuitos de reconocimiento de la calidad existentes en el sistema argentino: las carreras del artículo 43, sujetas a acreditación obligatoria con estándares curriculares predefinidos, y las carreras del artículo 42, que definen sus propios criterios de calidad sin regulación externa específica. Esta diferenciación tiene efectos directos sobre las estructuras curriculares: en las carreras del artículo 43, los estándares de acreditación operan como marcos de referencia que condicionan la organización de los planes de estudio y reducen los márgenes de decisión institucional; en las carreras del artículo 42, los márgenes de autonomía curricular son mayores, aunque la ausencia de referencias externas también puede traducirse en inercia y falta de revisión sistemática.</w:t>
      </w:r>
    </w:p>
    <w:p w14:paraId="19651A99" w14:textId="77777777" w:rsidR="00711436" w:rsidRPr="00A46ECA" w:rsidRDefault="00711436" w:rsidP="00711436">
      <w:pPr>
        <w:spacing w:after="0" w:line="240" w:lineRule="auto"/>
        <w:jc w:val="both"/>
      </w:pPr>
      <w:r>
        <w:rPr>
          <w:rFonts w:ascii="Times New Roman" w:hAnsi="Times New Roman"/>
        </w:rPr>
        <w:t>Pacheco (2023) ofrece una perspectiva complementaria al señalar que el diseño de sistemas internos de aseguramiento de la calidad (SIAC) constituye una oportunidad para que las instituciones fortalezcan el desarrollo de la calidad como proceso endógeno, y no como imposición externa. Un buen SIAC es, en su caracterización, flexible y ajustado a las metas definidas por cada institución; además, debe conectarse con el sistema externo de aseguramiento de la calidad y procurar una articulación efectiva. Esta conceptualización ilumina la propuesta del CIN sobre las carreras del artículo 42: al plantear un sistema de certificación voluntaria que podría desarrollarse en articulación con las propias asociaciones disciplinares, el lineamiento 5 apuesta por un modelo de calidad construido desde las comunidades académicas, en lugar de impuesto desde la regulación estatal.</w:t>
      </w:r>
    </w:p>
    <w:p w14:paraId="56BA1DD9" w14:textId="77777777" w:rsidR="00711436" w:rsidRPr="00A46ECA" w:rsidRDefault="00711436" w:rsidP="00711436">
      <w:pPr>
        <w:spacing w:after="0" w:line="240" w:lineRule="auto"/>
        <w:jc w:val="both"/>
      </w:pPr>
      <w:r>
        <w:rPr>
          <w:rFonts w:ascii="Times New Roman" w:hAnsi="Times New Roman"/>
        </w:rPr>
        <w:t xml:space="preserve">Sin embargo, Pacheco (2023) también advierte sobre los riesgos de una articulación mal desarrollada: una política intrusiva puede forzar la homogeneización de procesos internos y sacrificar las principales ventajas de los sistemas internos de calidad. Con la generalización de la exigencia de sistemas de aseguramiento, algunas instituciones podrían optar por crear sistemas nominales, existentes solo en el papel, lo que priva a la institución de una herramienta efectiva para la autoevaluación y la mejora permanente. Este riesgo es directamente aplicable al campo curricular: la extensión del aseguramiento de la calidad a las carreras del artículo 42 puede generar procesos de revisión curricular </w:t>
      </w:r>
      <w:r>
        <w:rPr>
          <w:rFonts w:ascii="Times New Roman" w:hAnsi="Times New Roman"/>
        </w:rPr>
        <w:lastRenderedPageBreak/>
        <w:t>sustantivos en instituciones con mayor capacidad de gestión académica, pero también puede producir respuestas formales o nominales en aquellas con menor desarrollo institucional.</w:t>
      </w:r>
    </w:p>
    <w:p w14:paraId="3D17E580" w14:textId="77777777" w:rsidR="00711436" w:rsidRDefault="00711436" w:rsidP="00711436">
      <w:pPr>
        <w:spacing w:after="0" w:line="240" w:lineRule="auto"/>
        <w:jc w:val="both"/>
      </w:pPr>
      <w:r>
        <w:rPr>
          <w:rFonts w:ascii="Times New Roman" w:hAnsi="Times New Roman"/>
        </w:rPr>
        <w:t>Desde esta mirada, la identidad institucional (</w:t>
      </w:r>
      <w:proofErr w:type="spellStart"/>
      <w:r>
        <w:rPr>
          <w:rFonts w:ascii="Times New Roman" w:hAnsi="Times New Roman"/>
        </w:rPr>
        <w:t>Fernandez</w:t>
      </w:r>
      <w:proofErr w:type="spellEnd"/>
      <w:r>
        <w:rPr>
          <w:rFonts w:ascii="Times New Roman" w:hAnsi="Times New Roman"/>
        </w:rPr>
        <w:t>, 1994) constituye un criterio de lectura relevante para distinguir entre apropiaciones sustantivas y respuestas meramente formales. Un sistema interno de aseguramiento de la calidad, cuando se articula con el proyecto institucional, puede convertirse en una herramienta para revisar el currículum, fortalecer capacidades de gestión académica y producir información útil para la toma de decisiones. En cambio, cuando se lo incorpora solo como exigencia externa, corre el riesgo de transformarse en un dispositivo burocrático desvinculado de las prioridades académicas y de los sentidos que la institución atribuye a su propio desarrollo.</w:t>
      </w:r>
    </w:p>
    <w:p w14:paraId="58CC26E8" w14:textId="0B08AEE1" w:rsidR="00711436" w:rsidRDefault="00711436" w:rsidP="00711436">
      <w:pPr>
        <w:spacing w:after="0" w:line="240" w:lineRule="auto"/>
        <w:jc w:val="both"/>
        <w:rPr>
          <w:rFonts w:ascii="Times New Roman" w:hAnsi="Times New Roman"/>
        </w:rPr>
      </w:pPr>
      <w:r>
        <w:rPr>
          <w:rFonts w:ascii="Times New Roman" w:hAnsi="Times New Roman"/>
        </w:rPr>
        <w:t>Además, el período actual se caracteriza por una ampliación de las dimensiones incorporadas a los criterios de evaluación: internacionalización, perspectiva de género, articulación con el territorio e incorporación de tecnologías digitales. Esta ampliación es significativa desde el punto de vista de la gobernanza curricular porque, a medida que los estándares de acreditación incorporan más dimensiones de la vida académica, aumenta la superficie de la organización universitaria sujeta a regulación externa. El séptimo lineamiento del CIN, sobre curricularización de la extensión, puede leerse en este contexto como una demanda para que el aseguramiento de la calidad incorpore la articulación territorial y social como dimensión curricular evaluable, ampliando aún más el campo de regulación.</w:t>
      </w:r>
    </w:p>
    <w:p w14:paraId="6729AEED" w14:textId="77777777" w:rsidR="00711436" w:rsidRPr="00A46ECA" w:rsidRDefault="00711436" w:rsidP="00711436">
      <w:pPr>
        <w:spacing w:after="0" w:line="240" w:lineRule="auto"/>
        <w:jc w:val="both"/>
      </w:pPr>
    </w:p>
    <w:p w14:paraId="2AFD7018" w14:textId="48F751D2" w:rsidR="00711436" w:rsidRPr="00A46ECA" w:rsidRDefault="00711436" w:rsidP="00711436">
      <w:pPr>
        <w:spacing w:after="0" w:line="240" w:lineRule="auto"/>
        <w:jc w:val="both"/>
      </w:pPr>
      <w:r>
        <w:rPr>
          <w:rFonts w:ascii="Times New Roman" w:eastAsia="Times New Roman" w:hAnsi="Times New Roman" w:cs="Times New Roman"/>
          <w:b/>
          <w:bCs/>
        </w:rPr>
        <w:t>4</w:t>
      </w:r>
      <w:r w:rsidRPr="00A46ECA">
        <w:rPr>
          <w:rFonts w:ascii="Times New Roman" w:eastAsia="Times New Roman" w:hAnsi="Times New Roman" w:cs="Times New Roman"/>
          <w:b/>
          <w:bCs/>
        </w:rPr>
        <w:t>.3 Tensiones estructurales: entre la agenda de cambio y las condiciones institucionales</w:t>
      </w:r>
    </w:p>
    <w:p w14:paraId="57C20C14" w14:textId="77777777" w:rsidR="00711436" w:rsidRPr="00A46ECA" w:rsidRDefault="00711436" w:rsidP="00711436">
      <w:pPr>
        <w:spacing w:after="0" w:line="240" w:lineRule="auto"/>
        <w:jc w:val="both"/>
      </w:pPr>
      <w:r>
        <w:rPr>
          <w:rFonts w:ascii="Times New Roman" w:hAnsi="Times New Roman"/>
        </w:rPr>
        <w:t>El análisis de los lineamientos del CIN y de los dispositivos normativos del período permite identificar una tensión estructural que atraviesa el campo universitario argentino: la distancia entre la agenda de transformación curricular que esos lineamientos proponen y las condiciones institucionales reales de las universidades para implementarla. El propio documento del CIN (2021) reconoce esta tensión cuando señala que atender cada uno de los debates mencionados implica dejar atrás los viejos paradigmas curriculares, centrados en la transmisión de información, datos y conocimientos al estudiante, y expresados en planes de estudio cargados de cursos, con gran cantidad de asignaturas y tiempos de estudio extensos y dificultosos. Este reconocimiento es significativo porque admite que la transformación curricular requerida no constituye un ajuste técnico, sino un cambio de paradigma que afecta las culturas académicas, las estructuras de gobierno y las identidades disciplinares.</w:t>
      </w:r>
    </w:p>
    <w:p w14:paraId="4A56406B" w14:textId="77777777" w:rsidR="00711436" w:rsidRPr="00A46ECA" w:rsidRDefault="00711436" w:rsidP="00711436">
      <w:pPr>
        <w:spacing w:after="0" w:line="240" w:lineRule="auto"/>
        <w:jc w:val="both"/>
      </w:pPr>
      <w:r>
        <w:rPr>
          <w:rFonts w:ascii="Times New Roman" w:hAnsi="Times New Roman"/>
        </w:rPr>
        <w:t xml:space="preserve">Desde el marco conceptual de </w:t>
      </w:r>
      <w:proofErr w:type="spellStart"/>
      <w:r>
        <w:rPr>
          <w:rFonts w:ascii="Times New Roman" w:hAnsi="Times New Roman"/>
        </w:rPr>
        <w:t>Laclau</w:t>
      </w:r>
      <w:proofErr w:type="spellEnd"/>
      <w:r>
        <w:rPr>
          <w:rFonts w:ascii="Times New Roman" w:hAnsi="Times New Roman"/>
        </w:rPr>
        <w:t xml:space="preserve"> y </w:t>
      </w:r>
      <w:proofErr w:type="spellStart"/>
      <w:r>
        <w:rPr>
          <w:rFonts w:ascii="Times New Roman" w:hAnsi="Times New Roman"/>
        </w:rPr>
        <w:t>Mouffe</w:t>
      </w:r>
      <w:proofErr w:type="spellEnd"/>
      <w:r>
        <w:rPr>
          <w:rFonts w:ascii="Times New Roman" w:hAnsi="Times New Roman"/>
        </w:rPr>
        <w:t xml:space="preserve"> (1985), los lineamientos del CIN pueden leerse como articulaciones hegemónicas: configuraciones provisorias y contingentes en las que actores con posiciones e intereses diferentes acuerdan un conjunto de orientaciones comunes, sin que ese acuerdo implique la desaparición de las diferencias que lo anteceden. El lenguaje de la flexibilización curricular, la movilidad estudiantil, el reconocimiento de aprendizajes y la curricularización de la extensión expresa este tipo de consenso: es el resultado de negociaciones entre instituciones heterogéneas que producen un lenguaje compartido, pero cuya implementación reactiva las diferencias que el consenso había suspendido de manera provisoria.</w:t>
      </w:r>
    </w:p>
    <w:p w14:paraId="69F22AF3" w14:textId="77777777" w:rsidR="00711436" w:rsidRPr="00A46ECA" w:rsidRDefault="00711436" w:rsidP="00711436">
      <w:pPr>
        <w:spacing w:after="0" w:line="240" w:lineRule="auto"/>
        <w:jc w:val="both"/>
      </w:pPr>
      <w:r>
        <w:rPr>
          <w:rFonts w:ascii="Times New Roman" w:hAnsi="Times New Roman"/>
        </w:rPr>
        <w:lastRenderedPageBreak/>
        <w:t xml:space="preserve">Las tradiciones disciplinares constituyen un factor determinante en el modo en que estas tensiones se expresan. Becher y </w:t>
      </w:r>
      <w:proofErr w:type="spellStart"/>
      <w:r>
        <w:rPr>
          <w:rFonts w:ascii="Times New Roman" w:hAnsi="Times New Roman"/>
        </w:rPr>
        <w:t>Trowler</w:t>
      </w:r>
      <w:proofErr w:type="spellEnd"/>
      <w:r>
        <w:rPr>
          <w:rFonts w:ascii="Times New Roman" w:hAnsi="Times New Roman"/>
        </w:rPr>
        <w:t xml:space="preserve"> (2001) han mostrado que las disciplinas académicas no son únicamente campos del saber, sino comunidades con identidades propias, lenguajes específicos, jerarquías internas y modos particulares de producción y legitimación del conocimiento. Las disciplinas duro-aplicadas, como la ingeniería, con fuertes vínculos con colegios profesionales y marcos regulatorios externos, tienden a procesar los lineamientos nacionales a través del filtro de esas regulaciones. Las disciplinas blando-aplicadas, como el derecho o la educación, generan formas de resistencia o apropiación parcial que también pueden ser efectivas para preservar las características distintivas de sus propuestas formativas.</w:t>
      </w:r>
    </w:p>
    <w:p w14:paraId="0A66A391" w14:textId="452894FC" w:rsidR="00711436" w:rsidRDefault="00711436" w:rsidP="00711436">
      <w:pPr>
        <w:spacing w:after="0" w:line="240" w:lineRule="auto"/>
        <w:jc w:val="both"/>
        <w:rPr>
          <w:rFonts w:ascii="Times New Roman" w:hAnsi="Times New Roman"/>
        </w:rPr>
      </w:pPr>
      <w:r>
        <w:rPr>
          <w:rFonts w:ascii="Times New Roman" w:hAnsi="Times New Roman"/>
        </w:rPr>
        <w:t>Marquina y Morresi (2017) han mostrado que las universidades más antiguas tienden a conservar estructuras de gobierno con mayor equilibrio entre órganos colegiados y no colegiados, mientras que las universidades de creación reciente presentan una tendencia hacia la centralización en los rectorados. Esta diferencia incide directamente en la forma en que los lineamientos de política son procesados: en las universidades más antiguas, la existencia de órganos colegiados con mayor capacidad de acción puede generar instancias de deliberación colectiva; en las universidades nuevas, el procesamiento tiende a concentrarse en las autoridades ejecutivas, lo que puede acelerar la adopción formal de los lineamientos, aunque no garantiza su apropiación institucional sustantiva.</w:t>
      </w:r>
    </w:p>
    <w:p w14:paraId="40E86E0D" w14:textId="77777777" w:rsidR="00711436" w:rsidRPr="00A46ECA" w:rsidRDefault="00711436" w:rsidP="00711436">
      <w:pPr>
        <w:spacing w:after="0" w:line="240" w:lineRule="auto"/>
        <w:jc w:val="both"/>
      </w:pPr>
    </w:p>
    <w:p w14:paraId="1E9DABBF" w14:textId="60B1AB5F" w:rsidR="00711436" w:rsidRPr="00A46ECA" w:rsidRDefault="00711436" w:rsidP="00711436">
      <w:pPr>
        <w:spacing w:after="0" w:line="240" w:lineRule="auto"/>
        <w:jc w:val="both"/>
      </w:pPr>
      <w:r>
        <w:rPr>
          <w:rFonts w:ascii="Times New Roman" w:hAnsi="Times New Roman"/>
          <w:b/>
        </w:rPr>
        <w:t>5. Discusión: capacidades estratégicas, identidad institucional y proyectos universitarios</w:t>
      </w:r>
    </w:p>
    <w:p w14:paraId="21D28F76" w14:textId="77777777" w:rsidR="00711436" w:rsidRPr="00A46ECA" w:rsidRDefault="00711436" w:rsidP="00711436">
      <w:pPr>
        <w:spacing w:after="0" w:line="240" w:lineRule="auto"/>
        <w:jc w:val="both"/>
      </w:pPr>
      <w:r>
        <w:rPr>
          <w:rFonts w:ascii="Times New Roman" w:hAnsi="Times New Roman"/>
        </w:rPr>
        <w:t>El análisis desarrollado en las secciones anteriores permite avanzar en una interpretación más general sobre las formas contemporáneas de gobernanza universitaria en Argentina y su relación con las decisiones curriculares. El argumento central que emerge es que los lineamientos de política universitaria del período 2021-2026 han instalado un escenario en el que el currículum se convierte en una arena principal de negociación entre las orientaciones del nivel central del sistema y los proyectos institucionales de las universidades. La simultaneidad de los cinco lineamientos con impacto curricular directo (modalidades de enseñanza, créditos académicos, titulaciones intermedias, aseguramiento de la calidad y curricularización de la extensión) genera un campo de demandas superpuestas que las instituciones deben procesar con recursos y capacidades desiguales.</w:t>
      </w:r>
    </w:p>
    <w:p w14:paraId="25D669E0" w14:textId="77777777" w:rsidR="00711436" w:rsidRDefault="00711436" w:rsidP="00711436">
      <w:pPr>
        <w:spacing w:after="0" w:line="240" w:lineRule="auto"/>
        <w:jc w:val="both"/>
      </w:pPr>
      <w:r>
        <w:rPr>
          <w:rFonts w:ascii="Times New Roman" w:hAnsi="Times New Roman"/>
        </w:rPr>
        <w:t>En este marco, la identidad institucional (Fernández, 1994) permite comprender que los lineamientos de política universitaria no operan sobre instituciones abstractas, sino sobre universidades con historias, misiones, culturas académicas, estructuras de gobierno y vínculos territoriales diferenciados. Por ello, el SACAU, los sistemas internos de aseguramiento de la calidad, la curricularización de la extensión o el reconocimiento de aprendizajes no constituyen únicamente instrumentos técnicos: funcionan también como instancias en las que cada universidad debe explicitar qué proyecto académico sostiene, qué tipo de formación prioriza y cómo articula autonomía, responsabilidad pública y pertinencia social.</w:t>
      </w:r>
    </w:p>
    <w:p w14:paraId="2DA87F35" w14:textId="77777777" w:rsidR="00711436" w:rsidRPr="00A46ECA" w:rsidRDefault="00711436" w:rsidP="00711436">
      <w:pPr>
        <w:spacing w:after="0" w:line="240" w:lineRule="auto"/>
        <w:jc w:val="both"/>
      </w:pPr>
      <w:r>
        <w:rPr>
          <w:rFonts w:ascii="Times New Roman" w:hAnsi="Times New Roman"/>
        </w:rPr>
        <w:t xml:space="preserve">Esta centralidad del currículum en la gobernanza universitaria contemporánea parece reflejar un desplazamiento en las formas de coordinación del sistema: si en etapas anteriores la relación entre Estado y universidades se procesaba principalmente a través </w:t>
      </w:r>
      <w:r>
        <w:rPr>
          <w:rFonts w:ascii="Times New Roman" w:hAnsi="Times New Roman"/>
        </w:rPr>
        <w:lastRenderedPageBreak/>
        <w:t>de mecanismos de financiamiento y regulación administrativa, en el período actual parece tramitarse cada vez más mediante dispositivos que operan sobre la organización académica. El SACAU y los procesos de aseguramiento de la calidad son instrumentos de coordinación que actúan sobre el corazón de la actividad universitaria: la definición de qué se enseña, cómo se enseña, cuánto tiempo lleva aprenderlo y qué se reconoce como aprendizaje legítimo.</w:t>
      </w:r>
    </w:p>
    <w:p w14:paraId="3424DD03" w14:textId="77777777" w:rsidR="00711436" w:rsidRPr="00A46ECA" w:rsidRDefault="00711436" w:rsidP="00711436">
      <w:pPr>
        <w:spacing w:after="0" w:line="240" w:lineRule="auto"/>
        <w:jc w:val="both"/>
      </w:pPr>
      <w:r>
        <w:rPr>
          <w:rFonts w:ascii="Times New Roman" w:hAnsi="Times New Roman"/>
        </w:rPr>
        <w:t>Desde la perspectiva del planeamiento estratégico universitario, Navarro (1996) ha señalado que las instituciones educativas requieren un enfoque participativo, interactivo y democrático, descentralizado, dinámico y abierto al contexto, que no solo se preocupe por el diseño, sino también por el modo en que se desarrolla la gestión de lo planificado por los propios protagonistas institucionales. Esta perspectiva ilumina las diferencias entre instituciones en su capacidad para procesar los lineamientos de política: las universidades que han desarrollado culturas de planeamiento estratégico participativo están en mejores condiciones de traducirlos en proyectos institucionales propios, mientras que aquellas que carecen de esas capacidades tienden a responder de manera reactiva o nominal.</w:t>
      </w:r>
    </w:p>
    <w:p w14:paraId="053F7DE1" w14:textId="2FD2AEC8" w:rsidR="00711436" w:rsidRDefault="00711436" w:rsidP="00711436">
      <w:pPr>
        <w:spacing w:after="0" w:line="240" w:lineRule="auto"/>
        <w:jc w:val="both"/>
        <w:rPr>
          <w:rFonts w:ascii="Times New Roman" w:hAnsi="Times New Roman"/>
        </w:rPr>
      </w:pPr>
      <w:r>
        <w:rPr>
          <w:rFonts w:ascii="Times New Roman" w:hAnsi="Times New Roman"/>
        </w:rPr>
        <w:t>La distinción propuesta por Pacheco (2023) entre sistemas internos de calidad sustantivos y sistemas nominales tiene un correlato directo en el campo del currículum: permite diferenciar entre instituciones que procesan los lineamientos de manera estratégica, aprovechan los márgenes de autonomía que estos dejan abiertos, construyen agendas propias de renovación curricular y generan procesos colectivos de revisión, y aquellas que los adoptan formalmente sin que ello implique transformaciones reales en sus proyectos académicos. Esta distinción no es meramente descriptiva: remite a condiciones institucionales concretas (capacidades de gestión, culturas académicas y estructuras de gobierno) que determinan si los lineamientos funcionan como palancas de transformación o como fuentes de cumplimiento burocrático.</w:t>
      </w:r>
    </w:p>
    <w:p w14:paraId="40880220" w14:textId="77777777" w:rsidR="00711436" w:rsidRPr="00A46ECA" w:rsidRDefault="00711436" w:rsidP="00711436">
      <w:pPr>
        <w:spacing w:after="0" w:line="240" w:lineRule="auto"/>
        <w:jc w:val="both"/>
      </w:pP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7F2327BA" w14:textId="77777777" w:rsidR="007D2887" w:rsidRDefault="007D2887" w:rsidP="007D2887">
      <w:pPr>
        <w:pStyle w:val="font-claude-response-body"/>
        <w:spacing w:before="0" w:beforeAutospacing="0" w:after="0" w:afterAutospacing="0"/>
        <w:jc w:val="both"/>
      </w:pPr>
      <w:r>
        <w:t>El análisis desarrollado en las secciones anteriores permite avanzar más allá de la descripción de los lineamientos y proponer algunas tesis interpretativas sobre el modelo de gobernanza que estos dispositivos están configurando en el sistema universitario argentino.</w:t>
      </w:r>
    </w:p>
    <w:p w14:paraId="428A4AC9" w14:textId="5F815192" w:rsidR="007D2887" w:rsidRDefault="007D2887" w:rsidP="007D2887">
      <w:pPr>
        <w:pStyle w:val="font-claude-response-body"/>
        <w:spacing w:before="0" w:beforeAutospacing="0" w:after="0" w:afterAutospacing="0"/>
        <w:jc w:val="both"/>
      </w:pPr>
      <w:r>
        <w:t xml:space="preserve">En primer lugar, es posible caracterizar el período 2021-2026 como el momento de consolidación de lo que podría denominarse una </w:t>
      </w:r>
      <w:r>
        <w:rPr>
          <w:rStyle w:val="nfasis"/>
          <w:rFonts w:eastAsiaTheme="majorEastAsia"/>
        </w:rPr>
        <w:t>gobernanza curricular indirecta</w:t>
      </w:r>
      <w:r>
        <w:t xml:space="preserve">: un modo de coordinación sistémica que no prescribe contenidos ni suprime formalmente la autonomía institucional, pero que establece los marcos dentro de los cuales las universidades deben tomar sus decisiones académicas. Si en etapas anteriores la relación entre el Estado y las universidades se procesaba principalmente a través de mecanismos de financiamiento y regulación administrativa, el período analizado parece desplazar esa relación hacia la organización académica misma: los tiempos de formación, los criterios de reconocimiento del aprendizaje, la estructura de los planes de estudio y los estándares de calidad se convierten en superficies de intervención sistémica. La indirección de este modelo no implica neutralidad: los dispositivos que estructuran ese marco —el SACAU, los sistemas de aseguramiento de la calidad, los lineamientos sobre trayectorias y </w:t>
      </w:r>
      <w:r>
        <w:lastRenderedPageBreak/>
        <w:t>titulaciones intermedias— producen efectos concretos sobre las relaciones de autoridad al interior de las instituciones y sobre los márgenes reales de decisión curricular.</w:t>
      </w:r>
    </w:p>
    <w:p w14:paraId="4E63E32D" w14:textId="77777777" w:rsidR="007D2887" w:rsidRDefault="007D2887" w:rsidP="007D2887">
      <w:pPr>
        <w:pStyle w:val="font-claude-response-body"/>
        <w:spacing w:before="0" w:beforeAutospacing="0" w:after="0" w:afterAutospacing="0"/>
        <w:jc w:val="both"/>
      </w:pPr>
      <w:r>
        <w:t>Uno de los hallazgos más significativos que emerge de este análisis es, precisamente, la reconfiguración del estatuto del currículum en la gobernanza universitaria contemporánea. Si históricamente el currículum universitario fue concebido como un asunto interno de cada institución —expresión de su autonomía académica y de las tradiciones disciplinares que la constituyen—, los lineamientos del período parecen desplazarlo hacia una posición distinta: la de una arena de negociación entre el nivel central del sistema, las comunidades disciplinares, los organismos de regulación y las propias universidades. El currículum deja de ser únicamente un dispositivo pedagógico o institucional para convertirse en una superficie en la que se procesan orientaciones sistémicas, demandas de pertinencia social, exigencias de calidad y definiciones sobre el conocimiento legítimo. Esta reconfiguración tiene implicancias directas para la gestión universitaria: las decisiones sobre planes de estudio ya no pueden pensarse como decisiones exclusivamente académicas, sino como posicionamientos estratégicos que las instituciones construyen en diálogo —y en tensión— con un entorno de política que interpela activamente sus definiciones sobre la formación.</w:t>
      </w:r>
    </w:p>
    <w:p w14:paraId="690F0D3D" w14:textId="6E90FE9F" w:rsidR="007D2887" w:rsidRDefault="007D2887" w:rsidP="007D2887">
      <w:pPr>
        <w:pStyle w:val="font-claude-response-body"/>
        <w:spacing w:before="0" w:beforeAutospacing="0" w:after="0" w:afterAutospacing="0"/>
        <w:jc w:val="both"/>
      </w:pPr>
      <w:r>
        <w:t xml:space="preserve">Sin embargo, ese posicionamiento no es homogéneo. El análisis permite avanzar una hipótesis sobre las condiciones institucionales que favorecen apropiaciones sustantivas de los lineamientos frente a respuestas meramente formales o nominales. No se trata de una variable única, sino de </w:t>
      </w:r>
      <w:r w:rsidR="00AE08B4">
        <w:t>múltiples</w:t>
      </w:r>
      <w:r>
        <w:t xml:space="preserve"> factores que operan de manera combinada: la existencia de estructuras de planeamiento estratégico con anclaje en órganos colegiados; la disponibilidad de capacidades técnicas para producir información académica relevante; culturas institucionales que habilitan la deliberación colectiva sobre las decisiones curriculares; y la presencia de identidades institucionales suficientemente consolidadas como para orientar las respuestas desde un proyecto propio, y no solo desde la demanda externa. </w:t>
      </w:r>
      <w:r w:rsidR="00AE08B4">
        <w:t>Otro factor claves es</w:t>
      </w:r>
      <w:r>
        <w:t xml:space="preserve"> la trayectoria histórica de cada universidad: las instituciones con mayor antigüedad y estructuras de gobierno más equilibradas entre lo colegiado y lo ejecutivo tienden a contar con mayores recursos para procesar los lineamientos de manera estratégica, mientras que aquellas con mayor centralización en los rectorados y menor sedimentación de culturas académicas compartidas enfrentan el riesgo de adoptar formalmente los dispositivos sin que ello implique transformaciones reales en sus proyectos académicos.</w:t>
      </w:r>
    </w:p>
    <w:p w14:paraId="017BB97A" w14:textId="77777777" w:rsidR="007D2887" w:rsidRDefault="007D2887" w:rsidP="007D2887">
      <w:pPr>
        <w:pStyle w:val="font-claude-response-body"/>
        <w:spacing w:before="0" w:beforeAutospacing="0" w:after="0" w:afterAutospacing="0"/>
        <w:jc w:val="both"/>
      </w:pPr>
      <w:r>
        <w:t xml:space="preserve">En este marco, la identidad institucional adquiere un estatuto teórico que conviene precisar. A lo largo del análisis ha operado como una categoría de mediación, pero es necesario ir más lejos: la identidad institucional no es únicamente un filtro pasivo a través del cual cada universidad procesa las orientaciones del sistema, sino un recurso estratégico activo que puede ser movilizado deliberadamente en la construcción de las respuestas institucionales. Una universidad que reconoce y trabaja sobre su propia identidad —su historia, sus vínculos territoriales, sus tradiciones disciplinares, su misión declarada y sus prioridades académicas efectivas— está en condiciones de apropiarse de los lineamientos de manera selectiva y creativa, aprovechando los márgenes de autonomía que estos dejan abiertos para orientarlos hacia su propio proyecto. En cambio, una institución que carece de ese reconocimiento o que no lo ha construido colectivamente tiende a responder de manera reactiva, adoptando los dispositivos como exigencias </w:t>
      </w:r>
      <w:r>
        <w:lastRenderedPageBreak/>
        <w:t>externas sin articularlos con un sentido institucional propio. Desde esta perspectiva, fortalecer la identidad institucional no es una tarea simbólica o retórica: es una condición para que los mecanismos de coordinación sistémica contribuyan al desarrollo de proyectos universitarios situados, autónomos y socialmente responsables, en lugar de producir procesos de homogeneización que vacíen de contenido la diversidad que caracteriza al sistema universitario argentino.</w:t>
      </w:r>
    </w:p>
    <w:p w14:paraId="02872868" w14:textId="77777777" w:rsidR="007D2887" w:rsidRDefault="007D2887" w:rsidP="007D2887">
      <w:pPr>
        <w:pStyle w:val="font-claude-response-body"/>
        <w:spacing w:before="0" w:beforeAutospacing="0" w:after="0" w:afterAutospacing="0"/>
        <w:jc w:val="both"/>
      </w:pPr>
      <w:r>
        <w:t>Este conjunto de tesis abre, a su vez, preguntas que el presente trabajo no puede responder desde su estrategia analítico-conceptual y que orientan la agenda de investigación futura. ¿De qué manera procesan efectivamente los actores de gestión académica —decanos, secretarios académicos, directores de carrera— los lineamientos del CIN en instituciones con distintas trayectorias y culturas de gobierno? ¿Qué papel juegan las tradiciones disciplinares en la apropiación o resistencia frente al SACAU en carreras con fuertes regulaciones profesionales externas? ¿Cómo se articula, en la práctica, la demanda de flexibilización curricular con la lógica de los estándares de acreditación de la CONEAU, y qué actores median en esa negociación? ¿Es posible identificar modelos institucionales diferenciados de respuesta a los lineamientos, y qué condiciones los explican? Estas preguntas no son laterales respecto del argumento desarrollado: son su consecuencia más directa, y señalan la dirección en la que la investigación empírica debe avanzar para comprender cabalmente cómo se reconfiguran, en el nivel de las instituciones y de los actores, las relaciones entre gobernanza universitaria, currículum e identidad en el sistema universitario argentino contemporáneo.</w:t>
      </w:r>
    </w:p>
    <w:p w14:paraId="544B704F" w14:textId="125FB7D7" w:rsidR="00BC236F" w:rsidRDefault="00BC236F" w:rsidP="007B5B5F">
      <w:pPr>
        <w:spacing w:line="240" w:lineRule="auto"/>
        <w:jc w:val="both"/>
        <w:rPr>
          <w:rFonts w:ascii="Times New Roman" w:hAnsi="Times New Roman" w:cs="Times New Roman"/>
        </w:rPr>
      </w:pPr>
    </w:p>
    <w:p w14:paraId="7D1C806E" w14:textId="4977E72F" w:rsidR="00CE6273" w:rsidRDefault="00CE6273" w:rsidP="007B5B5F">
      <w:pPr>
        <w:spacing w:line="240" w:lineRule="auto"/>
        <w:jc w:val="both"/>
        <w:rPr>
          <w:rFonts w:ascii="Times New Roman" w:hAnsi="Times New Roman" w:cs="Times New Roman"/>
        </w:rPr>
      </w:pPr>
    </w:p>
    <w:p w14:paraId="17ECCD38" w14:textId="72899A55" w:rsidR="00CE6273" w:rsidRDefault="00CE6273" w:rsidP="007B5B5F">
      <w:pPr>
        <w:spacing w:line="240" w:lineRule="auto"/>
        <w:jc w:val="both"/>
        <w:rPr>
          <w:rFonts w:ascii="Times New Roman" w:hAnsi="Times New Roman" w:cs="Times New Roman"/>
        </w:rPr>
      </w:pPr>
    </w:p>
    <w:p w14:paraId="23F2A98A" w14:textId="2F5ED3F2" w:rsidR="00CE6273" w:rsidRDefault="00CE6273" w:rsidP="007B5B5F">
      <w:pPr>
        <w:spacing w:line="240" w:lineRule="auto"/>
        <w:jc w:val="both"/>
        <w:rPr>
          <w:rFonts w:ascii="Times New Roman" w:hAnsi="Times New Roman" w:cs="Times New Roman"/>
        </w:rPr>
      </w:pPr>
    </w:p>
    <w:p w14:paraId="63F5C952" w14:textId="673949E5" w:rsidR="00CE6273" w:rsidRDefault="00CE6273" w:rsidP="007B5B5F">
      <w:pPr>
        <w:spacing w:line="240" w:lineRule="auto"/>
        <w:jc w:val="both"/>
        <w:rPr>
          <w:rFonts w:ascii="Times New Roman" w:hAnsi="Times New Roman" w:cs="Times New Roman"/>
        </w:rPr>
      </w:pPr>
    </w:p>
    <w:p w14:paraId="1BD4C0BE" w14:textId="4BF2F7BD" w:rsidR="00CE6273" w:rsidRDefault="00CE6273" w:rsidP="007B5B5F">
      <w:pPr>
        <w:spacing w:line="240" w:lineRule="auto"/>
        <w:jc w:val="both"/>
        <w:rPr>
          <w:rFonts w:ascii="Times New Roman" w:hAnsi="Times New Roman" w:cs="Times New Roman"/>
        </w:rPr>
      </w:pPr>
    </w:p>
    <w:p w14:paraId="4316E8C6" w14:textId="60ECC8F9" w:rsidR="00CE6273" w:rsidRDefault="00CE6273" w:rsidP="007B5B5F">
      <w:pPr>
        <w:spacing w:line="240" w:lineRule="auto"/>
        <w:jc w:val="both"/>
        <w:rPr>
          <w:rFonts w:ascii="Times New Roman" w:hAnsi="Times New Roman" w:cs="Times New Roman"/>
        </w:rPr>
      </w:pPr>
    </w:p>
    <w:p w14:paraId="76E6D883" w14:textId="110D148D" w:rsidR="00CE6273" w:rsidRDefault="00CE6273" w:rsidP="007B5B5F">
      <w:pPr>
        <w:spacing w:line="240" w:lineRule="auto"/>
        <w:jc w:val="both"/>
        <w:rPr>
          <w:rFonts w:ascii="Times New Roman" w:hAnsi="Times New Roman" w:cs="Times New Roman"/>
        </w:rPr>
      </w:pPr>
    </w:p>
    <w:p w14:paraId="3DDA1B8C" w14:textId="735F97C8" w:rsidR="00CE6273" w:rsidRDefault="00CE6273" w:rsidP="007B5B5F">
      <w:pPr>
        <w:spacing w:line="240" w:lineRule="auto"/>
        <w:jc w:val="both"/>
        <w:rPr>
          <w:rFonts w:ascii="Times New Roman" w:hAnsi="Times New Roman" w:cs="Times New Roman"/>
        </w:rPr>
      </w:pPr>
    </w:p>
    <w:p w14:paraId="354ED043" w14:textId="2B9876E1" w:rsidR="00CE6273" w:rsidRDefault="00CE6273" w:rsidP="007B5B5F">
      <w:pPr>
        <w:spacing w:line="240" w:lineRule="auto"/>
        <w:jc w:val="both"/>
        <w:rPr>
          <w:rFonts w:ascii="Times New Roman" w:hAnsi="Times New Roman" w:cs="Times New Roman"/>
        </w:rPr>
      </w:pPr>
    </w:p>
    <w:p w14:paraId="131555BB" w14:textId="34869F0E" w:rsidR="00CE6273" w:rsidRDefault="00CE6273" w:rsidP="007B5B5F">
      <w:pPr>
        <w:spacing w:line="240" w:lineRule="auto"/>
        <w:jc w:val="both"/>
        <w:rPr>
          <w:rFonts w:ascii="Times New Roman" w:hAnsi="Times New Roman" w:cs="Times New Roman"/>
        </w:rPr>
      </w:pPr>
    </w:p>
    <w:p w14:paraId="2B90B7CD" w14:textId="69E7F389" w:rsidR="00CE6273" w:rsidRDefault="00CE6273" w:rsidP="007B5B5F">
      <w:pPr>
        <w:spacing w:line="240" w:lineRule="auto"/>
        <w:jc w:val="both"/>
        <w:rPr>
          <w:rFonts w:ascii="Times New Roman" w:hAnsi="Times New Roman" w:cs="Times New Roman"/>
        </w:rPr>
      </w:pPr>
    </w:p>
    <w:p w14:paraId="0276B43A" w14:textId="1EECC64D" w:rsidR="00CE6273" w:rsidRDefault="00CE6273" w:rsidP="007B5B5F">
      <w:pPr>
        <w:spacing w:line="240" w:lineRule="auto"/>
        <w:jc w:val="both"/>
        <w:rPr>
          <w:rFonts w:ascii="Times New Roman" w:hAnsi="Times New Roman" w:cs="Times New Roman"/>
        </w:rPr>
      </w:pPr>
    </w:p>
    <w:p w14:paraId="7C803869" w14:textId="5E010D14" w:rsidR="00CE6273" w:rsidRDefault="00CE6273" w:rsidP="007B5B5F">
      <w:pPr>
        <w:spacing w:line="240" w:lineRule="auto"/>
        <w:jc w:val="both"/>
        <w:rPr>
          <w:rFonts w:ascii="Times New Roman" w:hAnsi="Times New Roman" w:cs="Times New Roman"/>
        </w:rPr>
      </w:pPr>
    </w:p>
    <w:p w14:paraId="695F98B2" w14:textId="1371DC1A" w:rsidR="00CE6273" w:rsidRDefault="00CE6273" w:rsidP="007B5B5F">
      <w:pPr>
        <w:spacing w:line="240" w:lineRule="auto"/>
        <w:jc w:val="both"/>
        <w:rPr>
          <w:rFonts w:ascii="Times New Roman" w:hAnsi="Times New Roman" w:cs="Times New Roman"/>
        </w:rPr>
      </w:pPr>
    </w:p>
    <w:p w14:paraId="3B4D7C37" w14:textId="26A30BC5" w:rsidR="00CE6273" w:rsidRDefault="00CE6273" w:rsidP="007B5B5F">
      <w:pPr>
        <w:spacing w:line="240" w:lineRule="auto"/>
        <w:jc w:val="both"/>
        <w:rPr>
          <w:rFonts w:ascii="Times New Roman" w:hAnsi="Times New Roman" w:cs="Times New Roman"/>
        </w:rPr>
      </w:pPr>
    </w:p>
    <w:p w14:paraId="39B57161" w14:textId="77D73F5B"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50C1A88E" w14:textId="77777777" w:rsidR="00225473" w:rsidRPr="00A46ECA" w:rsidRDefault="00225473" w:rsidP="00225473">
      <w:pPr>
        <w:spacing w:after="0" w:line="240" w:lineRule="exact"/>
        <w:ind w:left="709" w:hanging="709"/>
        <w:jc w:val="both"/>
      </w:pPr>
      <w:r>
        <w:rPr>
          <w:rFonts w:ascii="Times New Roman" w:hAnsi="Times New Roman"/>
        </w:rPr>
        <w:t xml:space="preserve">Becher, T., &amp; </w:t>
      </w:r>
      <w:proofErr w:type="spellStart"/>
      <w:r>
        <w:rPr>
          <w:rFonts w:ascii="Times New Roman" w:hAnsi="Times New Roman"/>
        </w:rPr>
        <w:t>Trowler</w:t>
      </w:r>
      <w:proofErr w:type="spellEnd"/>
      <w:r>
        <w:rPr>
          <w:rFonts w:ascii="Times New Roman" w:hAnsi="Times New Roman"/>
        </w:rPr>
        <w:t xml:space="preserve">, P. (2001). </w:t>
      </w:r>
      <w:proofErr w:type="spellStart"/>
      <w:r>
        <w:rPr>
          <w:rFonts w:ascii="Times New Roman" w:hAnsi="Times New Roman"/>
        </w:rPr>
        <w:t>Academic</w:t>
      </w:r>
      <w:proofErr w:type="spellEnd"/>
      <w:r>
        <w:rPr>
          <w:rFonts w:ascii="Times New Roman" w:hAnsi="Times New Roman"/>
        </w:rPr>
        <w:t xml:space="preserve"> </w:t>
      </w:r>
      <w:proofErr w:type="spellStart"/>
      <w:r>
        <w:rPr>
          <w:rFonts w:ascii="Times New Roman" w:hAnsi="Times New Roman"/>
        </w:rPr>
        <w:t>tribes</w:t>
      </w:r>
      <w:proofErr w:type="spellEnd"/>
      <w:r>
        <w:rPr>
          <w:rFonts w:ascii="Times New Roman" w:hAnsi="Times New Roman"/>
        </w:rPr>
        <w:t xml:space="preserve"> and </w:t>
      </w:r>
      <w:proofErr w:type="spellStart"/>
      <w:r>
        <w:rPr>
          <w:rFonts w:ascii="Times New Roman" w:hAnsi="Times New Roman"/>
        </w:rPr>
        <w:t>territories</w:t>
      </w:r>
      <w:proofErr w:type="spellEnd"/>
      <w:r>
        <w:rPr>
          <w:rFonts w:ascii="Times New Roman" w:hAnsi="Times New Roman"/>
        </w:rPr>
        <w:t xml:space="preserve">: </w:t>
      </w:r>
      <w:proofErr w:type="spellStart"/>
      <w:r>
        <w:rPr>
          <w:rFonts w:ascii="Times New Roman" w:hAnsi="Times New Roman"/>
        </w:rPr>
        <w:t>Intellectual</w:t>
      </w:r>
      <w:proofErr w:type="spellEnd"/>
      <w:r>
        <w:rPr>
          <w:rFonts w:ascii="Times New Roman" w:hAnsi="Times New Roman"/>
        </w:rPr>
        <w:t xml:space="preserve"> </w:t>
      </w:r>
      <w:proofErr w:type="spellStart"/>
      <w:r>
        <w:rPr>
          <w:rFonts w:ascii="Times New Roman" w:hAnsi="Times New Roman"/>
        </w:rPr>
        <w:t>enquiry</w:t>
      </w:r>
      <w:proofErr w:type="spellEnd"/>
      <w:r>
        <w:rPr>
          <w:rFonts w:ascii="Times New Roman" w:hAnsi="Times New Roman"/>
        </w:rPr>
        <w:t xml:space="preserve"> and </w:t>
      </w:r>
      <w:proofErr w:type="spellStart"/>
      <w:r>
        <w:rPr>
          <w:rFonts w:ascii="Times New Roman" w:hAnsi="Times New Roman"/>
        </w:rPr>
        <w:t>the</w:t>
      </w:r>
      <w:proofErr w:type="spellEnd"/>
      <w:r>
        <w:rPr>
          <w:rFonts w:ascii="Times New Roman" w:hAnsi="Times New Roman"/>
        </w:rPr>
        <w:t xml:space="preserve"> culture </w:t>
      </w:r>
      <w:proofErr w:type="spellStart"/>
      <w:r>
        <w:rPr>
          <w:rFonts w:ascii="Times New Roman" w:hAnsi="Times New Roman"/>
        </w:rPr>
        <w:t>of</w:t>
      </w:r>
      <w:proofErr w:type="spellEnd"/>
      <w:r>
        <w:rPr>
          <w:rFonts w:ascii="Times New Roman" w:hAnsi="Times New Roman"/>
        </w:rPr>
        <w:t xml:space="preserve"> disciplines (2nd ed.). Open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Press</w:t>
      </w:r>
      <w:proofErr w:type="spellEnd"/>
      <w:r>
        <w:rPr>
          <w:rFonts w:ascii="Times New Roman" w:hAnsi="Times New Roman"/>
        </w:rPr>
        <w:t xml:space="preserve"> / SRHE.</w:t>
      </w:r>
    </w:p>
    <w:p w14:paraId="306C314B" w14:textId="77777777" w:rsidR="00225473" w:rsidRPr="00A46ECA" w:rsidRDefault="00225473" w:rsidP="00225473">
      <w:pPr>
        <w:spacing w:after="0" w:line="240" w:lineRule="exact"/>
        <w:ind w:left="709" w:hanging="709"/>
        <w:jc w:val="both"/>
      </w:pPr>
      <w:r w:rsidRPr="00A46ECA">
        <w:rPr>
          <w:rFonts w:ascii="Times New Roman" w:eastAsia="Times New Roman" w:hAnsi="Times New Roman" w:cs="Times New Roman"/>
        </w:rPr>
        <w:t xml:space="preserve">Bernstein, B. (1975). </w:t>
      </w:r>
      <w:proofErr w:type="spellStart"/>
      <w:r w:rsidRPr="00A46ECA">
        <w:rPr>
          <w:rFonts w:ascii="Times New Roman" w:eastAsia="Times New Roman" w:hAnsi="Times New Roman" w:cs="Times New Roman"/>
        </w:rPr>
        <w:t>Class</w:t>
      </w:r>
      <w:proofErr w:type="spellEnd"/>
      <w:r w:rsidRPr="00A46ECA">
        <w:rPr>
          <w:rFonts w:ascii="Times New Roman" w:eastAsia="Times New Roman" w:hAnsi="Times New Roman" w:cs="Times New Roman"/>
        </w:rPr>
        <w:t xml:space="preserve">, </w:t>
      </w:r>
      <w:proofErr w:type="spellStart"/>
      <w:r w:rsidRPr="00A46ECA">
        <w:rPr>
          <w:rFonts w:ascii="Times New Roman" w:eastAsia="Times New Roman" w:hAnsi="Times New Roman" w:cs="Times New Roman"/>
        </w:rPr>
        <w:t>codes</w:t>
      </w:r>
      <w:proofErr w:type="spellEnd"/>
      <w:r w:rsidRPr="00A46ECA">
        <w:rPr>
          <w:rFonts w:ascii="Times New Roman" w:eastAsia="Times New Roman" w:hAnsi="Times New Roman" w:cs="Times New Roman"/>
        </w:rPr>
        <w:t xml:space="preserve"> and control (Vol. 3). Routledge &amp; </w:t>
      </w:r>
      <w:proofErr w:type="spellStart"/>
      <w:r w:rsidRPr="00A46ECA">
        <w:rPr>
          <w:rFonts w:ascii="Times New Roman" w:eastAsia="Times New Roman" w:hAnsi="Times New Roman" w:cs="Times New Roman"/>
        </w:rPr>
        <w:t>Kegan</w:t>
      </w:r>
      <w:proofErr w:type="spellEnd"/>
      <w:r w:rsidRPr="00A46ECA">
        <w:rPr>
          <w:rFonts w:ascii="Times New Roman" w:eastAsia="Times New Roman" w:hAnsi="Times New Roman" w:cs="Times New Roman"/>
        </w:rPr>
        <w:t xml:space="preserve"> Paul.</w:t>
      </w:r>
    </w:p>
    <w:p w14:paraId="41ABDEB1" w14:textId="77777777" w:rsidR="00225473" w:rsidRDefault="00225473" w:rsidP="00225473">
      <w:pPr>
        <w:spacing w:after="0" w:line="240" w:lineRule="exact"/>
        <w:ind w:left="709" w:hanging="709"/>
        <w:jc w:val="both"/>
      </w:pPr>
      <w:r>
        <w:rPr>
          <w:rFonts w:ascii="Times New Roman" w:hAnsi="Times New Roman"/>
        </w:rPr>
        <w:t>Brunner, J. J. (2011). Gobernanza universitaria: tipología, dinámicas y tendencias. Revista de Educación, 355, 137-159.</w:t>
      </w:r>
    </w:p>
    <w:p w14:paraId="798AFAF9" w14:textId="77777777" w:rsidR="00225473" w:rsidRPr="00A46ECA" w:rsidRDefault="00225473" w:rsidP="00225473">
      <w:pPr>
        <w:spacing w:after="0" w:line="240" w:lineRule="exact"/>
        <w:ind w:left="709" w:hanging="709"/>
        <w:jc w:val="both"/>
      </w:pPr>
      <w:r>
        <w:rPr>
          <w:rFonts w:ascii="Times New Roman" w:hAnsi="Times New Roman"/>
        </w:rPr>
        <w:t>Camilloni, A. R. W. (2001). Aportes para un cambio curricular en Argentina 2001. Modalidades de proyectos y cambio curricular. EUDEBA.</w:t>
      </w:r>
    </w:p>
    <w:p w14:paraId="63CB1805" w14:textId="77777777" w:rsidR="00225473" w:rsidRPr="00A46ECA" w:rsidRDefault="00225473" w:rsidP="00225473">
      <w:pPr>
        <w:spacing w:after="0" w:line="240" w:lineRule="exact"/>
        <w:ind w:left="709" w:hanging="709"/>
        <w:jc w:val="both"/>
      </w:pPr>
      <w:r>
        <w:rPr>
          <w:rFonts w:ascii="Times New Roman" w:hAnsi="Times New Roman"/>
        </w:rPr>
        <w:t xml:space="preserve">Clark, B. R. (1983).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higher</w:t>
      </w:r>
      <w:proofErr w:type="spellEnd"/>
      <w:r>
        <w:rPr>
          <w:rFonts w:ascii="Times New Roman" w:hAnsi="Times New Roman"/>
        </w:rPr>
        <w:t xml:space="preserve"> </w:t>
      </w:r>
      <w:proofErr w:type="spellStart"/>
      <w:r>
        <w:rPr>
          <w:rFonts w:ascii="Times New Roman" w:hAnsi="Times New Roman"/>
        </w:rPr>
        <w:t>education</w:t>
      </w:r>
      <w:proofErr w:type="spellEnd"/>
      <w:r>
        <w:rPr>
          <w:rFonts w:ascii="Times New Roman" w:hAnsi="Times New Roman"/>
        </w:rPr>
        <w:t xml:space="preserve"> </w:t>
      </w:r>
      <w:proofErr w:type="spellStart"/>
      <w:r>
        <w:rPr>
          <w:rFonts w:ascii="Times New Roman" w:hAnsi="Times New Roman"/>
        </w:rPr>
        <w:t>system</w:t>
      </w:r>
      <w:proofErr w:type="spellEnd"/>
      <w:r>
        <w:rPr>
          <w:rFonts w:ascii="Times New Roman" w:hAnsi="Times New Roman"/>
        </w:rPr>
        <w:t xml:space="preserve">: </w:t>
      </w:r>
      <w:proofErr w:type="spellStart"/>
      <w:r>
        <w:rPr>
          <w:rFonts w:ascii="Times New Roman" w:hAnsi="Times New Roman"/>
        </w:rPr>
        <w:t>Academic</w:t>
      </w:r>
      <w:proofErr w:type="spellEnd"/>
      <w:r>
        <w:rPr>
          <w:rFonts w:ascii="Times New Roman" w:hAnsi="Times New Roman"/>
        </w:rPr>
        <w:t xml:space="preserve"> </w:t>
      </w:r>
      <w:proofErr w:type="spellStart"/>
      <w:r>
        <w:rPr>
          <w:rFonts w:ascii="Times New Roman" w:hAnsi="Times New Roman"/>
        </w:rPr>
        <w:t>organization</w:t>
      </w:r>
      <w:proofErr w:type="spellEnd"/>
      <w:r>
        <w:rPr>
          <w:rFonts w:ascii="Times New Roman" w:hAnsi="Times New Roman"/>
        </w:rPr>
        <w:t xml:space="preserve"> in </w:t>
      </w:r>
      <w:proofErr w:type="spellStart"/>
      <w:r>
        <w:rPr>
          <w:rFonts w:ascii="Times New Roman" w:hAnsi="Times New Roman"/>
        </w:rPr>
        <w:t>cross</w:t>
      </w:r>
      <w:proofErr w:type="spellEnd"/>
      <w:r>
        <w:rPr>
          <w:rFonts w:ascii="Times New Roman" w:hAnsi="Times New Roman"/>
        </w:rPr>
        <w:t xml:space="preserve">- </w:t>
      </w:r>
      <w:proofErr w:type="spellStart"/>
      <w:r>
        <w:rPr>
          <w:rFonts w:ascii="Times New Roman" w:hAnsi="Times New Roman"/>
        </w:rPr>
        <w:t>national</w:t>
      </w:r>
      <w:proofErr w:type="spellEnd"/>
      <w:r>
        <w:rPr>
          <w:rFonts w:ascii="Times New Roman" w:hAnsi="Times New Roman"/>
        </w:rPr>
        <w:t xml:space="preserve"> </w:t>
      </w:r>
      <w:proofErr w:type="spellStart"/>
      <w:r>
        <w:rPr>
          <w:rFonts w:ascii="Times New Roman" w:hAnsi="Times New Roman"/>
        </w:rPr>
        <w:t>perspective</w:t>
      </w:r>
      <w:proofErr w:type="spellEnd"/>
      <w:r>
        <w:rPr>
          <w:rFonts w:ascii="Times New Roman" w:hAnsi="Times New Roman"/>
        </w:rPr>
        <w:t xml:space="preserve">. </w:t>
      </w:r>
      <w:proofErr w:type="spellStart"/>
      <w:r>
        <w:rPr>
          <w:rFonts w:ascii="Times New Roman" w:hAnsi="Times New Roman"/>
        </w:rPr>
        <w:t>University</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California </w:t>
      </w:r>
      <w:proofErr w:type="spellStart"/>
      <w:r>
        <w:rPr>
          <w:rFonts w:ascii="Times New Roman" w:hAnsi="Times New Roman"/>
        </w:rPr>
        <w:t>Press</w:t>
      </w:r>
      <w:proofErr w:type="spellEnd"/>
      <w:r>
        <w:rPr>
          <w:rFonts w:ascii="Times New Roman" w:hAnsi="Times New Roman"/>
        </w:rPr>
        <w:t>.</w:t>
      </w:r>
    </w:p>
    <w:p w14:paraId="01655182" w14:textId="77777777" w:rsidR="00225473" w:rsidRPr="00A46ECA" w:rsidRDefault="00225473" w:rsidP="00225473">
      <w:pPr>
        <w:spacing w:after="0" w:line="240" w:lineRule="exact"/>
        <w:ind w:left="709" w:hanging="709"/>
        <w:jc w:val="both"/>
      </w:pPr>
      <w:r>
        <w:rPr>
          <w:rFonts w:ascii="Times New Roman" w:hAnsi="Times New Roman"/>
        </w:rPr>
        <w:t xml:space="preserve">Collazo, M. (2010). El currículo universitario como escenario de tensiones sociales y académicas. </w:t>
      </w:r>
      <w:proofErr w:type="spellStart"/>
      <w:r>
        <w:rPr>
          <w:rFonts w:ascii="Times New Roman" w:hAnsi="Times New Roman"/>
        </w:rPr>
        <w:t>Didáskomai</w:t>
      </w:r>
      <w:proofErr w:type="spellEnd"/>
      <w:r>
        <w:rPr>
          <w:rFonts w:ascii="Times New Roman" w:hAnsi="Times New Roman"/>
        </w:rPr>
        <w:t xml:space="preserve"> - Revista del Instituto de Educación, (1). http://didaskomai.fhuce.edu.uy/index.php/didaskomai/article/view/4</w:t>
      </w:r>
    </w:p>
    <w:p w14:paraId="26F4ABF7" w14:textId="77777777" w:rsidR="00225473" w:rsidRPr="00A46ECA" w:rsidRDefault="00225473" w:rsidP="00225473">
      <w:pPr>
        <w:spacing w:after="0" w:line="240" w:lineRule="exact"/>
        <w:ind w:left="709" w:hanging="709"/>
        <w:jc w:val="both"/>
      </w:pPr>
      <w:r>
        <w:rPr>
          <w:rFonts w:ascii="Times New Roman" w:hAnsi="Times New Roman"/>
        </w:rPr>
        <w:t>Consejo Interuniversitario Nacional (CIN). (2021). La universidad argentina: Hacia el desarrollo económico y el progreso social.</w:t>
      </w:r>
    </w:p>
    <w:p w14:paraId="1375DE01" w14:textId="77777777" w:rsidR="00225473" w:rsidRPr="00A46ECA" w:rsidRDefault="00225473" w:rsidP="00225473">
      <w:pPr>
        <w:spacing w:after="0" w:line="240" w:lineRule="exact"/>
        <w:ind w:left="709" w:hanging="709"/>
        <w:jc w:val="both"/>
      </w:pPr>
      <w:r w:rsidRPr="00A46ECA">
        <w:rPr>
          <w:rFonts w:ascii="Times New Roman" w:eastAsia="Times New Roman" w:hAnsi="Times New Roman" w:cs="Times New Roman"/>
        </w:rPr>
        <w:t>De Alba, A. (1995). Currículum: crisis, mitos y perspectivas. Miño y Dávila.</w:t>
      </w:r>
    </w:p>
    <w:p w14:paraId="2BD27EFB" w14:textId="77777777" w:rsidR="00225473" w:rsidRDefault="00225473" w:rsidP="00225473">
      <w:pPr>
        <w:spacing w:after="0"/>
        <w:ind w:left="709" w:hanging="709"/>
        <w:jc w:val="both"/>
      </w:pPr>
      <w:r>
        <w:rPr>
          <w:rFonts w:ascii="Times New Roman" w:hAnsi="Times New Roman"/>
        </w:rPr>
        <w:t>Fernández, L. M. (1994). Instituciones educativas: Dinámicas institucionales en situaciones críticas. Paidós.</w:t>
      </w:r>
    </w:p>
    <w:p w14:paraId="455E1E44" w14:textId="77777777" w:rsidR="00225473" w:rsidRPr="00A46ECA" w:rsidRDefault="00225473" w:rsidP="00225473">
      <w:pPr>
        <w:spacing w:after="0" w:line="240" w:lineRule="exact"/>
        <w:ind w:left="709" w:hanging="709"/>
        <w:jc w:val="both"/>
      </w:pPr>
      <w:r>
        <w:rPr>
          <w:rFonts w:ascii="Times New Roman" w:hAnsi="Times New Roman"/>
        </w:rPr>
        <w:t>Ganga, F., Abello, J., y Quiroz, J. (2014). Gobernanza universitaria: una mirada histórica y conceptual. En F. Ganga (Coord.), Gobernanza universitaria: aproximaciones teóricas y empíricas (pp. 11-23). Editorial CEDAC, Universidad de Los Lagos.</w:t>
      </w:r>
    </w:p>
    <w:p w14:paraId="46BBE5F1" w14:textId="77777777" w:rsidR="00225473" w:rsidRPr="00A46ECA" w:rsidRDefault="00225473" w:rsidP="00225473">
      <w:pPr>
        <w:spacing w:after="0" w:line="240" w:lineRule="exact"/>
        <w:ind w:left="709" w:hanging="709"/>
        <w:jc w:val="both"/>
      </w:pPr>
      <w:r>
        <w:rPr>
          <w:rFonts w:ascii="Times New Roman" w:hAnsi="Times New Roman"/>
        </w:rPr>
        <w:t>Gimeno Sacristán, J. (1992). El currículum: Una reflexión sobre la práctica (4.ª ed.). Morata.</w:t>
      </w:r>
    </w:p>
    <w:p w14:paraId="3171186E" w14:textId="77777777" w:rsidR="00225473" w:rsidRPr="00A46ECA" w:rsidRDefault="00225473" w:rsidP="00225473">
      <w:pPr>
        <w:spacing w:after="0" w:line="240" w:lineRule="exact"/>
        <w:ind w:left="709" w:hanging="709"/>
        <w:jc w:val="both"/>
      </w:pPr>
      <w:proofErr w:type="spellStart"/>
      <w:r>
        <w:rPr>
          <w:rFonts w:ascii="Times New Roman" w:hAnsi="Times New Roman"/>
        </w:rPr>
        <w:t>Laclau</w:t>
      </w:r>
      <w:proofErr w:type="spellEnd"/>
      <w:r>
        <w:rPr>
          <w:rFonts w:ascii="Times New Roman" w:hAnsi="Times New Roman"/>
        </w:rPr>
        <w:t xml:space="preserve">, E., &amp; </w:t>
      </w:r>
      <w:proofErr w:type="spellStart"/>
      <w:r>
        <w:rPr>
          <w:rFonts w:ascii="Times New Roman" w:hAnsi="Times New Roman"/>
        </w:rPr>
        <w:t>Mouffe</w:t>
      </w:r>
      <w:proofErr w:type="spellEnd"/>
      <w:r>
        <w:rPr>
          <w:rFonts w:ascii="Times New Roman" w:hAnsi="Times New Roman"/>
        </w:rPr>
        <w:t xml:space="preserve">, C. (1985). </w:t>
      </w:r>
      <w:proofErr w:type="spellStart"/>
      <w:r>
        <w:rPr>
          <w:rFonts w:ascii="Times New Roman" w:hAnsi="Times New Roman"/>
        </w:rPr>
        <w:t>Hegemony</w:t>
      </w:r>
      <w:proofErr w:type="spellEnd"/>
      <w:r>
        <w:rPr>
          <w:rFonts w:ascii="Times New Roman" w:hAnsi="Times New Roman"/>
        </w:rPr>
        <w:t xml:space="preserve"> and </w:t>
      </w:r>
      <w:proofErr w:type="spellStart"/>
      <w:r>
        <w:rPr>
          <w:rFonts w:ascii="Times New Roman" w:hAnsi="Times New Roman"/>
        </w:rPr>
        <w:t>socialist</w:t>
      </w:r>
      <w:proofErr w:type="spellEnd"/>
      <w:r>
        <w:rPr>
          <w:rFonts w:ascii="Times New Roman" w:hAnsi="Times New Roman"/>
        </w:rPr>
        <w:t xml:space="preserve"> </w:t>
      </w:r>
      <w:proofErr w:type="spellStart"/>
      <w:r>
        <w:rPr>
          <w:rFonts w:ascii="Times New Roman" w:hAnsi="Times New Roman"/>
        </w:rPr>
        <w:t>strategy</w:t>
      </w:r>
      <w:proofErr w:type="spellEnd"/>
      <w:r>
        <w:rPr>
          <w:rFonts w:ascii="Times New Roman" w:hAnsi="Times New Roman"/>
        </w:rPr>
        <w:t xml:space="preserve">: </w:t>
      </w:r>
      <w:proofErr w:type="spellStart"/>
      <w:r>
        <w:rPr>
          <w:rFonts w:ascii="Times New Roman" w:hAnsi="Times New Roman"/>
        </w:rPr>
        <w:t>Towards</w:t>
      </w:r>
      <w:proofErr w:type="spellEnd"/>
      <w:r>
        <w:rPr>
          <w:rFonts w:ascii="Times New Roman" w:hAnsi="Times New Roman"/>
        </w:rPr>
        <w:t xml:space="preserve"> a radical </w:t>
      </w:r>
      <w:proofErr w:type="spellStart"/>
      <w:r>
        <w:rPr>
          <w:rFonts w:ascii="Times New Roman" w:hAnsi="Times New Roman"/>
        </w:rPr>
        <w:t>democratic</w:t>
      </w:r>
      <w:proofErr w:type="spellEnd"/>
      <w:r>
        <w:rPr>
          <w:rFonts w:ascii="Times New Roman" w:hAnsi="Times New Roman"/>
        </w:rPr>
        <w:t xml:space="preserve"> </w:t>
      </w:r>
      <w:proofErr w:type="spellStart"/>
      <w:r>
        <w:rPr>
          <w:rFonts w:ascii="Times New Roman" w:hAnsi="Times New Roman"/>
        </w:rPr>
        <w:t>politics</w:t>
      </w:r>
      <w:proofErr w:type="spellEnd"/>
      <w:r>
        <w:rPr>
          <w:rFonts w:ascii="Times New Roman" w:hAnsi="Times New Roman"/>
        </w:rPr>
        <w:t>. Verso.</w:t>
      </w:r>
    </w:p>
    <w:p w14:paraId="5AC3118C" w14:textId="77777777" w:rsidR="00225473" w:rsidRPr="00A46ECA" w:rsidRDefault="00225473" w:rsidP="00225473">
      <w:pPr>
        <w:spacing w:after="0" w:line="240" w:lineRule="exact"/>
        <w:ind w:left="709" w:hanging="709"/>
        <w:jc w:val="both"/>
      </w:pPr>
      <w:proofErr w:type="spellStart"/>
      <w:r w:rsidRPr="00A46ECA">
        <w:rPr>
          <w:rFonts w:ascii="Times New Roman" w:eastAsia="Times New Roman" w:hAnsi="Times New Roman" w:cs="Times New Roman"/>
        </w:rPr>
        <w:t>Lapassade</w:t>
      </w:r>
      <w:proofErr w:type="spellEnd"/>
      <w:r w:rsidRPr="00A46ECA">
        <w:rPr>
          <w:rFonts w:ascii="Times New Roman" w:eastAsia="Times New Roman" w:hAnsi="Times New Roman" w:cs="Times New Roman"/>
        </w:rPr>
        <w:t>, G. (1979). El analizador y el analista. Gedisa.</w:t>
      </w:r>
    </w:p>
    <w:p w14:paraId="0884FCAF" w14:textId="77777777" w:rsidR="00225473" w:rsidRPr="00A46ECA" w:rsidRDefault="00225473" w:rsidP="00225473">
      <w:pPr>
        <w:spacing w:after="0" w:line="240" w:lineRule="exact"/>
        <w:ind w:left="709" w:hanging="709"/>
        <w:jc w:val="both"/>
      </w:pPr>
      <w:proofErr w:type="spellStart"/>
      <w:r w:rsidRPr="00A46ECA">
        <w:rPr>
          <w:rFonts w:ascii="Times New Roman" w:eastAsia="Times New Roman" w:hAnsi="Times New Roman" w:cs="Times New Roman"/>
        </w:rPr>
        <w:t>Lascoumes</w:t>
      </w:r>
      <w:proofErr w:type="spellEnd"/>
      <w:r w:rsidRPr="00A46ECA">
        <w:rPr>
          <w:rFonts w:ascii="Times New Roman" w:eastAsia="Times New Roman" w:hAnsi="Times New Roman" w:cs="Times New Roman"/>
        </w:rPr>
        <w:t xml:space="preserve">, P., &amp; Le </w:t>
      </w:r>
      <w:proofErr w:type="spellStart"/>
      <w:r w:rsidRPr="00A46ECA">
        <w:rPr>
          <w:rFonts w:ascii="Times New Roman" w:eastAsia="Times New Roman" w:hAnsi="Times New Roman" w:cs="Times New Roman"/>
        </w:rPr>
        <w:t>Galès</w:t>
      </w:r>
      <w:proofErr w:type="spellEnd"/>
      <w:r w:rsidRPr="00A46ECA">
        <w:rPr>
          <w:rFonts w:ascii="Times New Roman" w:eastAsia="Times New Roman" w:hAnsi="Times New Roman" w:cs="Times New Roman"/>
        </w:rPr>
        <w:t xml:space="preserve">, P. (2007). </w:t>
      </w:r>
      <w:proofErr w:type="spellStart"/>
      <w:r w:rsidRPr="00A46ECA">
        <w:rPr>
          <w:rFonts w:ascii="Times New Roman" w:eastAsia="Times New Roman" w:hAnsi="Times New Roman" w:cs="Times New Roman"/>
        </w:rPr>
        <w:t>Sociologie</w:t>
      </w:r>
      <w:proofErr w:type="spellEnd"/>
      <w:r w:rsidRPr="00A46ECA">
        <w:rPr>
          <w:rFonts w:ascii="Times New Roman" w:eastAsia="Times New Roman" w:hAnsi="Times New Roman" w:cs="Times New Roman"/>
        </w:rPr>
        <w:t xml:space="preserve"> de </w:t>
      </w:r>
      <w:proofErr w:type="spellStart"/>
      <w:r w:rsidRPr="00A46ECA">
        <w:rPr>
          <w:rFonts w:ascii="Times New Roman" w:eastAsia="Times New Roman" w:hAnsi="Times New Roman" w:cs="Times New Roman"/>
        </w:rPr>
        <w:t>l'action</w:t>
      </w:r>
      <w:proofErr w:type="spellEnd"/>
      <w:r w:rsidRPr="00A46ECA">
        <w:rPr>
          <w:rFonts w:ascii="Times New Roman" w:eastAsia="Times New Roman" w:hAnsi="Times New Roman" w:cs="Times New Roman"/>
        </w:rPr>
        <w:t xml:space="preserve"> publique. Armand Colin.</w:t>
      </w:r>
    </w:p>
    <w:p w14:paraId="70DE6A5D" w14:textId="77777777" w:rsidR="00225473" w:rsidRPr="00A46ECA" w:rsidRDefault="00225473" w:rsidP="00225473">
      <w:pPr>
        <w:spacing w:after="0" w:line="240" w:lineRule="exact"/>
        <w:ind w:left="709" w:hanging="709"/>
        <w:jc w:val="both"/>
      </w:pPr>
      <w:r>
        <w:rPr>
          <w:rFonts w:ascii="Times New Roman" w:hAnsi="Times New Roman"/>
        </w:rPr>
        <w:t>Marquina, M. (2025). Los dilemas del currículum en las macro universidades argentinas. En Currículum universitario y transformaciones de la educación superior. Homo Sapiens Ediciones.</w:t>
      </w:r>
    </w:p>
    <w:p w14:paraId="1FA352BF" w14:textId="77777777" w:rsidR="00225473" w:rsidRPr="00A46ECA" w:rsidRDefault="00225473" w:rsidP="00225473">
      <w:pPr>
        <w:spacing w:after="0" w:line="240" w:lineRule="exact"/>
        <w:ind w:left="709" w:hanging="709"/>
        <w:jc w:val="both"/>
      </w:pPr>
      <w:r>
        <w:rPr>
          <w:rFonts w:ascii="Times New Roman" w:hAnsi="Times New Roman"/>
        </w:rPr>
        <w:t>Marquina, M., y Morresi, S. D. (2017). ¿Más decisión y menos deliberación? Notas preliminares de investigación sobre los cambios en el gobierno universitario argentino en el siglo XXI. Manuscrito no publicado.</w:t>
      </w:r>
    </w:p>
    <w:p w14:paraId="57AA1EA9" w14:textId="77777777" w:rsidR="00225473" w:rsidRPr="00A46ECA" w:rsidRDefault="00225473" w:rsidP="00225473">
      <w:pPr>
        <w:spacing w:after="0" w:line="240" w:lineRule="exact"/>
        <w:ind w:left="709" w:hanging="709"/>
        <w:jc w:val="both"/>
      </w:pPr>
      <w:r>
        <w:rPr>
          <w:rFonts w:ascii="Times New Roman" w:hAnsi="Times New Roman"/>
        </w:rPr>
        <w:t xml:space="preserve">Ministerio de Educación de la Nación Argentina. (2025). Resolución Ministerial </w:t>
      </w:r>
      <w:proofErr w:type="spellStart"/>
      <w:r>
        <w:rPr>
          <w:rFonts w:ascii="Times New Roman" w:hAnsi="Times New Roman"/>
        </w:rPr>
        <w:t>N.°</w:t>
      </w:r>
      <w:proofErr w:type="spellEnd"/>
      <w:r>
        <w:rPr>
          <w:rFonts w:ascii="Times New Roman" w:hAnsi="Times New Roman"/>
        </w:rPr>
        <w:t xml:space="preserve"> 556/2025. Sistema Argentino de Créditos Académicos Universitarios (SACAU).</w:t>
      </w:r>
    </w:p>
    <w:p w14:paraId="346718DB" w14:textId="77777777" w:rsidR="00225473" w:rsidRPr="00A46ECA" w:rsidRDefault="00225473" w:rsidP="00225473">
      <w:pPr>
        <w:spacing w:after="0" w:line="240" w:lineRule="exact"/>
        <w:ind w:left="709" w:hanging="709"/>
        <w:jc w:val="both"/>
      </w:pPr>
      <w:r>
        <w:rPr>
          <w:rFonts w:ascii="Times New Roman" w:hAnsi="Times New Roman"/>
        </w:rPr>
        <w:t>Navarro, A. M. (1996). El planeamiento educacional en las instituciones de educación superior. Facultad de Filosofía y Humanidades, Universidad Nacional de Córdoba.</w:t>
      </w:r>
    </w:p>
    <w:p w14:paraId="72314CC4" w14:textId="77777777" w:rsidR="00225473" w:rsidRPr="00A46ECA" w:rsidRDefault="00225473" w:rsidP="00225473">
      <w:pPr>
        <w:spacing w:after="0" w:line="240" w:lineRule="exact"/>
        <w:ind w:left="709" w:hanging="709"/>
        <w:jc w:val="both"/>
      </w:pPr>
      <w:proofErr w:type="spellStart"/>
      <w:r>
        <w:rPr>
          <w:rFonts w:ascii="Times New Roman" w:hAnsi="Times New Roman"/>
        </w:rPr>
        <w:t>Nosiglia</w:t>
      </w:r>
      <w:proofErr w:type="spellEnd"/>
      <w:r>
        <w:rPr>
          <w:rFonts w:ascii="Times New Roman" w:hAnsi="Times New Roman"/>
        </w:rPr>
        <w:t>, M. C., y Mulle, V. P. (2009). Las transformaciones en el gobierno de las universidades argentinas: Análisis de casos. Revista Argentina de Educación Superior (RAES), 1(1), 173–186.</w:t>
      </w:r>
    </w:p>
    <w:p w14:paraId="23CA62C6" w14:textId="77777777" w:rsidR="00C802F5" w:rsidRPr="00BA642E" w:rsidRDefault="00C802F5" w:rsidP="007B5B5F">
      <w:pPr>
        <w:spacing w:line="240" w:lineRule="auto"/>
        <w:rPr>
          <w:rFonts w:ascii="Times New Roman" w:hAnsi="Times New Roman" w:cs="Times New Roman"/>
        </w:rPr>
      </w:pPr>
    </w:p>
    <w:p w14:paraId="7E83515B" w14:textId="17A66D8A"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A0C44" w14:textId="77777777" w:rsidR="00653F94" w:rsidRPr="00BA642E" w:rsidRDefault="00653F94" w:rsidP="00C802F5">
      <w:pPr>
        <w:spacing w:after="0" w:line="240" w:lineRule="auto"/>
      </w:pPr>
      <w:r w:rsidRPr="00BA642E">
        <w:separator/>
      </w:r>
    </w:p>
  </w:endnote>
  <w:endnote w:type="continuationSeparator" w:id="0">
    <w:p w14:paraId="3DC21165" w14:textId="77777777" w:rsidR="00653F94" w:rsidRPr="00BA642E" w:rsidRDefault="00653F9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265C0" w14:textId="77777777" w:rsidR="00653F94" w:rsidRPr="00BA642E" w:rsidRDefault="00653F94" w:rsidP="00C802F5">
      <w:pPr>
        <w:spacing w:after="0" w:line="240" w:lineRule="auto"/>
      </w:pPr>
      <w:r w:rsidRPr="00BA642E">
        <w:separator/>
      </w:r>
    </w:p>
  </w:footnote>
  <w:footnote w:type="continuationSeparator" w:id="0">
    <w:p w14:paraId="63D52A79" w14:textId="77777777" w:rsidR="00653F94" w:rsidRPr="00BA642E" w:rsidRDefault="00653F9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C63A7"/>
    <w:multiLevelType w:val="multilevel"/>
    <w:tmpl w:val="945ACD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25473"/>
    <w:rsid w:val="002327C3"/>
    <w:rsid w:val="00271F43"/>
    <w:rsid w:val="002F4CBF"/>
    <w:rsid w:val="00312392"/>
    <w:rsid w:val="004040C0"/>
    <w:rsid w:val="00437E9C"/>
    <w:rsid w:val="00550766"/>
    <w:rsid w:val="005C6C15"/>
    <w:rsid w:val="005F3B2E"/>
    <w:rsid w:val="00653F94"/>
    <w:rsid w:val="00701F64"/>
    <w:rsid w:val="00711436"/>
    <w:rsid w:val="007B5B5F"/>
    <w:rsid w:val="007D233B"/>
    <w:rsid w:val="007D2887"/>
    <w:rsid w:val="0085070B"/>
    <w:rsid w:val="00935365"/>
    <w:rsid w:val="00955D64"/>
    <w:rsid w:val="00A17247"/>
    <w:rsid w:val="00AE08B4"/>
    <w:rsid w:val="00BA642E"/>
    <w:rsid w:val="00BC236F"/>
    <w:rsid w:val="00C802F5"/>
    <w:rsid w:val="00C96B2C"/>
    <w:rsid w:val="00CC04C1"/>
    <w:rsid w:val="00CE6273"/>
    <w:rsid w:val="00D843EC"/>
    <w:rsid w:val="00ED4563"/>
    <w:rsid w:val="00FD1F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271F4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font-claude-response-body">
    <w:name w:val="font-claude-response-body"/>
    <w:basedOn w:val="Normal"/>
    <w:rsid w:val="007D2887"/>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nfasis">
    <w:name w:val="Emphasis"/>
    <w:basedOn w:val="Fuentedeprrafopredeter"/>
    <w:uiPriority w:val="20"/>
    <w:qFormat/>
    <w:rsid w:val="007D28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69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purro@undav.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9273E-C150-408E-948D-819D010B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8690</Words>
  <Characters>47796</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Antonela Capurro</cp:lastModifiedBy>
  <cp:revision>2</cp:revision>
  <dcterms:created xsi:type="dcterms:W3CDTF">2026-07-01T20:18:00Z</dcterms:created>
  <dcterms:modified xsi:type="dcterms:W3CDTF">2026-07-01T20:18:00Z</dcterms:modified>
</cp:coreProperties>
</file>