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421A17" w:rsidRDefault="00C802F5" w:rsidP="001923DC">
      <w:pPr>
        <w:jc w:val="center"/>
        <w:rPr>
          <w:rFonts w:ascii="Times New Roman" w:hAnsi="Times New Roman" w:cs="Times New Roman"/>
        </w:rPr>
      </w:pPr>
    </w:p>
    <w:p w14:paraId="6C4AA016" w14:textId="14F3E943" w:rsidR="00ED01A4" w:rsidRPr="00421A17" w:rsidRDefault="00ED01A4" w:rsidP="00ED01A4">
      <w:pPr>
        <w:jc w:val="center"/>
        <w:rPr>
          <w:rFonts w:ascii="Times New Roman" w:hAnsi="Times New Roman" w:cs="Times New Roman"/>
          <w:b/>
          <w:bCs/>
        </w:rPr>
      </w:pPr>
      <w:r w:rsidRPr="00421A17">
        <w:rPr>
          <w:rFonts w:ascii="Times New Roman" w:hAnsi="Times New Roman" w:cs="Times New Roman"/>
          <w:b/>
          <w:bCs/>
        </w:rPr>
        <w:t>Tensiones económicas en la gestión institucional de la educación</w:t>
      </w:r>
    </w:p>
    <w:p w14:paraId="1DABD42B" w14:textId="05EC6082" w:rsidR="001923DC" w:rsidRPr="00421A17" w:rsidRDefault="00ED01A4" w:rsidP="00ED01A4">
      <w:pPr>
        <w:jc w:val="center"/>
        <w:rPr>
          <w:rFonts w:ascii="Times New Roman" w:hAnsi="Times New Roman" w:cs="Times New Roman"/>
          <w:bCs/>
        </w:rPr>
      </w:pPr>
      <w:r w:rsidRPr="00421A17">
        <w:rPr>
          <w:rFonts w:ascii="Times New Roman" w:hAnsi="Times New Roman" w:cs="Times New Roman"/>
          <w:b/>
          <w:bCs/>
        </w:rPr>
        <w:t>superior artística y cultural en Argentina.</w:t>
      </w:r>
    </w:p>
    <w:p w14:paraId="388C0AB1" w14:textId="2A537B89" w:rsidR="00BB262A" w:rsidRPr="00421A17" w:rsidRDefault="00BB262A" w:rsidP="00BB262A">
      <w:pPr>
        <w:jc w:val="right"/>
        <w:rPr>
          <w:rFonts w:ascii="Times New Roman" w:hAnsi="Times New Roman" w:cs="Times New Roman"/>
        </w:rPr>
      </w:pPr>
      <w:r w:rsidRPr="00421A17">
        <w:rPr>
          <w:rFonts w:ascii="Times New Roman" w:hAnsi="Times New Roman" w:cs="Times New Roman"/>
        </w:rPr>
        <w:t xml:space="preserve">                                                     Netto, María Alejandra </w:t>
      </w:r>
    </w:p>
    <w:p w14:paraId="6F82F9BF" w14:textId="7D881188" w:rsidR="00BB262A" w:rsidRPr="00421A17" w:rsidRDefault="00142DEE" w:rsidP="00BB262A">
      <w:pPr>
        <w:jc w:val="right"/>
        <w:rPr>
          <w:rFonts w:ascii="Times New Roman" w:hAnsi="Times New Roman" w:cs="Times New Roman"/>
        </w:rPr>
      </w:pPr>
      <w:r>
        <w:rPr>
          <w:rFonts w:ascii="Times New Roman" w:hAnsi="Times New Roman" w:cs="Times New Roman"/>
        </w:rPr>
        <w:t xml:space="preserve">Universidad Nacional </w:t>
      </w:r>
      <w:r w:rsidR="00F9799E">
        <w:rPr>
          <w:rFonts w:ascii="Times New Roman" w:hAnsi="Times New Roman" w:cs="Times New Roman"/>
        </w:rPr>
        <w:t xml:space="preserve">de </w:t>
      </w:r>
      <w:r w:rsidR="00BB262A" w:rsidRPr="00421A17">
        <w:rPr>
          <w:rFonts w:ascii="Times New Roman" w:hAnsi="Times New Roman" w:cs="Times New Roman"/>
        </w:rPr>
        <w:t xml:space="preserve"> Tres de Febrero.</w:t>
      </w:r>
    </w:p>
    <w:p w14:paraId="5E6CC54A" w14:textId="77777777" w:rsidR="00BB262A" w:rsidRPr="00421A17" w:rsidRDefault="00393004" w:rsidP="00BB262A">
      <w:pPr>
        <w:jc w:val="right"/>
        <w:rPr>
          <w:rFonts w:ascii="Times New Roman" w:hAnsi="Times New Roman" w:cs="Times New Roman"/>
        </w:rPr>
      </w:pPr>
      <w:hyperlink r:id="rId7" w:history="1">
        <w:r w:rsidR="00BB262A" w:rsidRPr="00421A17">
          <w:rPr>
            <w:rStyle w:val="Hipervnculo"/>
            <w:rFonts w:ascii="Times New Roman" w:hAnsi="Times New Roman" w:cs="Times New Roman"/>
          </w:rPr>
          <w:t>mariaalejandranetto@gmail.com</w:t>
        </w:r>
      </w:hyperlink>
    </w:p>
    <w:p w14:paraId="0E65803F" w14:textId="4A0F6B3C" w:rsidR="00BB262A" w:rsidRPr="00421A17" w:rsidRDefault="00BB262A" w:rsidP="00BB262A">
      <w:pPr>
        <w:jc w:val="center"/>
        <w:rPr>
          <w:rFonts w:ascii="Times New Roman" w:hAnsi="Times New Roman" w:cs="Times New Roman"/>
        </w:rPr>
      </w:pPr>
    </w:p>
    <w:p w14:paraId="66F5B48B" w14:textId="13C7C132" w:rsidR="00BB262A" w:rsidRPr="00421A17" w:rsidRDefault="00BB262A" w:rsidP="00421A17">
      <w:pPr>
        <w:spacing w:line="240" w:lineRule="auto"/>
        <w:jc w:val="both"/>
        <w:rPr>
          <w:rFonts w:ascii="Times New Roman" w:hAnsi="Times New Roman" w:cs="Times New Roman"/>
        </w:rPr>
      </w:pPr>
      <w:r w:rsidRPr="00421A17">
        <w:rPr>
          <w:rFonts w:ascii="Times New Roman" w:hAnsi="Times New Roman" w:cs="Times New Roman"/>
          <w:b/>
        </w:rPr>
        <w:t>Resumen</w:t>
      </w:r>
      <w:r w:rsidR="0050201F">
        <w:rPr>
          <w:rFonts w:ascii="Times New Roman" w:hAnsi="Times New Roman" w:cs="Times New Roman"/>
        </w:rPr>
        <w:t xml:space="preserve"> :</w:t>
      </w:r>
      <w:r w:rsidRPr="00421A17">
        <w:rPr>
          <w:rFonts w:ascii="Times New Roman" w:hAnsi="Times New Roman" w:cs="Times New Roman"/>
        </w:rPr>
        <w:t>El presente trabajo propone analizar las tensiones económicas que atraviesan la gestión institucional de la educación superior artística y cultural en Argentina, particularmente en aquellas instituciones y espacios formativos vinculados al ámbito público y a las políticas culturales estatales. La investigación se inscribe en el campo de los estudios sobre gestión cultural y educación superior, y parte de la premisa de que las instituciones dedicadas a la formación artística se encuentran frecuentemente atravesados por dinámicas específicas que tensionan los modelos tradicionales de gestión pública y cultural. En este sentido, el trabajo se propone indagar cómo las restricciones presupuestarias, las transformaciones en las políticas culturales y educativas, y las particularidades del campo artístico inciden en la organización, el funcionamiento y la toma de decisiones dentro de estas instituciones. A partir de un enfoque cualitativo, se recuperan herramientas provenientes de la gestión cultural, el análisis institucional y los estudios sobre políticas públicas para examinar de qué manera se configuran dichas tensiones en el marco de estructuras organizativas que combinan dimensiones pedagógicas, artísticas y administrativas. Asimismo, se considera el papel que cumplen los actores institucionales —gestores, docentes, artistas y autoridades— en la negociación cotidiana de recursos, prioridades y estrategias de funcionamiento. El análisis se apoya en el estudio de experiencias y trayectorias institucionales vinculadas al campo de la formación artística, tomando como referencia debates contemporáneos sobre el financiamiento de la cultura, la sostenibilidad de los proyectos educativos en artes y los desafíos que enfrentan las organizaciones culturales públicas en contextos de limitación presupuestaria. En este marco, el trabajo busca aportar a la reflexión sobre la especificidad de la gestión en instituciones dedicadas a la educación artística y cultural, señalando cómo las tensiones económicas no sólo impactan en las estructuras institucionales sino también en los modos de producción artística, en las condiciones laborales de los trabajadores culturales y en la continuidad de los proyectos formativos. Finalmente, se propone discutir de qué manera estas tensiones permiten visibilizar la necesidad de desarrollar modelos de gestión institucional más flexibles y adaptados a las particularidades del campo artístico, capaces de articular políticas educativas, culturales y presupuestarias que garanticen la sostenibilidad y el desarrollo de la formación superior en artes.</w:t>
      </w:r>
    </w:p>
    <w:p w14:paraId="5FB70F55" w14:textId="77777777" w:rsidR="00BB262A" w:rsidRPr="00421A17" w:rsidRDefault="00BB262A" w:rsidP="00BB262A">
      <w:pPr>
        <w:jc w:val="right"/>
        <w:rPr>
          <w:rFonts w:ascii="Times New Roman" w:hAnsi="Times New Roman" w:cs="Times New Roman"/>
        </w:rPr>
      </w:pPr>
    </w:p>
    <w:p w14:paraId="17C6EF54" w14:textId="77777777" w:rsidR="00BB262A" w:rsidRPr="00421A17" w:rsidRDefault="00BB262A" w:rsidP="00BB262A">
      <w:pPr>
        <w:jc w:val="right"/>
        <w:rPr>
          <w:rFonts w:ascii="Times New Roman" w:hAnsi="Times New Roman" w:cs="Times New Roman"/>
        </w:rPr>
      </w:pPr>
    </w:p>
    <w:p w14:paraId="2994BAB3" w14:textId="0C99358C" w:rsidR="00BA642E" w:rsidRPr="00421A17" w:rsidRDefault="00BA642E" w:rsidP="007B5B5F">
      <w:pPr>
        <w:spacing w:line="240" w:lineRule="auto"/>
        <w:jc w:val="both"/>
        <w:rPr>
          <w:rFonts w:ascii="Times New Roman" w:hAnsi="Times New Roman" w:cs="Times New Roman"/>
          <w:bCs/>
        </w:rPr>
      </w:pPr>
      <w:r w:rsidRPr="00421A17">
        <w:rPr>
          <w:rFonts w:ascii="Times New Roman" w:hAnsi="Times New Roman" w:cs="Times New Roman"/>
          <w:b/>
          <w:bCs/>
        </w:rPr>
        <w:t>Palabras clave</w:t>
      </w:r>
      <w:r w:rsidRPr="00421A17">
        <w:rPr>
          <w:rFonts w:ascii="Times New Roman" w:hAnsi="Times New Roman" w:cs="Times New Roman"/>
          <w:bCs/>
        </w:rPr>
        <w:t xml:space="preserve">: </w:t>
      </w:r>
      <w:r w:rsidR="009816E0" w:rsidRPr="00421A17">
        <w:rPr>
          <w:rFonts w:ascii="Times New Roman" w:hAnsi="Times New Roman" w:cs="Times New Roman"/>
          <w:bCs/>
        </w:rPr>
        <w:t>Gestión institucional; Educación superior artística; Políticas culturales; Financiamiento de la cultura.</w:t>
      </w:r>
    </w:p>
    <w:p w14:paraId="2FB770FE" w14:textId="77777777" w:rsidR="005D6893" w:rsidRDefault="005D6893" w:rsidP="007B5B5F">
      <w:pPr>
        <w:spacing w:line="240" w:lineRule="auto"/>
        <w:rPr>
          <w:rFonts w:ascii="Times New Roman" w:hAnsi="Times New Roman" w:cs="Times New Roman"/>
          <w:b/>
          <w:bCs/>
        </w:rPr>
      </w:pPr>
    </w:p>
    <w:p w14:paraId="6A5547A1" w14:textId="36B7FAC2" w:rsidR="00BA642E" w:rsidRPr="00421A17" w:rsidRDefault="00BA642E" w:rsidP="007B5B5F">
      <w:pPr>
        <w:spacing w:line="240" w:lineRule="auto"/>
        <w:rPr>
          <w:rFonts w:ascii="Times New Roman" w:hAnsi="Times New Roman" w:cs="Times New Roman"/>
          <w:b/>
          <w:bCs/>
        </w:rPr>
      </w:pPr>
      <w:r w:rsidRPr="00421A17">
        <w:rPr>
          <w:rFonts w:ascii="Times New Roman" w:hAnsi="Times New Roman" w:cs="Times New Roman"/>
          <w:b/>
          <w:bCs/>
        </w:rPr>
        <w:t>Introducción</w:t>
      </w:r>
    </w:p>
    <w:p w14:paraId="2B767A6B" w14:textId="77777777" w:rsidR="005D6893" w:rsidRDefault="009816E0" w:rsidP="009816E0">
      <w:pPr>
        <w:spacing w:line="240" w:lineRule="auto"/>
        <w:rPr>
          <w:rFonts w:ascii="Times New Roman" w:hAnsi="Times New Roman" w:cs="Times New Roman"/>
          <w:bCs/>
        </w:rPr>
      </w:pPr>
      <w:r w:rsidRPr="00421A17">
        <w:rPr>
          <w:rFonts w:ascii="Times New Roman" w:hAnsi="Times New Roman" w:cs="Times New Roman"/>
          <w:bCs/>
        </w:rPr>
        <w:t xml:space="preserve">La educación superior artística ocupa un lugar estratégico dentro de las políticas culturales y educativas, en tanto constituye el espacio donde se forman los futuros profesionales de disciplinas como la música, la danza, el canto y las artes escénicas. </w:t>
      </w:r>
    </w:p>
    <w:p w14:paraId="2CF86D72" w14:textId="46B3608C" w:rsidR="009816E0" w:rsidRPr="00421A17" w:rsidRDefault="005D6893" w:rsidP="009816E0">
      <w:pPr>
        <w:spacing w:line="240" w:lineRule="auto"/>
        <w:rPr>
          <w:rFonts w:ascii="Times New Roman" w:hAnsi="Times New Roman" w:cs="Times New Roman"/>
          <w:bCs/>
        </w:rPr>
      </w:pPr>
      <w:r>
        <w:rPr>
          <w:rFonts w:ascii="Times New Roman" w:hAnsi="Times New Roman" w:cs="Times New Roman"/>
          <w:bCs/>
        </w:rPr>
        <w:t>A</w:t>
      </w:r>
      <w:r w:rsidR="009816E0" w:rsidRPr="00421A17">
        <w:rPr>
          <w:rFonts w:ascii="Times New Roman" w:hAnsi="Times New Roman" w:cs="Times New Roman"/>
          <w:bCs/>
        </w:rPr>
        <w:t xml:space="preserve"> diferencia de otras modalidades de educación superior, estas instituciones requieren modelos de gestión que articulen procesos pedagógicos, producción artística, infraestructura especializada y financiamiento público, configurando una dinámica institucional con características propias.</w:t>
      </w:r>
    </w:p>
    <w:p w14:paraId="518B6C3B" w14:textId="77777777" w:rsidR="009816E0" w:rsidRPr="00421A17" w:rsidRDefault="009816E0" w:rsidP="009816E0">
      <w:pPr>
        <w:spacing w:line="240" w:lineRule="auto"/>
        <w:rPr>
          <w:rFonts w:ascii="Times New Roman" w:hAnsi="Times New Roman" w:cs="Times New Roman"/>
          <w:bCs/>
        </w:rPr>
      </w:pPr>
      <w:r w:rsidRPr="00421A17">
        <w:rPr>
          <w:rFonts w:ascii="Times New Roman" w:hAnsi="Times New Roman" w:cs="Times New Roman"/>
          <w:bCs/>
        </w:rPr>
        <w:t>En Argentina, una parte significativa en el campo educativo profesional se desarrolla en instituciones públicas cuya organización y funcionamiento dependen de las políticas presupuestarias implementadas por el Estado. En este contexto, el presupuesto público no solo constituye un instrumento de asignación de recursos, sino también un factor que condiciona la planificación institucional, la continuidad de los proyectos educativos y las posibilidades de desarrollo de las organizaciones dedicadas a  procesos formativos</w:t>
      </w:r>
    </w:p>
    <w:p w14:paraId="6CC3E7A7" w14:textId="77777777" w:rsidR="009816E0" w:rsidRPr="00421A17" w:rsidRDefault="009816E0" w:rsidP="009816E0">
      <w:pPr>
        <w:spacing w:line="240" w:lineRule="auto"/>
        <w:rPr>
          <w:rFonts w:ascii="Times New Roman" w:hAnsi="Times New Roman" w:cs="Times New Roman"/>
          <w:bCs/>
        </w:rPr>
      </w:pPr>
      <w:r w:rsidRPr="00421A17">
        <w:rPr>
          <w:rFonts w:ascii="Times New Roman" w:hAnsi="Times New Roman" w:cs="Times New Roman"/>
          <w:bCs/>
        </w:rPr>
        <w:t>Desde esta perspectiva, la presente ponencia analiza las tensiones económicas que atraviesan la calidad de la enseñanza artística superior, tomando como caso de estudio el Instituto Superior de Arte del Teatro Colón. La elección de esta institución responde a su relevancia dentro del sistema de formación artística argentino y a la particularidad de desenvolverse en el ámbito del Ente Autárquico Teatro Colón, donde convergen funciones educativas y de producción artística sostenidas mediante financiamiento público.</w:t>
      </w:r>
    </w:p>
    <w:p w14:paraId="6CA7EB49" w14:textId="329AD1CD" w:rsidR="009816E0" w:rsidRDefault="009816E0" w:rsidP="009816E0">
      <w:pPr>
        <w:spacing w:line="240" w:lineRule="auto"/>
        <w:rPr>
          <w:rFonts w:ascii="Times New Roman" w:hAnsi="Times New Roman" w:cs="Times New Roman"/>
          <w:bCs/>
        </w:rPr>
      </w:pPr>
      <w:r w:rsidRPr="00421A17">
        <w:rPr>
          <w:rFonts w:ascii="Times New Roman" w:hAnsi="Times New Roman" w:cs="Times New Roman"/>
          <w:bCs/>
        </w:rPr>
        <w:t>Con este propósito, el trabajo examina el vínculo entre presupuesto, gestión institucional y planificación académica a partir del análisis del marco normativo, la información presupuestaria oficial y los aportes de la bibliografía especializada en gestión cultural, economía de la cultura y políticas públicas. Finalmente, se reflexiona sobre los desafíos que plantea la sostenibilidad de las instituciones de educación superior artística en escenarios de restricciones presupuestarias y sobre la necesidad de fortalecer las capacidades institucionales que garanticen la continuidad y la calidad de la formación artística.</w:t>
      </w:r>
    </w:p>
    <w:p w14:paraId="2FE2EAA6" w14:textId="77777777" w:rsidR="00421A17" w:rsidRPr="00421A17" w:rsidRDefault="00421A17" w:rsidP="009816E0">
      <w:pPr>
        <w:spacing w:line="240" w:lineRule="auto"/>
        <w:rPr>
          <w:rFonts w:ascii="Times New Roman" w:hAnsi="Times New Roman" w:cs="Times New Roman"/>
          <w:bCs/>
        </w:rPr>
      </w:pPr>
    </w:p>
    <w:p w14:paraId="2FD138AD" w14:textId="65FB0755" w:rsidR="005F3B2E" w:rsidRPr="0050201F" w:rsidRDefault="005F3B2E" w:rsidP="007B5B5F">
      <w:pPr>
        <w:spacing w:line="240" w:lineRule="auto"/>
        <w:rPr>
          <w:rFonts w:ascii="Times New Roman" w:hAnsi="Times New Roman" w:cs="Times New Roman"/>
          <w:b/>
          <w:bCs/>
          <w:lang w:val="es-MX"/>
        </w:rPr>
      </w:pPr>
      <w:r w:rsidRPr="0050201F">
        <w:rPr>
          <w:rFonts w:ascii="Times New Roman" w:hAnsi="Times New Roman" w:cs="Times New Roman"/>
          <w:b/>
          <w:bCs/>
          <w:lang w:val="es-MX"/>
        </w:rPr>
        <w:t>Desarrollo</w:t>
      </w:r>
    </w:p>
    <w:p w14:paraId="6A8BAE07" w14:textId="77777777" w:rsidR="005D6893" w:rsidRPr="0050201F" w:rsidRDefault="005D6893" w:rsidP="007B5B5F">
      <w:pPr>
        <w:spacing w:line="240" w:lineRule="auto"/>
        <w:rPr>
          <w:rFonts w:ascii="Times New Roman" w:hAnsi="Times New Roman" w:cs="Times New Roman"/>
          <w:b/>
          <w:bCs/>
          <w:lang w:val="es-MX"/>
        </w:rPr>
      </w:pPr>
    </w:p>
    <w:p w14:paraId="073DBEE5" w14:textId="77777777" w:rsidR="00421A17" w:rsidRPr="00421A17" w:rsidRDefault="00421A17" w:rsidP="00421A17">
      <w:pPr>
        <w:spacing w:line="240" w:lineRule="auto"/>
        <w:rPr>
          <w:rFonts w:ascii="Times New Roman" w:hAnsi="Times New Roman" w:cs="Times New Roman"/>
          <w:b/>
          <w:bCs/>
          <w:lang w:val="es-MX"/>
        </w:rPr>
      </w:pPr>
      <w:r w:rsidRPr="00421A17">
        <w:rPr>
          <w:rFonts w:ascii="Times New Roman" w:hAnsi="Times New Roman" w:cs="Times New Roman"/>
          <w:b/>
          <w:bCs/>
          <w:lang w:val="es-MX"/>
        </w:rPr>
        <w:t>Presupuesto público y gestión de la educación superior artística</w:t>
      </w:r>
    </w:p>
    <w:p w14:paraId="66D0F9B9"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lastRenderedPageBreak/>
        <w:t>Las instituciones públicas dedicadas a la formación artística desarrollan sus actividades dentro de marcos presupuestarios definidos por las políticas públicas de cada jurisdicción. En este contexto, el presupuesto público no constituye únicamente un instrumento de administración financiera, sino también una herramienta de política pública que expresa las prioridades del Estado en materia de educación, cultura y desarrollo artístico.</w:t>
      </w:r>
    </w:p>
    <w:p w14:paraId="7A091509"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Desde esta perspectiva, el presupuesto cumple una doble función. Por un lado, garantiza la asignación de recursos necesarios para el funcionamiento de las instituciones; por otro, orienta la planificación y el cumplimiento de los objetivos institucionales mediante la definición de programas, metas e indicadores de gestión. En consecuencia, las decisiones presupuestarias inciden directamente en la capacidad de las organizaciones para sostener sus funciones sustantivas y proyectar su desarrollo en el mediano y largo plazo.</w:t>
      </w:r>
    </w:p>
    <w:p w14:paraId="4978E39E"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el ámbito de la educación superior artística, esta relación adquiere características particulares. La formación profesional en disciplinas como la música, la danza, el canto o las artes escénicas requiere procesos pedagógicos continuos, cuerpos docentes altamente especializados, infraestructura específica y una estrecha articulación entre la enseñanza y la práctica artística. Estas condiciones diferencian a las instituciones artísticas de otros espacios de educación superior y las vuelven especialmente sensibles a las variaciones en la disponibilidad de recursos públicos.</w:t>
      </w:r>
    </w:p>
    <w:p w14:paraId="3DC10D39"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este marco, el Instituto Superior de Arte del Teatro Colón constituye un caso particularmente significativo para analizar las tensiones entre la gestión educativa y el financiamiento estatal. Integrado al Ente Autárquico Teatro Colón y dependiente del presupuesto del Gobierno de la Ciudad Autónoma de Buenos Aires, el Instituto desarrolla su actividad académica en estrecha relación con una institución cuya función principal es la producción artística. Esta doble condición genera desafíos específicos para la planificación estratégica al coexistir objetivos educativos permanentes, con decisiones presupuestarias definidas en forma anual.</w:t>
      </w:r>
    </w:p>
    <w:p w14:paraId="322521F8"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Si bien el marco normativo establece mecanismos destinados a garantizar la planificación, la transparencia y el control del gasto público, la disponibilidad efectiva de los recursos condiciona aspectos centrales de la gestión institucional. La planificación curricular, la contratación docente, la continuidad de los procesos formativos, las trayectorias estudiantiles y el sostenimiento de actividades académicas y artísticas dependen, en gran medida, de las posibilidades financieras previstas en cada ejercicio presupuestario.</w:t>
      </w:r>
    </w:p>
    <w:p w14:paraId="5594EDE6"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En consecuencia, el análisis del presupuesto público trasciende la dimensión estrictamente económica y adquiere relevancia como herramienta para comprender las condiciones de funcionamiento de las instituciones de educación superior artística. En el caso del Instituto Superior de Arte del Teatro Colón, que tomaremos como caso de estudio, ejemplifica cómo las decisiones presupuestarias inciden sobre la organización académica. El Presupuesto de la Ciudad (la fuente principal para este tema) nos muestra como cada año, en la Ley de Presupuesto público, en  un apartado específico </w:t>
      </w:r>
      <w:r w:rsidRPr="00421A17">
        <w:rPr>
          <w:rFonts w:ascii="Times New Roman" w:hAnsi="Times New Roman" w:cs="Times New Roman"/>
          <w:bCs/>
          <w:lang w:val="es-MX"/>
        </w:rPr>
        <w:lastRenderedPageBreak/>
        <w:t>denominado: Programa 58 – Formación Artística Instituto Superior de Arte, nos encontramos información específica sobre, gastos en personal; servicios no personales; bienes de consumo; bienes de uso;  y metas físicas (cantidad de alumnos). Por ejemplo, en una de las versiones del presupuesto aparece: Programa 58: Formación Artística Instituto Superior de Arte del Teatro Colon.</w:t>
      </w:r>
    </w:p>
    <w:p w14:paraId="4D778358"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El presupuesto del Gobierno de la Ciudad no se limita a asignar recursos económicos al Instituto Superior de Arte del Teatro Colón, sino que establece metas físicas de gestión, entre ellas la cantidad prevista de alumnos matriculados. Estas metas constituyen indicadores de desempeño del programa presupuestario y permiten evaluar la relación entre los recursos asignados y los resultados esperados. En el presupuesto público argentino, la expresión 'meta física' refiere al resultado previsto del programa y no al monto económico asignado, con  297 estudiantes matriculados durante ese ejercicio presupuestario,  el Estado se propone alcanzar la meta  con los recursos asignados. En el caso del ISA, la producción del programa educativo, se mide por la cantidad de alumnos que reciben la formación.</w:t>
      </w:r>
    </w:p>
    <w:p w14:paraId="7CF6AB4B" w14:textId="77777777" w:rsidR="00421A17" w:rsidRPr="00421A17" w:rsidRDefault="00421A17" w:rsidP="00421A17">
      <w:pPr>
        <w:spacing w:line="240" w:lineRule="auto"/>
        <w:rPr>
          <w:rFonts w:ascii="Times New Roman" w:hAnsi="Times New Roman" w:cs="Times New Roman"/>
          <w:bCs/>
          <w:lang w:val="es-MX"/>
        </w:rPr>
      </w:pPr>
    </w:p>
    <w:p w14:paraId="1E1664C5" w14:textId="63448AFF" w:rsidR="00421A17" w:rsidRPr="00F9799E" w:rsidRDefault="00F9799E" w:rsidP="00421A17">
      <w:pPr>
        <w:spacing w:line="240" w:lineRule="auto"/>
        <w:rPr>
          <w:rFonts w:ascii="Times New Roman" w:hAnsi="Times New Roman" w:cs="Times New Roman"/>
          <w:b/>
          <w:bCs/>
          <w:lang w:val="es-MX"/>
        </w:rPr>
      </w:pPr>
      <w:r w:rsidRPr="00F9799E">
        <w:rPr>
          <w:rFonts w:ascii="Times New Roman" w:hAnsi="Times New Roman" w:cs="Times New Roman"/>
          <w:b/>
          <w:bCs/>
          <w:lang w:val="es-MX"/>
        </w:rPr>
        <w:t>Ejemplo</w:t>
      </w:r>
      <w:r w:rsidR="00421A17" w:rsidRPr="00F9799E">
        <w:rPr>
          <w:rFonts w:ascii="Times New Roman" w:hAnsi="Times New Roman" w:cs="Times New Roman"/>
          <w:b/>
          <w:bCs/>
          <w:lang w:val="es-MX"/>
        </w:rPr>
        <w:t xml:space="preserve"> ficha </w:t>
      </w:r>
      <w:r w:rsidRPr="00F9799E">
        <w:rPr>
          <w:rFonts w:ascii="Times New Roman" w:hAnsi="Times New Roman" w:cs="Times New Roman"/>
          <w:b/>
          <w:bCs/>
          <w:lang w:val="es-MX"/>
        </w:rPr>
        <w:t xml:space="preserve">presupuestaria </w:t>
      </w:r>
    </w:p>
    <w:tbl>
      <w:tblPr>
        <w:tblStyle w:val="Tablaconcuadrcula"/>
        <w:tblW w:w="0" w:type="auto"/>
        <w:tblLook w:val="04A0" w:firstRow="1" w:lastRow="0" w:firstColumn="1" w:lastColumn="0" w:noHBand="0" w:noVBand="1"/>
      </w:tblPr>
      <w:tblGrid>
        <w:gridCol w:w="2161"/>
        <w:gridCol w:w="2161"/>
        <w:gridCol w:w="2161"/>
        <w:gridCol w:w="2161"/>
      </w:tblGrid>
      <w:tr w:rsidR="00421A17" w:rsidRPr="00421A17" w14:paraId="1486144C" w14:textId="77777777" w:rsidTr="00421A17">
        <w:tc>
          <w:tcPr>
            <w:tcW w:w="2161" w:type="dxa"/>
          </w:tcPr>
          <w:p w14:paraId="3E3A5CBF" w14:textId="77777777" w:rsidR="00421A17" w:rsidRPr="00421A17" w:rsidRDefault="00421A17" w:rsidP="003B633C">
            <w:pPr>
              <w:rPr>
                <w:rFonts w:ascii="Times New Roman" w:hAnsi="Times New Roman" w:cs="Times New Roman"/>
                <w:bCs/>
                <w:lang w:val="es-MX"/>
              </w:rPr>
            </w:pPr>
            <w:r w:rsidRPr="00421A17">
              <w:rPr>
                <w:rFonts w:ascii="Times New Roman" w:hAnsi="Times New Roman" w:cs="Times New Roman"/>
                <w:bCs/>
                <w:lang w:val="es-MX"/>
              </w:rPr>
              <w:t>Programa</w:t>
            </w:r>
          </w:p>
        </w:tc>
        <w:tc>
          <w:tcPr>
            <w:tcW w:w="2161" w:type="dxa"/>
          </w:tcPr>
          <w:p w14:paraId="6004DEC8" w14:textId="77777777" w:rsidR="00421A17" w:rsidRPr="00421A17" w:rsidRDefault="00421A17" w:rsidP="003B633C">
            <w:pPr>
              <w:rPr>
                <w:rFonts w:ascii="Times New Roman" w:hAnsi="Times New Roman" w:cs="Times New Roman"/>
                <w:bCs/>
                <w:lang w:val="es-MX"/>
              </w:rPr>
            </w:pPr>
            <w:r w:rsidRPr="00421A17">
              <w:rPr>
                <w:rFonts w:ascii="Times New Roman" w:hAnsi="Times New Roman" w:cs="Times New Roman"/>
                <w:bCs/>
                <w:lang w:val="es-MX"/>
              </w:rPr>
              <w:t>Crédito asignado</w:t>
            </w:r>
          </w:p>
        </w:tc>
        <w:tc>
          <w:tcPr>
            <w:tcW w:w="2161" w:type="dxa"/>
          </w:tcPr>
          <w:p w14:paraId="35E37EDD" w14:textId="77777777" w:rsidR="00421A17" w:rsidRPr="00421A17" w:rsidRDefault="00421A17" w:rsidP="003B633C">
            <w:pPr>
              <w:rPr>
                <w:rFonts w:ascii="Times New Roman" w:hAnsi="Times New Roman" w:cs="Times New Roman"/>
                <w:bCs/>
                <w:lang w:val="es-MX"/>
              </w:rPr>
            </w:pPr>
            <w:r w:rsidRPr="00421A17">
              <w:rPr>
                <w:rFonts w:ascii="Times New Roman" w:hAnsi="Times New Roman" w:cs="Times New Roman"/>
                <w:bCs/>
                <w:lang w:val="es-MX"/>
              </w:rPr>
              <w:t>Meta física</w:t>
            </w:r>
          </w:p>
        </w:tc>
        <w:tc>
          <w:tcPr>
            <w:tcW w:w="2161" w:type="dxa"/>
          </w:tcPr>
          <w:p w14:paraId="7386C6D0" w14:textId="77777777" w:rsidR="00421A17" w:rsidRPr="00421A17" w:rsidRDefault="00421A17" w:rsidP="003B633C">
            <w:pPr>
              <w:rPr>
                <w:rFonts w:ascii="Times New Roman" w:hAnsi="Times New Roman" w:cs="Times New Roman"/>
                <w:bCs/>
                <w:lang w:val="es-MX"/>
              </w:rPr>
            </w:pPr>
            <w:r w:rsidRPr="00421A17">
              <w:rPr>
                <w:rFonts w:ascii="Times New Roman" w:hAnsi="Times New Roman" w:cs="Times New Roman"/>
                <w:bCs/>
                <w:lang w:val="es-MX"/>
              </w:rPr>
              <w:t>Unidad de medida</w:t>
            </w:r>
          </w:p>
        </w:tc>
      </w:tr>
      <w:tr w:rsidR="00421A17" w:rsidRPr="00421A17" w14:paraId="644B2DCE" w14:textId="77777777" w:rsidTr="00421A17">
        <w:tc>
          <w:tcPr>
            <w:tcW w:w="2161" w:type="dxa"/>
          </w:tcPr>
          <w:p w14:paraId="76C56F76" w14:textId="77777777" w:rsidR="00421A17" w:rsidRPr="00421A17" w:rsidRDefault="00421A17" w:rsidP="003B633C">
            <w:pPr>
              <w:rPr>
                <w:rFonts w:ascii="Times New Roman" w:hAnsi="Times New Roman" w:cs="Times New Roman"/>
                <w:bCs/>
                <w:lang w:val="es-MX"/>
              </w:rPr>
            </w:pPr>
            <w:r w:rsidRPr="00421A17">
              <w:rPr>
                <w:rFonts w:ascii="Times New Roman" w:hAnsi="Times New Roman" w:cs="Times New Roman"/>
                <w:bCs/>
                <w:lang w:val="es-MX"/>
              </w:rPr>
              <w:t>Formación Artística Superior</w:t>
            </w:r>
          </w:p>
        </w:tc>
        <w:tc>
          <w:tcPr>
            <w:tcW w:w="2161" w:type="dxa"/>
          </w:tcPr>
          <w:p w14:paraId="0F52097E" w14:textId="77777777" w:rsidR="00421A17" w:rsidRPr="00421A17" w:rsidRDefault="00421A17" w:rsidP="003B633C">
            <w:pPr>
              <w:rPr>
                <w:rFonts w:ascii="Times New Roman" w:hAnsi="Times New Roman" w:cs="Times New Roman"/>
                <w:bCs/>
                <w:lang w:val="es-MX"/>
              </w:rPr>
            </w:pPr>
            <w:r w:rsidRPr="00421A17">
              <w:rPr>
                <w:rFonts w:ascii="Times New Roman" w:hAnsi="Times New Roman" w:cs="Times New Roman"/>
                <w:bCs/>
                <w:lang w:val="es-MX"/>
              </w:rPr>
              <w:t>$X</w:t>
            </w:r>
          </w:p>
        </w:tc>
        <w:tc>
          <w:tcPr>
            <w:tcW w:w="2161" w:type="dxa"/>
          </w:tcPr>
          <w:p w14:paraId="5942D18E" w14:textId="77777777" w:rsidR="00421A17" w:rsidRPr="00421A17" w:rsidRDefault="00421A17" w:rsidP="003B633C">
            <w:pPr>
              <w:rPr>
                <w:rFonts w:ascii="Times New Roman" w:hAnsi="Times New Roman" w:cs="Times New Roman"/>
                <w:bCs/>
                <w:lang w:val="es-MX"/>
              </w:rPr>
            </w:pPr>
            <w:r w:rsidRPr="00421A17">
              <w:rPr>
                <w:rFonts w:ascii="Times New Roman" w:hAnsi="Times New Roman" w:cs="Times New Roman"/>
                <w:bCs/>
                <w:lang w:val="es-MX"/>
              </w:rPr>
              <w:t>297</w:t>
            </w:r>
          </w:p>
        </w:tc>
        <w:tc>
          <w:tcPr>
            <w:tcW w:w="2161" w:type="dxa"/>
          </w:tcPr>
          <w:p w14:paraId="736E29EC" w14:textId="77777777" w:rsidR="00421A17" w:rsidRPr="00421A17" w:rsidRDefault="00421A17" w:rsidP="003B633C">
            <w:pPr>
              <w:rPr>
                <w:rFonts w:ascii="Times New Roman" w:hAnsi="Times New Roman" w:cs="Times New Roman"/>
                <w:bCs/>
                <w:lang w:val="es-MX"/>
              </w:rPr>
            </w:pPr>
            <w:r w:rsidRPr="00421A17">
              <w:rPr>
                <w:rFonts w:ascii="Times New Roman" w:hAnsi="Times New Roman" w:cs="Times New Roman"/>
                <w:bCs/>
                <w:lang w:val="es-MX"/>
              </w:rPr>
              <w:t>Alumnos matriculados</w:t>
            </w:r>
          </w:p>
        </w:tc>
      </w:tr>
    </w:tbl>
    <w:p w14:paraId="46437C22" w14:textId="579535D9" w:rsidR="00421A17" w:rsidRPr="00421A17" w:rsidRDefault="005D6893" w:rsidP="00421A17">
      <w:pPr>
        <w:spacing w:line="240" w:lineRule="auto"/>
        <w:rPr>
          <w:rFonts w:ascii="Times New Roman" w:hAnsi="Times New Roman" w:cs="Times New Roman"/>
          <w:bCs/>
          <w:lang w:val="es-MX"/>
        </w:rPr>
      </w:pPr>
      <w:r w:rsidRPr="00F9799E">
        <w:rPr>
          <w:rFonts w:ascii="Times New Roman" w:hAnsi="Times New Roman" w:cs="Times New Roman"/>
          <w:b/>
          <w:bCs/>
          <w:lang w:val="es-MX"/>
        </w:rPr>
        <w:t>Cuadro</w:t>
      </w:r>
      <w:r w:rsidR="00F9799E">
        <w:rPr>
          <w:rFonts w:ascii="Times New Roman" w:hAnsi="Times New Roman" w:cs="Times New Roman"/>
          <w:bCs/>
          <w:lang w:val="es-MX"/>
        </w:rPr>
        <w:t>:</w:t>
      </w:r>
      <w:r>
        <w:rPr>
          <w:rFonts w:ascii="Times New Roman" w:hAnsi="Times New Roman" w:cs="Times New Roman"/>
          <w:bCs/>
          <w:lang w:val="es-MX"/>
        </w:rPr>
        <w:t xml:space="preserve"> e</w:t>
      </w:r>
      <w:r w:rsidR="007D0212">
        <w:rPr>
          <w:rFonts w:ascii="Times New Roman" w:hAnsi="Times New Roman" w:cs="Times New Roman"/>
          <w:bCs/>
          <w:lang w:val="es-MX"/>
        </w:rPr>
        <w:t xml:space="preserve">laboración propia </w:t>
      </w:r>
      <w:r>
        <w:rPr>
          <w:rFonts w:ascii="Times New Roman" w:hAnsi="Times New Roman" w:cs="Times New Roman"/>
          <w:bCs/>
          <w:lang w:val="es-MX"/>
        </w:rPr>
        <w:t>según el programa del ISA.</w:t>
      </w:r>
      <w:r w:rsidR="007D0212">
        <w:rPr>
          <w:rFonts w:ascii="Times New Roman" w:hAnsi="Times New Roman" w:cs="Times New Roman"/>
          <w:bCs/>
          <w:lang w:val="es-MX"/>
        </w:rPr>
        <w:t xml:space="preserve"> </w:t>
      </w:r>
    </w:p>
    <w:p w14:paraId="25FE0FF4"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Esto no significa que el ISA tenga un cupo máximo de 297 alumnos, sino que esa es la cantidad de alumnos que el Gobierno de la Ciudad tomó como referencia para calcular y evaluar ese programa presupuestario durante ese año, o sea cada  año  vuelve a ser estimado en: cantidad de estudiantes, docentes, costos salariales, gastos de funcionamiento e inversiones previstas.</w:t>
      </w:r>
    </w:p>
    <w:p w14:paraId="1EB6BC4A"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Aunque el Teatro Colón cuenta con diversos cuerpos estables y espacios de formación  de excelencia en distintas disciplinas, el presupuesto público no distingue asignaciones específicas para cada uno de ellos. La mayor parte de la actividad artística se concentra en un único programa presupuestario, lo que implica que la distribución de recursos queda sujeta a decisiones internas de la conducción institucional. Esta modalidad puede generar tensiones entre las distintas áreas artísticas y reducir la previsibilidad en la planificación de las temporadas,  generando impacto en la gestión educativa del Instituto Superior de Arte.</w:t>
      </w:r>
    </w:p>
    <w:p w14:paraId="636222A5"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La dependencia presupuestaria del Instituto Superior de Arte respecto del Ente Autárquico Teatro Colón y del presupuesto anual aprobado por el Gobierno de la Ciudad Autónoma de Buenos Aires incide directamente sobre la planificación y el funcionamiento de la institución educativa. Si bien el ISA desarrolla una actividad académica permanente, la disponibilidad de recursos condiciona decisiones estratégicas que exceden el plano administrativo y repercuten sobre los procesos de enseñanza y aprendizaje.</w:t>
      </w:r>
    </w:p>
    <w:p w14:paraId="46D803E2"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lastRenderedPageBreak/>
        <w:t>La programación curricular  es un tema sensible, requiere estabilidad institucional para garantizar la continuidad de las carreras, la actualización de los planes de estudio y la incorporación de nuevos contenidos acordes con las transformaciones del campo artístico. Sin embargo, cuando la disponibilidad presupuestaria depende de decisiones anuales, la planificación académica debe adaptarse a restricciones económicas que pueden postergar reformas curriculares, limitar la apertura de asignaturas o reducir actividades complementarias indispensables para la formación profesional.</w:t>
      </w:r>
    </w:p>
    <w:p w14:paraId="6819DD2D"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instituciones de educación artística, donde predominan las clases prácticas, los ensayos y las producciones escénicas, la planificación curricular supone además una coordinación permanente entre recursos humanos, espacios físicos y tiempos de producción artística. Las trayectorias educativas de los estudiantes también pueden verse afectadas por la disponibilidad de recursos institucionales. La continuidad de determinadas materias, la realización de prácticas escénicas, la programación de producciones o la oferta de actividades complementarias dependen, en gran medida, de la capacidad presupuestaria de la institución.</w:t>
      </w:r>
    </w:p>
    <w:p w14:paraId="4346ECA7"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consecuencia, las decisiones financieras no repercuten únicamente sobre la administración, sino también sobre las condiciones efectivas en las que los estudiantes desarrollan su formación profesional y completan sus recorridos académicos.</w:t>
      </w:r>
    </w:p>
    <w:p w14:paraId="12F18C53"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Uno de los aspectos más sensibles de la gestión educativa es la contratación y permanencia del cuerpo docente. La enseñanza artística superior requiere profesores con una alta especialización profesional, muchas veces provenientes de los propios cuerpos artísticos estables del Teatro Colón o de reconocidas trayectorias nacionales e internacionales por ende, crea una incertidumbre presupuestaria que dificulta la planificación de las designaciones docentes, la cobertura de vacantes, la incorporación de especialistas y la estabilidad de los equipos académicos. Esta situación repercute directamente sobre la continuidad pedagógica y la calidad de la enseñanza. La formación artística profesional se caracteriza por desarrollarse mediante procesos de mediano y largo plazo. El aprendizaje técnico e interpretativo exige continuidad, práctica sistemática y acompañamiento permanente por parte de los docentes.</w:t>
      </w:r>
    </w:p>
    <w:p w14:paraId="57A114D5"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Cuando la proyección institucional se encuentra condicionada por restricciones presupuestarias o decisiones administrativas de corto plazo, estos procesos pueden verse interrumpido o modificado, afectando tanto la organización académica como la experiencia educativa de los estudiantes</w:t>
      </w:r>
    </w:p>
    <w:p w14:paraId="59A9108F"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La necesidad de compatibilizar objetivos pedagógicos con restricciones financieras coloca a la institución ante el desafío permanente de sostener estándares de excelencia formativa dentro de un marco de dependencia presupuestaria.</w:t>
      </w:r>
    </w:p>
    <w:p w14:paraId="45ED2E57"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este sentido, el ISA constituye un caso particularmente relevante para analizar cómo las decisiones de política pública en materia de financiamiento cultural inciden sobre la organización, planificación y calidad de una institución de educación superior artística.</w:t>
      </w:r>
    </w:p>
    <w:p w14:paraId="3717AB21" w14:textId="05A3C28D"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La evolución presupuestaria de los programas vinculados al Teatro Colón permite observar la diferencia de escala existente entre los recursos destinados a la producción </w:t>
      </w:r>
      <w:r w:rsidRPr="00421A17">
        <w:rPr>
          <w:rFonts w:ascii="Times New Roman" w:hAnsi="Times New Roman" w:cs="Times New Roman"/>
          <w:bCs/>
          <w:lang w:val="es-MX"/>
        </w:rPr>
        <w:lastRenderedPageBreak/>
        <w:t>artística y aquellos asignados específicamente a la formación superior. Esta</w:t>
      </w:r>
      <w:r w:rsidR="007D0212">
        <w:rPr>
          <w:rFonts w:ascii="Times New Roman" w:hAnsi="Times New Roman" w:cs="Times New Roman"/>
          <w:bCs/>
          <w:lang w:val="es-MX"/>
        </w:rPr>
        <w:t xml:space="preserve"> </w:t>
      </w:r>
      <w:r w:rsidRPr="00421A17">
        <w:rPr>
          <w:rFonts w:ascii="Times New Roman" w:hAnsi="Times New Roman" w:cs="Times New Roman"/>
          <w:bCs/>
          <w:lang w:val="es-MX"/>
        </w:rPr>
        <w:t xml:space="preserve">comparación </w:t>
      </w:r>
      <w:r w:rsidR="007D0212">
        <w:rPr>
          <w:rFonts w:ascii="Times New Roman" w:hAnsi="Times New Roman" w:cs="Times New Roman"/>
          <w:bCs/>
          <w:lang w:val="es-MX"/>
        </w:rPr>
        <w:t xml:space="preserve"> </w:t>
      </w:r>
      <w:r w:rsidRPr="00421A17">
        <w:rPr>
          <w:rFonts w:ascii="Times New Roman" w:hAnsi="Times New Roman" w:cs="Times New Roman"/>
          <w:bCs/>
          <w:lang w:val="es-MX"/>
        </w:rPr>
        <w:t xml:space="preserve"> un indicador  relevante para comprender la posición presupuestaria del Instituto Superior de Arte dentro de la estructura del Ente Autárquico.</w:t>
      </w:r>
    </w:p>
    <w:p w14:paraId="629CCF94" w14:textId="2C1C0452"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El siguiente cuadro sintetiza la evolución presupuestaria de los principa</w:t>
      </w:r>
      <w:r w:rsidR="007D0212">
        <w:rPr>
          <w:rFonts w:ascii="Times New Roman" w:hAnsi="Times New Roman" w:cs="Times New Roman"/>
          <w:bCs/>
          <w:lang w:val="es-MX"/>
        </w:rPr>
        <w:t xml:space="preserve">les programas del Teatro Colón. </w:t>
      </w:r>
      <w:r w:rsidRPr="00421A17">
        <w:rPr>
          <w:rFonts w:ascii="Times New Roman" w:hAnsi="Times New Roman" w:cs="Times New Roman"/>
          <w:bCs/>
          <w:lang w:val="es-MX"/>
        </w:rPr>
        <w:t xml:space="preserve">Programas 7, 58 y 59 </w:t>
      </w:r>
    </w:p>
    <w:p w14:paraId="34D43AAE"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Programa 7: Actividades comunes de los programas 58 y 59</w:t>
      </w:r>
    </w:p>
    <w:p w14:paraId="4CDBFDDA"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Programa 58: Formación artística en el Instituto Superior de Arte</w:t>
      </w:r>
    </w:p>
    <w:p w14:paraId="2EA66977"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Programa 59: Divulgación de las expresiones artísticas: Ópera, ballet conciertos, obras contemporáneas (Centro de Experimentación Teatro Colón y Ciclo Colón Contemporáneo).</w:t>
      </w:r>
    </w:p>
    <w:p w14:paraId="54AD5B9C" w14:textId="77777777" w:rsidR="00421A17" w:rsidRPr="00421A17" w:rsidRDefault="00421A17" w:rsidP="00421A17">
      <w:pPr>
        <w:spacing w:line="240" w:lineRule="auto"/>
        <w:rPr>
          <w:rFonts w:ascii="Times New Roman" w:hAnsi="Times New Roman" w:cs="Times New Roman"/>
          <w:b/>
          <w:bCs/>
          <w:lang w:val="es-MX"/>
        </w:rPr>
      </w:pPr>
      <w:r w:rsidRPr="00421A17">
        <w:rPr>
          <w:rFonts w:ascii="Times New Roman" w:hAnsi="Times New Roman" w:cs="Times New Roman"/>
          <w:b/>
          <w:bCs/>
          <w:lang w:val="es-MX"/>
        </w:rPr>
        <w:t>CUADRO:</w:t>
      </w:r>
    </w:p>
    <w:p w14:paraId="1A541007" w14:textId="49DE85DF" w:rsidR="000A461F"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Evolución presupuestaria de los programas 7, 58 y 59 del teatro colón (201</w:t>
      </w:r>
      <w:r w:rsidR="007D0212">
        <w:rPr>
          <w:rFonts w:ascii="Times New Roman" w:hAnsi="Times New Roman" w:cs="Times New Roman"/>
          <w:bCs/>
          <w:lang w:val="es-MX"/>
        </w:rPr>
        <w:t>5–2025)</w:t>
      </w:r>
    </w:p>
    <w:tbl>
      <w:tblPr>
        <w:tblStyle w:val="Tablaconcuadrcula"/>
        <w:tblW w:w="0" w:type="auto"/>
        <w:tblLook w:val="04A0" w:firstRow="1" w:lastRow="0" w:firstColumn="1" w:lastColumn="0" w:noHBand="0" w:noVBand="1"/>
      </w:tblPr>
      <w:tblGrid>
        <w:gridCol w:w="1042"/>
        <w:gridCol w:w="1583"/>
        <w:gridCol w:w="6024"/>
      </w:tblGrid>
      <w:tr w:rsidR="0048077F" w:rsidRPr="00421A17" w14:paraId="57CA2908" w14:textId="17047021" w:rsidTr="007D0212">
        <w:tc>
          <w:tcPr>
            <w:tcW w:w="1042" w:type="dxa"/>
          </w:tcPr>
          <w:p w14:paraId="314C50F2" w14:textId="254F33B2" w:rsidR="0048077F" w:rsidRPr="00421A17" w:rsidRDefault="0048077F" w:rsidP="00F655D2">
            <w:pPr>
              <w:rPr>
                <w:rFonts w:ascii="Times New Roman" w:hAnsi="Times New Roman" w:cs="Times New Roman"/>
                <w:bCs/>
                <w:lang w:val="es-MX"/>
              </w:rPr>
            </w:pPr>
            <w:r w:rsidRPr="00421A17">
              <w:rPr>
                <w:rFonts w:ascii="Times New Roman" w:hAnsi="Times New Roman" w:cs="Times New Roman"/>
                <w:bCs/>
                <w:lang w:val="es-MX"/>
              </w:rPr>
              <w:t>AÑO</w:t>
            </w:r>
          </w:p>
        </w:tc>
        <w:tc>
          <w:tcPr>
            <w:tcW w:w="1583" w:type="dxa"/>
          </w:tcPr>
          <w:p w14:paraId="537CE354" w14:textId="2951233E" w:rsidR="0048077F" w:rsidRPr="00421A17" w:rsidRDefault="0048077F" w:rsidP="0048077F">
            <w:pPr>
              <w:ind w:left="6"/>
              <w:rPr>
                <w:rFonts w:ascii="Times New Roman" w:hAnsi="Times New Roman" w:cs="Times New Roman"/>
                <w:bCs/>
                <w:lang w:val="es-MX"/>
              </w:rPr>
            </w:pPr>
            <w:r w:rsidRPr="00421A17">
              <w:rPr>
                <w:rFonts w:ascii="Times New Roman" w:hAnsi="Times New Roman" w:cs="Times New Roman"/>
                <w:bCs/>
                <w:lang w:val="es-MX"/>
              </w:rPr>
              <w:t>PROGRAMA</w:t>
            </w:r>
          </w:p>
        </w:tc>
        <w:tc>
          <w:tcPr>
            <w:tcW w:w="6024" w:type="dxa"/>
          </w:tcPr>
          <w:p w14:paraId="204E5B76" w14:textId="3767EF39" w:rsidR="0048077F" w:rsidRPr="00421A17" w:rsidRDefault="0048077F" w:rsidP="0048077F">
            <w:pPr>
              <w:ind w:left="901"/>
              <w:rPr>
                <w:rFonts w:ascii="Times New Roman" w:hAnsi="Times New Roman" w:cs="Times New Roman"/>
                <w:bCs/>
                <w:lang w:val="es-MX"/>
              </w:rPr>
            </w:pPr>
            <w:r w:rsidRPr="00421A17">
              <w:rPr>
                <w:rFonts w:ascii="Times New Roman" w:hAnsi="Times New Roman" w:cs="Times New Roman"/>
                <w:bCs/>
                <w:lang w:val="es-MX"/>
              </w:rPr>
              <w:t xml:space="preserve">GASTOS </w:t>
            </w:r>
            <w:r w:rsidRPr="00421A17">
              <w:rPr>
                <w:rFonts w:ascii="Times New Roman" w:hAnsi="Times New Roman" w:cs="Times New Roman"/>
                <w:bCs/>
                <w:lang w:val="es-MX"/>
              </w:rPr>
              <w:tab/>
              <w:t>RECURSOS</w:t>
            </w:r>
          </w:p>
        </w:tc>
      </w:tr>
      <w:tr w:rsidR="0048077F" w:rsidRPr="00421A17" w14:paraId="4C04E74C" w14:textId="52A7CB0F" w:rsidTr="007D0212">
        <w:tc>
          <w:tcPr>
            <w:tcW w:w="1042" w:type="dxa"/>
          </w:tcPr>
          <w:p w14:paraId="0194FEF0" w14:textId="2B57758A" w:rsidR="0048077F" w:rsidRPr="00421A17" w:rsidRDefault="0048077F" w:rsidP="00F655D2">
            <w:pPr>
              <w:rPr>
                <w:rFonts w:ascii="Times New Roman" w:hAnsi="Times New Roman" w:cs="Times New Roman"/>
                <w:bCs/>
                <w:lang w:val="es-MX"/>
              </w:rPr>
            </w:pPr>
            <w:r w:rsidRPr="00421A17">
              <w:rPr>
                <w:rFonts w:ascii="Times New Roman" w:hAnsi="Times New Roman" w:cs="Times New Roman"/>
                <w:bCs/>
                <w:lang w:val="es-MX"/>
              </w:rPr>
              <w:t>2015</w:t>
            </w:r>
          </w:p>
        </w:tc>
        <w:tc>
          <w:tcPr>
            <w:tcW w:w="1583" w:type="dxa"/>
          </w:tcPr>
          <w:p w14:paraId="4477A497" w14:textId="11EB5859" w:rsidR="0048077F" w:rsidRPr="00421A17" w:rsidRDefault="0048077F" w:rsidP="0048077F">
            <w:pPr>
              <w:ind w:left="297"/>
              <w:rPr>
                <w:rFonts w:ascii="Times New Roman" w:hAnsi="Times New Roman" w:cs="Times New Roman"/>
                <w:bCs/>
                <w:lang w:val="es-MX"/>
              </w:rPr>
            </w:pPr>
            <w:r w:rsidRPr="00421A17">
              <w:rPr>
                <w:rFonts w:ascii="Times New Roman" w:hAnsi="Times New Roman" w:cs="Times New Roman"/>
                <w:bCs/>
                <w:lang w:val="es-MX"/>
              </w:rPr>
              <w:t>7</w:t>
            </w:r>
          </w:p>
        </w:tc>
        <w:tc>
          <w:tcPr>
            <w:tcW w:w="6024" w:type="dxa"/>
          </w:tcPr>
          <w:p w14:paraId="0A25E1E2" w14:textId="7D0A5EFF" w:rsidR="0048077F" w:rsidRPr="00421A17" w:rsidRDefault="0048077F" w:rsidP="0048077F">
            <w:pPr>
              <w:ind w:left="1085"/>
              <w:rPr>
                <w:rFonts w:ascii="Times New Roman" w:hAnsi="Times New Roman" w:cs="Times New Roman"/>
                <w:bCs/>
                <w:lang w:val="es-MX"/>
              </w:rPr>
            </w:pPr>
            <w:r w:rsidRPr="00421A17">
              <w:rPr>
                <w:rFonts w:ascii="Times New Roman" w:hAnsi="Times New Roman" w:cs="Times New Roman"/>
                <w:bCs/>
                <w:lang w:val="es-MX"/>
              </w:rPr>
              <w:t>268.480.499.-</w:t>
            </w:r>
            <w:r w:rsidRPr="00421A17">
              <w:rPr>
                <w:rFonts w:ascii="Times New Roman" w:hAnsi="Times New Roman" w:cs="Times New Roman"/>
                <w:bCs/>
                <w:lang w:val="es-MX"/>
              </w:rPr>
              <w:tab/>
            </w:r>
          </w:p>
        </w:tc>
      </w:tr>
      <w:tr w:rsidR="0048077F" w:rsidRPr="00421A17" w14:paraId="33D75B7C" w14:textId="267A02E2" w:rsidTr="007D0212">
        <w:tc>
          <w:tcPr>
            <w:tcW w:w="1042" w:type="dxa"/>
          </w:tcPr>
          <w:p w14:paraId="489CAA23" w14:textId="77777777" w:rsidR="0048077F" w:rsidRDefault="0048077F" w:rsidP="00F655D2">
            <w:pPr>
              <w:rPr>
                <w:rFonts w:ascii="Times New Roman" w:hAnsi="Times New Roman" w:cs="Times New Roman"/>
                <w:bCs/>
                <w:lang w:val="es-MX"/>
              </w:rPr>
            </w:pPr>
          </w:p>
          <w:p w14:paraId="732A2B98" w14:textId="0A775844" w:rsidR="0048077F" w:rsidRPr="00421A17" w:rsidRDefault="0048077F" w:rsidP="00F655D2">
            <w:pPr>
              <w:rPr>
                <w:rFonts w:ascii="Times New Roman" w:hAnsi="Times New Roman" w:cs="Times New Roman"/>
                <w:bCs/>
                <w:lang w:val="es-MX"/>
              </w:rPr>
            </w:pPr>
            <w:r w:rsidRPr="00421A17">
              <w:rPr>
                <w:rFonts w:ascii="Times New Roman" w:hAnsi="Times New Roman" w:cs="Times New Roman"/>
                <w:bCs/>
                <w:lang w:val="es-MX"/>
              </w:rPr>
              <w:t>352. (1)</w:t>
            </w:r>
          </w:p>
        </w:tc>
        <w:tc>
          <w:tcPr>
            <w:tcW w:w="1583" w:type="dxa"/>
          </w:tcPr>
          <w:p w14:paraId="63C76420" w14:textId="77777777" w:rsidR="0048077F" w:rsidRDefault="0048077F" w:rsidP="0048077F">
            <w:pPr>
              <w:ind w:left="175"/>
              <w:rPr>
                <w:rFonts w:ascii="Times New Roman" w:hAnsi="Times New Roman" w:cs="Times New Roman"/>
                <w:bCs/>
                <w:lang w:val="es-MX"/>
              </w:rPr>
            </w:pPr>
            <w:r>
              <w:rPr>
                <w:rFonts w:ascii="Times New Roman" w:hAnsi="Times New Roman" w:cs="Times New Roman"/>
                <w:bCs/>
                <w:lang w:val="es-MX"/>
              </w:rPr>
              <w:t>58</w:t>
            </w:r>
          </w:p>
          <w:p w14:paraId="3084200E" w14:textId="53A9653A" w:rsidR="0048077F" w:rsidRPr="00421A17" w:rsidRDefault="0048077F" w:rsidP="0048077F">
            <w:pPr>
              <w:rPr>
                <w:rFonts w:ascii="Times New Roman" w:hAnsi="Times New Roman" w:cs="Times New Roman"/>
                <w:bCs/>
                <w:lang w:val="es-MX"/>
              </w:rPr>
            </w:pPr>
          </w:p>
        </w:tc>
        <w:tc>
          <w:tcPr>
            <w:tcW w:w="6024" w:type="dxa"/>
          </w:tcPr>
          <w:p w14:paraId="3A63B981" w14:textId="2A96F31A" w:rsidR="0048077F" w:rsidRDefault="0048077F" w:rsidP="0048077F">
            <w:pPr>
              <w:ind w:left="365"/>
              <w:rPr>
                <w:rFonts w:ascii="Times New Roman" w:hAnsi="Times New Roman" w:cs="Times New Roman"/>
                <w:bCs/>
                <w:lang w:val="es-MX"/>
              </w:rPr>
            </w:pPr>
            <w:r>
              <w:rPr>
                <w:rFonts w:ascii="Times New Roman" w:hAnsi="Times New Roman" w:cs="Times New Roman"/>
                <w:bCs/>
                <w:lang w:val="es-MX"/>
              </w:rPr>
              <w:t>13.491.179.-</w:t>
            </w:r>
            <w:r>
              <w:rPr>
                <w:rFonts w:ascii="Times New Roman" w:hAnsi="Times New Roman" w:cs="Times New Roman"/>
                <w:bCs/>
                <w:lang w:val="es-MX"/>
              </w:rPr>
              <w:tab/>
              <w:t>Pres.</w:t>
            </w:r>
            <w:r w:rsidR="0050201F">
              <w:rPr>
                <w:rFonts w:ascii="Times New Roman" w:hAnsi="Times New Roman" w:cs="Times New Roman"/>
                <w:bCs/>
                <w:lang w:val="es-MX"/>
              </w:rPr>
              <w:t xml:space="preserve"> f</w:t>
            </w:r>
            <w:r w:rsidRPr="00421A17">
              <w:rPr>
                <w:rFonts w:ascii="Times New Roman" w:hAnsi="Times New Roman" w:cs="Times New Roman"/>
                <w:bCs/>
                <w:lang w:val="es-MX"/>
              </w:rPr>
              <w:t xml:space="preserve">ísico: Alumnos matriculados </w:t>
            </w:r>
          </w:p>
          <w:p w14:paraId="31CD5CD0" w14:textId="77777777" w:rsidR="0048077F" w:rsidRPr="00421A17" w:rsidRDefault="0048077F" w:rsidP="0048077F">
            <w:pPr>
              <w:rPr>
                <w:rFonts w:ascii="Times New Roman" w:hAnsi="Times New Roman" w:cs="Times New Roman"/>
                <w:bCs/>
                <w:lang w:val="es-MX"/>
              </w:rPr>
            </w:pPr>
          </w:p>
        </w:tc>
      </w:tr>
      <w:tr w:rsidR="0048077F" w:rsidRPr="00421A17" w14:paraId="33002F81" w14:textId="0C96BDF5" w:rsidTr="007D0212">
        <w:tc>
          <w:tcPr>
            <w:tcW w:w="1042" w:type="dxa"/>
          </w:tcPr>
          <w:p w14:paraId="67DD61DC" w14:textId="4559A388" w:rsidR="0048077F" w:rsidRPr="00421A17" w:rsidRDefault="0048077F" w:rsidP="007E7A0A">
            <w:pPr>
              <w:rPr>
                <w:rFonts w:ascii="Times New Roman" w:hAnsi="Times New Roman" w:cs="Times New Roman"/>
                <w:bCs/>
                <w:lang w:val="es-MX"/>
              </w:rPr>
            </w:pPr>
          </w:p>
        </w:tc>
        <w:tc>
          <w:tcPr>
            <w:tcW w:w="1583" w:type="dxa"/>
          </w:tcPr>
          <w:p w14:paraId="567F64CE" w14:textId="19DDFC30" w:rsidR="0048077F" w:rsidRPr="00421A17" w:rsidRDefault="0048077F" w:rsidP="0048077F">
            <w:pPr>
              <w:ind w:left="236"/>
              <w:rPr>
                <w:rFonts w:ascii="Times New Roman" w:hAnsi="Times New Roman" w:cs="Times New Roman"/>
                <w:bCs/>
                <w:lang w:val="es-MX"/>
              </w:rPr>
            </w:pPr>
            <w:r>
              <w:rPr>
                <w:rFonts w:ascii="Times New Roman" w:hAnsi="Times New Roman" w:cs="Times New Roman"/>
                <w:bCs/>
                <w:lang w:val="es-MX"/>
              </w:rPr>
              <w:t>59</w:t>
            </w:r>
          </w:p>
        </w:tc>
        <w:tc>
          <w:tcPr>
            <w:tcW w:w="6024" w:type="dxa"/>
          </w:tcPr>
          <w:p w14:paraId="0E020ACB" w14:textId="5C582EAF" w:rsidR="0048077F" w:rsidRPr="00421A17" w:rsidRDefault="0050201F" w:rsidP="0048077F">
            <w:pPr>
              <w:ind w:left="472"/>
              <w:rPr>
                <w:rFonts w:ascii="Times New Roman" w:hAnsi="Times New Roman" w:cs="Times New Roman"/>
                <w:bCs/>
                <w:lang w:val="es-MX"/>
              </w:rPr>
            </w:pPr>
            <w:r>
              <w:rPr>
                <w:rFonts w:ascii="Times New Roman" w:hAnsi="Times New Roman" w:cs="Times New Roman"/>
                <w:bCs/>
                <w:lang w:val="es-MX"/>
              </w:rPr>
              <w:t>312.114.856.-</w:t>
            </w:r>
            <w:r>
              <w:rPr>
                <w:rFonts w:ascii="Times New Roman" w:hAnsi="Times New Roman" w:cs="Times New Roman"/>
                <w:bCs/>
                <w:lang w:val="es-MX"/>
              </w:rPr>
              <w:tab/>
              <w:t>Pres. f</w:t>
            </w:r>
            <w:r w:rsidR="0048077F">
              <w:rPr>
                <w:rFonts w:ascii="Times New Roman" w:hAnsi="Times New Roman" w:cs="Times New Roman"/>
                <w:bCs/>
                <w:lang w:val="es-MX"/>
              </w:rPr>
              <w:t xml:space="preserve">ísico: </w:t>
            </w:r>
            <w:proofErr w:type="spellStart"/>
            <w:r w:rsidR="0048077F">
              <w:rPr>
                <w:rFonts w:ascii="Times New Roman" w:hAnsi="Times New Roman" w:cs="Times New Roman"/>
                <w:bCs/>
                <w:lang w:val="es-MX"/>
              </w:rPr>
              <w:t>Asist</w:t>
            </w:r>
            <w:proofErr w:type="spellEnd"/>
            <w:r w:rsidR="0048077F" w:rsidRPr="00421A17">
              <w:rPr>
                <w:rFonts w:ascii="Times New Roman" w:hAnsi="Times New Roman" w:cs="Times New Roman"/>
                <w:bCs/>
                <w:lang w:val="es-MX"/>
              </w:rPr>
              <w:t xml:space="preserve"> a </w:t>
            </w:r>
            <w:r w:rsidR="0048077F">
              <w:rPr>
                <w:rFonts w:ascii="Times New Roman" w:hAnsi="Times New Roman" w:cs="Times New Roman"/>
                <w:bCs/>
                <w:lang w:val="es-MX"/>
              </w:rPr>
              <w:t xml:space="preserve"> esp.33.8331              </w:t>
            </w:r>
            <w:r w:rsidR="0048077F" w:rsidRPr="00421A17">
              <w:rPr>
                <w:rFonts w:ascii="Times New Roman" w:hAnsi="Times New Roman" w:cs="Times New Roman"/>
                <w:bCs/>
                <w:lang w:val="es-MX"/>
              </w:rPr>
              <w:t xml:space="preserve">  </w:t>
            </w:r>
            <w:r w:rsidR="0048077F">
              <w:rPr>
                <w:rFonts w:ascii="Times New Roman" w:hAnsi="Times New Roman" w:cs="Times New Roman"/>
                <w:bCs/>
                <w:lang w:val="es-MX"/>
              </w:rPr>
              <w:t xml:space="preserve">                                                                                        </w:t>
            </w:r>
          </w:p>
        </w:tc>
      </w:tr>
      <w:tr w:rsidR="0048077F" w:rsidRPr="00421A17" w14:paraId="7C75DD32" w14:textId="206701E7" w:rsidTr="007D0212">
        <w:tc>
          <w:tcPr>
            <w:tcW w:w="1042" w:type="dxa"/>
          </w:tcPr>
          <w:p w14:paraId="292B47FF" w14:textId="7164AFD8" w:rsidR="0048077F" w:rsidRPr="00421A17" w:rsidRDefault="0048077F" w:rsidP="00F655D2">
            <w:pPr>
              <w:rPr>
                <w:rFonts w:ascii="Times New Roman" w:hAnsi="Times New Roman" w:cs="Times New Roman"/>
                <w:bCs/>
                <w:lang w:val="es-MX"/>
              </w:rPr>
            </w:pPr>
            <w:r w:rsidRPr="00421A17">
              <w:rPr>
                <w:rFonts w:ascii="Times New Roman" w:hAnsi="Times New Roman" w:cs="Times New Roman"/>
                <w:bCs/>
                <w:lang w:val="es-MX"/>
              </w:rPr>
              <w:t>2016</w:t>
            </w:r>
          </w:p>
        </w:tc>
        <w:tc>
          <w:tcPr>
            <w:tcW w:w="1583" w:type="dxa"/>
          </w:tcPr>
          <w:p w14:paraId="1DDC64BA" w14:textId="6DF04FE4" w:rsidR="0048077F" w:rsidRPr="00421A17" w:rsidRDefault="0048077F" w:rsidP="0048077F">
            <w:pPr>
              <w:ind w:left="297"/>
              <w:rPr>
                <w:rFonts w:ascii="Times New Roman" w:hAnsi="Times New Roman" w:cs="Times New Roman"/>
                <w:bCs/>
                <w:lang w:val="es-MX"/>
              </w:rPr>
            </w:pPr>
            <w:r w:rsidRPr="00421A17">
              <w:rPr>
                <w:rFonts w:ascii="Times New Roman" w:hAnsi="Times New Roman" w:cs="Times New Roman"/>
                <w:bCs/>
                <w:lang w:val="es-MX"/>
              </w:rPr>
              <w:t>7</w:t>
            </w:r>
          </w:p>
        </w:tc>
        <w:tc>
          <w:tcPr>
            <w:tcW w:w="6024" w:type="dxa"/>
          </w:tcPr>
          <w:p w14:paraId="2AC0D0DD" w14:textId="1A8EA8D9" w:rsidR="0048077F" w:rsidRPr="00421A17" w:rsidRDefault="0048077F" w:rsidP="0048077F">
            <w:pPr>
              <w:ind w:left="595"/>
              <w:rPr>
                <w:rFonts w:ascii="Times New Roman" w:hAnsi="Times New Roman" w:cs="Times New Roman"/>
                <w:bCs/>
                <w:lang w:val="es-MX"/>
              </w:rPr>
            </w:pPr>
            <w:r w:rsidRPr="00421A17">
              <w:rPr>
                <w:rFonts w:ascii="Times New Roman" w:hAnsi="Times New Roman" w:cs="Times New Roman"/>
                <w:bCs/>
                <w:lang w:val="es-MX"/>
              </w:rPr>
              <w:t>401.665.791.-</w:t>
            </w:r>
            <w:r w:rsidRPr="00421A17">
              <w:rPr>
                <w:rFonts w:ascii="Times New Roman" w:hAnsi="Times New Roman" w:cs="Times New Roman"/>
                <w:bCs/>
                <w:lang w:val="es-MX"/>
              </w:rPr>
              <w:tab/>
              <w:t xml:space="preserve"> </w:t>
            </w:r>
          </w:p>
        </w:tc>
      </w:tr>
      <w:tr w:rsidR="0048077F" w:rsidRPr="00421A17" w14:paraId="1BC0753A" w14:textId="07B24ED4" w:rsidTr="007D0212">
        <w:tc>
          <w:tcPr>
            <w:tcW w:w="1042" w:type="dxa"/>
          </w:tcPr>
          <w:p w14:paraId="50B3C604" w14:textId="3E822D37" w:rsidR="0048077F" w:rsidRPr="00421A17" w:rsidRDefault="0048077F" w:rsidP="00F655D2">
            <w:pPr>
              <w:rPr>
                <w:rFonts w:ascii="Times New Roman" w:hAnsi="Times New Roman" w:cs="Times New Roman"/>
                <w:bCs/>
                <w:lang w:val="es-MX"/>
              </w:rPr>
            </w:pPr>
          </w:p>
        </w:tc>
        <w:tc>
          <w:tcPr>
            <w:tcW w:w="1583" w:type="dxa"/>
          </w:tcPr>
          <w:p w14:paraId="190346C9" w14:textId="20A0B6B7" w:rsidR="0048077F" w:rsidRPr="00421A17" w:rsidRDefault="0048077F" w:rsidP="0048077F">
            <w:pPr>
              <w:ind w:left="297"/>
              <w:rPr>
                <w:rFonts w:ascii="Times New Roman" w:hAnsi="Times New Roman" w:cs="Times New Roman"/>
                <w:bCs/>
                <w:lang w:val="es-MX"/>
              </w:rPr>
            </w:pPr>
            <w:r w:rsidRPr="00421A17">
              <w:rPr>
                <w:rFonts w:ascii="Times New Roman" w:hAnsi="Times New Roman" w:cs="Times New Roman"/>
                <w:bCs/>
                <w:lang w:val="es-MX"/>
              </w:rPr>
              <w:t>58</w:t>
            </w:r>
          </w:p>
        </w:tc>
        <w:tc>
          <w:tcPr>
            <w:tcW w:w="6024" w:type="dxa"/>
          </w:tcPr>
          <w:p w14:paraId="5E86DAB4" w14:textId="3392C51D" w:rsidR="0048077F" w:rsidRPr="00421A17" w:rsidRDefault="0048077F" w:rsidP="0048077F">
            <w:pPr>
              <w:ind w:left="656"/>
              <w:rPr>
                <w:rFonts w:ascii="Times New Roman" w:hAnsi="Times New Roman" w:cs="Times New Roman"/>
                <w:bCs/>
                <w:lang w:val="es-MX"/>
              </w:rPr>
            </w:pPr>
            <w:r w:rsidRPr="00421A17">
              <w:rPr>
                <w:rFonts w:ascii="Times New Roman" w:hAnsi="Times New Roman" w:cs="Times New Roman"/>
                <w:bCs/>
                <w:lang w:val="es-MX"/>
              </w:rPr>
              <w:t>14.595.535.-</w:t>
            </w:r>
            <w:r w:rsidRPr="00421A17">
              <w:rPr>
                <w:rFonts w:ascii="Times New Roman" w:hAnsi="Times New Roman" w:cs="Times New Roman"/>
                <w:bCs/>
                <w:lang w:val="es-MX"/>
              </w:rPr>
              <w:tab/>
              <w:t xml:space="preserve"> (1)</w:t>
            </w:r>
          </w:p>
        </w:tc>
      </w:tr>
      <w:tr w:rsidR="0048077F" w:rsidRPr="00421A17" w14:paraId="4AD456AD" w14:textId="28BA8C48" w:rsidTr="007D0212">
        <w:tc>
          <w:tcPr>
            <w:tcW w:w="1042" w:type="dxa"/>
          </w:tcPr>
          <w:p w14:paraId="415DE984" w14:textId="044DF3B6" w:rsidR="0048077F" w:rsidRPr="00421A17" w:rsidRDefault="0048077F" w:rsidP="00F655D2">
            <w:pPr>
              <w:rPr>
                <w:rFonts w:ascii="Times New Roman" w:hAnsi="Times New Roman" w:cs="Times New Roman"/>
                <w:bCs/>
                <w:lang w:val="es-MX"/>
              </w:rPr>
            </w:pPr>
          </w:p>
        </w:tc>
        <w:tc>
          <w:tcPr>
            <w:tcW w:w="1583" w:type="dxa"/>
          </w:tcPr>
          <w:p w14:paraId="4C6B661C" w14:textId="63E2C5CF" w:rsidR="0048077F" w:rsidRPr="00421A17" w:rsidRDefault="0048077F" w:rsidP="0048077F">
            <w:pPr>
              <w:ind w:left="175"/>
              <w:rPr>
                <w:rFonts w:ascii="Times New Roman" w:hAnsi="Times New Roman" w:cs="Times New Roman"/>
                <w:bCs/>
                <w:lang w:val="es-MX"/>
              </w:rPr>
            </w:pPr>
            <w:r w:rsidRPr="00421A17">
              <w:rPr>
                <w:rFonts w:ascii="Times New Roman" w:hAnsi="Times New Roman" w:cs="Times New Roman"/>
                <w:bCs/>
                <w:lang w:val="es-MX"/>
              </w:rPr>
              <w:t>59</w:t>
            </w:r>
          </w:p>
        </w:tc>
        <w:tc>
          <w:tcPr>
            <w:tcW w:w="6024" w:type="dxa"/>
          </w:tcPr>
          <w:p w14:paraId="17A46660" w14:textId="7AD54C73" w:rsidR="0048077F" w:rsidRPr="00421A17" w:rsidRDefault="0048077F" w:rsidP="0048077F">
            <w:pPr>
              <w:ind w:left="473"/>
              <w:rPr>
                <w:rFonts w:ascii="Times New Roman" w:hAnsi="Times New Roman" w:cs="Times New Roman"/>
                <w:bCs/>
                <w:lang w:val="es-MX"/>
              </w:rPr>
            </w:pPr>
            <w:r w:rsidRPr="00421A17">
              <w:rPr>
                <w:rFonts w:ascii="Times New Roman" w:hAnsi="Times New Roman" w:cs="Times New Roman"/>
                <w:bCs/>
                <w:lang w:val="es-MX"/>
              </w:rPr>
              <w:t>398.309.130.-</w:t>
            </w:r>
            <w:r w:rsidRPr="00421A17">
              <w:rPr>
                <w:rFonts w:ascii="Times New Roman" w:hAnsi="Times New Roman" w:cs="Times New Roman"/>
                <w:bCs/>
                <w:lang w:val="es-MX"/>
              </w:rPr>
              <w:tab/>
              <w:t xml:space="preserve"> </w:t>
            </w:r>
          </w:p>
        </w:tc>
      </w:tr>
      <w:tr w:rsidR="0048077F" w:rsidRPr="00421A17" w14:paraId="6988B214" w14:textId="558A6808" w:rsidTr="007D0212">
        <w:tc>
          <w:tcPr>
            <w:tcW w:w="1042" w:type="dxa"/>
          </w:tcPr>
          <w:p w14:paraId="4F0E1000" w14:textId="2795DFD8" w:rsidR="0048077F" w:rsidRPr="00421A17" w:rsidRDefault="0048077F" w:rsidP="00F655D2">
            <w:pPr>
              <w:rPr>
                <w:rFonts w:ascii="Times New Roman" w:hAnsi="Times New Roman" w:cs="Times New Roman"/>
                <w:bCs/>
                <w:lang w:val="es-MX"/>
              </w:rPr>
            </w:pPr>
            <w:r w:rsidRPr="00421A17">
              <w:rPr>
                <w:rFonts w:ascii="Times New Roman" w:hAnsi="Times New Roman" w:cs="Times New Roman"/>
                <w:bCs/>
                <w:lang w:val="es-MX"/>
              </w:rPr>
              <w:t>2017</w:t>
            </w:r>
          </w:p>
        </w:tc>
        <w:tc>
          <w:tcPr>
            <w:tcW w:w="1583" w:type="dxa"/>
          </w:tcPr>
          <w:p w14:paraId="7711B341" w14:textId="24A01D74" w:rsidR="0048077F" w:rsidRPr="00421A17" w:rsidRDefault="0048077F" w:rsidP="0048077F">
            <w:pPr>
              <w:ind w:left="297"/>
              <w:rPr>
                <w:rFonts w:ascii="Times New Roman" w:hAnsi="Times New Roman" w:cs="Times New Roman"/>
                <w:bCs/>
                <w:lang w:val="es-MX"/>
              </w:rPr>
            </w:pPr>
            <w:r w:rsidRPr="00421A17">
              <w:rPr>
                <w:rFonts w:ascii="Times New Roman" w:hAnsi="Times New Roman" w:cs="Times New Roman"/>
                <w:bCs/>
                <w:lang w:val="es-MX"/>
              </w:rPr>
              <w:t>7</w:t>
            </w:r>
          </w:p>
        </w:tc>
        <w:tc>
          <w:tcPr>
            <w:tcW w:w="6024" w:type="dxa"/>
          </w:tcPr>
          <w:p w14:paraId="39C5DBA4" w14:textId="02196E10" w:rsidR="0048077F" w:rsidRPr="00421A17" w:rsidRDefault="0048077F" w:rsidP="0048077F">
            <w:pPr>
              <w:ind w:left="778"/>
              <w:rPr>
                <w:rFonts w:ascii="Times New Roman" w:hAnsi="Times New Roman" w:cs="Times New Roman"/>
                <w:bCs/>
                <w:lang w:val="es-MX"/>
              </w:rPr>
            </w:pPr>
            <w:r w:rsidRPr="00421A17">
              <w:rPr>
                <w:rFonts w:ascii="Times New Roman" w:hAnsi="Times New Roman" w:cs="Times New Roman"/>
                <w:bCs/>
                <w:lang w:val="es-MX"/>
              </w:rPr>
              <w:t>642.774.053.-</w:t>
            </w:r>
            <w:r w:rsidRPr="00421A17">
              <w:rPr>
                <w:rFonts w:ascii="Times New Roman" w:hAnsi="Times New Roman" w:cs="Times New Roman"/>
                <w:bCs/>
                <w:lang w:val="es-MX"/>
              </w:rPr>
              <w:tab/>
              <w:t xml:space="preserve"> </w:t>
            </w:r>
          </w:p>
        </w:tc>
      </w:tr>
      <w:tr w:rsidR="0048077F" w:rsidRPr="00421A17" w14:paraId="643021A7" w14:textId="0686C9F3" w:rsidTr="007D0212">
        <w:tc>
          <w:tcPr>
            <w:tcW w:w="1042" w:type="dxa"/>
          </w:tcPr>
          <w:p w14:paraId="3C24A08D" w14:textId="013B8B5F" w:rsidR="0048077F" w:rsidRPr="00421A17" w:rsidRDefault="0048077F" w:rsidP="00F655D2">
            <w:pPr>
              <w:rPr>
                <w:rFonts w:ascii="Times New Roman" w:hAnsi="Times New Roman" w:cs="Times New Roman"/>
                <w:bCs/>
                <w:lang w:val="es-MX"/>
              </w:rPr>
            </w:pPr>
          </w:p>
        </w:tc>
        <w:tc>
          <w:tcPr>
            <w:tcW w:w="1583" w:type="dxa"/>
          </w:tcPr>
          <w:p w14:paraId="488F0AA9" w14:textId="46AFCFDA" w:rsidR="0048077F" w:rsidRPr="00421A17" w:rsidRDefault="0048077F" w:rsidP="0048077F">
            <w:pPr>
              <w:ind w:left="236"/>
              <w:rPr>
                <w:rFonts w:ascii="Times New Roman" w:hAnsi="Times New Roman" w:cs="Times New Roman"/>
                <w:bCs/>
                <w:lang w:val="es-MX"/>
              </w:rPr>
            </w:pPr>
            <w:r>
              <w:rPr>
                <w:rFonts w:ascii="Times New Roman" w:hAnsi="Times New Roman" w:cs="Times New Roman"/>
                <w:bCs/>
                <w:lang w:val="es-MX"/>
              </w:rPr>
              <w:t>58</w:t>
            </w:r>
          </w:p>
        </w:tc>
        <w:tc>
          <w:tcPr>
            <w:tcW w:w="6024" w:type="dxa"/>
          </w:tcPr>
          <w:p w14:paraId="7BFE2B37" w14:textId="5ED34436" w:rsidR="0048077F" w:rsidRPr="00421A17" w:rsidRDefault="0050201F" w:rsidP="0048077F">
            <w:pPr>
              <w:ind w:left="595"/>
              <w:rPr>
                <w:rFonts w:ascii="Times New Roman" w:hAnsi="Times New Roman" w:cs="Times New Roman"/>
                <w:bCs/>
                <w:lang w:val="es-MX"/>
              </w:rPr>
            </w:pPr>
            <w:r>
              <w:rPr>
                <w:rFonts w:ascii="Times New Roman" w:hAnsi="Times New Roman" w:cs="Times New Roman"/>
                <w:bCs/>
                <w:lang w:val="es-MX"/>
              </w:rPr>
              <w:t>25.154.160.-</w:t>
            </w:r>
            <w:r>
              <w:rPr>
                <w:rFonts w:ascii="Times New Roman" w:hAnsi="Times New Roman" w:cs="Times New Roman"/>
                <w:bCs/>
                <w:lang w:val="es-MX"/>
              </w:rPr>
              <w:tab/>
              <w:t xml:space="preserve">  </w:t>
            </w:r>
            <w:proofErr w:type="spellStart"/>
            <w:r>
              <w:rPr>
                <w:rFonts w:ascii="Times New Roman" w:hAnsi="Times New Roman" w:cs="Times New Roman"/>
                <w:bCs/>
                <w:lang w:val="es-MX"/>
              </w:rPr>
              <w:t>Presu</w:t>
            </w:r>
            <w:proofErr w:type="spellEnd"/>
            <w:r>
              <w:rPr>
                <w:rFonts w:ascii="Times New Roman" w:hAnsi="Times New Roman" w:cs="Times New Roman"/>
                <w:bCs/>
                <w:lang w:val="es-MX"/>
              </w:rPr>
              <w:t xml:space="preserve"> f</w:t>
            </w:r>
            <w:r w:rsidR="0048077F" w:rsidRPr="00421A17">
              <w:rPr>
                <w:rFonts w:ascii="Times New Roman" w:hAnsi="Times New Roman" w:cs="Times New Roman"/>
                <w:bCs/>
                <w:lang w:val="es-MX"/>
              </w:rPr>
              <w:t xml:space="preserve">ísico: Alumnos </w:t>
            </w:r>
            <w:proofErr w:type="spellStart"/>
            <w:r w:rsidR="0048077F">
              <w:rPr>
                <w:rFonts w:ascii="Times New Roman" w:hAnsi="Times New Roman" w:cs="Times New Roman"/>
                <w:bCs/>
                <w:lang w:val="es-MX"/>
              </w:rPr>
              <w:t>mat</w:t>
            </w:r>
            <w:proofErr w:type="spellEnd"/>
            <w:r w:rsidR="0048077F">
              <w:rPr>
                <w:rFonts w:ascii="Times New Roman" w:hAnsi="Times New Roman" w:cs="Times New Roman"/>
                <w:bCs/>
                <w:lang w:val="es-MX"/>
              </w:rPr>
              <w:t xml:space="preserve"> 360</w:t>
            </w:r>
          </w:p>
        </w:tc>
      </w:tr>
      <w:tr w:rsidR="0048077F" w:rsidRPr="00421A17" w14:paraId="6CB902D0" w14:textId="29289B4A" w:rsidTr="007D0212">
        <w:tc>
          <w:tcPr>
            <w:tcW w:w="1042" w:type="dxa"/>
          </w:tcPr>
          <w:p w14:paraId="2587FB1B" w14:textId="458EBF06" w:rsidR="0048077F" w:rsidRPr="00421A17" w:rsidRDefault="0048077F" w:rsidP="00F655D2">
            <w:pPr>
              <w:rPr>
                <w:rFonts w:ascii="Times New Roman" w:hAnsi="Times New Roman" w:cs="Times New Roman"/>
                <w:bCs/>
                <w:lang w:val="es-MX"/>
              </w:rPr>
            </w:pPr>
          </w:p>
        </w:tc>
        <w:tc>
          <w:tcPr>
            <w:tcW w:w="1583" w:type="dxa"/>
          </w:tcPr>
          <w:p w14:paraId="6366A556" w14:textId="4570180F" w:rsidR="0048077F" w:rsidRPr="00421A17" w:rsidRDefault="0048077F" w:rsidP="0048077F">
            <w:pPr>
              <w:ind w:left="175"/>
              <w:rPr>
                <w:rFonts w:ascii="Times New Roman" w:hAnsi="Times New Roman" w:cs="Times New Roman"/>
                <w:bCs/>
                <w:lang w:val="es-MX"/>
              </w:rPr>
            </w:pPr>
            <w:r>
              <w:rPr>
                <w:rFonts w:ascii="Times New Roman" w:hAnsi="Times New Roman" w:cs="Times New Roman"/>
                <w:bCs/>
                <w:lang w:val="es-MX"/>
              </w:rPr>
              <w:t>59</w:t>
            </w:r>
          </w:p>
        </w:tc>
        <w:tc>
          <w:tcPr>
            <w:tcW w:w="6024" w:type="dxa"/>
          </w:tcPr>
          <w:p w14:paraId="15DA1DEF" w14:textId="2742B6EB" w:rsidR="0048077F" w:rsidRPr="00421A17" w:rsidRDefault="0048077F" w:rsidP="0048077F">
            <w:pPr>
              <w:ind w:left="243"/>
              <w:rPr>
                <w:rFonts w:ascii="Times New Roman" w:hAnsi="Times New Roman" w:cs="Times New Roman"/>
                <w:bCs/>
                <w:lang w:val="es-MX"/>
              </w:rPr>
            </w:pPr>
            <w:r>
              <w:rPr>
                <w:rFonts w:ascii="Times New Roman" w:hAnsi="Times New Roman" w:cs="Times New Roman"/>
                <w:bCs/>
                <w:lang w:val="es-MX"/>
              </w:rPr>
              <w:t xml:space="preserve">513.474.894  </w:t>
            </w:r>
            <w:proofErr w:type="spellStart"/>
            <w:r>
              <w:rPr>
                <w:rFonts w:ascii="Times New Roman" w:hAnsi="Times New Roman" w:cs="Times New Roman"/>
                <w:bCs/>
                <w:lang w:val="es-MX"/>
              </w:rPr>
              <w:t>Presu</w:t>
            </w:r>
            <w:proofErr w:type="spellEnd"/>
            <w:r>
              <w:rPr>
                <w:rFonts w:ascii="Times New Roman" w:hAnsi="Times New Roman" w:cs="Times New Roman"/>
                <w:bCs/>
                <w:lang w:val="es-MX"/>
              </w:rPr>
              <w:t xml:space="preserve"> físico: </w:t>
            </w:r>
            <w:proofErr w:type="spellStart"/>
            <w:r>
              <w:rPr>
                <w:rFonts w:ascii="Times New Roman" w:hAnsi="Times New Roman" w:cs="Times New Roman"/>
                <w:bCs/>
                <w:lang w:val="es-MX"/>
              </w:rPr>
              <w:t>Asist</w:t>
            </w:r>
            <w:proofErr w:type="spellEnd"/>
            <w:r w:rsidRPr="00421A17">
              <w:rPr>
                <w:rFonts w:ascii="Times New Roman" w:hAnsi="Times New Roman" w:cs="Times New Roman"/>
                <w:bCs/>
                <w:lang w:val="es-MX"/>
              </w:rPr>
              <w:t xml:space="preserve"> a espectáculos  </w:t>
            </w:r>
            <w:r>
              <w:rPr>
                <w:rFonts w:ascii="Times New Roman" w:hAnsi="Times New Roman" w:cs="Times New Roman"/>
                <w:bCs/>
                <w:lang w:val="es-MX"/>
              </w:rPr>
              <w:t>417.000</w:t>
            </w:r>
          </w:p>
        </w:tc>
      </w:tr>
      <w:tr w:rsidR="0048077F" w:rsidRPr="00421A17" w14:paraId="77C7DF3B" w14:textId="05CCDE6F" w:rsidTr="007D0212">
        <w:tc>
          <w:tcPr>
            <w:tcW w:w="1042" w:type="dxa"/>
          </w:tcPr>
          <w:p w14:paraId="10ADD4C2" w14:textId="4CF14055" w:rsidR="0048077F" w:rsidRPr="00421A17" w:rsidRDefault="0048077F" w:rsidP="00F655D2">
            <w:pPr>
              <w:rPr>
                <w:rFonts w:ascii="Times New Roman" w:hAnsi="Times New Roman" w:cs="Times New Roman"/>
                <w:bCs/>
                <w:lang w:val="es-MX"/>
              </w:rPr>
            </w:pPr>
            <w:r w:rsidRPr="00421A17">
              <w:rPr>
                <w:rFonts w:ascii="Times New Roman" w:hAnsi="Times New Roman" w:cs="Times New Roman"/>
                <w:bCs/>
                <w:lang w:val="es-MX"/>
              </w:rPr>
              <w:t>2018</w:t>
            </w:r>
          </w:p>
        </w:tc>
        <w:tc>
          <w:tcPr>
            <w:tcW w:w="1583" w:type="dxa"/>
          </w:tcPr>
          <w:p w14:paraId="50B1A1BB" w14:textId="2B226917" w:rsidR="0048077F" w:rsidRPr="00421A17" w:rsidRDefault="0048077F" w:rsidP="0048077F">
            <w:pPr>
              <w:ind w:left="190"/>
              <w:rPr>
                <w:rFonts w:ascii="Times New Roman" w:hAnsi="Times New Roman" w:cs="Times New Roman"/>
                <w:bCs/>
                <w:lang w:val="es-MX"/>
              </w:rPr>
            </w:pPr>
            <w:r w:rsidRPr="00421A17">
              <w:rPr>
                <w:rFonts w:ascii="Times New Roman" w:hAnsi="Times New Roman" w:cs="Times New Roman"/>
                <w:bCs/>
                <w:lang w:val="es-MX"/>
              </w:rPr>
              <w:t>7</w:t>
            </w:r>
          </w:p>
        </w:tc>
        <w:tc>
          <w:tcPr>
            <w:tcW w:w="6024" w:type="dxa"/>
          </w:tcPr>
          <w:p w14:paraId="1F7E0A6A" w14:textId="09736626" w:rsidR="0048077F" w:rsidRPr="00421A17" w:rsidRDefault="0048077F" w:rsidP="0048077F">
            <w:pPr>
              <w:ind w:left="855"/>
              <w:rPr>
                <w:rFonts w:ascii="Times New Roman" w:hAnsi="Times New Roman" w:cs="Times New Roman"/>
                <w:bCs/>
                <w:lang w:val="es-MX"/>
              </w:rPr>
            </w:pPr>
            <w:r w:rsidRPr="00421A17">
              <w:rPr>
                <w:rFonts w:ascii="Times New Roman" w:hAnsi="Times New Roman" w:cs="Times New Roman"/>
                <w:bCs/>
                <w:lang w:val="es-MX"/>
              </w:rPr>
              <w:t>397.806.738.-</w:t>
            </w:r>
            <w:r w:rsidRPr="00421A17">
              <w:rPr>
                <w:rFonts w:ascii="Times New Roman" w:hAnsi="Times New Roman" w:cs="Times New Roman"/>
                <w:bCs/>
                <w:lang w:val="es-MX"/>
              </w:rPr>
              <w:tab/>
              <w:t xml:space="preserve"> </w:t>
            </w:r>
          </w:p>
        </w:tc>
      </w:tr>
      <w:tr w:rsidR="0048077F" w:rsidRPr="00421A17" w14:paraId="28F4BA8D" w14:textId="413CB56C" w:rsidTr="007D0212">
        <w:tc>
          <w:tcPr>
            <w:tcW w:w="1042" w:type="dxa"/>
          </w:tcPr>
          <w:p w14:paraId="49CBC295" w14:textId="3497C490" w:rsidR="0048077F" w:rsidRPr="00421A17" w:rsidRDefault="0048077F" w:rsidP="00F655D2">
            <w:pPr>
              <w:rPr>
                <w:rFonts w:ascii="Times New Roman" w:hAnsi="Times New Roman" w:cs="Times New Roman"/>
                <w:bCs/>
                <w:lang w:val="es-MX"/>
              </w:rPr>
            </w:pPr>
          </w:p>
        </w:tc>
        <w:tc>
          <w:tcPr>
            <w:tcW w:w="1583" w:type="dxa"/>
          </w:tcPr>
          <w:p w14:paraId="11C28212" w14:textId="35F6A76C" w:rsidR="0048077F" w:rsidRPr="00421A17" w:rsidRDefault="0048077F" w:rsidP="0048077F">
            <w:pPr>
              <w:ind w:left="236"/>
              <w:rPr>
                <w:rFonts w:ascii="Times New Roman" w:hAnsi="Times New Roman" w:cs="Times New Roman"/>
                <w:bCs/>
                <w:lang w:val="es-MX"/>
              </w:rPr>
            </w:pPr>
            <w:r>
              <w:rPr>
                <w:rFonts w:ascii="Times New Roman" w:hAnsi="Times New Roman" w:cs="Times New Roman"/>
                <w:bCs/>
                <w:lang w:val="es-MX"/>
              </w:rPr>
              <w:t>58</w:t>
            </w:r>
          </w:p>
        </w:tc>
        <w:tc>
          <w:tcPr>
            <w:tcW w:w="6024" w:type="dxa"/>
          </w:tcPr>
          <w:p w14:paraId="5108BC83" w14:textId="65EC5145" w:rsidR="0048077F" w:rsidRPr="00421A17" w:rsidRDefault="0048077F" w:rsidP="0048077F">
            <w:pPr>
              <w:ind w:left="365"/>
              <w:rPr>
                <w:rFonts w:ascii="Times New Roman" w:hAnsi="Times New Roman" w:cs="Times New Roman"/>
                <w:bCs/>
                <w:lang w:val="es-MX"/>
              </w:rPr>
            </w:pPr>
            <w:r>
              <w:rPr>
                <w:rFonts w:ascii="Times New Roman" w:hAnsi="Times New Roman" w:cs="Times New Roman"/>
                <w:bCs/>
                <w:lang w:val="es-MX"/>
              </w:rPr>
              <w:t xml:space="preserve">32.690.577.-  </w:t>
            </w:r>
            <w:proofErr w:type="spellStart"/>
            <w:r>
              <w:rPr>
                <w:rFonts w:ascii="Times New Roman" w:hAnsi="Times New Roman" w:cs="Times New Roman"/>
                <w:bCs/>
                <w:lang w:val="es-MX"/>
              </w:rPr>
              <w:t>Presu</w:t>
            </w:r>
            <w:proofErr w:type="spellEnd"/>
            <w:r w:rsidRPr="00421A17">
              <w:rPr>
                <w:rFonts w:ascii="Times New Roman" w:hAnsi="Times New Roman" w:cs="Times New Roman"/>
                <w:bCs/>
                <w:lang w:val="es-MX"/>
              </w:rPr>
              <w:t xml:space="preserve"> físico: Alumnos </w:t>
            </w:r>
            <w:proofErr w:type="spellStart"/>
            <w:r w:rsidRPr="00421A17">
              <w:rPr>
                <w:rFonts w:ascii="Times New Roman" w:hAnsi="Times New Roman" w:cs="Times New Roman"/>
                <w:bCs/>
                <w:lang w:val="es-MX"/>
              </w:rPr>
              <w:t>matri</w:t>
            </w:r>
            <w:r>
              <w:rPr>
                <w:rFonts w:ascii="Times New Roman" w:hAnsi="Times New Roman" w:cs="Times New Roman"/>
                <w:bCs/>
                <w:lang w:val="es-MX"/>
              </w:rPr>
              <w:t>cu</w:t>
            </w:r>
            <w:proofErr w:type="spellEnd"/>
            <w:r w:rsidRPr="00421A17">
              <w:rPr>
                <w:rFonts w:ascii="Times New Roman" w:hAnsi="Times New Roman" w:cs="Times New Roman"/>
                <w:bCs/>
                <w:lang w:val="es-MX"/>
              </w:rPr>
              <w:t xml:space="preserve"> 297. (1)</w:t>
            </w:r>
          </w:p>
        </w:tc>
      </w:tr>
      <w:tr w:rsidR="0048077F" w:rsidRPr="00421A17" w14:paraId="1C2D1B7B" w14:textId="4A084784" w:rsidTr="007D0212">
        <w:tc>
          <w:tcPr>
            <w:tcW w:w="1042" w:type="dxa"/>
          </w:tcPr>
          <w:p w14:paraId="4FA586B1" w14:textId="1422E628" w:rsidR="0048077F" w:rsidRPr="00421A17" w:rsidRDefault="0048077F" w:rsidP="00F655D2">
            <w:pPr>
              <w:rPr>
                <w:rFonts w:ascii="Times New Roman" w:hAnsi="Times New Roman" w:cs="Times New Roman"/>
                <w:bCs/>
                <w:lang w:val="es-MX"/>
              </w:rPr>
            </w:pPr>
          </w:p>
        </w:tc>
        <w:tc>
          <w:tcPr>
            <w:tcW w:w="1583" w:type="dxa"/>
          </w:tcPr>
          <w:p w14:paraId="40189616" w14:textId="7D34752C" w:rsidR="0048077F" w:rsidRPr="00421A17" w:rsidRDefault="0048077F" w:rsidP="0048077F">
            <w:pPr>
              <w:ind w:left="297"/>
              <w:rPr>
                <w:rFonts w:ascii="Times New Roman" w:hAnsi="Times New Roman" w:cs="Times New Roman"/>
                <w:bCs/>
                <w:lang w:val="es-MX"/>
              </w:rPr>
            </w:pPr>
            <w:r>
              <w:rPr>
                <w:rFonts w:ascii="Times New Roman" w:hAnsi="Times New Roman" w:cs="Times New Roman"/>
                <w:bCs/>
                <w:lang w:val="es-MX"/>
              </w:rPr>
              <w:t>59</w:t>
            </w:r>
          </w:p>
        </w:tc>
        <w:tc>
          <w:tcPr>
            <w:tcW w:w="6024" w:type="dxa"/>
          </w:tcPr>
          <w:p w14:paraId="3AAC82AC" w14:textId="22E66EC6" w:rsidR="0048077F" w:rsidRPr="00421A17" w:rsidRDefault="0048077F" w:rsidP="0048077F">
            <w:pPr>
              <w:ind w:left="533"/>
              <w:rPr>
                <w:rFonts w:ascii="Times New Roman" w:hAnsi="Times New Roman" w:cs="Times New Roman"/>
                <w:bCs/>
                <w:lang w:val="es-MX"/>
              </w:rPr>
            </w:pPr>
            <w:proofErr w:type="gramStart"/>
            <w:r>
              <w:rPr>
                <w:rFonts w:ascii="Times New Roman" w:hAnsi="Times New Roman" w:cs="Times New Roman"/>
                <w:bCs/>
                <w:lang w:val="es-MX"/>
              </w:rPr>
              <w:t>953.862.640.- Pres</w:t>
            </w:r>
            <w:r w:rsidRPr="00421A17">
              <w:rPr>
                <w:rFonts w:ascii="Times New Roman" w:hAnsi="Times New Roman" w:cs="Times New Roman"/>
                <w:bCs/>
                <w:lang w:val="es-MX"/>
              </w:rPr>
              <w:t xml:space="preserve"> f</w:t>
            </w:r>
            <w:r>
              <w:rPr>
                <w:rFonts w:ascii="Times New Roman" w:hAnsi="Times New Roman" w:cs="Times New Roman"/>
                <w:bCs/>
                <w:lang w:val="es-MX"/>
              </w:rPr>
              <w:t>ísico</w:t>
            </w:r>
            <w:proofErr w:type="gramEnd"/>
            <w:r>
              <w:rPr>
                <w:rFonts w:ascii="Times New Roman" w:hAnsi="Times New Roman" w:cs="Times New Roman"/>
                <w:bCs/>
                <w:lang w:val="es-MX"/>
              </w:rPr>
              <w:t>: Asistentes a espect</w:t>
            </w:r>
            <w:r w:rsidRPr="00421A17">
              <w:rPr>
                <w:rFonts w:ascii="Times New Roman" w:hAnsi="Times New Roman" w:cs="Times New Roman"/>
                <w:bCs/>
                <w:lang w:val="es-MX"/>
              </w:rPr>
              <w:t>458.000.</w:t>
            </w:r>
          </w:p>
        </w:tc>
      </w:tr>
      <w:tr w:rsidR="0048077F" w:rsidRPr="00421A17" w14:paraId="2676DBAE" w14:textId="11FBCFA2" w:rsidTr="007D0212">
        <w:tc>
          <w:tcPr>
            <w:tcW w:w="1042" w:type="dxa"/>
          </w:tcPr>
          <w:p w14:paraId="0983F5BC" w14:textId="60C61A5E" w:rsidR="0048077F" w:rsidRPr="00421A17" w:rsidRDefault="0048077F" w:rsidP="00F655D2">
            <w:pPr>
              <w:rPr>
                <w:rFonts w:ascii="Times New Roman" w:hAnsi="Times New Roman" w:cs="Times New Roman"/>
                <w:bCs/>
                <w:lang w:val="es-MX"/>
              </w:rPr>
            </w:pPr>
            <w:r w:rsidRPr="00421A17">
              <w:rPr>
                <w:rFonts w:ascii="Times New Roman" w:hAnsi="Times New Roman" w:cs="Times New Roman"/>
                <w:bCs/>
                <w:lang w:val="es-MX"/>
              </w:rPr>
              <w:t>2019</w:t>
            </w:r>
          </w:p>
        </w:tc>
        <w:tc>
          <w:tcPr>
            <w:tcW w:w="1583" w:type="dxa"/>
          </w:tcPr>
          <w:p w14:paraId="6759A12E" w14:textId="1E0BAADB" w:rsidR="0048077F" w:rsidRPr="00421A17" w:rsidRDefault="0048077F" w:rsidP="0048077F">
            <w:pPr>
              <w:ind w:left="297"/>
              <w:rPr>
                <w:rFonts w:ascii="Times New Roman" w:hAnsi="Times New Roman" w:cs="Times New Roman"/>
                <w:bCs/>
                <w:lang w:val="es-MX"/>
              </w:rPr>
            </w:pPr>
            <w:r w:rsidRPr="00421A17">
              <w:rPr>
                <w:rFonts w:ascii="Times New Roman" w:hAnsi="Times New Roman" w:cs="Times New Roman"/>
                <w:bCs/>
                <w:lang w:val="es-MX"/>
              </w:rPr>
              <w:t>7</w:t>
            </w:r>
          </w:p>
        </w:tc>
        <w:tc>
          <w:tcPr>
            <w:tcW w:w="6024" w:type="dxa"/>
          </w:tcPr>
          <w:p w14:paraId="04593426" w14:textId="0FB140B2" w:rsidR="0048077F" w:rsidRPr="00421A17" w:rsidRDefault="0048077F" w:rsidP="0048077F">
            <w:pPr>
              <w:ind w:left="1207"/>
              <w:rPr>
                <w:rFonts w:ascii="Times New Roman" w:hAnsi="Times New Roman" w:cs="Times New Roman"/>
                <w:bCs/>
                <w:lang w:val="es-MX"/>
              </w:rPr>
            </w:pPr>
            <w:r w:rsidRPr="00421A17">
              <w:rPr>
                <w:rFonts w:ascii="Times New Roman" w:hAnsi="Times New Roman" w:cs="Times New Roman"/>
                <w:bCs/>
                <w:lang w:val="es-MX"/>
              </w:rPr>
              <w:t>895.464.209.-</w:t>
            </w:r>
            <w:r w:rsidRPr="00421A17">
              <w:rPr>
                <w:rFonts w:ascii="Times New Roman" w:hAnsi="Times New Roman" w:cs="Times New Roman"/>
                <w:bCs/>
                <w:lang w:val="es-MX"/>
              </w:rPr>
              <w:tab/>
              <w:t xml:space="preserve"> </w:t>
            </w:r>
          </w:p>
        </w:tc>
      </w:tr>
      <w:tr w:rsidR="0048077F" w:rsidRPr="00421A17" w14:paraId="142315C6" w14:textId="305E41ED" w:rsidTr="007D0212">
        <w:tc>
          <w:tcPr>
            <w:tcW w:w="1042" w:type="dxa"/>
          </w:tcPr>
          <w:p w14:paraId="38D66665" w14:textId="0C603629" w:rsidR="0048077F" w:rsidRPr="00421A17" w:rsidRDefault="0048077F" w:rsidP="00F655D2">
            <w:pPr>
              <w:rPr>
                <w:rFonts w:ascii="Times New Roman" w:hAnsi="Times New Roman" w:cs="Times New Roman"/>
                <w:bCs/>
                <w:lang w:val="es-MX"/>
              </w:rPr>
            </w:pPr>
          </w:p>
        </w:tc>
        <w:tc>
          <w:tcPr>
            <w:tcW w:w="1583" w:type="dxa"/>
          </w:tcPr>
          <w:p w14:paraId="07DC3E7F" w14:textId="533BD3D4" w:rsidR="0048077F" w:rsidRPr="00421A17" w:rsidRDefault="0048077F" w:rsidP="0048077F">
            <w:pPr>
              <w:ind w:left="297"/>
              <w:rPr>
                <w:rFonts w:ascii="Times New Roman" w:hAnsi="Times New Roman" w:cs="Times New Roman"/>
                <w:bCs/>
                <w:lang w:val="es-MX"/>
              </w:rPr>
            </w:pPr>
            <w:r w:rsidRPr="00421A17">
              <w:rPr>
                <w:rFonts w:ascii="Times New Roman" w:hAnsi="Times New Roman" w:cs="Times New Roman"/>
                <w:bCs/>
                <w:lang w:val="es-MX"/>
              </w:rPr>
              <w:t>58</w:t>
            </w:r>
          </w:p>
        </w:tc>
        <w:tc>
          <w:tcPr>
            <w:tcW w:w="6024" w:type="dxa"/>
          </w:tcPr>
          <w:p w14:paraId="2B13E43C" w14:textId="7619B4D9" w:rsidR="0048077F" w:rsidRPr="00421A17" w:rsidRDefault="0048077F" w:rsidP="0048077F">
            <w:pPr>
              <w:ind w:left="1023"/>
              <w:rPr>
                <w:rFonts w:ascii="Times New Roman" w:hAnsi="Times New Roman" w:cs="Times New Roman"/>
                <w:bCs/>
                <w:lang w:val="es-MX"/>
              </w:rPr>
            </w:pPr>
            <w:r>
              <w:rPr>
                <w:rFonts w:ascii="Times New Roman" w:hAnsi="Times New Roman" w:cs="Times New Roman"/>
                <w:bCs/>
                <w:lang w:val="es-MX"/>
              </w:rPr>
              <w:t>27.172.500.-</w:t>
            </w:r>
            <w:r>
              <w:rPr>
                <w:rFonts w:ascii="Times New Roman" w:hAnsi="Times New Roman" w:cs="Times New Roman"/>
                <w:bCs/>
                <w:lang w:val="es-MX"/>
              </w:rPr>
              <w:tab/>
            </w:r>
            <w:proofErr w:type="spellStart"/>
            <w:r>
              <w:rPr>
                <w:rFonts w:ascii="Times New Roman" w:hAnsi="Times New Roman" w:cs="Times New Roman"/>
                <w:bCs/>
                <w:lang w:val="es-MX"/>
              </w:rPr>
              <w:t>Presu</w:t>
            </w:r>
            <w:proofErr w:type="spellEnd"/>
            <w:r>
              <w:rPr>
                <w:rFonts w:ascii="Times New Roman" w:hAnsi="Times New Roman" w:cs="Times New Roman"/>
                <w:bCs/>
                <w:lang w:val="es-MX"/>
              </w:rPr>
              <w:t xml:space="preserve"> físico: Alumnos </w:t>
            </w:r>
            <w:proofErr w:type="spellStart"/>
            <w:r>
              <w:rPr>
                <w:rFonts w:ascii="Times New Roman" w:hAnsi="Times New Roman" w:cs="Times New Roman"/>
                <w:bCs/>
                <w:lang w:val="es-MX"/>
              </w:rPr>
              <w:t>matri</w:t>
            </w:r>
            <w:proofErr w:type="spellEnd"/>
            <w:r w:rsidRPr="00421A17">
              <w:rPr>
                <w:rFonts w:ascii="Times New Roman" w:hAnsi="Times New Roman" w:cs="Times New Roman"/>
                <w:bCs/>
                <w:lang w:val="es-MX"/>
              </w:rPr>
              <w:t xml:space="preserve"> 310. </w:t>
            </w:r>
          </w:p>
        </w:tc>
      </w:tr>
      <w:tr w:rsidR="0048077F" w:rsidRPr="00421A17" w14:paraId="24D84542" w14:textId="27C0AE6A" w:rsidTr="007D0212">
        <w:tc>
          <w:tcPr>
            <w:tcW w:w="1042" w:type="dxa"/>
          </w:tcPr>
          <w:p w14:paraId="210701AE" w14:textId="082E8698" w:rsidR="0048077F" w:rsidRPr="00421A17" w:rsidRDefault="0048077F" w:rsidP="00F655D2">
            <w:pPr>
              <w:rPr>
                <w:rFonts w:ascii="Times New Roman" w:hAnsi="Times New Roman" w:cs="Times New Roman"/>
                <w:bCs/>
                <w:lang w:val="es-MX"/>
              </w:rPr>
            </w:pPr>
          </w:p>
        </w:tc>
        <w:tc>
          <w:tcPr>
            <w:tcW w:w="1583" w:type="dxa"/>
          </w:tcPr>
          <w:p w14:paraId="3B68E918" w14:textId="3033D7BD" w:rsidR="0048077F" w:rsidRPr="00421A17" w:rsidRDefault="0048077F" w:rsidP="0048077F">
            <w:pPr>
              <w:ind w:left="175"/>
              <w:rPr>
                <w:rFonts w:ascii="Times New Roman" w:hAnsi="Times New Roman" w:cs="Times New Roman"/>
                <w:bCs/>
                <w:lang w:val="es-MX"/>
              </w:rPr>
            </w:pPr>
            <w:r w:rsidRPr="00421A17">
              <w:rPr>
                <w:rFonts w:ascii="Times New Roman" w:hAnsi="Times New Roman" w:cs="Times New Roman"/>
                <w:bCs/>
                <w:lang w:val="es-MX"/>
              </w:rPr>
              <w:t>59</w:t>
            </w:r>
          </w:p>
        </w:tc>
        <w:tc>
          <w:tcPr>
            <w:tcW w:w="6024" w:type="dxa"/>
          </w:tcPr>
          <w:p w14:paraId="25EFE8E8" w14:textId="54FE05DD" w:rsidR="0048077F" w:rsidRPr="00421A17" w:rsidRDefault="0048077F" w:rsidP="0048077F">
            <w:pPr>
              <w:ind w:left="365"/>
              <w:rPr>
                <w:rFonts w:ascii="Times New Roman" w:hAnsi="Times New Roman" w:cs="Times New Roman"/>
                <w:bCs/>
                <w:lang w:val="es-MX"/>
              </w:rPr>
            </w:pPr>
            <w:r>
              <w:rPr>
                <w:rFonts w:ascii="Times New Roman" w:hAnsi="Times New Roman" w:cs="Times New Roman"/>
                <w:bCs/>
                <w:lang w:val="es-MX"/>
              </w:rPr>
              <w:t>1.320.830.286.-</w:t>
            </w:r>
            <w:r>
              <w:rPr>
                <w:rFonts w:ascii="Times New Roman" w:hAnsi="Times New Roman" w:cs="Times New Roman"/>
                <w:bCs/>
                <w:lang w:val="es-MX"/>
              </w:rPr>
              <w:tab/>
              <w:t xml:space="preserve"> </w:t>
            </w:r>
            <w:proofErr w:type="spellStart"/>
            <w:r>
              <w:rPr>
                <w:rFonts w:ascii="Times New Roman" w:hAnsi="Times New Roman" w:cs="Times New Roman"/>
                <w:bCs/>
                <w:lang w:val="es-MX"/>
              </w:rPr>
              <w:t>Presu</w:t>
            </w:r>
            <w:proofErr w:type="spellEnd"/>
            <w:r>
              <w:rPr>
                <w:rFonts w:ascii="Times New Roman" w:hAnsi="Times New Roman" w:cs="Times New Roman"/>
                <w:bCs/>
                <w:lang w:val="es-MX"/>
              </w:rPr>
              <w:t xml:space="preserve"> físico: </w:t>
            </w:r>
            <w:proofErr w:type="spellStart"/>
            <w:r>
              <w:rPr>
                <w:rFonts w:ascii="Times New Roman" w:hAnsi="Times New Roman" w:cs="Times New Roman"/>
                <w:bCs/>
                <w:lang w:val="es-MX"/>
              </w:rPr>
              <w:t>Asist</w:t>
            </w:r>
            <w:proofErr w:type="spellEnd"/>
            <w:r>
              <w:rPr>
                <w:rFonts w:ascii="Times New Roman" w:hAnsi="Times New Roman" w:cs="Times New Roman"/>
                <w:bCs/>
                <w:lang w:val="es-MX"/>
              </w:rPr>
              <w:t xml:space="preserve"> a </w:t>
            </w:r>
            <w:proofErr w:type="spellStart"/>
            <w:r>
              <w:rPr>
                <w:rFonts w:ascii="Times New Roman" w:hAnsi="Times New Roman" w:cs="Times New Roman"/>
                <w:bCs/>
                <w:lang w:val="es-MX"/>
              </w:rPr>
              <w:t>espect</w:t>
            </w:r>
            <w:proofErr w:type="spellEnd"/>
            <w:r>
              <w:rPr>
                <w:rFonts w:ascii="Times New Roman" w:hAnsi="Times New Roman" w:cs="Times New Roman"/>
                <w:bCs/>
                <w:lang w:val="es-MX"/>
              </w:rPr>
              <w:t>.</w:t>
            </w:r>
            <w:r w:rsidRPr="00421A17">
              <w:rPr>
                <w:rFonts w:ascii="Times New Roman" w:hAnsi="Times New Roman" w:cs="Times New Roman"/>
                <w:bCs/>
                <w:lang w:val="es-MX"/>
              </w:rPr>
              <w:t xml:space="preserve">  539.500.</w:t>
            </w:r>
          </w:p>
        </w:tc>
      </w:tr>
      <w:tr w:rsidR="0048077F" w:rsidRPr="00421A17" w14:paraId="616AD114" w14:textId="32BA0A7E" w:rsidTr="007D0212">
        <w:tc>
          <w:tcPr>
            <w:tcW w:w="1042" w:type="dxa"/>
          </w:tcPr>
          <w:p w14:paraId="17E5AEAD" w14:textId="2CBEA58E" w:rsidR="0048077F" w:rsidRPr="00421A17" w:rsidRDefault="0048077F" w:rsidP="00F655D2">
            <w:pPr>
              <w:rPr>
                <w:rFonts w:ascii="Times New Roman" w:hAnsi="Times New Roman" w:cs="Times New Roman"/>
                <w:bCs/>
                <w:lang w:val="es-MX"/>
              </w:rPr>
            </w:pPr>
            <w:r>
              <w:rPr>
                <w:rFonts w:ascii="Times New Roman" w:hAnsi="Times New Roman" w:cs="Times New Roman"/>
                <w:bCs/>
                <w:lang w:val="es-MX"/>
              </w:rPr>
              <w:t>2023</w:t>
            </w:r>
          </w:p>
        </w:tc>
        <w:tc>
          <w:tcPr>
            <w:tcW w:w="1583" w:type="dxa"/>
          </w:tcPr>
          <w:p w14:paraId="4162810E" w14:textId="6757F5D7" w:rsidR="0048077F" w:rsidRPr="00421A17" w:rsidRDefault="0048077F" w:rsidP="0048077F">
            <w:pPr>
              <w:ind w:left="313"/>
              <w:rPr>
                <w:rFonts w:ascii="Times New Roman" w:hAnsi="Times New Roman" w:cs="Times New Roman"/>
                <w:bCs/>
                <w:lang w:val="es-MX"/>
              </w:rPr>
            </w:pPr>
            <w:r w:rsidRPr="00421A17">
              <w:rPr>
                <w:rFonts w:ascii="Times New Roman" w:hAnsi="Times New Roman" w:cs="Times New Roman"/>
                <w:bCs/>
                <w:lang w:val="es-MX"/>
              </w:rPr>
              <w:t>7</w:t>
            </w:r>
          </w:p>
        </w:tc>
        <w:tc>
          <w:tcPr>
            <w:tcW w:w="6024" w:type="dxa"/>
          </w:tcPr>
          <w:p w14:paraId="2631450A" w14:textId="70E6F528" w:rsidR="0048077F" w:rsidRPr="00421A17" w:rsidRDefault="0048077F" w:rsidP="0048077F">
            <w:pPr>
              <w:ind w:left="917"/>
              <w:rPr>
                <w:rFonts w:ascii="Times New Roman" w:hAnsi="Times New Roman" w:cs="Times New Roman"/>
                <w:bCs/>
                <w:lang w:val="es-MX"/>
              </w:rPr>
            </w:pPr>
            <w:r w:rsidRPr="00421A17">
              <w:rPr>
                <w:rFonts w:ascii="Times New Roman" w:hAnsi="Times New Roman" w:cs="Times New Roman"/>
                <w:bCs/>
                <w:lang w:val="es-MX"/>
              </w:rPr>
              <w:t>1.315.284.596.-</w:t>
            </w:r>
            <w:r w:rsidRPr="00421A17">
              <w:rPr>
                <w:rFonts w:ascii="Times New Roman" w:hAnsi="Times New Roman" w:cs="Times New Roman"/>
                <w:bCs/>
                <w:lang w:val="es-MX"/>
              </w:rPr>
              <w:tab/>
              <w:t xml:space="preserve"> </w:t>
            </w:r>
          </w:p>
        </w:tc>
      </w:tr>
      <w:tr w:rsidR="0048077F" w:rsidRPr="00421A17" w14:paraId="129E26B3" w14:textId="4192F033" w:rsidTr="007D0212">
        <w:tc>
          <w:tcPr>
            <w:tcW w:w="1042" w:type="dxa"/>
          </w:tcPr>
          <w:p w14:paraId="59E3C8E0" w14:textId="53E55588" w:rsidR="0048077F" w:rsidRPr="00421A17" w:rsidRDefault="0048077F" w:rsidP="00F655D2">
            <w:pPr>
              <w:rPr>
                <w:rFonts w:ascii="Times New Roman" w:hAnsi="Times New Roman" w:cs="Times New Roman"/>
                <w:bCs/>
                <w:lang w:val="es-MX"/>
              </w:rPr>
            </w:pPr>
          </w:p>
        </w:tc>
        <w:tc>
          <w:tcPr>
            <w:tcW w:w="1583" w:type="dxa"/>
          </w:tcPr>
          <w:p w14:paraId="771D61FB" w14:textId="77777777" w:rsidR="0048077F" w:rsidRDefault="0048077F" w:rsidP="0048077F">
            <w:pPr>
              <w:ind w:left="236"/>
              <w:rPr>
                <w:rFonts w:ascii="Times New Roman" w:hAnsi="Times New Roman" w:cs="Times New Roman"/>
                <w:bCs/>
                <w:lang w:val="es-MX"/>
              </w:rPr>
            </w:pPr>
            <w:r w:rsidRPr="00421A17">
              <w:rPr>
                <w:rFonts w:ascii="Times New Roman" w:hAnsi="Times New Roman" w:cs="Times New Roman"/>
                <w:bCs/>
                <w:lang w:val="es-MX"/>
              </w:rPr>
              <w:t>5</w:t>
            </w:r>
            <w:r>
              <w:rPr>
                <w:rFonts w:ascii="Times New Roman" w:hAnsi="Times New Roman" w:cs="Times New Roman"/>
                <w:bCs/>
                <w:lang w:val="es-MX"/>
              </w:rPr>
              <w:t>8</w:t>
            </w:r>
          </w:p>
          <w:p w14:paraId="4D28FFC6" w14:textId="4FB3CE52" w:rsidR="0048077F" w:rsidRPr="00421A17" w:rsidRDefault="0048077F" w:rsidP="0048077F">
            <w:pPr>
              <w:ind w:left="236"/>
              <w:rPr>
                <w:rFonts w:ascii="Times New Roman" w:hAnsi="Times New Roman" w:cs="Times New Roman"/>
                <w:bCs/>
                <w:lang w:val="es-MX"/>
              </w:rPr>
            </w:pPr>
            <w:r w:rsidRPr="00421A17">
              <w:rPr>
                <w:rFonts w:ascii="Times New Roman" w:hAnsi="Times New Roman" w:cs="Times New Roman"/>
                <w:bCs/>
                <w:lang w:val="es-MX"/>
              </w:rPr>
              <w:t xml:space="preserve">. </w:t>
            </w:r>
          </w:p>
        </w:tc>
        <w:tc>
          <w:tcPr>
            <w:tcW w:w="6024" w:type="dxa"/>
          </w:tcPr>
          <w:p w14:paraId="505E91C7" w14:textId="45C2729D" w:rsidR="0048077F" w:rsidRDefault="0048077F" w:rsidP="0048077F">
            <w:pPr>
              <w:ind w:left="365"/>
              <w:rPr>
                <w:rFonts w:ascii="Times New Roman" w:hAnsi="Times New Roman" w:cs="Times New Roman"/>
                <w:bCs/>
                <w:lang w:val="es-MX"/>
              </w:rPr>
            </w:pPr>
            <w:r>
              <w:rPr>
                <w:rFonts w:ascii="Times New Roman" w:hAnsi="Times New Roman" w:cs="Times New Roman"/>
                <w:bCs/>
                <w:lang w:val="es-MX"/>
              </w:rPr>
              <w:t>48.893.293.-</w:t>
            </w:r>
            <w:r>
              <w:rPr>
                <w:rFonts w:ascii="Times New Roman" w:hAnsi="Times New Roman" w:cs="Times New Roman"/>
                <w:bCs/>
                <w:lang w:val="es-MX"/>
              </w:rPr>
              <w:tab/>
              <w:t xml:space="preserve">    </w:t>
            </w:r>
            <w:proofErr w:type="spellStart"/>
            <w:r>
              <w:rPr>
                <w:rFonts w:ascii="Times New Roman" w:hAnsi="Times New Roman" w:cs="Times New Roman"/>
                <w:bCs/>
                <w:lang w:val="es-MX"/>
              </w:rPr>
              <w:t>Presu</w:t>
            </w:r>
            <w:proofErr w:type="spellEnd"/>
            <w:r w:rsidR="007D0212">
              <w:rPr>
                <w:rFonts w:ascii="Times New Roman" w:hAnsi="Times New Roman" w:cs="Times New Roman"/>
                <w:bCs/>
                <w:lang w:val="es-MX"/>
              </w:rPr>
              <w:t xml:space="preserve"> físico: Alumnos </w:t>
            </w:r>
            <w:proofErr w:type="spellStart"/>
            <w:r w:rsidR="007D0212">
              <w:rPr>
                <w:rFonts w:ascii="Times New Roman" w:hAnsi="Times New Roman" w:cs="Times New Roman"/>
                <w:bCs/>
                <w:lang w:val="es-MX"/>
              </w:rPr>
              <w:t>matric</w:t>
            </w:r>
            <w:proofErr w:type="spellEnd"/>
            <w:r w:rsidR="007D0212">
              <w:rPr>
                <w:rFonts w:ascii="Times New Roman" w:hAnsi="Times New Roman" w:cs="Times New Roman"/>
                <w:bCs/>
                <w:lang w:val="es-MX"/>
              </w:rPr>
              <w:t xml:space="preserve"> 396</w:t>
            </w:r>
            <w:r w:rsidRPr="00421A17">
              <w:rPr>
                <w:rFonts w:ascii="Times New Roman" w:hAnsi="Times New Roman" w:cs="Times New Roman"/>
                <w:bCs/>
                <w:lang w:val="es-MX"/>
              </w:rPr>
              <w:t xml:space="preserve"> </w:t>
            </w:r>
          </w:p>
          <w:p w14:paraId="3D15A201" w14:textId="66C93762" w:rsidR="0048077F" w:rsidRPr="00421A17" w:rsidRDefault="0048077F" w:rsidP="0048077F">
            <w:pPr>
              <w:rPr>
                <w:rFonts w:ascii="Times New Roman" w:hAnsi="Times New Roman" w:cs="Times New Roman"/>
                <w:bCs/>
                <w:lang w:val="es-MX"/>
              </w:rPr>
            </w:pPr>
          </w:p>
        </w:tc>
      </w:tr>
      <w:tr w:rsidR="0048077F" w:rsidRPr="00421A17" w14:paraId="10ADC9A2" w14:textId="3B08130A" w:rsidTr="007D0212">
        <w:tc>
          <w:tcPr>
            <w:tcW w:w="1042" w:type="dxa"/>
          </w:tcPr>
          <w:p w14:paraId="583F5507" w14:textId="75ADCC37" w:rsidR="0048077F" w:rsidRPr="00421A17" w:rsidRDefault="0048077F" w:rsidP="00F655D2">
            <w:pPr>
              <w:rPr>
                <w:rFonts w:ascii="Times New Roman" w:hAnsi="Times New Roman" w:cs="Times New Roman"/>
                <w:bCs/>
                <w:lang w:val="es-MX"/>
              </w:rPr>
            </w:pPr>
          </w:p>
        </w:tc>
        <w:tc>
          <w:tcPr>
            <w:tcW w:w="1583" w:type="dxa"/>
          </w:tcPr>
          <w:p w14:paraId="2940C107" w14:textId="7F51062E" w:rsidR="0048077F" w:rsidRPr="00421A17" w:rsidRDefault="0048077F" w:rsidP="0048077F">
            <w:pPr>
              <w:ind w:left="175"/>
              <w:rPr>
                <w:rFonts w:ascii="Times New Roman" w:hAnsi="Times New Roman" w:cs="Times New Roman"/>
                <w:bCs/>
                <w:lang w:val="es-MX"/>
              </w:rPr>
            </w:pPr>
            <w:r w:rsidRPr="00421A17">
              <w:rPr>
                <w:rFonts w:ascii="Times New Roman" w:hAnsi="Times New Roman" w:cs="Times New Roman"/>
                <w:bCs/>
                <w:lang w:val="es-MX"/>
              </w:rPr>
              <w:t>59</w:t>
            </w:r>
          </w:p>
        </w:tc>
        <w:tc>
          <w:tcPr>
            <w:tcW w:w="6024" w:type="dxa"/>
          </w:tcPr>
          <w:p w14:paraId="3FCF42A5" w14:textId="2EF81BD8" w:rsidR="0048077F" w:rsidRPr="00421A17" w:rsidRDefault="0048077F" w:rsidP="0048077F">
            <w:pPr>
              <w:ind w:left="243"/>
              <w:rPr>
                <w:rFonts w:ascii="Times New Roman" w:hAnsi="Times New Roman" w:cs="Times New Roman"/>
                <w:bCs/>
                <w:lang w:val="es-MX"/>
              </w:rPr>
            </w:pPr>
            <w:r>
              <w:rPr>
                <w:rFonts w:ascii="Times New Roman" w:hAnsi="Times New Roman" w:cs="Times New Roman"/>
                <w:bCs/>
                <w:lang w:val="es-MX"/>
              </w:rPr>
              <w:t xml:space="preserve">1.814.879.076 </w:t>
            </w:r>
            <w:proofErr w:type="spellStart"/>
            <w:r>
              <w:rPr>
                <w:rFonts w:ascii="Times New Roman" w:hAnsi="Times New Roman" w:cs="Times New Roman"/>
                <w:bCs/>
                <w:lang w:val="es-MX"/>
              </w:rPr>
              <w:t>Presu</w:t>
            </w:r>
            <w:proofErr w:type="spellEnd"/>
            <w:r w:rsidRPr="00421A17">
              <w:rPr>
                <w:rFonts w:ascii="Times New Roman" w:hAnsi="Times New Roman" w:cs="Times New Roman"/>
                <w:bCs/>
                <w:lang w:val="es-MX"/>
              </w:rPr>
              <w:t xml:space="preserve"> fí</w:t>
            </w:r>
            <w:r>
              <w:rPr>
                <w:rFonts w:ascii="Times New Roman" w:hAnsi="Times New Roman" w:cs="Times New Roman"/>
                <w:bCs/>
                <w:lang w:val="es-MX"/>
              </w:rPr>
              <w:t xml:space="preserve">sico: </w:t>
            </w:r>
            <w:proofErr w:type="spellStart"/>
            <w:r>
              <w:rPr>
                <w:rFonts w:ascii="Times New Roman" w:hAnsi="Times New Roman" w:cs="Times New Roman"/>
                <w:bCs/>
                <w:lang w:val="es-MX"/>
              </w:rPr>
              <w:t>Asist</w:t>
            </w:r>
            <w:proofErr w:type="spellEnd"/>
            <w:r>
              <w:rPr>
                <w:rFonts w:ascii="Times New Roman" w:hAnsi="Times New Roman" w:cs="Times New Roman"/>
                <w:bCs/>
                <w:lang w:val="es-MX"/>
              </w:rPr>
              <w:t xml:space="preserve"> a es </w:t>
            </w:r>
            <w:proofErr w:type="spellStart"/>
            <w:r>
              <w:rPr>
                <w:rFonts w:ascii="Times New Roman" w:hAnsi="Times New Roman" w:cs="Times New Roman"/>
                <w:bCs/>
                <w:lang w:val="es-MX"/>
              </w:rPr>
              <w:t>pec</w:t>
            </w:r>
            <w:proofErr w:type="spellEnd"/>
            <w:r>
              <w:rPr>
                <w:rFonts w:ascii="Times New Roman" w:hAnsi="Times New Roman" w:cs="Times New Roman"/>
                <w:bCs/>
                <w:lang w:val="es-MX"/>
              </w:rPr>
              <w:t xml:space="preserve">    </w:t>
            </w:r>
            <w:r w:rsidRPr="00421A17">
              <w:rPr>
                <w:rFonts w:ascii="Times New Roman" w:hAnsi="Times New Roman" w:cs="Times New Roman"/>
                <w:bCs/>
                <w:lang w:val="es-MX"/>
              </w:rPr>
              <w:t>890.000.</w:t>
            </w:r>
          </w:p>
        </w:tc>
      </w:tr>
      <w:tr w:rsidR="0048077F" w:rsidRPr="00421A17" w14:paraId="52D7DB8A" w14:textId="01218404" w:rsidTr="007D0212">
        <w:tc>
          <w:tcPr>
            <w:tcW w:w="1042" w:type="dxa"/>
          </w:tcPr>
          <w:p w14:paraId="761D0864" w14:textId="0EEE58F6" w:rsidR="0048077F" w:rsidRPr="00421A17" w:rsidRDefault="0048077F" w:rsidP="00F655D2">
            <w:pPr>
              <w:rPr>
                <w:rFonts w:ascii="Times New Roman" w:hAnsi="Times New Roman" w:cs="Times New Roman"/>
                <w:bCs/>
                <w:lang w:val="es-MX"/>
              </w:rPr>
            </w:pPr>
            <w:r w:rsidRPr="00421A17">
              <w:rPr>
                <w:rFonts w:ascii="Times New Roman" w:hAnsi="Times New Roman" w:cs="Times New Roman"/>
                <w:bCs/>
                <w:lang w:val="es-MX"/>
              </w:rPr>
              <w:t>2025</w:t>
            </w:r>
          </w:p>
        </w:tc>
        <w:tc>
          <w:tcPr>
            <w:tcW w:w="1583" w:type="dxa"/>
          </w:tcPr>
          <w:p w14:paraId="4D3E44F0" w14:textId="5FB73489" w:rsidR="0048077F" w:rsidRPr="00421A17" w:rsidRDefault="0048077F" w:rsidP="0048077F">
            <w:pPr>
              <w:ind w:left="236"/>
              <w:rPr>
                <w:rFonts w:ascii="Times New Roman" w:hAnsi="Times New Roman" w:cs="Times New Roman"/>
                <w:bCs/>
                <w:lang w:val="es-MX"/>
              </w:rPr>
            </w:pPr>
            <w:r w:rsidRPr="00421A17">
              <w:rPr>
                <w:rFonts w:ascii="Times New Roman" w:hAnsi="Times New Roman" w:cs="Times New Roman"/>
                <w:bCs/>
                <w:lang w:val="es-MX"/>
              </w:rPr>
              <w:t>7</w:t>
            </w:r>
          </w:p>
        </w:tc>
        <w:tc>
          <w:tcPr>
            <w:tcW w:w="6024" w:type="dxa"/>
          </w:tcPr>
          <w:p w14:paraId="7DD248F1" w14:textId="1CCF81E7" w:rsidR="0048077F" w:rsidRPr="00421A17" w:rsidRDefault="0048077F" w:rsidP="0048077F">
            <w:pPr>
              <w:ind w:left="365"/>
              <w:rPr>
                <w:rFonts w:ascii="Times New Roman" w:hAnsi="Times New Roman" w:cs="Times New Roman"/>
                <w:bCs/>
                <w:lang w:val="es-MX"/>
              </w:rPr>
            </w:pPr>
            <w:r w:rsidRPr="00421A17">
              <w:rPr>
                <w:rFonts w:ascii="Times New Roman" w:hAnsi="Times New Roman" w:cs="Times New Roman"/>
                <w:bCs/>
                <w:lang w:val="es-MX"/>
              </w:rPr>
              <w:t>836.576.400.-</w:t>
            </w:r>
            <w:r w:rsidRPr="00421A17">
              <w:rPr>
                <w:rFonts w:ascii="Times New Roman" w:hAnsi="Times New Roman" w:cs="Times New Roman"/>
                <w:bCs/>
                <w:lang w:val="es-MX"/>
              </w:rPr>
              <w:tab/>
              <w:t xml:space="preserve"> </w:t>
            </w:r>
          </w:p>
        </w:tc>
      </w:tr>
      <w:tr w:rsidR="0048077F" w:rsidRPr="00421A17" w14:paraId="3D88A0A6" w14:textId="5D872CC6" w:rsidTr="007D0212">
        <w:tc>
          <w:tcPr>
            <w:tcW w:w="1042" w:type="dxa"/>
          </w:tcPr>
          <w:p w14:paraId="3E0E16AC" w14:textId="2A7502E8" w:rsidR="0048077F" w:rsidRPr="00421A17" w:rsidRDefault="0048077F" w:rsidP="00F655D2">
            <w:pPr>
              <w:rPr>
                <w:rFonts w:ascii="Times New Roman" w:hAnsi="Times New Roman" w:cs="Times New Roman"/>
                <w:bCs/>
                <w:lang w:val="es-MX"/>
              </w:rPr>
            </w:pPr>
          </w:p>
        </w:tc>
        <w:tc>
          <w:tcPr>
            <w:tcW w:w="1583" w:type="dxa"/>
          </w:tcPr>
          <w:p w14:paraId="763A5677" w14:textId="39B2430A" w:rsidR="0048077F" w:rsidRPr="00421A17" w:rsidRDefault="0048077F" w:rsidP="0048077F">
            <w:pPr>
              <w:ind w:left="175"/>
              <w:rPr>
                <w:rFonts w:ascii="Times New Roman" w:hAnsi="Times New Roman" w:cs="Times New Roman"/>
                <w:bCs/>
                <w:lang w:val="es-MX"/>
              </w:rPr>
            </w:pPr>
            <w:r>
              <w:rPr>
                <w:rFonts w:ascii="Times New Roman" w:hAnsi="Times New Roman" w:cs="Times New Roman"/>
                <w:bCs/>
                <w:lang w:val="es-MX"/>
              </w:rPr>
              <w:t>58</w:t>
            </w:r>
          </w:p>
        </w:tc>
        <w:tc>
          <w:tcPr>
            <w:tcW w:w="6024" w:type="dxa"/>
          </w:tcPr>
          <w:p w14:paraId="25CD8A63" w14:textId="4D39B3C4" w:rsidR="0048077F" w:rsidRPr="00421A17" w:rsidRDefault="0048077F" w:rsidP="0048077F">
            <w:pPr>
              <w:ind w:left="181"/>
              <w:rPr>
                <w:rFonts w:ascii="Times New Roman" w:hAnsi="Times New Roman" w:cs="Times New Roman"/>
                <w:bCs/>
                <w:lang w:val="es-MX"/>
              </w:rPr>
            </w:pPr>
            <w:r>
              <w:rPr>
                <w:rFonts w:ascii="Times New Roman" w:hAnsi="Times New Roman" w:cs="Times New Roman"/>
                <w:bCs/>
                <w:lang w:val="es-MX"/>
              </w:rPr>
              <w:t>169.736.863.-Presu</w:t>
            </w:r>
            <w:r w:rsidRPr="00421A17">
              <w:rPr>
                <w:rFonts w:ascii="Times New Roman" w:hAnsi="Times New Roman" w:cs="Times New Roman"/>
                <w:bCs/>
                <w:lang w:val="es-MX"/>
              </w:rPr>
              <w:t xml:space="preserve"> físico: Alumnos matriculados 620. </w:t>
            </w:r>
          </w:p>
        </w:tc>
      </w:tr>
      <w:tr w:rsidR="0048077F" w:rsidRPr="00421A17" w14:paraId="1C6FF5A8" w14:textId="67393F7F" w:rsidTr="007D0212">
        <w:tc>
          <w:tcPr>
            <w:tcW w:w="1042" w:type="dxa"/>
          </w:tcPr>
          <w:p w14:paraId="3D87C3D1" w14:textId="3ECA416F" w:rsidR="0048077F" w:rsidRPr="00421A17" w:rsidRDefault="0048077F" w:rsidP="00F655D2">
            <w:pPr>
              <w:rPr>
                <w:rFonts w:ascii="Times New Roman" w:hAnsi="Times New Roman" w:cs="Times New Roman"/>
                <w:bCs/>
                <w:lang w:val="es-MX"/>
              </w:rPr>
            </w:pPr>
          </w:p>
        </w:tc>
        <w:tc>
          <w:tcPr>
            <w:tcW w:w="1583" w:type="dxa"/>
          </w:tcPr>
          <w:p w14:paraId="52BA9056" w14:textId="5942EAA1" w:rsidR="0048077F" w:rsidRPr="00421A17" w:rsidRDefault="0048077F" w:rsidP="0048077F">
            <w:pPr>
              <w:ind w:left="236"/>
              <w:rPr>
                <w:rFonts w:ascii="Times New Roman" w:hAnsi="Times New Roman" w:cs="Times New Roman"/>
                <w:bCs/>
                <w:lang w:val="es-MX"/>
              </w:rPr>
            </w:pPr>
            <w:r w:rsidRPr="00421A17">
              <w:rPr>
                <w:rFonts w:ascii="Times New Roman" w:hAnsi="Times New Roman" w:cs="Times New Roman"/>
                <w:bCs/>
                <w:lang w:val="es-MX"/>
              </w:rPr>
              <w:t>59</w:t>
            </w:r>
          </w:p>
        </w:tc>
        <w:tc>
          <w:tcPr>
            <w:tcW w:w="6024" w:type="dxa"/>
          </w:tcPr>
          <w:p w14:paraId="1A45D83C" w14:textId="3D17E898" w:rsidR="0048077F" w:rsidRPr="00421A17" w:rsidRDefault="0048077F" w:rsidP="0048077F">
            <w:pPr>
              <w:ind w:left="304"/>
              <w:rPr>
                <w:rFonts w:ascii="Times New Roman" w:hAnsi="Times New Roman" w:cs="Times New Roman"/>
                <w:bCs/>
                <w:lang w:val="es-MX"/>
              </w:rPr>
            </w:pPr>
            <w:r>
              <w:rPr>
                <w:rFonts w:ascii="Times New Roman" w:hAnsi="Times New Roman" w:cs="Times New Roman"/>
                <w:bCs/>
                <w:lang w:val="es-MX"/>
              </w:rPr>
              <w:t xml:space="preserve">2.336.527.463. </w:t>
            </w:r>
            <w:proofErr w:type="spellStart"/>
            <w:r>
              <w:rPr>
                <w:rFonts w:ascii="Times New Roman" w:hAnsi="Times New Roman" w:cs="Times New Roman"/>
                <w:bCs/>
                <w:lang w:val="es-MX"/>
              </w:rPr>
              <w:t>Presu</w:t>
            </w:r>
            <w:proofErr w:type="spellEnd"/>
            <w:r w:rsidRPr="00421A17">
              <w:rPr>
                <w:rFonts w:ascii="Times New Roman" w:hAnsi="Times New Roman" w:cs="Times New Roman"/>
                <w:bCs/>
                <w:lang w:val="es-MX"/>
              </w:rPr>
              <w:t xml:space="preserve"> f</w:t>
            </w:r>
            <w:r>
              <w:rPr>
                <w:rFonts w:ascii="Times New Roman" w:hAnsi="Times New Roman" w:cs="Times New Roman"/>
                <w:bCs/>
                <w:lang w:val="es-MX"/>
              </w:rPr>
              <w:t xml:space="preserve">ísico: Asistentes a </w:t>
            </w:r>
            <w:proofErr w:type="spellStart"/>
            <w:r>
              <w:rPr>
                <w:rFonts w:ascii="Times New Roman" w:hAnsi="Times New Roman" w:cs="Times New Roman"/>
                <w:bCs/>
                <w:lang w:val="es-MX"/>
              </w:rPr>
              <w:t>espect</w:t>
            </w:r>
            <w:proofErr w:type="spellEnd"/>
            <w:r>
              <w:rPr>
                <w:rFonts w:ascii="Times New Roman" w:hAnsi="Times New Roman" w:cs="Times New Roman"/>
                <w:bCs/>
                <w:lang w:val="es-MX"/>
              </w:rPr>
              <w:t>.</w:t>
            </w:r>
            <w:r w:rsidRPr="00421A17">
              <w:rPr>
                <w:rFonts w:ascii="Times New Roman" w:hAnsi="Times New Roman" w:cs="Times New Roman"/>
                <w:bCs/>
                <w:lang w:val="es-MX"/>
              </w:rPr>
              <w:t xml:space="preserve"> 644.883.</w:t>
            </w:r>
          </w:p>
        </w:tc>
      </w:tr>
    </w:tbl>
    <w:p w14:paraId="773EA4DF"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
          <w:bCs/>
          <w:lang w:val="es-MX"/>
        </w:rPr>
        <w:t>Fuente</w:t>
      </w:r>
      <w:r w:rsidRPr="00421A17">
        <w:rPr>
          <w:rFonts w:ascii="Times New Roman" w:hAnsi="Times New Roman" w:cs="Times New Roman"/>
          <w:bCs/>
          <w:lang w:val="es-MX"/>
        </w:rPr>
        <w:t>: elaboración propia sobre la base de las leyes de presupuesto de Ciudad Autónoma de Buenos Aires.</w:t>
      </w:r>
    </w:p>
    <w:p w14:paraId="3947F0E7" w14:textId="77777777" w:rsidR="00421A17" w:rsidRPr="00421A17" w:rsidRDefault="00421A17" w:rsidP="00421A17">
      <w:pPr>
        <w:spacing w:line="240" w:lineRule="auto"/>
        <w:rPr>
          <w:rFonts w:ascii="Times New Roman" w:hAnsi="Times New Roman" w:cs="Times New Roman"/>
          <w:bCs/>
          <w:lang w:val="es-MX"/>
        </w:rPr>
      </w:pPr>
    </w:p>
    <w:p w14:paraId="17F1AB5B"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Los datos expuestos permiten observar que las tensiones económicas desarrolladas en los apartados anteriores encuentran una expresión concreta en el funcionamiento del Teatro Colón de Buenos Aires, una de las instituciones culturales más emblemáticas de América Latina. Su estructura organizacional, su sistema de financiamiento y su dependencia del presupuesto público permiten analizar los desafíos que enfrenta la gestión de organizaciones artísticas sostenidas mayoritariamente por recursos estatales.</w:t>
      </w:r>
    </w:p>
    <w:p w14:paraId="2D4788F1"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El Teatro Colón constituye un ente autárquico del Gobierno de la Ciudad Autónoma de Buenos Aires, creado con la finalidad de promover la creación, la formación y la difusión de las artes líricas, musicales y coreográficas. No obstante, aunque posee autonomía administrativa, su funcionamiento depende fundamentalmente de los recursos asignados por el presupuesto público, circunstancia que condiciona sus posibilidades de planificación y desarrollo institucional.</w:t>
      </w:r>
    </w:p>
    <w:p w14:paraId="2C5D58F3"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Según datos institucionales, aproximadamente el 82 % de sus recursos provienen de aportes del Gobierno de la Ciudad Autónoma de Buenos Aires, mientras que los ingresos generados por la venta de entradas representan alrededor del 16 % y las donaciones privadas apenas el 2 %. Esta composición financiera evidencia una marcada dependencia de las decisiones presupuestarias estatales y permite comprender por qué las transformaciones económicas y las modificaciones en las políticas públicas impactan directamente sobre la gestión artística y educativa de la institución.</w:t>
      </w:r>
    </w:p>
    <w:p w14:paraId="142A1C20"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Dentro de esta estructura funciona el Instituto Superior de Arte, encargado de la formación profesional en las distintas disciplinas vinculadas a las artes escénicas, mientras que los cuerpos estables tienen a su cargo la producción artística. En resultado, las decisiones presupuestarias no solo afectan la programación de espectáculos, sino también la continuidad de los procesos formativos, las condiciones laborales de los trabajadores culturales y la sostenibilidad de los proyectos educativos desarrollados en el ámbito de la institución.</w:t>
      </w:r>
    </w:p>
    <w:p w14:paraId="2E85B3CB"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El caso del Teatro Colón permite observar cómo las tensiones entre la excelencia artística, la sostenibilidad económica y la función pública constituyen desafíos permanentes para la gestión cultural contemporánea, especialmente en contextos de restricciones presupuestarias y de creciente demanda social de acceso a los bienes culturales.</w:t>
      </w:r>
    </w:p>
    <w:p w14:paraId="5A4F471D" w14:textId="77777777" w:rsidR="00421A17" w:rsidRPr="00421A17" w:rsidRDefault="00421A17" w:rsidP="00421A17">
      <w:pPr>
        <w:spacing w:line="240" w:lineRule="auto"/>
        <w:rPr>
          <w:rFonts w:ascii="Times New Roman" w:hAnsi="Times New Roman" w:cs="Times New Roman"/>
          <w:bCs/>
          <w:lang w:val="es-MX"/>
        </w:rPr>
      </w:pPr>
    </w:p>
    <w:p w14:paraId="2E68119B" w14:textId="77777777" w:rsidR="00421A17" w:rsidRPr="00887908" w:rsidRDefault="00421A17" w:rsidP="00421A17">
      <w:pPr>
        <w:spacing w:line="240" w:lineRule="auto"/>
        <w:rPr>
          <w:rFonts w:ascii="Times New Roman" w:hAnsi="Times New Roman" w:cs="Times New Roman"/>
          <w:b/>
          <w:bCs/>
          <w:lang w:val="es-MX"/>
        </w:rPr>
      </w:pPr>
      <w:r w:rsidRPr="00421A17">
        <w:rPr>
          <w:rFonts w:ascii="Times New Roman" w:hAnsi="Times New Roman" w:cs="Times New Roman"/>
          <w:bCs/>
          <w:lang w:val="es-MX"/>
        </w:rPr>
        <w:t xml:space="preserve"> </w:t>
      </w:r>
      <w:r w:rsidRPr="00887908">
        <w:rPr>
          <w:rFonts w:ascii="Times New Roman" w:hAnsi="Times New Roman" w:cs="Times New Roman"/>
          <w:b/>
          <w:bCs/>
          <w:lang w:val="es-MX"/>
        </w:rPr>
        <w:t>Tensiones entre autonomía institucional y dependencia presupuestaria</w:t>
      </w:r>
    </w:p>
    <w:p w14:paraId="69783AA0"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El Instituto Superior de Arte desarrolla sus actividades en el marco del presupuesto anual del Gobierno de la Ciudad Autónoma de Buenos Aires, elaborado por el Poder Ejecutivo y aprobado por la Legislatura. Dicho presupuesto constituye el principal instrumento de planificación y asignación de recursos públicos, ya que determina los programas, las partidas presupuestarias y las metas de gestión que orientan el funcionamiento de los organismos dependientes de la administración pública. En este </w:t>
      </w:r>
      <w:r w:rsidRPr="00421A17">
        <w:rPr>
          <w:rFonts w:ascii="Times New Roman" w:hAnsi="Times New Roman" w:cs="Times New Roman"/>
          <w:bCs/>
          <w:lang w:val="es-MX"/>
        </w:rPr>
        <w:lastRenderedPageBreak/>
        <w:t>contexto, el Teatro Colón integra la Jurisdicción 50 – Ministerio de Cultura– y organiza sus actividades mediante distintos programas presupuestarios, entre ellos el Programa 58, correspondiente a la Formación Artística del Instituto Superior de Arte.</w:t>
      </w:r>
    </w:p>
    <w:p w14:paraId="446E0BBA"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La ubicación del Instituto Superior de Arte dentro de la estructura presupuestaria del Teatro Colón permite comprender una de las principales tensiones que atraviesan su gestión </w:t>
      </w:r>
    </w:p>
    <w:p w14:paraId="4CC4C539"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Institucional; aunque el Teatro Colón posee autarquía administrativa, su funcionamiento depende mayoritariamente de los recursos asignados por el Gobierno de la Ciudad Autónoma de Buenos Aires a través del presupuesto anual. En consecuencia, las posibilidades de planificación académica, continuidad de los proyectos educativos y desarrollo institucional del Instituto Superior de Arte se encuentran estrechamente vinculadas a las decisiones presupuestarias adoptadas por el Estado.</w:t>
      </w:r>
    </w:p>
    <w:p w14:paraId="33CEEFB4"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Desde la perspectiva económica, esta situación puede comprenderse a partir de las funciones que el Estado asume en la provisión de determinados bienes y servicios considerados de interés público. </w:t>
      </w:r>
      <w:proofErr w:type="spellStart"/>
      <w:r w:rsidRPr="00421A17">
        <w:rPr>
          <w:rFonts w:ascii="Times New Roman" w:hAnsi="Times New Roman" w:cs="Times New Roman"/>
          <w:bCs/>
          <w:lang w:val="es-MX"/>
        </w:rPr>
        <w:t>Mankiw</w:t>
      </w:r>
      <w:proofErr w:type="spellEnd"/>
      <w:r w:rsidRPr="00421A17">
        <w:rPr>
          <w:rFonts w:ascii="Times New Roman" w:hAnsi="Times New Roman" w:cs="Times New Roman"/>
          <w:bCs/>
          <w:lang w:val="es-MX"/>
        </w:rPr>
        <w:t xml:space="preserve"> (2012) sostiene que la intervención estatal se justifica cuando determinadas actividades generan beneficios que trascienden a quienes las consumen directamente y producen efectos positivos para el conjunto de la sociedad. Esta perspectiva resulta especialmente pertinente para comprender el financiamiento de las instituciones culturales públicas, cuya actividad combina la formación profesional, la producción artística y la preservación del patrimonio cultural.</w:t>
      </w:r>
    </w:p>
    <w:p w14:paraId="24CE979F"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este sentido, las instituciones de educación artística superior constituyen espacios donde la lógica artística convive con la lógica presupuestaria, dando lugar a una tensión permanente entre la autonomía necesaria para desarrollar proyectos académicos de excelencia y la dependencia de los recursos públicos que hacen posible su funcionamiento. Si bien la autarquía administrativa otorga capacidad de gestión, las decisiones estratégicas vinculadas a la disponibilidad de recursos continúan sujetas al presupuesto aprobado para cada ejercicio fiscal.</w:t>
      </w:r>
    </w:p>
    <w:p w14:paraId="249B7053"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el caso del Instituto Superior de Arte, esta dependencia presupuestaria repercute directamente sobre aspectos centrales de su funcionamiento, tales como la planificación académica, la cobertura de cargos docentes, el mantenimiento de la infraestructura especializada, la incorporación de recursos pedagógicos y la continuidad de los proyectos de formación artística. En consecuencia, las restricciones presupuestarias no solo inciden en la administración institucional, sino también en la calidad y sostenibilidad de la formación profesional que ofrece la institución.</w:t>
      </w:r>
    </w:p>
    <w:p w14:paraId="7A30F784"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Los cuadros presupuestarios que se presentan a continuación permiten analizar la evolución de los recursos asignados al Teatro Colón y, particularmente, al Programa 58 – Formación Artística del Instituto Superior de Arte. Su análisis posibilita identificar el lugar que ocupa la formación artística dentro de la estructura presupuestaria del Ente </w:t>
      </w:r>
      <w:bookmarkStart w:id="0" w:name="_GoBack"/>
      <w:bookmarkEnd w:id="0"/>
      <w:r w:rsidRPr="00421A17">
        <w:rPr>
          <w:rFonts w:ascii="Times New Roman" w:hAnsi="Times New Roman" w:cs="Times New Roman"/>
          <w:bCs/>
          <w:lang w:val="es-MX"/>
        </w:rPr>
        <w:t xml:space="preserve">Autárquico y comprender cómo las decisiones de asignación de recursos impactan sobre la gestión institucional y el desarrollo de las actividades académicas. En este contexto la dependencia del financiamiento estatal condiciona la sostenibilidad de los proyectos académicos y pone de manifiesto que la excelencia artística no depende exclusivamente </w:t>
      </w:r>
      <w:r w:rsidRPr="00421A17">
        <w:rPr>
          <w:rFonts w:ascii="Times New Roman" w:hAnsi="Times New Roman" w:cs="Times New Roman"/>
          <w:bCs/>
          <w:lang w:val="es-MX"/>
        </w:rPr>
        <w:lastRenderedPageBreak/>
        <w:t>de las capacidades pedagógicas e institucionales, sino también de la disponibilidad de recursos públicos suficientes y sostenidos en el tiempo.</w:t>
      </w:r>
    </w:p>
    <w:p w14:paraId="43947B37" w14:textId="77777777" w:rsidR="00421A17" w:rsidRPr="00421A17" w:rsidRDefault="00421A17" w:rsidP="00421A17">
      <w:pPr>
        <w:spacing w:line="240" w:lineRule="auto"/>
        <w:rPr>
          <w:rFonts w:ascii="Times New Roman" w:hAnsi="Times New Roman" w:cs="Times New Roman"/>
          <w:bCs/>
          <w:lang w:val="es-MX"/>
        </w:rPr>
      </w:pPr>
    </w:p>
    <w:p w14:paraId="3247B4FD" w14:textId="77777777" w:rsidR="00421A17" w:rsidRPr="007D0212" w:rsidRDefault="00421A17" w:rsidP="00421A17">
      <w:pPr>
        <w:spacing w:line="240" w:lineRule="auto"/>
        <w:rPr>
          <w:rFonts w:ascii="Times New Roman" w:hAnsi="Times New Roman" w:cs="Times New Roman"/>
          <w:b/>
          <w:bCs/>
          <w:lang w:val="es-MX"/>
        </w:rPr>
      </w:pPr>
      <w:r w:rsidRPr="007D0212">
        <w:rPr>
          <w:rFonts w:ascii="Times New Roman" w:hAnsi="Times New Roman" w:cs="Times New Roman"/>
          <w:b/>
          <w:bCs/>
          <w:lang w:val="es-MX"/>
        </w:rPr>
        <w:t>Impacto de las restricciones presupuestarias en la formación artística y la gestión institucional</w:t>
      </w:r>
    </w:p>
    <w:p w14:paraId="03F716BF" w14:textId="77777777" w:rsidR="00421A17" w:rsidRPr="00421A17" w:rsidRDefault="00421A17" w:rsidP="00421A17">
      <w:pPr>
        <w:spacing w:line="240" w:lineRule="auto"/>
        <w:rPr>
          <w:rFonts w:ascii="Times New Roman" w:hAnsi="Times New Roman" w:cs="Times New Roman"/>
          <w:bCs/>
          <w:lang w:val="es-MX"/>
        </w:rPr>
      </w:pPr>
    </w:p>
    <w:p w14:paraId="39303FC8"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Las restricciones presupuestarias no solo condicionan la disponibilidad de recursos financieros, sino también los procesos de organización, planificación y coordinación que hacen posible el funcionamiento de las instituciones artísticas. Desde esta perspectiva, resulta pertinente analizar cómo las decisiones de gestión inciden tanto en la producción artística como en la formación profesional.</w:t>
      </w:r>
    </w:p>
    <w:p w14:paraId="0B0B9D72"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Al analizar los procesos de gestión de grupos y equipos de trabajo dentro de un espectáculo, los autores </w:t>
      </w:r>
      <w:proofErr w:type="spellStart"/>
      <w:r w:rsidRPr="00421A17">
        <w:rPr>
          <w:rFonts w:ascii="Times New Roman" w:hAnsi="Times New Roman" w:cs="Times New Roman"/>
          <w:bCs/>
          <w:lang w:val="es-MX"/>
        </w:rPr>
        <w:t>Fainstein</w:t>
      </w:r>
      <w:proofErr w:type="spellEnd"/>
      <w:r w:rsidRPr="00421A17">
        <w:rPr>
          <w:rFonts w:ascii="Times New Roman" w:hAnsi="Times New Roman" w:cs="Times New Roman"/>
          <w:bCs/>
          <w:lang w:val="es-MX"/>
        </w:rPr>
        <w:t xml:space="preserve"> y Chiavenato abordan diferentes problemáticas, entre ellas, las condiciones laborales en las que se desarrollan las instituciones de las que dependen dichos grupos, que realizan procesos de planeamiento, gestión y control para definir objetivos y metas hacia dónde dirigir su accionar y evaluar los resultados al final del proceso.</w:t>
      </w:r>
    </w:p>
    <w:p w14:paraId="57A3E452"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En las organizaciones artísticas, dentro de este proceso se ubica el ciclo de producción, constituido por la preproducción, la producción en sí misma y la explotación. La etapa de pre-producción es de planificación y ésta incluirá, a su vez, etapas referidas a la formación del equipo de trabajo, como el reclutamiento, la selección y la capacitación o entrenamiento del personal. Por lo general, el grupo comparte un mismo lenguaje -aunado por lo artístico- mediante el cual logran una comunicación fluida. Las tensiones en la comunicación aparecen en áreas que típicamente los artistas no manejan, como las referidas a la gestión. (Chiavenato: 2000; </w:t>
      </w:r>
      <w:proofErr w:type="spellStart"/>
      <w:r w:rsidRPr="00421A17">
        <w:rPr>
          <w:rFonts w:ascii="Times New Roman" w:hAnsi="Times New Roman" w:cs="Times New Roman"/>
          <w:bCs/>
          <w:lang w:val="es-MX"/>
        </w:rPr>
        <w:t>Fainstein</w:t>
      </w:r>
      <w:proofErr w:type="spellEnd"/>
      <w:r w:rsidRPr="00421A17">
        <w:rPr>
          <w:rFonts w:ascii="Times New Roman" w:hAnsi="Times New Roman" w:cs="Times New Roman"/>
          <w:bCs/>
          <w:lang w:val="es-MX"/>
        </w:rPr>
        <w:t>: 1947)</w:t>
      </w:r>
    </w:p>
    <w:p w14:paraId="457B09B0"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La gestión del Teatro Colón se encuentra enmarcada en diversas normativas que regulan la administración de los recursos públicos y las condiciones laborales de sus trabajadores. Entre ellas se destacan la Ley Nacional N.º 24.156 de Administración Financiera, que establece los principios de transparencia, control y rendición de cuentas en el sector público, y la legislación de la Ciudad Autónoma de Buenos Aires vinculada a la preservación del patrimonio cultural y al régimen laboral de los empleados públicos.</w:t>
      </w:r>
    </w:p>
    <w:p w14:paraId="1C2F6DFF"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Sin embargo, la existencia de estos marcos regulatorios no elimina las tensiones derivadas de la dependencia presupuestaria de la institución. Un ejemplo significativo fue el comunicado público emitido por el Ballet Estable del Teatro Colón en mayo de 2023, en el que los bailarines denunciaron la falta de provisión de insumos básicos para el desarrollo de su actividad profesional, particularmente zapatillas de danza. Según el documento, esta situación afectó los ensayos, produjo lesiones y obligó a modificar aspectos de las producciones programadas. Este caso resulta ilustrativo de cómo las limitaciones administrativas y presupuestarias pueden impactar directamente</w:t>
      </w:r>
    </w:p>
    <w:p w14:paraId="629B86EF"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lastRenderedPageBreak/>
        <w:t>La formación de artistas, la excelencia artística, la conservación de tradiciones y el prestigio institucional representan la dimensión cultural. Las tensiones aparecen cuando las restricciones presupuestarias condicionan objetivos cuya relevancia trasciende los criterios financieros.</w:t>
      </w:r>
    </w:p>
    <w:p w14:paraId="03945A9E"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Desde esta perspectiva, la contribución de David </w:t>
      </w:r>
      <w:proofErr w:type="spellStart"/>
      <w:r w:rsidRPr="00421A17">
        <w:rPr>
          <w:rFonts w:ascii="Times New Roman" w:hAnsi="Times New Roman" w:cs="Times New Roman"/>
          <w:bCs/>
          <w:lang w:val="es-MX"/>
        </w:rPr>
        <w:t>Throsby</w:t>
      </w:r>
      <w:proofErr w:type="spellEnd"/>
      <w:r w:rsidRPr="00421A17">
        <w:rPr>
          <w:rFonts w:ascii="Times New Roman" w:hAnsi="Times New Roman" w:cs="Times New Roman"/>
          <w:bCs/>
          <w:lang w:val="es-MX"/>
        </w:rPr>
        <w:t xml:space="preserve"> resulta especialmente pertinente para comprender el funcionamiento de las instituciones de educación superior artística. En </w:t>
      </w:r>
      <w:proofErr w:type="spellStart"/>
      <w:r w:rsidRPr="00421A17">
        <w:rPr>
          <w:rFonts w:ascii="Times New Roman" w:hAnsi="Times New Roman" w:cs="Times New Roman"/>
          <w:bCs/>
          <w:lang w:val="es-MX"/>
        </w:rPr>
        <w:t>Economics</w:t>
      </w:r>
      <w:proofErr w:type="spellEnd"/>
      <w:r w:rsidRPr="00421A17">
        <w:rPr>
          <w:rFonts w:ascii="Times New Roman" w:hAnsi="Times New Roman" w:cs="Times New Roman"/>
          <w:bCs/>
          <w:lang w:val="es-MX"/>
        </w:rPr>
        <w:t xml:space="preserve"> and Culture (2001), el autor sostiene que los bienes y servicios culturales poseen una doble naturaleza: generan valor económico, medible a través de costos, presupuestos, salarios e ingresos, pero también producen valor cultural, asociado con la identidad, la creatividad, la memoria colectiva, el patrimonio y la formación artística. Esta dimensión excede los indicadores financieros tradicionales y representa beneficios sociales de largo plazo. En este marco, </w:t>
      </w:r>
      <w:proofErr w:type="spellStart"/>
      <w:r w:rsidRPr="00421A17">
        <w:rPr>
          <w:rFonts w:ascii="Times New Roman" w:hAnsi="Times New Roman" w:cs="Times New Roman"/>
          <w:bCs/>
          <w:lang w:val="es-MX"/>
        </w:rPr>
        <w:t>Throsby</w:t>
      </w:r>
      <w:proofErr w:type="spellEnd"/>
      <w:r w:rsidRPr="00421A17">
        <w:rPr>
          <w:rFonts w:ascii="Times New Roman" w:hAnsi="Times New Roman" w:cs="Times New Roman"/>
          <w:bCs/>
          <w:lang w:val="es-MX"/>
        </w:rPr>
        <w:t xml:space="preserve"> desarrolla el concepto de capital cultural, entendido como el conjunto de bienes, conocimientos, capacidades e instituciones que constituyen un patrimonio para la sociedad y cuya preservación requiere políticas públicas sostenidas. Desde esta perspectiva, las instituciones dedicadas a la formación artística no deben concebirse únicamente como centros de gasto, sino como espacios de generación y transmisión de capital cultural.</w:t>
      </w:r>
    </w:p>
    <w:p w14:paraId="6D650011"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Esta interpretación resulta particularmente significativa para el caso del Instituto Superior de Arte del Teatro Colón. La formación de músicos, bailarines, cantantes y técnicos especializados constituye una inversión en capital cultural que fortalece el desarrollo artístico nacional y garantiza la continuidad de prácticas profesionales altamente especializadas. En consecuencia, las decisiones presupuestarias no solo afectan el equilibrio financiero de la institución, sino también la capacidad del Estado para sostener un patrimonio cultural intangible representado por los saberes, las trayectorias docentes y la formación de nuevos artistas.</w:t>
      </w:r>
    </w:p>
    <w:p w14:paraId="56C06D82"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En este marco, la tensión entre autonomía institucional y dependencia presupuestaria adquiere una dimensión particular. Aunque el Teatro Colón posee autarquía administrativa, su funcionamiento y el del Instituto Superior de Arte continúan dependiendo, en gran medida, de las asignaciones presupuestarias aprobadas por el Gobierno de la Ciudad Autónoma de Buenos Aires. Tal como plantea </w:t>
      </w:r>
      <w:proofErr w:type="spellStart"/>
      <w:r w:rsidRPr="00421A17">
        <w:rPr>
          <w:rFonts w:ascii="Times New Roman" w:hAnsi="Times New Roman" w:cs="Times New Roman"/>
          <w:bCs/>
          <w:lang w:val="es-MX"/>
        </w:rPr>
        <w:t>Throsby</w:t>
      </w:r>
      <w:proofErr w:type="spellEnd"/>
      <w:r w:rsidRPr="00421A17">
        <w:rPr>
          <w:rFonts w:ascii="Times New Roman" w:hAnsi="Times New Roman" w:cs="Times New Roman"/>
          <w:bCs/>
          <w:lang w:val="es-MX"/>
        </w:rPr>
        <w:t>, el desafío consiste en compatibilizar criterios de sostenibilidad económica con la preservación del valor cultural generado por estas instituciones, evitando que las restricciones financieras comprometan procesos formativos cuya importancia excede los resultados económicos inmediatos.</w:t>
      </w:r>
    </w:p>
    <w:p w14:paraId="2F35EC45" w14:textId="77777777" w:rsidR="00421A17" w:rsidRPr="00421A17" w:rsidRDefault="00421A17" w:rsidP="00421A17">
      <w:pPr>
        <w:spacing w:line="240" w:lineRule="auto"/>
        <w:rPr>
          <w:rFonts w:ascii="Times New Roman" w:hAnsi="Times New Roman" w:cs="Times New Roman"/>
          <w:bCs/>
          <w:lang w:val="es-MX"/>
        </w:rPr>
      </w:pPr>
    </w:p>
    <w:p w14:paraId="42B5D6F4" w14:textId="77777777" w:rsidR="00421A17" w:rsidRPr="007D0212" w:rsidRDefault="00421A17" w:rsidP="00421A17">
      <w:pPr>
        <w:spacing w:line="240" w:lineRule="auto"/>
        <w:rPr>
          <w:rFonts w:ascii="Times New Roman" w:hAnsi="Times New Roman" w:cs="Times New Roman"/>
          <w:b/>
          <w:bCs/>
          <w:lang w:val="es-MX"/>
        </w:rPr>
      </w:pPr>
      <w:r w:rsidRPr="007D0212">
        <w:rPr>
          <w:rFonts w:ascii="Times New Roman" w:hAnsi="Times New Roman" w:cs="Times New Roman"/>
          <w:b/>
          <w:bCs/>
          <w:lang w:val="es-MX"/>
        </w:rPr>
        <w:t>Articulación entre sostenibilidad económica y sostenibilidad pedagógica</w:t>
      </w:r>
    </w:p>
    <w:p w14:paraId="550417D8" w14:textId="77777777" w:rsidR="00421A17" w:rsidRPr="00421A17" w:rsidRDefault="00421A17" w:rsidP="00421A17">
      <w:pPr>
        <w:spacing w:line="240" w:lineRule="auto"/>
        <w:rPr>
          <w:rFonts w:ascii="Times New Roman" w:hAnsi="Times New Roman" w:cs="Times New Roman"/>
          <w:bCs/>
          <w:lang w:val="es-MX"/>
        </w:rPr>
      </w:pPr>
    </w:p>
    <w:p w14:paraId="1913A512"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El análisis desarrollado en los apartados anteriores permite advertir que las tensiones presupuestarias que atraviesan las instituciones de educación superior artística no constituyen únicamente un problema financiero. Se trata de desafíos que involucran simultáneamente dimensiones institucionales, pedagógicas, culturales y </w:t>
      </w:r>
      <w:r w:rsidRPr="00421A17">
        <w:rPr>
          <w:rFonts w:ascii="Times New Roman" w:hAnsi="Times New Roman" w:cs="Times New Roman"/>
          <w:bCs/>
          <w:lang w:val="es-MX"/>
        </w:rPr>
        <w:lastRenderedPageBreak/>
        <w:t>organizacionales, y que exigen modelos de gestión capaces de articular la sostenibilidad económica con la preservación de la misión educativa y artística de estas organizaciones.</w:t>
      </w:r>
    </w:p>
    <w:p w14:paraId="21B050B9"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Desde esta perspectiva, </w:t>
      </w:r>
      <w:proofErr w:type="spellStart"/>
      <w:r w:rsidRPr="00421A17">
        <w:rPr>
          <w:rFonts w:ascii="Times New Roman" w:hAnsi="Times New Roman" w:cs="Times New Roman"/>
          <w:bCs/>
          <w:lang w:val="es-MX"/>
        </w:rPr>
        <w:t>Colombres</w:t>
      </w:r>
      <w:proofErr w:type="spellEnd"/>
      <w:r w:rsidRPr="00421A17">
        <w:rPr>
          <w:rFonts w:ascii="Times New Roman" w:hAnsi="Times New Roman" w:cs="Times New Roman"/>
          <w:bCs/>
          <w:lang w:val="es-MX"/>
        </w:rPr>
        <w:t xml:space="preserve"> (2011) sostiene que gestionar implica generar acciones, potenciar recursos existentes y poner en valor prácticas culturales ya presentes en la comunidad. El gestor cultural no crea necesariamente desde cero, sino que articula recursos, actores e instituciones para favorecer el desarrollo de los procesos culturales. De manera complementaria, López Bernárdez (2003) señala en este caso,  que la función del gestor consiste en facilitar el encuentro entre la producción artística y sus públicos, articulando variables económicas, organizacionales y culturales sin alterar la esencia de la obra.</w:t>
      </w:r>
    </w:p>
    <w:p w14:paraId="041590FE"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Estas definiciones adquieren características particulares en el ámbito público, donde las decisiones de gestión se encuentran atravesadas por políticas culturales, restricciones presupuestarias y objetivos de acceso democrático a los bienes culturales. En instituciones de formación artística y producción cultural, como las vinculadas al sector público argentino, la gestión debe responder simultáneamente a criterios de eficiencia administrativa y a la preservación de valores culturales que exceden la lógica del mercado. Estas particularidades explican por qué la gestión de una institución artística presenta desafíos específicos respecto de otros tipos de organizaciones. </w:t>
      </w:r>
    </w:p>
    <w:p w14:paraId="4A681433"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este sentido, Frey (2000) destaca la importancia de las instituciones como marcos que condicionan y orientan el comportamiento de los individuos. Las normas, tradiciones, estructuras organizativas y mecanismos de financiamiento influyen directamente sobre las posibilidades de acción de artistas, docentes, gestores y autoridades. Desde esta perspectiva, las organizaciones culturales no pueden comprenderse únicamente a partir de variables económicas, sino también a partir de las características institucionales que determinan sus formas de funcionamiento.</w:t>
      </w:r>
    </w:p>
    <w:p w14:paraId="15DBBDA6"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La dimensión económica de la actividad artística constituye otro aspecto central para comprender las tensiones presentes en el sector. </w:t>
      </w:r>
      <w:proofErr w:type="spellStart"/>
      <w:r w:rsidRPr="00421A17">
        <w:rPr>
          <w:rFonts w:ascii="Times New Roman" w:hAnsi="Times New Roman" w:cs="Times New Roman"/>
          <w:bCs/>
          <w:lang w:val="es-MX"/>
        </w:rPr>
        <w:t>Casacuberta</w:t>
      </w:r>
      <w:proofErr w:type="spellEnd"/>
      <w:r w:rsidRPr="00421A17">
        <w:rPr>
          <w:rFonts w:ascii="Times New Roman" w:hAnsi="Times New Roman" w:cs="Times New Roman"/>
          <w:bCs/>
          <w:lang w:val="es-MX"/>
        </w:rPr>
        <w:t xml:space="preserve"> (2006) señala que toda actividad cultural involucra simultáneamente una dimensión simbólica y una dimensión económica. En el caso de la danza, el teatro, la música y toda expresión artística,  conviven la vocación, la producción de valor cultural y la necesidad de garantizar condiciones laborales y recursos suficientes para sostener la actividad profesional.</w:t>
      </w:r>
    </w:p>
    <w:p w14:paraId="2A0749F8"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Asimismo, las transformaciones contemporáneas en los consumos culturales introducen nuevos desafíos para la gestión institucional. Pine y </w:t>
      </w:r>
      <w:proofErr w:type="spellStart"/>
      <w:r w:rsidRPr="00421A17">
        <w:rPr>
          <w:rFonts w:ascii="Times New Roman" w:hAnsi="Times New Roman" w:cs="Times New Roman"/>
          <w:bCs/>
          <w:lang w:val="es-MX"/>
        </w:rPr>
        <w:t>Gilmore</w:t>
      </w:r>
      <w:proofErr w:type="spellEnd"/>
      <w:r w:rsidRPr="00421A17">
        <w:rPr>
          <w:rFonts w:ascii="Times New Roman" w:hAnsi="Times New Roman" w:cs="Times New Roman"/>
          <w:bCs/>
          <w:lang w:val="es-MX"/>
        </w:rPr>
        <w:t xml:space="preserve"> (2000), a través del concepto de “economía de la experiencia”, sostienen que los consumidores ya no buscan únicamente bienes o servicios, sino experiencias significativas y memorables. En el ámbito de las artes escénicas, el público participa de experiencias estéticas, emocionales y simbólicas que constituyen parte fundamental del valor generado por las instituciones culturales.</w:t>
      </w:r>
    </w:p>
    <w:p w14:paraId="74AD7F90"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Estas características permiten comprender por qué las tensiones económicas que atraviesan la educación superior artística no pueden reducirse exclusivamente a problemas presupuestarios. Se trata de organizaciones que producen bienes simbólicos, </w:t>
      </w:r>
      <w:r w:rsidRPr="00421A17">
        <w:rPr>
          <w:rFonts w:ascii="Times New Roman" w:hAnsi="Times New Roman" w:cs="Times New Roman"/>
          <w:bCs/>
          <w:lang w:val="es-MX"/>
        </w:rPr>
        <w:lastRenderedPageBreak/>
        <w:t>forman profesionales de la cultura y generan experiencias artísticas cuya valoración excede los criterios tradicionales de rentabilidad económica. En consecuencia, la gestión institucional debe desarrollar estrategias capaces de equilibrar sostenibilidad financiera, calidad artística, formación académica y acceso cultural, en un contexto frecuentemente atravesado por restricciones presupuestarias y demandas sociales crecientes.</w:t>
      </w:r>
    </w:p>
    <w:p w14:paraId="3F03BAAA"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Uno de los principales desafíos en la gestión de instituciones artísticas radica en la dificultad de analizar los procesos culturales exclusivamente mediante categorías económicas tradicionales. Históricamente, diversos actores del campo artístico han considerado que el arte constituye una esfera diferenciada de la lógica económica, debido a su dimensión simbólica, estética y social. Sin embargo, el desarrollo de la denominada economía de la cultura permitió demostrar que las actividades artísticas también implican procesos de producción, distribución y consumo que requieren recursos materiales y financieros para su sostenimiento.</w:t>
      </w:r>
    </w:p>
    <w:p w14:paraId="0D1CCF46"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este sentido, Frey (2000) sostiene que el análisis económico del arte no implica reducir las manifestaciones culturales a su valor monetario, sino comprender las condiciones institucionales y materiales que hacen posible su existencia. La producción artística requiere recursos, infraestructura, trabajadores especializados y formas de financiamiento que permitan garantizar su continuidad en el tiempo. Por ello, la gestión cultural debe enfrentar el desafío de equilibrar objetivos artísticos y restricciones presupuestarias sin desvirtuar la naturaleza de los bienes culturales.</w:t>
      </w:r>
    </w:p>
    <w:p w14:paraId="254856CC"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Esta problemática adquiere particular relevancia en las instituciones públicas dedicadas a las artes escénicas. Los directivos y gestores deben planificar temporadas artísticas, sostener cuerpos estables, garantizar procesos formativos y administrar recursos limitados en contextos de creciente complejidad económica. En consecuencia, las decisiones de gestión no responden únicamente a criterios estéticos o pedagógicos, sino también a condicionantes presupuestarios que influyen directamente sobre la programación y el funcionamiento institucional.</w:t>
      </w:r>
    </w:p>
    <w:p w14:paraId="63368395"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Desde la teoría económica, una de las contribuciones más relevantes para comprender esta situación es la formulada por </w:t>
      </w:r>
      <w:proofErr w:type="spellStart"/>
      <w:r w:rsidRPr="00421A17">
        <w:rPr>
          <w:rFonts w:ascii="Times New Roman" w:hAnsi="Times New Roman" w:cs="Times New Roman"/>
          <w:bCs/>
          <w:lang w:val="es-MX"/>
        </w:rPr>
        <w:t>Baumol</w:t>
      </w:r>
      <w:proofErr w:type="spellEnd"/>
      <w:r w:rsidRPr="00421A17">
        <w:rPr>
          <w:rFonts w:ascii="Times New Roman" w:hAnsi="Times New Roman" w:cs="Times New Roman"/>
          <w:bCs/>
          <w:lang w:val="es-MX"/>
        </w:rPr>
        <w:t xml:space="preserve"> y </w:t>
      </w:r>
      <w:proofErr w:type="spellStart"/>
      <w:r w:rsidRPr="00421A17">
        <w:rPr>
          <w:rFonts w:ascii="Times New Roman" w:hAnsi="Times New Roman" w:cs="Times New Roman"/>
          <w:bCs/>
          <w:lang w:val="es-MX"/>
        </w:rPr>
        <w:t>Bowen</w:t>
      </w:r>
      <w:proofErr w:type="spellEnd"/>
      <w:r w:rsidRPr="00421A17">
        <w:rPr>
          <w:rFonts w:ascii="Times New Roman" w:hAnsi="Times New Roman" w:cs="Times New Roman"/>
          <w:bCs/>
          <w:lang w:val="es-MX"/>
        </w:rPr>
        <w:t xml:space="preserve"> (1966) a través del denominado “dilema económico de las artes </w:t>
      </w:r>
      <w:proofErr w:type="spellStart"/>
      <w:r w:rsidRPr="00421A17">
        <w:rPr>
          <w:rFonts w:ascii="Times New Roman" w:hAnsi="Times New Roman" w:cs="Times New Roman"/>
          <w:bCs/>
          <w:lang w:val="es-MX"/>
        </w:rPr>
        <w:t>escénicas”los</w:t>
      </w:r>
      <w:proofErr w:type="spellEnd"/>
      <w:r w:rsidRPr="00421A17">
        <w:rPr>
          <w:rFonts w:ascii="Times New Roman" w:hAnsi="Times New Roman" w:cs="Times New Roman"/>
          <w:bCs/>
          <w:lang w:val="es-MX"/>
        </w:rPr>
        <w:t xml:space="preserve"> autores demostraron que, actividades como la música, la ópera o el ballet presentan dificultades estructurales para incrementar su productividad sin afectar la calidad artística. Una obra coreográfica requiere hoy una cantidad de intérpretes, ensayos y tiempo de producción similar a las necesarias décadas atrás, mientras que los costos salariales y operativos continúan aumentando. Esta situación genera una brecha creciente entre costos e ingresos, que explica la necesidad de mecanismos de financiamiento público para garantizar la continuidad de estas actividades.</w:t>
      </w:r>
    </w:p>
    <w:p w14:paraId="3D62E32A"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Por otra parte, la economía de la cultura ha destacado el carácter de bien público que poseen numerosas manifestaciones artísticas. Como señala </w:t>
      </w:r>
      <w:proofErr w:type="spellStart"/>
      <w:proofErr w:type="gramStart"/>
      <w:r w:rsidRPr="00421A17">
        <w:rPr>
          <w:rFonts w:ascii="Times New Roman" w:hAnsi="Times New Roman" w:cs="Times New Roman"/>
          <w:bCs/>
          <w:lang w:val="es-MX"/>
        </w:rPr>
        <w:t>Mankiw</w:t>
      </w:r>
      <w:proofErr w:type="spellEnd"/>
      <w:r w:rsidRPr="00421A17">
        <w:rPr>
          <w:rFonts w:ascii="Times New Roman" w:hAnsi="Times New Roman" w:cs="Times New Roman"/>
          <w:bCs/>
          <w:lang w:val="es-MX"/>
        </w:rPr>
        <w:t>(</w:t>
      </w:r>
      <w:proofErr w:type="gramEnd"/>
      <w:r w:rsidRPr="00421A17">
        <w:rPr>
          <w:rFonts w:ascii="Times New Roman" w:hAnsi="Times New Roman" w:cs="Times New Roman"/>
          <w:bCs/>
          <w:lang w:val="es-MX"/>
        </w:rPr>
        <w:t xml:space="preserve">2012), la actividad cultural genera externalidades positivas cuyos beneficios exceden a quienes participan directamente en el intercambio económico. La formación artística, la preservación del patrimonio cultural, la construcción de identidad colectiva y la ampliación del acceso a </w:t>
      </w:r>
      <w:r w:rsidRPr="00421A17">
        <w:rPr>
          <w:rFonts w:ascii="Times New Roman" w:hAnsi="Times New Roman" w:cs="Times New Roman"/>
          <w:bCs/>
          <w:lang w:val="es-MX"/>
        </w:rPr>
        <w:lastRenderedPageBreak/>
        <w:t>bienes simbólicos producen beneficios sociales que no pueden medirse únicamente a través de los ingresos obtenidos por la venta de entradas o servicios culturales.</w:t>
      </w:r>
    </w:p>
    <w:p w14:paraId="15B19BA6"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Desde esta perspectiva, el financiamiento estatal de las instituciones artísticas encuentra justificación no sólo en términos culturales sino también económicos y sociales. La intervención pública permite sostener actividades que difícilmente podrían financiarse exclusivamente mediante mecanismos de mercado, garantizando la continuidad de proyectos educativos, la preservación de cuerpos artísticos estables y el acceso de amplios sectores de la población a bienes culturales considerados de interés público.</w:t>
      </w:r>
    </w:p>
    <w:p w14:paraId="59ACFD87"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El Instituto Superior de Arte del Teatro Colón constituye una institución singular dentro del sistema de educación superior artística argentino. Su modelo de formación se caracteriza por la estrecha articulación entre la enseñanza y la práctica profesional desarrollada por los cuerpos estables del Teatro Colón, configurando un espacio donde la transmisión de saberes se apoya históricamente en la experiencia artística de sus docentes. Esta identidad, basada en la excelencia técnica y en la tradición pedagógica propia de la institución, ha permitido consolidar un modelo de formación reconocido tanto a nivel nacional como internacional. Sin embargo, las transformaciones del sistema de educación superior y las crecientes exigencias normativas en materia de calidad académica plantean nuevos desafíos para la gestión institucional, particularmente en relación con la profesionalización de la función docente, la planificación de las trayectorias formativas y la sostenibilidad de los procesos educativos.</w:t>
      </w:r>
    </w:p>
    <w:p w14:paraId="5C871628"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Las restricciones económicas no constituyen el único desafío para la gestión institucional del Instituto Superior de Arte. La sostenibilidad de un proyecto educativo especializado también depende de la articulación entre los procesos formativos y los espacios de práctica profesional, aspecto que ha sido señalado reiteradamente por distintos actores institucionales como una condición necesaria para preservar la calidad de la formación artística.</w:t>
      </w:r>
    </w:p>
    <w:p w14:paraId="4569EEDF"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Otro de los aspectos señalados por el entonces director del Ballet Estable, Maximiliano Guerra, refiere a la escasa articulación entre el Instituto Superior de Arte y el Ballet Estable. Según el entrevistado, esta situación debilita la continuidad pedagógica entre la formación académica y la práctica profesional y reduce las oportunidades de transferencia de conocimientos y de inserción institucional de los estudiantes. En los últimos años se produjo un progresivo distanciamiento entre ambas instituciones, no sólo desde el punto de vista físico —al desarrollarse las actividades formativas en espacios diferentes— sino también en la integración pedagógica entre la enseñanza y la práctica profesional.</w:t>
      </w:r>
    </w:p>
    <w:p w14:paraId="0BFDC1E6"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 xml:space="preserve">Desde una perspectiva de gestión educativa, esta desvinculación constituye una limitación para la formación de los futuros bailarines. La cercanía entre la escuela y el Ballet Estable favorece la transmisión de conocimientos, experiencias y valores propios de la profesión, permitiendo que los estudiantes conozcan de manera directa las exigencias del ámbito laboral al que aspiran incorporarse. En este sentido, la interacción permanente con los primeros bailarines, maestros y directores de la compañía fortalece </w:t>
      </w:r>
      <w:r w:rsidRPr="00421A17">
        <w:rPr>
          <w:rFonts w:ascii="Times New Roman" w:hAnsi="Times New Roman" w:cs="Times New Roman"/>
          <w:bCs/>
          <w:lang w:val="es-MX"/>
        </w:rPr>
        <w:lastRenderedPageBreak/>
        <w:t xml:space="preserve">el proceso formativo y contribuye a una mayor coherencia entre la enseñanza impartida y las demandas artísticas del Teatro Colón </w:t>
      </w:r>
    </w:p>
    <w:p w14:paraId="210442B6"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Las reglas del arte (1992), Bourdieu explica que el arte funciona como un campo, es decir, un espacio social donde interactúan instituciones, artistas, docentes, directores y organismos públicos disputando distintos tipos de legitimidad. Desde esta perspectiva, el Instituto Superior de Arte y el Ballet Estable no constituyen instituciones independientes, sino dos componentes de un mismo campo artístico cuya articulación resulta necesaria para garantizar la reproducción de las prácticas profesionales y la continuidad de los saberes específicos de la danza académica. Su desvinculación afecta la circulación del conocimiento profesional y debilita la continuidad institucional entre la formación y el ejercicio artístico.</w:t>
      </w:r>
    </w:p>
    <w:p w14:paraId="3B8015C3" w14:textId="77777777" w:rsidR="00421A17" w:rsidRPr="00421A17" w:rsidRDefault="00421A17" w:rsidP="00421A17">
      <w:pPr>
        <w:spacing w:line="240" w:lineRule="auto"/>
        <w:rPr>
          <w:rFonts w:ascii="Times New Roman" w:hAnsi="Times New Roman" w:cs="Times New Roman"/>
          <w:bCs/>
          <w:lang w:val="es-MX"/>
        </w:rPr>
      </w:pPr>
      <w:r w:rsidRPr="00421A17">
        <w:rPr>
          <w:rFonts w:ascii="Times New Roman" w:hAnsi="Times New Roman" w:cs="Times New Roman"/>
          <w:bCs/>
          <w:lang w:val="es-MX"/>
        </w:rPr>
        <w:t>En consecuencia, las tensiones económicas presentes en las instituciones de educación superior artística no deben interpretarse únicamente como problemas de administración financiera, sino también como desafíos que exigen preservar los vínculos pedagógicos que posibilitan la transmisión de conocimientos entre la formación académica y la práctica profesional. Desde esta perspectiva, la gestión institucional debe atender simultáneamente la sostenibilidad económica y la sostenibilidad pedagógica como dimensiones complementarias de un mismo proceso.</w:t>
      </w:r>
    </w:p>
    <w:p w14:paraId="2964F270" w14:textId="77777777" w:rsidR="00421A17" w:rsidRPr="00421A17" w:rsidRDefault="00421A17" w:rsidP="007B5B5F">
      <w:pPr>
        <w:spacing w:line="240" w:lineRule="auto"/>
        <w:rPr>
          <w:rFonts w:ascii="Times New Roman" w:hAnsi="Times New Roman" w:cs="Times New Roman"/>
          <w:bCs/>
          <w:lang w:val="es-MX"/>
        </w:rPr>
      </w:pPr>
    </w:p>
    <w:p w14:paraId="12CE0BCB" w14:textId="6A82741F" w:rsidR="005F3B2E" w:rsidRPr="00421A17" w:rsidRDefault="005F3B2E" w:rsidP="007B5B5F">
      <w:pPr>
        <w:spacing w:line="240" w:lineRule="auto"/>
        <w:rPr>
          <w:rFonts w:ascii="Times New Roman" w:hAnsi="Times New Roman" w:cs="Times New Roman"/>
          <w:b/>
          <w:bCs/>
          <w:lang w:val="es-MX"/>
        </w:rPr>
      </w:pPr>
      <w:r w:rsidRPr="00421A17">
        <w:rPr>
          <w:rFonts w:ascii="Times New Roman" w:hAnsi="Times New Roman" w:cs="Times New Roman"/>
          <w:b/>
          <w:bCs/>
          <w:lang w:val="es-MX"/>
        </w:rPr>
        <w:t>Conclusiones</w:t>
      </w:r>
    </w:p>
    <w:p w14:paraId="0070BC1E" w14:textId="77777777" w:rsidR="00421A17" w:rsidRPr="00421A17" w:rsidRDefault="00421A17" w:rsidP="00421A17">
      <w:pPr>
        <w:spacing w:line="240" w:lineRule="auto"/>
        <w:jc w:val="both"/>
        <w:rPr>
          <w:rFonts w:ascii="Times New Roman" w:hAnsi="Times New Roman" w:cs="Times New Roman"/>
          <w:lang w:val="es-MX"/>
        </w:rPr>
      </w:pPr>
      <w:r w:rsidRPr="00421A17">
        <w:rPr>
          <w:rFonts w:ascii="Times New Roman" w:hAnsi="Times New Roman" w:cs="Times New Roman"/>
          <w:lang w:val="es-MX"/>
        </w:rPr>
        <w:t>La formación artística superior no puede analizarse únicamente desde una lógica económica, porque constituye una inversión en capital cultural y un componente esencial de las políticas públicas culturales.</w:t>
      </w:r>
    </w:p>
    <w:p w14:paraId="7FED838A" w14:textId="77777777" w:rsidR="00421A17" w:rsidRPr="00421A17" w:rsidRDefault="00421A17" w:rsidP="00421A17">
      <w:pPr>
        <w:spacing w:line="240" w:lineRule="auto"/>
        <w:jc w:val="both"/>
        <w:rPr>
          <w:rFonts w:ascii="Times New Roman" w:hAnsi="Times New Roman" w:cs="Times New Roman"/>
          <w:lang w:val="es-MX"/>
        </w:rPr>
      </w:pPr>
      <w:r w:rsidRPr="00421A17">
        <w:rPr>
          <w:rFonts w:ascii="Times New Roman" w:hAnsi="Times New Roman" w:cs="Times New Roman"/>
          <w:lang w:val="es-MX"/>
        </w:rPr>
        <w:t>El análisis desarrollado a lo largo de este trabajo permitió examinar la incidencia del Instituto Superior de Arte del Teatro Colón, entendiendo que el  estudio del caso evidencia que el presupuesto público trasciende su dimensión estrictamente financiera para convertirse en una herramienta de política pública capaz de orientar prioridades, definir metas institucionales y condicionar la planificación académica. En este sentido, la asignación de recursos no solo posibilita el funcionamiento administrativo del Instituto, sino que influye directamente en aspectos sustantivos de la gestión educativa, tales como la planificación curricular, la continuidad de los procesos formativos, la contratación docente, el desarrollo de las trayectorias estudiantiles y el sostenimiento de actividades de formación artística de excelencia.</w:t>
      </w:r>
    </w:p>
    <w:p w14:paraId="55DC51A0" w14:textId="77777777" w:rsidR="00421A17" w:rsidRPr="00421A17" w:rsidRDefault="00421A17" w:rsidP="00421A17">
      <w:pPr>
        <w:spacing w:line="240" w:lineRule="auto"/>
        <w:jc w:val="both"/>
        <w:rPr>
          <w:rFonts w:ascii="Times New Roman" w:hAnsi="Times New Roman" w:cs="Times New Roman"/>
          <w:lang w:val="es-MX"/>
        </w:rPr>
      </w:pPr>
      <w:r w:rsidRPr="00421A17">
        <w:rPr>
          <w:rFonts w:ascii="Times New Roman" w:hAnsi="Times New Roman" w:cs="Times New Roman"/>
          <w:lang w:val="es-MX"/>
        </w:rPr>
        <w:t xml:space="preserve">Desde esta perspectiva, el Instituto Superior de Arte presenta características particulares dentro del sistema argentino de educación superior. Su integración al Teatro Colón le permite desarrollar un modelo pedagógico estrechamente vinculado con la práctica profesional y con la producción artística de una institución de referencia nacional e internacional. Sin embargo, esa misma inserción institucional genera una tensión permanente entre las necesidades propias de la gestión educativa y las prioridades presupuestarias de un organismo cuya función principal continúa siendo la producción artística. </w:t>
      </w:r>
    </w:p>
    <w:p w14:paraId="00343C53" w14:textId="77777777" w:rsidR="00421A17" w:rsidRPr="00421A17" w:rsidRDefault="00421A17" w:rsidP="00421A17">
      <w:pPr>
        <w:spacing w:line="240" w:lineRule="auto"/>
        <w:jc w:val="both"/>
        <w:rPr>
          <w:rFonts w:ascii="Times New Roman" w:hAnsi="Times New Roman" w:cs="Times New Roman"/>
          <w:lang w:val="es-MX"/>
        </w:rPr>
      </w:pPr>
      <w:r w:rsidRPr="00421A17">
        <w:rPr>
          <w:rFonts w:ascii="Times New Roman" w:hAnsi="Times New Roman" w:cs="Times New Roman"/>
          <w:lang w:val="es-MX"/>
        </w:rPr>
        <w:lastRenderedPageBreak/>
        <w:t xml:space="preserve">Los aportes de David </w:t>
      </w:r>
      <w:proofErr w:type="spellStart"/>
      <w:r w:rsidRPr="00421A17">
        <w:rPr>
          <w:rFonts w:ascii="Times New Roman" w:hAnsi="Times New Roman" w:cs="Times New Roman"/>
          <w:lang w:val="es-MX"/>
        </w:rPr>
        <w:t>Throsby</w:t>
      </w:r>
      <w:proofErr w:type="spellEnd"/>
      <w:r w:rsidRPr="00421A17">
        <w:rPr>
          <w:rFonts w:ascii="Times New Roman" w:hAnsi="Times New Roman" w:cs="Times New Roman"/>
          <w:lang w:val="es-MX"/>
        </w:rPr>
        <w:t xml:space="preserve">, junto con las contribuciones de </w:t>
      </w:r>
      <w:proofErr w:type="spellStart"/>
      <w:r w:rsidRPr="00421A17">
        <w:rPr>
          <w:rFonts w:ascii="Times New Roman" w:hAnsi="Times New Roman" w:cs="Times New Roman"/>
          <w:lang w:val="es-MX"/>
        </w:rPr>
        <w:t>Baumol</w:t>
      </w:r>
      <w:proofErr w:type="spellEnd"/>
      <w:r w:rsidRPr="00421A17">
        <w:rPr>
          <w:rFonts w:ascii="Times New Roman" w:hAnsi="Times New Roman" w:cs="Times New Roman"/>
          <w:lang w:val="es-MX"/>
        </w:rPr>
        <w:t xml:space="preserve"> y </w:t>
      </w:r>
      <w:proofErr w:type="spellStart"/>
      <w:r w:rsidRPr="00421A17">
        <w:rPr>
          <w:rFonts w:ascii="Times New Roman" w:hAnsi="Times New Roman" w:cs="Times New Roman"/>
          <w:lang w:val="es-MX"/>
        </w:rPr>
        <w:t>Bowen</w:t>
      </w:r>
      <w:proofErr w:type="spellEnd"/>
      <w:r w:rsidRPr="00421A17">
        <w:rPr>
          <w:rFonts w:ascii="Times New Roman" w:hAnsi="Times New Roman" w:cs="Times New Roman"/>
          <w:lang w:val="es-MX"/>
        </w:rPr>
        <w:t xml:space="preserve"> y de </w:t>
      </w:r>
      <w:proofErr w:type="spellStart"/>
      <w:r w:rsidRPr="00421A17">
        <w:rPr>
          <w:rFonts w:ascii="Times New Roman" w:hAnsi="Times New Roman" w:cs="Times New Roman"/>
          <w:lang w:val="es-MX"/>
        </w:rPr>
        <w:t>Mankiw</w:t>
      </w:r>
      <w:proofErr w:type="spellEnd"/>
      <w:r w:rsidRPr="00421A17">
        <w:rPr>
          <w:rFonts w:ascii="Times New Roman" w:hAnsi="Times New Roman" w:cs="Times New Roman"/>
          <w:lang w:val="es-MX"/>
        </w:rPr>
        <w:t>, permiten comprender que la educación artística genera capital cultural, preserva saberes especializados, fortalece el patrimonio cultural y contribuye, de esta manera, a la formación de profesionales que sostienen la continuidad de las instituciones culturales. En consecuencia, el financiamiento destinado a estas instituciones no debe interpretarse únicamente como un gasto público, sino como una inversión estratégica en educación, cultura y desarrollo social. En este marco, el caso del Instituto Superior de Arte demuestra que las tensiones presupuestarias no afectan exclusivamente la producción artística del Teatro Colón, sino también la calidad, continuidad y sostenibilidad de los procesos educativos que allí se desarrollan. Las restricciones financieras pueden traducirse en limitaciones para la planificación institucional y comprometer la estabilidad necesaria para sostener proyectos pedagógicos de largo plazo, condición indispensable en la formación profesional de artistas.</w:t>
      </w:r>
    </w:p>
    <w:p w14:paraId="6EFADD6B" w14:textId="77777777" w:rsidR="00421A17" w:rsidRPr="00421A17" w:rsidRDefault="00421A17" w:rsidP="00421A17">
      <w:pPr>
        <w:spacing w:line="240" w:lineRule="auto"/>
        <w:jc w:val="both"/>
        <w:rPr>
          <w:rFonts w:ascii="Times New Roman" w:hAnsi="Times New Roman" w:cs="Times New Roman"/>
          <w:lang w:val="es-MX"/>
        </w:rPr>
      </w:pPr>
      <w:r w:rsidRPr="00421A17">
        <w:rPr>
          <w:rFonts w:ascii="Times New Roman" w:hAnsi="Times New Roman" w:cs="Times New Roman"/>
          <w:lang w:val="es-MX"/>
        </w:rPr>
        <w:t>Finalmente, esta investigación propone ampliar la mirada sobre la gestión de las instituciones culturales, incorporando la dimensión educativa como objeto de análisis de las políticas públicas. Comprender la educación superior artística desde la perspectiva de la gestión y del financiamiento permite reconocer que la formación de nuevos artistas constituye una responsabilidad estratégica del Estado y un componente esencial para la preservación y el desarrollo del patrimonio cultural.</w:t>
      </w:r>
    </w:p>
    <w:p w14:paraId="290D4497" w14:textId="77777777" w:rsidR="00421A17" w:rsidRPr="00421A17" w:rsidRDefault="00421A17" w:rsidP="00421A17">
      <w:pPr>
        <w:spacing w:line="240" w:lineRule="auto"/>
        <w:jc w:val="both"/>
        <w:rPr>
          <w:rFonts w:ascii="Times New Roman" w:hAnsi="Times New Roman" w:cs="Times New Roman"/>
          <w:lang w:val="es-MX"/>
        </w:rPr>
      </w:pPr>
      <w:r w:rsidRPr="00421A17">
        <w:rPr>
          <w:rFonts w:ascii="Times New Roman" w:hAnsi="Times New Roman" w:cs="Times New Roman"/>
          <w:lang w:val="es-MX"/>
        </w:rPr>
        <w:t>En este sentido, el Instituto Superior de Arte del Teatro Colón representa un caso paradigmático para reflexionar sobre los desafíos que enfrentan las instituciones de educación superior artística en contextos de restricciones presupuestarias, reafirmando la necesidad de políticas públicas que articulen sostenibilidad financiera, excelencia académica y compromiso con el desarrollo cultural.</w:t>
      </w:r>
    </w:p>
    <w:p w14:paraId="7D0D1A50" w14:textId="77777777" w:rsidR="00421A17" w:rsidRPr="00421A17" w:rsidRDefault="00421A17" w:rsidP="00421A17">
      <w:pPr>
        <w:spacing w:line="240" w:lineRule="auto"/>
        <w:jc w:val="both"/>
        <w:rPr>
          <w:rFonts w:ascii="Times New Roman" w:hAnsi="Times New Roman" w:cs="Times New Roman"/>
          <w:lang w:val="es-MX"/>
        </w:rPr>
      </w:pPr>
      <w:r w:rsidRPr="00421A17">
        <w:rPr>
          <w:rFonts w:ascii="Times New Roman" w:hAnsi="Times New Roman" w:cs="Times New Roman"/>
          <w:lang w:val="es-MX"/>
        </w:rPr>
        <w:t>En definitiva, el análisis realizado permite sostener que la sostenibilidad institucional de la educación superior artística no depende exclusivamente de la disponibilidad de recursos económicos. También requiere políticas de gestión capaces de preservar las condiciones pedagógicas, organizacionales y profesionales que hacen posible la transmisión de saberes especializados y la formación de nuevas generaciones de artistas. Ambas dimensiones —la económica y la pedagógica— resultan inseparables para garantizar la continuidad de instituciones como el Instituto Superior de Arte del Teatro  Colón</w:t>
      </w:r>
    </w:p>
    <w:p w14:paraId="544B704F" w14:textId="7AB75782" w:rsidR="00BC236F" w:rsidRPr="00421A17" w:rsidRDefault="00421A17" w:rsidP="00421A17">
      <w:pPr>
        <w:spacing w:line="240" w:lineRule="auto"/>
        <w:jc w:val="both"/>
        <w:rPr>
          <w:rFonts w:ascii="Times New Roman" w:hAnsi="Times New Roman" w:cs="Times New Roman"/>
          <w:lang w:val="es-MX"/>
        </w:rPr>
      </w:pPr>
      <w:r w:rsidRPr="00421A17">
        <w:rPr>
          <w:rFonts w:ascii="Times New Roman" w:hAnsi="Times New Roman" w:cs="Times New Roman"/>
          <w:lang w:val="es-MX"/>
        </w:rPr>
        <w:t>Si bien esta investigación toma como caso de estudio al Instituto Superior de Arte del Teatro Colón, las tensiones analizadas permiten reflexionar sobre desafíos presentes en otras instituciones públicas de educación superior artística del país. En este sentido, el estudio contribuye a ampliar el debate acerca de la relación entre financiamiento público, gestión institucional y sostenibilidad de la formación artística, proponiendo nuevas líneas de investigación sobre el papel de las políticas culturales y educativas en la consolidación de sistemas de educación superior especializados.</w:t>
      </w:r>
    </w:p>
    <w:p w14:paraId="54750547" w14:textId="77777777" w:rsidR="00932BA6" w:rsidRDefault="00932BA6" w:rsidP="00421A17">
      <w:pPr>
        <w:spacing w:line="240" w:lineRule="auto"/>
        <w:rPr>
          <w:rFonts w:ascii="Times New Roman" w:hAnsi="Times New Roman" w:cs="Times New Roman"/>
          <w:b/>
          <w:bCs/>
        </w:rPr>
      </w:pPr>
    </w:p>
    <w:p w14:paraId="4A0B8BB6" w14:textId="77777777" w:rsidR="00DE3571" w:rsidRDefault="00DE3571" w:rsidP="00421A17">
      <w:pPr>
        <w:spacing w:line="240" w:lineRule="auto"/>
        <w:rPr>
          <w:rFonts w:ascii="Times New Roman" w:hAnsi="Times New Roman" w:cs="Times New Roman"/>
          <w:b/>
          <w:bCs/>
        </w:rPr>
      </w:pPr>
    </w:p>
    <w:p w14:paraId="798C1A1E" w14:textId="69E74A7C" w:rsidR="00DE3571" w:rsidRDefault="005F3B2E" w:rsidP="00421A17">
      <w:pPr>
        <w:spacing w:line="240" w:lineRule="auto"/>
        <w:rPr>
          <w:rFonts w:ascii="Times New Roman" w:hAnsi="Times New Roman" w:cs="Times New Roman"/>
          <w:b/>
          <w:bCs/>
        </w:rPr>
      </w:pPr>
      <w:r w:rsidRPr="00421A17">
        <w:rPr>
          <w:rFonts w:ascii="Times New Roman" w:hAnsi="Times New Roman" w:cs="Times New Roman"/>
          <w:b/>
          <w:bCs/>
        </w:rPr>
        <w:lastRenderedPageBreak/>
        <w:t>Re</w:t>
      </w:r>
      <w:r w:rsidR="00421A17" w:rsidRPr="00421A17">
        <w:rPr>
          <w:rFonts w:ascii="Times New Roman" w:hAnsi="Times New Roman" w:cs="Times New Roman"/>
          <w:b/>
          <w:bCs/>
        </w:rPr>
        <w:t xml:space="preserve">ferencias Bibliográficas </w:t>
      </w:r>
    </w:p>
    <w:p w14:paraId="4C45F9D2" w14:textId="77777777" w:rsidR="00DE3571" w:rsidRPr="00DE3571" w:rsidRDefault="00DE3571" w:rsidP="00DE3571">
      <w:pPr>
        <w:spacing w:line="240" w:lineRule="auto"/>
        <w:rPr>
          <w:rFonts w:ascii="Times New Roman" w:hAnsi="Times New Roman" w:cs="Times New Roman"/>
          <w:bCs/>
          <w:lang w:val="es-MX"/>
        </w:rPr>
      </w:pPr>
      <w:r w:rsidRPr="00DE3571">
        <w:rPr>
          <w:rFonts w:ascii="Times New Roman" w:hAnsi="Times New Roman" w:cs="Times New Roman"/>
          <w:bCs/>
          <w:lang w:val="es-MX"/>
        </w:rPr>
        <w:t xml:space="preserve">Argentina. (1992). Ley N. º 24.156 de Administración Financiera y de los Sistemas de Control del Sector Público Nacional. </w:t>
      </w:r>
    </w:p>
    <w:p w14:paraId="338DC555" w14:textId="77777777" w:rsidR="00DE3571" w:rsidRPr="00DE3571" w:rsidRDefault="00DE3571" w:rsidP="00DE3571">
      <w:pPr>
        <w:spacing w:line="240" w:lineRule="auto"/>
        <w:rPr>
          <w:rFonts w:ascii="Times New Roman" w:hAnsi="Times New Roman" w:cs="Times New Roman"/>
          <w:bCs/>
          <w:lang w:val="es-MX"/>
        </w:rPr>
      </w:pPr>
      <w:proofErr w:type="spellStart"/>
      <w:r w:rsidRPr="00DE3571">
        <w:rPr>
          <w:rFonts w:ascii="Times New Roman" w:hAnsi="Times New Roman" w:cs="Times New Roman"/>
          <w:bCs/>
          <w:lang w:val="en-US"/>
        </w:rPr>
        <w:t>Baumol</w:t>
      </w:r>
      <w:proofErr w:type="spellEnd"/>
      <w:r w:rsidRPr="00DE3571">
        <w:rPr>
          <w:rFonts w:ascii="Times New Roman" w:hAnsi="Times New Roman" w:cs="Times New Roman"/>
          <w:bCs/>
          <w:lang w:val="en-US"/>
        </w:rPr>
        <w:t>, WJ. &amp; Bowen, W. G</w:t>
      </w:r>
      <w:proofErr w:type="gramStart"/>
      <w:r w:rsidRPr="00DE3571">
        <w:rPr>
          <w:rFonts w:ascii="Times New Roman" w:hAnsi="Times New Roman" w:cs="Times New Roman"/>
          <w:bCs/>
          <w:lang w:val="en-US"/>
        </w:rPr>
        <w:t>.(</w:t>
      </w:r>
      <w:proofErr w:type="gramEnd"/>
      <w:r w:rsidRPr="00DE3571">
        <w:rPr>
          <w:rFonts w:ascii="Times New Roman" w:hAnsi="Times New Roman" w:cs="Times New Roman"/>
          <w:bCs/>
          <w:lang w:val="en-US"/>
        </w:rPr>
        <w:t xml:space="preserve">1966). Performing arts: The economic dilemma. </w:t>
      </w:r>
      <w:proofErr w:type="spellStart"/>
      <w:r w:rsidRPr="00DE3571">
        <w:rPr>
          <w:rFonts w:ascii="Times New Roman" w:hAnsi="Times New Roman" w:cs="Times New Roman"/>
          <w:bCs/>
          <w:lang w:val="es-MX"/>
        </w:rPr>
        <w:t>Twentieth</w:t>
      </w:r>
      <w:proofErr w:type="spellEnd"/>
      <w:r w:rsidRPr="00DE3571">
        <w:rPr>
          <w:rFonts w:ascii="Times New Roman" w:hAnsi="Times New Roman" w:cs="Times New Roman"/>
          <w:bCs/>
          <w:lang w:val="es-MX"/>
        </w:rPr>
        <w:t xml:space="preserve"> Century </w:t>
      </w:r>
      <w:proofErr w:type="spellStart"/>
      <w:r w:rsidRPr="00DE3571">
        <w:rPr>
          <w:rFonts w:ascii="Times New Roman" w:hAnsi="Times New Roman" w:cs="Times New Roman"/>
          <w:bCs/>
          <w:lang w:val="es-MX"/>
        </w:rPr>
        <w:t>Fund</w:t>
      </w:r>
      <w:proofErr w:type="spellEnd"/>
      <w:r w:rsidRPr="00DE3571">
        <w:rPr>
          <w:rFonts w:ascii="Times New Roman" w:hAnsi="Times New Roman" w:cs="Times New Roman"/>
          <w:bCs/>
          <w:lang w:val="es-MX"/>
        </w:rPr>
        <w:t xml:space="preserve">. </w:t>
      </w:r>
    </w:p>
    <w:p w14:paraId="60D811C3" w14:textId="77777777" w:rsidR="00DE3571" w:rsidRPr="00DE3571" w:rsidRDefault="00DE3571" w:rsidP="00DE3571">
      <w:pPr>
        <w:spacing w:line="240" w:lineRule="auto"/>
        <w:rPr>
          <w:rFonts w:ascii="Times New Roman" w:hAnsi="Times New Roman" w:cs="Times New Roman"/>
          <w:bCs/>
          <w:lang w:val="es-MX"/>
        </w:rPr>
      </w:pPr>
      <w:r w:rsidRPr="00DE3571">
        <w:rPr>
          <w:rFonts w:ascii="Times New Roman" w:hAnsi="Times New Roman" w:cs="Times New Roman"/>
          <w:bCs/>
          <w:lang w:val="es-MX"/>
        </w:rPr>
        <w:t xml:space="preserve">Bourdieu, P. (1995). Las reglas del arte: Génesis y estructura del campo literario. Anagrama. </w:t>
      </w:r>
    </w:p>
    <w:p w14:paraId="5C2E5568" w14:textId="77777777" w:rsidR="00DE3571" w:rsidRPr="00DE3571" w:rsidRDefault="00DE3571" w:rsidP="00DE3571">
      <w:pPr>
        <w:spacing w:line="240" w:lineRule="auto"/>
        <w:rPr>
          <w:rFonts w:ascii="Times New Roman" w:hAnsi="Times New Roman" w:cs="Times New Roman"/>
          <w:bCs/>
          <w:lang w:val="es-MX"/>
        </w:rPr>
      </w:pPr>
      <w:proofErr w:type="spellStart"/>
      <w:r w:rsidRPr="00DE3571">
        <w:rPr>
          <w:rFonts w:ascii="Times New Roman" w:hAnsi="Times New Roman" w:cs="Times New Roman"/>
          <w:bCs/>
          <w:lang w:val="es-MX"/>
        </w:rPr>
        <w:t>Casacuberta</w:t>
      </w:r>
      <w:proofErr w:type="spellEnd"/>
      <w:r w:rsidRPr="00DE3571">
        <w:rPr>
          <w:rFonts w:ascii="Times New Roman" w:hAnsi="Times New Roman" w:cs="Times New Roman"/>
          <w:bCs/>
          <w:lang w:val="es-MX"/>
        </w:rPr>
        <w:t xml:space="preserve">, D. (2006). Creación colectiva: En Internet el creador es el público. </w:t>
      </w:r>
      <w:proofErr w:type="spellStart"/>
      <w:r w:rsidRPr="00DE3571">
        <w:rPr>
          <w:rFonts w:ascii="Times New Roman" w:hAnsi="Times New Roman" w:cs="Times New Roman"/>
          <w:bCs/>
          <w:lang w:val="es-MX"/>
        </w:rPr>
        <w:t>Gedisa</w:t>
      </w:r>
      <w:proofErr w:type="spellEnd"/>
      <w:r w:rsidRPr="00DE3571">
        <w:rPr>
          <w:rFonts w:ascii="Times New Roman" w:hAnsi="Times New Roman" w:cs="Times New Roman"/>
          <w:bCs/>
          <w:lang w:val="es-MX"/>
        </w:rPr>
        <w:t xml:space="preserve">. </w:t>
      </w:r>
    </w:p>
    <w:p w14:paraId="788F6260" w14:textId="77777777" w:rsidR="00DE3571" w:rsidRPr="00DE3571" w:rsidRDefault="00DE3571" w:rsidP="00DE3571">
      <w:pPr>
        <w:spacing w:line="240" w:lineRule="auto"/>
        <w:rPr>
          <w:rFonts w:ascii="Times New Roman" w:hAnsi="Times New Roman" w:cs="Times New Roman"/>
          <w:bCs/>
          <w:lang w:val="es-MX"/>
        </w:rPr>
      </w:pPr>
      <w:r w:rsidRPr="00DE3571">
        <w:rPr>
          <w:rFonts w:ascii="Times New Roman" w:hAnsi="Times New Roman" w:cs="Times New Roman"/>
          <w:bCs/>
          <w:lang w:val="es-MX"/>
        </w:rPr>
        <w:t xml:space="preserve">Chiavenato, I. (2000). Administración de recursos humanos (5. ª ed.). McGraw-Hill. </w:t>
      </w:r>
    </w:p>
    <w:p w14:paraId="2FBDF6C9" w14:textId="77777777" w:rsidR="00DE3571" w:rsidRPr="00DE3571" w:rsidRDefault="00DE3571" w:rsidP="00DE3571">
      <w:pPr>
        <w:spacing w:line="240" w:lineRule="auto"/>
        <w:rPr>
          <w:rFonts w:ascii="Times New Roman" w:hAnsi="Times New Roman" w:cs="Times New Roman"/>
          <w:bCs/>
          <w:lang w:val="es-MX"/>
        </w:rPr>
      </w:pPr>
      <w:proofErr w:type="spellStart"/>
      <w:r w:rsidRPr="00DE3571">
        <w:rPr>
          <w:rFonts w:ascii="Times New Roman" w:hAnsi="Times New Roman" w:cs="Times New Roman"/>
          <w:bCs/>
          <w:lang w:val="es-MX"/>
        </w:rPr>
        <w:t>Colombres</w:t>
      </w:r>
      <w:proofErr w:type="spellEnd"/>
      <w:r w:rsidRPr="00DE3571">
        <w:rPr>
          <w:rFonts w:ascii="Times New Roman" w:hAnsi="Times New Roman" w:cs="Times New Roman"/>
          <w:bCs/>
          <w:lang w:val="es-MX"/>
        </w:rPr>
        <w:t xml:space="preserve">, A. (2011). Manual del promotor cultural. Ediciones del Sol. </w:t>
      </w:r>
    </w:p>
    <w:p w14:paraId="25B144E1" w14:textId="77777777" w:rsidR="00DE3571" w:rsidRPr="00DE3571" w:rsidRDefault="00DE3571" w:rsidP="00DE3571">
      <w:pPr>
        <w:spacing w:line="240" w:lineRule="auto"/>
        <w:rPr>
          <w:rFonts w:ascii="Times New Roman" w:hAnsi="Times New Roman" w:cs="Times New Roman"/>
          <w:bCs/>
          <w:lang w:val="es-MX"/>
        </w:rPr>
      </w:pPr>
      <w:r w:rsidRPr="00DE3571">
        <w:rPr>
          <w:rFonts w:ascii="Times New Roman" w:hAnsi="Times New Roman" w:cs="Times New Roman"/>
          <w:bCs/>
          <w:lang w:val="es-MX"/>
        </w:rPr>
        <w:t xml:space="preserve">Frey, B. S. (2000). </w:t>
      </w:r>
      <w:r w:rsidRPr="00DE3571">
        <w:rPr>
          <w:rFonts w:ascii="Times New Roman" w:hAnsi="Times New Roman" w:cs="Times New Roman"/>
          <w:bCs/>
          <w:lang w:val="en-US"/>
        </w:rPr>
        <w:t xml:space="preserve">Arts and economics: Analysis and cultural policy. </w:t>
      </w:r>
      <w:proofErr w:type="spellStart"/>
      <w:r w:rsidRPr="00DE3571">
        <w:rPr>
          <w:rFonts w:ascii="Times New Roman" w:hAnsi="Times New Roman" w:cs="Times New Roman"/>
          <w:bCs/>
          <w:lang w:val="es-MX"/>
        </w:rPr>
        <w:t>Springer</w:t>
      </w:r>
      <w:proofErr w:type="spellEnd"/>
      <w:r w:rsidRPr="00DE3571">
        <w:rPr>
          <w:rFonts w:ascii="Times New Roman" w:hAnsi="Times New Roman" w:cs="Times New Roman"/>
          <w:bCs/>
          <w:lang w:val="es-MX"/>
        </w:rPr>
        <w:t xml:space="preserve">. </w:t>
      </w:r>
    </w:p>
    <w:p w14:paraId="1CAC26A2" w14:textId="77777777" w:rsidR="00DE3571" w:rsidRPr="00DE3571" w:rsidRDefault="00DE3571" w:rsidP="00DE3571">
      <w:pPr>
        <w:spacing w:line="240" w:lineRule="auto"/>
        <w:rPr>
          <w:rFonts w:ascii="Times New Roman" w:hAnsi="Times New Roman" w:cs="Times New Roman"/>
          <w:bCs/>
          <w:lang w:val="es-MX"/>
        </w:rPr>
      </w:pPr>
      <w:r w:rsidRPr="00DE3571">
        <w:rPr>
          <w:rFonts w:ascii="Times New Roman" w:hAnsi="Times New Roman" w:cs="Times New Roman"/>
          <w:bCs/>
          <w:lang w:val="es-MX"/>
        </w:rPr>
        <w:t xml:space="preserve">Gobierno de la Ciudad Autónoma de Buenos Aires. (2025). Presupuesto General de la Ciudad Autónoma de Buenos Aires. </w:t>
      </w:r>
    </w:p>
    <w:p w14:paraId="1352E5DA" w14:textId="77777777" w:rsidR="00DE3571" w:rsidRPr="00DE3571" w:rsidRDefault="00DE3571" w:rsidP="00DE3571">
      <w:pPr>
        <w:spacing w:line="240" w:lineRule="auto"/>
        <w:rPr>
          <w:rFonts w:ascii="Times New Roman" w:hAnsi="Times New Roman" w:cs="Times New Roman"/>
          <w:bCs/>
          <w:lang w:val="es-MX"/>
        </w:rPr>
      </w:pPr>
      <w:r w:rsidRPr="00DE3571">
        <w:rPr>
          <w:rFonts w:ascii="Times New Roman" w:hAnsi="Times New Roman" w:cs="Times New Roman"/>
          <w:bCs/>
          <w:lang w:val="es-MX"/>
        </w:rPr>
        <w:t>https://buenosaires.gob.ar/gcaba_historico/haciendayfinanzas/presupuesto-2025</w:t>
      </w:r>
    </w:p>
    <w:p w14:paraId="6E489D3B" w14:textId="77777777" w:rsidR="00DE3571" w:rsidRPr="00DE3571" w:rsidRDefault="00DE3571" w:rsidP="00DE3571">
      <w:pPr>
        <w:spacing w:line="240" w:lineRule="auto"/>
        <w:rPr>
          <w:rFonts w:ascii="Times New Roman" w:hAnsi="Times New Roman" w:cs="Times New Roman"/>
          <w:bCs/>
          <w:lang w:val="es-MX"/>
        </w:rPr>
      </w:pPr>
      <w:r w:rsidRPr="00DE3571">
        <w:rPr>
          <w:rFonts w:ascii="Times New Roman" w:hAnsi="Times New Roman" w:cs="Times New Roman"/>
          <w:bCs/>
          <w:lang w:val="es-MX"/>
        </w:rPr>
        <w:t xml:space="preserve">López Bernárdez, J. (2003). La gestión cultural en España. Ariel. </w:t>
      </w:r>
    </w:p>
    <w:p w14:paraId="72C4D3BF" w14:textId="77777777" w:rsidR="00DE3571" w:rsidRPr="00DE3571" w:rsidRDefault="00DE3571" w:rsidP="00DE3571">
      <w:pPr>
        <w:spacing w:line="240" w:lineRule="auto"/>
        <w:rPr>
          <w:rFonts w:ascii="Times New Roman" w:hAnsi="Times New Roman" w:cs="Times New Roman"/>
          <w:bCs/>
          <w:lang w:val="en-US"/>
        </w:rPr>
      </w:pPr>
      <w:proofErr w:type="spellStart"/>
      <w:r w:rsidRPr="00DE3571">
        <w:rPr>
          <w:rFonts w:ascii="Times New Roman" w:hAnsi="Times New Roman" w:cs="Times New Roman"/>
          <w:bCs/>
          <w:lang w:val="es-MX"/>
        </w:rPr>
        <w:t>Mankiw</w:t>
      </w:r>
      <w:proofErr w:type="spellEnd"/>
      <w:r w:rsidRPr="00DE3571">
        <w:rPr>
          <w:rFonts w:ascii="Times New Roman" w:hAnsi="Times New Roman" w:cs="Times New Roman"/>
          <w:bCs/>
          <w:lang w:val="es-MX"/>
        </w:rPr>
        <w:t xml:space="preserve">, N. G. (2012). Principios de economía (6ª.  </w:t>
      </w:r>
      <w:proofErr w:type="gramStart"/>
      <w:r w:rsidRPr="00DE3571">
        <w:rPr>
          <w:rFonts w:ascii="Times New Roman" w:hAnsi="Times New Roman" w:cs="Times New Roman"/>
          <w:bCs/>
          <w:lang w:val="en-US"/>
        </w:rPr>
        <w:t>ed</w:t>
      </w:r>
      <w:proofErr w:type="gramEnd"/>
      <w:r w:rsidRPr="00DE3571">
        <w:rPr>
          <w:rFonts w:ascii="Times New Roman" w:hAnsi="Times New Roman" w:cs="Times New Roman"/>
          <w:bCs/>
          <w:lang w:val="en-US"/>
        </w:rPr>
        <w:t xml:space="preserve">.). </w:t>
      </w:r>
      <w:proofErr w:type="spellStart"/>
      <w:r w:rsidRPr="00DE3571">
        <w:rPr>
          <w:rFonts w:ascii="Times New Roman" w:hAnsi="Times New Roman" w:cs="Times New Roman"/>
          <w:bCs/>
          <w:lang w:val="en-US"/>
        </w:rPr>
        <w:t>Cengage</w:t>
      </w:r>
      <w:proofErr w:type="spellEnd"/>
      <w:r w:rsidRPr="00DE3571">
        <w:rPr>
          <w:rFonts w:ascii="Times New Roman" w:hAnsi="Times New Roman" w:cs="Times New Roman"/>
          <w:bCs/>
          <w:lang w:val="en-US"/>
        </w:rPr>
        <w:t xml:space="preserve"> Learning. </w:t>
      </w:r>
    </w:p>
    <w:p w14:paraId="03FC3536" w14:textId="77777777" w:rsidR="00DE3571" w:rsidRPr="00DE3571" w:rsidRDefault="00DE3571" w:rsidP="00DE3571">
      <w:pPr>
        <w:spacing w:line="240" w:lineRule="auto"/>
        <w:rPr>
          <w:rFonts w:ascii="Times New Roman" w:hAnsi="Times New Roman" w:cs="Times New Roman"/>
          <w:bCs/>
          <w:lang w:val="es-MX"/>
        </w:rPr>
      </w:pPr>
      <w:proofErr w:type="gramStart"/>
      <w:r w:rsidRPr="00DE3571">
        <w:rPr>
          <w:rFonts w:ascii="Times New Roman" w:hAnsi="Times New Roman" w:cs="Times New Roman"/>
          <w:bCs/>
          <w:lang w:val="en-US"/>
        </w:rPr>
        <w:t>Pine, B. J. &amp; Gilmore, J. H. (2000).</w:t>
      </w:r>
      <w:proofErr w:type="gramEnd"/>
      <w:r w:rsidRPr="00DE3571">
        <w:rPr>
          <w:rFonts w:ascii="Times New Roman" w:hAnsi="Times New Roman" w:cs="Times New Roman"/>
          <w:bCs/>
          <w:lang w:val="en-US"/>
        </w:rPr>
        <w:t xml:space="preserve"> </w:t>
      </w:r>
      <w:r w:rsidRPr="00DE3571">
        <w:rPr>
          <w:rFonts w:ascii="Times New Roman" w:hAnsi="Times New Roman" w:cs="Times New Roman"/>
          <w:bCs/>
          <w:lang w:val="es-MX"/>
        </w:rPr>
        <w:t xml:space="preserve">La economía de la experiencia. </w:t>
      </w:r>
      <w:proofErr w:type="spellStart"/>
      <w:r w:rsidRPr="00DE3571">
        <w:rPr>
          <w:rFonts w:ascii="Times New Roman" w:hAnsi="Times New Roman" w:cs="Times New Roman"/>
          <w:bCs/>
          <w:lang w:val="es-MX"/>
        </w:rPr>
        <w:t>Granica</w:t>
      </w:r>
      <w:proofErr w:type="spellEnd"/>
      <w:r w:rsidRPr="00DE3571">
        <w:rPr>
          <w:rFonts w:ascii="Times New Roman" w:hAnsi="Times New Roman" w:cs="Times New Roman"/>
          <w:bCs/>
          <w:lang w:val="es-MX"/>
        </w:rPr>
        <w:t xml:space="preserve">. </w:t>
      </w:r>
    </w:p>
    <w:p w14:paraId="7D91FE9A" w14:textId="77777777" w:rsidR="00DE3571" w:rsidRPr="00DE3571" w:rsidRDefault="00DE3571" w:rsidP="00DE3571">
      <w:pPr>
        <w:spacing w:line="240" w:lineRule="auto"/>
        <w:rPr>
          <w:rFonts w:ascii="Times New Roman" w:hAnsi="Times New Roman" w:cs="Times New Roman"/>
          <w:bCs/>
          <w:lang w:val="es-MX"/>
        </w:rPr>
      </w:pPr>
      <w:r w:rsidRPr="00DE3571">
        <w:rPr>
          <w:rFonts w:ascii="Times New Roman" w:hAnsi="Times New Roman" w:cs="Times New Roman"/>
          <w:bCs/>
          <w:lang w:val="es-MX"/>
        </w:rPr>
        <w:t xml:space="preserve">Teatro Colón. (2022). Memoria institucional. </w:t>
      </w:r>
    </w:p>
    <w:p w14:paraId="64E15DAB" w14:textId="77777777" w:rsidR="00DE3571" w:rsidRPr="00DE3571" w:rsidRDefault="00DE3571" w:rsidP="00DE3571">
      <w:pPr>
        <w:spacing w:line="240" w:lineRule="auto"/>
        <w:rPr>
          <w:rFonts w:ascii="Times New Roman" w:hAnsi="Times New Roman" w:cs="Times New Roman"/>
          <w:bCs/>
          <w:lang w:val="es-MX"/>
        </w:rPr>
      </w:pPr>
      <w:r w:rsidRPr="00DE3571">
        <w:rPr>
          <w:rFonts w:ascii="Times New Roman" w:hAnsi="Times New Roman" w:cs="Times New Roman"/>
          <w:bCs/>
          <w:lang w:val="es-MX"/>
        </w:rPr>
        <w:t xml:space="preserve">Teatro Colón. (2023). Memoria institucional. </w:t>
      </w:r>
    </w:p>
    <w:p w14:paraId="34D34F8D" w14:textId="77777777" w:rsidR="00DE3571" w:rsidRPr="00DE3571" w:rsidRDefault="00DE3571" w:rsidP="00DE3571">
      <w:pPr>
        <w:spacing w:line="240" w:lineRule="auto"/>
        <w:rPr>
          <w:rFonts w:ascii="Times New Roman" w:hAnsi="Times New Roman" w:cs="Times New Roman"/>
          <w:bCs/>
          <w:lang w:val="en-US"/>
        </w:rPr>
      </w:pPr>
      <w:r w:rsidRPr="00DE3571">
        <w:rPr>
          <w:rFonts w:ascii="Times New Roman" w:hAnsi="Times New Roman" w:cs="Times New Roman"/>
          <w:bCs/>
          <w:lang w:val="es-MX"/>
        </w:rPr>
        <w:t xml:space="preserve">Teatro Colón. </w:t>
      </w:r>
      <w:proofErr w:type="gramStart"/>
      <w:r w:rsidRPr="00DE3571">
        <w:rPr>
          <w:rFonts w:ascii="Times New Roman" w:hAnsi="Times New Roman" w:cs="Times New Roman"/>
          <w:bCs/>
          <w:lang w:val="en-US"/>
        </w:rPr>
        <w:t xml:space="preserve">(2025). </w:t>
      </w:r>
      <w:proofErr w:type="spellStart"/>
      <w:r w:rsidRPr="00DE3571">
        <w:rPr>
          <w:rFonts w:ascii="Times New Roman" w:hAnsi="Times New Roman" w:cs="Times New Roman"/>
          <w:bCs/>
          <w:lang w:val="en-US"/>
        </w:rPr>
        <w:t>Memoria</w:t>
      </w:r>
      <w:proofErr w:type="spellEnd"/>
      <w:r w:rsidRPr="00DE3571">
        <w:rPr>
          <w:rFonts w:ascii="Times New Roman" w:hAnsi="Times New Roman" w:cs="Times New Roman"/>
          <w:bCs/>
          <w:lang w:val="en-US"/>
        </w:rPr>
        <w:t xml:space="preserve"> </w:t>
      </w:r>
      <w:proofErr w:type="spellStart"/>
      <w:r w:rsidRPr="00DE3571">
        <w:rPr>
          <w:rFonts w:ascii="Times New Roman" w:hAnsi="Times New Roman" w:cs="Times New Roman"/>
          <w:bCs/>
          <w:lang w:val="en-US"/>
        </w:rPr>
        <w:t>institucional</w:t>
      </w:r>
      <w:proofErr w:type="spellEnd"/>
      <w:r w:rsidRPr="00DE3571">
        <w:rPr>
          <w:rFonts w:ascii="Times New Roman" w:hAnsi="Times New Roman" w:cs="Times New Roman"/>
          <w:bCs/>
          <w:lang w:val="en-US"/>
        </w:rPr>
        <w:t>.</w:t>
      </w:r>
      <w:proofErr w:type="gramEnd"/>
      <w:r w:rsidRPr="00DE3571">
        <w:rPr>
          <w:rFonts w:ascii="Times New Roman" w:hAnsi="Times New Roman" w:cs="Times New Roman"/>
          <w:bCs/>
          <w:lang w:val="en-US"/>
        </w:rPr>
        <w:t xml:space="preserve"> </w:t>
      </w:r>
    </w:p>
    <w:p w14:paraId="299F9350" w14:textId="77777777" w:rsidR="00DE3571" w:rsidRPr="00DE3571" w:rsidRDefault="00DE3571" w:rsidP="00DE3571">
      <w:pPr>
        <w:spacing w:line="240" w:lineRule="auto"/>
        <w:rPr>
          <w:rFonts w:ascii="Times New Roman" w:hAnsi="Times New Roman" w:cs="Times New Roman"/>
          <w:bCs/>
          <w:lang w:val="en-US"/>
        </w:rPr>
      </w:pPr>
      <w:r w:rsidRPr="00DE3571">
        <w:rPr>
          <w:rFonts w:ascii="Times New Roman" w:hAnsi="Times New Roman" w:cs="Times New Roman"/>
          <w:bCs/>
          <w:lang w:val="en-US"/>
        </w:rPr>
        <w:t xml:space="preserve">Throsby, D. (2001). </w:t>
      </w:r>
      <w:proofErr w:type="gramStart"/>
      <w:r w:rsidRPr="00DE3571">
        <w:rPr>
          <w:rFonts w:ascii="Times New Roman" w:hAnsi="Times New Roman" w:cs="Times New Roman"/>
          <w:bCs/>
          <w:lang w:val="en-US"/>
        </w:rPr>
        <w:t>Economics and culture.</w:t>
      </w:r>
      <w:proofErr w:type="gramEnd"/>
      <w:r w:rsidRPr="00DE3571">
        <w:rPr>
          <w:rFonts w:ascii="Times New Roman" w:hAnsi="Times New Roman" w:cs="Times New Roman"/>
          <w:bCs/>
          <w:lang w:val="en-US"/>
        </w:rPr>
        <w:t xml:space="preserve"> Cambridge. </w:t>
      </w:r>
      <w:proofErr w:type="gramStart"/>
      <w:r w:rsidRPr="00DE3571">
        <w:rPr>
          <w:rFonts w:ascii="Times New Roman" w:hAnsi="Times New Roman" w:cs="Times New Roman"/>
          <w:bCs/>
          <w:lang w:val="en-US"/>
        </w:rPr>
        <w:t>University Press.</w:t>
      </w:r>
      <w:proofErr w:type="gramEnd"/>
    </w:p>
    <w:p w14:paraId="1B127C9F" w14:textId="77777777" w:rsidR="00421A17" w:rsidRPr="00DE3571" w:rsidRDefault="00421A17" w:rsidP="007B5B5F">
      <w:pPr>
        <w:spacing w:line="240" w:lineRule="auto"/>
        <w:rPr>
          <w:rFonts w:ascii="Times New Roman" w:hAnsi="Times New Roman" w:cs="Times New Roman"/>
          <w:bCs/>
          <w:lang w:val="en-US"/>
        </w:rPr>
      </w:pPr>
    </w:p>
    <w:p w14:paraId="7E83515B" w14:textId="66A51E85" w:rsidR="001923DC" w:rsidRPr="00DE3571" w:rsidRDefault="001923DC" w:rsidP="007B5B5F">
      <w:pPr>
        <w:spacing w:line="240" w:lineRule="auto"/>
        <w:jc w:val="center"/>
        <w:rPr>
          <w:rFonts w:ascii="Times New Roman" w:hAnsi="Times New Roman" w:cs="Times New Roman"/>
          <w:lang w:val="pt-BR"/>
        </w:rPr>
      </w:pPr>
    </w:p>
    <w:sectPr w:rsidR="001923DC" w:rsidRPr="00DE3571"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33C55" w14:textId="77777777" w:rsidR="00393004" w:rsidRPr="00BA642E" w:rsidRDefault="00393004" w:rsidP="00C802F5">
      <w:pPr>
        <w:spacing w:after="0" w:line="240" w:lineRule="auto"/>
      </w:pPr>
      <w:r w:rsidRPr="00BA642E">
        <w:separator/>
      </w:r>
    </w:p>
  </w:endnote>
  <w:endnote w:type="continuationSeparator" w:id="0">
    <w:p w14:paraId="33D8345F" w14:textId="77777777" w:rsidR="00393004" w:rsidRPr="00BA642E" w:rsidRDefault="0039300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Piedepgina"/>
    </w:pPr>
    <w:r w:rsidRPr="00BA642E">
      <w:rPr>
        <w:noProof/>
        <w:lang w:val="es-MX" w:eastAsia="es-MX"/>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9D88B" w14:textId="77777777" w:rsidR="00393004" w:rsidRPr="00BA642E" w:rsidRDefault="00393004" w:rsidP="00C802F5">
      <w:pPr>
        <w:spacing w:after="0" w:line="240" w:lineRule="auto"/>
      </w:pPr>
      <w:r w:rsidRPr="00BA642E">
        <w:separator/>
      </w:r>
    </w:p>
  </w:footnote>
  <w:footnote w:type="continuationSeparator" w:id="0">
    <w:p w14:paraId="2E710DD6" w14:textId="77777777" w:rsidR="00393004" w:rsidRPr="00BA642E" w:rsidRDefault="00393004"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Encabezado"/>
      <w:jc w:val="center"/>
    </w:pPr>
    <w:r w:rsidRPr="00BA642E">
      <w:rPr>
        <w:noProof/>
        <w:lang w:val="es-MX" w:eastAsia="es-MX"/>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A461F"/>
    <w:rsid w:val="00142DEE"/>
    <w:rsid w:val="001816D6"/>
    <w:rsid w:val="00185F5E"/>
    <w:rsid w:val="001923DC"/>
    <w:rsid w:val="002327C3"/>
    <w:rsid w:val="00252BD3"/>
    <w:rsid w:val="00312392"/>
    <w:rsid w:val="00393004"/>
    <w:rsid w:val="004040C0"/>
    <w:rsid w:val="00421A17"/>
    <w:rsid w:val="00437E9C"/>
    <w:rsid w:val="0048077F"/>
    <w:rsid w:val="0050201F"/>
    <w:rsid w:val="00550766"/>
    <w:rsid w:val="00570639"/>
    <w:rsid w:val="005D6893"/>
    <w:rsid w:val="005F3B2E"/>
    <w:rsid w:val="00701F64"/>
    <w:rsid w:val="007B5B5F"/>
    <w:rsid w:val="007D0212"/>
    <w:rsid w:val="007D233B"/>
    <w:rsid w:val="007E7A0A"/>
    <w:rsid w:val="0085070B"/>
    <w:rsid w:val="00887908"/>
    <w:rsid w:val="00932BA6"/>
    <w:rsid w:val="009816E0"/>
    <w:rsid w:val="00A17247"/>
    <w:rsid w:val="00B6442E"/>
    <w:rsid w:val="00BA642E"/>
    <w:rsid w:val="00BB262A"/>
    <w:rsid w:val="00BC236F"/>
    <w:rsid w:val="00C802F5"/>
    <w:rsid w:val="00C96B2C"/>
    <w:rsid w:val="00CC04C1"/>
    <w:rsid w:val="00D843EC"/>
    <w:rsid w:val="00DE3571"/>
    <w:rsid w:val="00ED01A4"/>
    <w:rsid w:val="00F979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5706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0639"/>
    <w:rPr>
      <w:rFonts w:ascii="Tahoma" w:hAnsi="Tahoma" w:cs="Tahoma"/>
      <w:sz w:val="16"/>
      <w:szCs w:val="16"/>
      <w:lang w:val="es-419"/>
    </w:rPr>
  </w:style>
  <w:style w:type="table" w:styleId="Tablaconcuadrcula">
    <w:name w:val="Table Grid"/>
    <w:basedOn w:val="Tablanormal"/>
    <w:uiPriority w:val="39"/>
    <w:rsid w:val="00421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5706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0639"/>
    <w:rPr>
      <w:rFonts w:ascii="Tahoma" w:hAnsi="Tahoma" w:cs="Tahoma"/>
      <w:sz w:val="16"/>
      <w:szCs w:val="16"/>
      <w:lang w:val="es-419"/>
    </w:rPr>
  </w:style>
  <w:style w:type="table" w:styleId="Tablaconcuadrcula">
    <w:name w:val="Table Grid"/>
    <w:basedOn w:val="Tablanormal"/>
    <w:uiPriority w:val="39"/>
    <w:rsid w:val="00421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aalejandranetto@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16</Pages>
  <Words>7207</Words>
  <Characters>39641</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User</cp:lastModifiedBy>
  <cp:revision>10</cp:revision>
  <dcterms:created xsi:type="dcterms:W3CDTF">2026-03-14T03:50:00Z</dcterms:created>
  <dcterms:modified xsi:type="dcterms:W3CDTF">2026-07-14T01:47:00Z</dcterms:modified>
</cp:coreProperties>
</file>