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43C49479" w14:textId="4567DCA6" w:rsidR="005F3B2E" w:rsidRPr="00BA642E" w:rsidRDefault="00960E74" w:rsidP="001923DC">
      <w:pPr>
        <w:jc w:val="center"/>
        <w:rPr>
          <w:rFonts w:ascii="Times New Roman" w:hAnsi="Times New Roman" w:cs="Times New Roman"/>
        </w:rPr>
      </w:pPr>
      <w:r w:rsidRPr="00960E74">
        <w:rPr>
          <w:rFonts w:ascii="Times New Roman" w:hAnsi="Times New Roman" w:cs="Times New Roman"/>
          <w:b/>
          <w:bCs/>
        </w:rPr>
        <w:t xml:space="preserve">Propuesta curricular modular para profesorados </w:t>
      </w:r>
      <w:proofErr w:type="spellStart"/>
      <w:r w:rsidRPr="00960E74">
        <w:rPr>
          <w:rFonts w:ascii="Times New Roman" w:hAnsi="Times New Roman" w:cs="Times New Roman"/>
          <w:b/>
          <w:bCs/>
        </w:rPr>
        <w:t>bidisciplinares</w:t>
      </w:r>
      <w:proofErr w:type="spellEnd"/>
      <w:r w:rsidRPr="00960E74">
        <w:rPr>
          <w:rFonts w:ascii="Times New Roman" w:hAnsi="Times New Roman" w:cs="Times New Roman"/>
          <w:b/>
          <w:bCs/>
        </w:rPr>
        <w:t xml:space="preserve"> y </w:t>
      </w:r>
      <w:proofErr w:type="spellStart"/>
      <w:r w:rsidRPr="00960E74">
        <w:rPr>
          <w:rFonts w:ascii="Times New Roman" w:hAnsi="Times New Roman" w:cs="Times New Roman"/>
          <w:b/>
          <w:bCs/>
        </w:rPr>
        <w:t>monodisciplinares</w:t>
      </w:r>
      <w:proofErr w:type="spellEnd"/>
      <w:r w:rsidRPr="00960E74">
        <w:rPr>
          <w:rFonts w:ascii="Times New Roman" w:hAnsi="Times New Roman" w:cs="Times New Roman"/>
          <w:b/>
          <w:bCs/>
        </w:rPr>
        <w:t xml:space="preserve"> en la FCEN-UBA</w:t>
      </w:r>
    </w:p>
    <w:p w14:paraId="4E738780" w14:textId="4D7A9871" w:rsidR="005F3B2E" w:rsidRPr="00BA642E" w:rsidRDefault="00960E74" w:rsidP="005F3B2E">
      <w:pPr>
        <w:spacing w:after="0" w:line="240" w:lineRule="auto"/>
        <w:jc w:val="right"/>
        <w:rPr>
          <w:rFonts w:ascii="Times New Roman" w:hAnsi="Times New Roman" w:cs="Times New Roman"/>
        </w:rPr>
      </w:pPr>
      <w:r>
        <w:rPr>
          <w:rFonts w:ascii="Times New Roman" w:hAnsi="Times New Roman" w:cs="Times New Roman"/>
        </w:rPr>
        <w:t>Gori, Agustín</w:t>
      </w:r>
    </w:p>
    <w:p w14:paraId="6C2AECCA" w14:textId="1A2FF7B0" w:rsidR="005F3B2E" w:rsidRPr="00BA642E" w:rsidRDefault="00960E74" w:rsidP="005F3B2E">
      <w:pPr>
        <w:spacing w:after="0" w:line="240" w:lineRule="auto"/>
        <w:jc w:val="right"/>
        <w:rPr>
          <w:rFonts w:ascii="Times New Roman" w:hAnsi="Times New Roman" w:cs="Times New Roman"/>
        </w:rPr>
      </w:pPr>
      <w:r>
        <w:rPr>
          <w:rFonts w:ascii="Times New Roman" w:hAnsi="Times New Roman" w:cs="Times New Roman"/>
        </w:rPr>
        <w:t>Universidad de Buenos Aires</w:t>
      </w:r>
    </w:p>
    <w:p w14:paraId="7D0026CD" w14:textId="19AD509B" w:rsidR="005F3B2E" w:rsidRPr="00BA642E" w:rsidRDefault="00960E74" w:rsidP="005F3B2E">
      <w:pPr>
        <w:spacing w:after="0" w:line="240" w:lineRule="auto"/>
        <w:jc w:val="right"/>
        <w:rPr>
          <w:rFonts w:ascii="Times New Roman" w:hAnsi="Times New Roman" w:cs="Times New Roman"/>
        </w:rPr>
      </w:pPr>
      <w:r>
        <w:rPr>
          <w:rFonts w:ascii="Times New Roman" w:hAnsi="Times New Roman" w:cs="Times New Roman"/>
        </w:rPr>
        <w:t>agustingori@uba.ar</w:t>
      </w:r>
    </w:p>
    <w:p w14:paraId="1FA0F857" w14:textId="77777777" w:rsidR="005F3B2E" w:rsidRPr="00BA642E" w:rsidRDefault="005F3B2E" w:rsidP="005F3B2E">
      <w:pPr>
        <w:rPr>
          <w:rFonts w:ascii="Times New Roman" w:hAnsi="Times New Roman" w:cs="Times New Roman"/>
        </w:rPr>
      </w:pPr>
    </w:p>
    <w:p w14:paraId="1275A9C7" w14:textId="4FD546E8" w:rsidR="005F3B2E" w:rsidRPr="00BA642E" w:rsidRDefault="00960E74" w:rsidP="005F3B2E">
      <w:pPr>
        <w:spacing w:after="0" w:line="240" w:lineRule="auto"/>
        <w:jc w:val="right"/>
        <w:rPr>
          <w:rFonts w:ascii="Times New Roman" w:hAnsi="Times New Roman" w:cs="Times New Roman"/>
        </w:rPr>
      </w:pPr>
      <w:r>
        <w:rPr>
          <w:rFonts w:ascii="Times New Roman" w:hAnsi="Times New Roman" w:cs="Times New Roman"/>
        </w:rPr>
        <w:t>Tornese, Damián Martín</w:t>
      </w:r>
    </w:p>
    <w:p w14:paraId="46FEEBE4" w14:textId="1DEEC6EF" w:rsidR="005F3B2E" w:rsidRPr="00BA642E" w:rsidRDefault="00960E74" w:rsidP="005F3B2E">
      <w:pPr>
        <w:spacing w:after="0" w:line="240" w:lineRule="auto"/>
        <w:jc w:val="right"/>
        <w:rPr>
          <w:rFonts w:ascii="Times New Roman" w:hAnsi="Times New Roman" w:cs="Times New Roman"/>
        </w:rPr>
      </w:pPr>
      <w:r>
        <w:rPr>
          <w:rFonts w:ascii="Times New Roman" w:hAnsi="Times New Roman" w:cs="Times New Roman"/>
        </w:rPr>
        <w:t>Universidad de Buenos Aires</w:t>
      </w:r>
    </w:p>
    <w:p w14:paraId="3CAC774D" w14:textId="5F405384" w:rsidR="005F3B2E" w:rsidRPr="00BA642E" w:rsidRDefault="00960E74" w:rsidP="005F3B2E">
      <w:pPr>
        <w:spacing w:after="0" w:line="240" w:lineRule="auto"/>
        <w:jc w:val="right"/>
        <w:rPr>
          <w:rFonts w:ascii="Times New Roman" w:hAnsi="Times New Roman" w:cs="Times New Roman"/>
        </w:rPr>
      </w:pPr>
      <w:r>
        <w:rPr>
          <w:rFonts w:ascii="Times New Roman" w:hAnsi="Times New Roman" w:cs="Times New Roman"/>
        </w:rPr>
        <w:t>dtornese@rec.uba.ar</w:t>
      </w:r>
    </w:p>
    <w:p w14:paraId="0D184D00" w14:textId="77777777" w:rsidR="00A863EC" w:rsidRDefault="00A863EC" w:rsidP="00960E74">
      <w:pPr>
        <w:jc w:val="both"/>
        <w:rPr>
          <w:rFonts w:ascii="Times New Roman" w:hAnsi="Times New Roman" w:cs="Times New Roman"/>
          <w:b/>
          <w:bCs/>
        </w:rPr>
      </w:pPr>
    </w:p>
    <w:p w14:paraId="61769D18" w14:textId="7CEF8D9A" w:rsidR="00960E74" w:rsidRPr="00B372D7" w:rsidRDefault="00960E74" w:rsidP="00960E74">
      <w:pPr>
        <w:jc w:val="both"/>
        <w:rPr>
          <w:rFonts w:ascii="Times New Roman" w:hAnsi="Times New Roman" w:cs="Times New Roman"/>
        </w:rPr>
      </w:pPr>
      <w:r w:rsidRPr="00B372D7">
        <w:rPr>
          <w:rFonts w:ascii="Times New Roman" w:hAnsi="Times New Roman" w:cs="Times New Roman"/>
          <w:b/>
          <w:bCs/>
        </w:rPr>
        <w:t>Resumen</w:t>
      </w:r>
      <w:r w:rsidRPr="00B372D7">
        <w:rPr>
          <w:rFonts w:ascii="Times New Roman" w:hAnsi="Times New Roman" w:cs="Times New Roman"/>
        </w:rPr>
        <w:br/>
      </w:r>
    </w:p>
    <w:p w14:paraId="1E759808" w14:textId="77777777" w:rsidR="00960E74" w:rsidRPr="00B372D7" w:rsidRDefault="00960E74" w:rsidP="00960E74">
      <w:pPr>
        <w:jc w:val="both"/>
        <w:rPr>
          <w:rFonts w:ascii="Times New Roman" w:eastAsia="Aptos" w:hAnsi="Times New Roman" w:cs="Times New Roman"/>
        </w:rPr>
      </w:pPr>
      <w:r w:rsidRPr="00B372D7">
        <w:rPr>
          <w:rFonts w:ascii="Times New Roman" w:eastAsia="Aptos" w:hAnsi="Times New Roman" w:cs="Times New Roman"/>
          <w:lang w:val="es-AR"/>
        </w:rPr>
        <w:t xml:space="preserve">La ponencia presenta una experiencia reciente de diseño curricular desarrollada en la Universidad de Buenos Aires, a partir del trabajo conjunto entre la Facultad de Ciencias Exactas y Naturales y la Secretaría de Asuntos Académicos del Rectorado, orientada a ampliar y reorganizar la formación docente universitaria en áreas de vacancia para el nivel secundario. Tomando como base la Resolución del Consejo Federal de Educación </w:t>
      </w:r>
      <w:proofErr w:type="spellStart"/>
      <w:r w:rsidRPr="00B372D7">
        <w:rPr>
          <w:rFonts w:ascii="Times New Roman" w:eastAsia="Aptos" w:hAnsi="Times New Roman" w:cs="Times New Roman"/>
          <w:lang w:val="es-AR"/>
        </w:rPr>
        <w:t>N°</w:t>
      </w:r>
      <w:proofErr w:type="spellEnd"/>
      <w:r w:rsidRPr="00B372D7">
        <w:rPr>
          <w:rFonts w:ascii="Times New Roman" w:eastAsia="Aptos" w:hAnsi="Times New Roman" w:cs="Times New Roman"/>
          <w:lang w:val="es-AR"/>
        </w:rPr>
        <w:t xml:space="preserve"> 476/24, que permite la creación de profesorados </w:t>
      </w:r>
      <w:proofErr w:type="spellStart"/>
      <w:r w:rsidRPr="00B372D7">
        <w:rPr>
          <w:rFonts w:ascii="Times New Roman" w:eastAsia="Aptos" w:hAnsi="Times New Roman" w:cs="Times New Roman"/>
          <w:lang w:val="es-AR"/>
        </w:rPr>
        <w:t>mutidisciplinares</w:t>
      </w:r>
      <w:proofErr w:type="spellEnd"/>
      <w:r w:rsidRPr="00B372D7">
        <w:rPr>
          <w:rFonts w:ascii="Times New Roman" w:eastAsia="Aptos" w:hAnsi="Times New Roman" w:cs="Times New Roman"/>
          <w:lang w:val="es-AR"/>
        </w:rPr>
        <w:t xml:space="preserve"> para el nivel secundario, el proceso culminó en dos movimientos coordinados: la creación de cinco profesorados </w:t>
      </w:r>
      <w:proofErr w:type="spellStart"/>
      <w:r w:rsidRPr="00B372D7">
        <w:rPr>
          <w:rFonts w:ascii="Times New Roman" w:eastAsia="Aptos" w:hAnsi="Times New Roman" w:cs="Times New Roman"/>
          <w:lang w:val="es-AR"/>
        </w:rPr>
        <w:t>bidisciplinares</w:t>
      </w:r>
      <w:proofErr w:type="spellEnd"/>
      <w:r w:rsidRPr="00B372D7">
        <w:rPr>
          <w:rFonts w:ascii="Times New Roman" w:eastAsia="Aptos" w:hAnsi="Times New Roman" w:cs="Times New Roman"/>
          <w:lang w:val="es-AR"/>
        </w:rPr>
        <w:t xml:space="preserve"> para la enseñanza secundaria y la actualización de cinco profesorados </w:t>
      </w:r>
      <w:proofErr w:type="spellStart"/>
      <w:r w:rsidRPr="00B372D7">
        <w:rPr>
          <w:rFonts w:ascii="Times New Roman" w:eastAsia="Aptos" w:hAnsi="Times New Roman" w:cs="Times New Roman"/>
          <w:lang w:val="es-AR"/>
        </w:rPr>
        <w:t>monodisciplinares</w:t>
      </w:r>
      <w:proofErr w:type="spellEnd"/>
      <w:r w:rsidRPr="00B372D7">
        <w:rPr>
          <w:rFonts w:ascii="Times New Roman" w:eastAsia="Aptos" w:hAnsi="Times New Roman" w:cs="Times New Roman"/>
          <w:lang w:val="es-AR"/>
        </w:rPr>
        <w:t xml:space="preserve"> para la enseñanza secundaria y superior. En ambos casos, los nuevos planes adoptan una arquitectura modular basada en tramos comunes y módulos disciplinares compartidos. La exposición se propone reconstruir esta experiencia desde una perspectiva descriptiva, atendiendo a las decisiones institucionales y técnicas que la hicieron posible. En particular, interesa mostrar cómo la UBA procuró responder a una demanda concreta de ampliación de titulaciones docentes sin recurrir a una simple agregación de ofertas ni a soluciones ad hoc. La opción adoptada combinó, por un lado, la creación de profesorados para la educación secundaria organizados en torno a pares disciplinares afines - Biología y Química, Química y Física, Física y Matemática, Matemática y Computación, y Computación y Física - y, por otro, la reformulación de los profesorados preexistentes de Biología, Química, Física, Matemática y Computación bajo una lógica modular común. La ponencia describe los principales rasgos de este diseño. Entre ellos, la conformación de un módulo común de formación general y pedagógica, la delimitación de módulos disciplinares con su enseñanza para los niveles correspondientes, la posibilidad de establecer continuidades de estudio entre titulaciones afines y la definición de reglas de progresión y reconocimiento que vuelven articulable el </w:t>
      </w:r>
      <w:r w:rsidRPr="00B372D7">
        <w:rPr>
          <w:rFonts w:ascii="Times New Roman" w:eastAsia="Aptos" w:hAnsi="Times New Roman" w:cs="Times New Roman"/>
          <w:lang w:val="es-AR"/>
        </w:rPr>
        <w:lastRenderedPageBreak/>
        <w:t xml:space="preserve">conjunto. La </w:t>
      </w:r>
      <w:proofErr w:type="spellStart"/>
      <w:r w:rsidRPr="00B372D7">
        <w:rPr>
          <w:rFonts w:ascii="Times New Roman" w:eastAsia="Aptos" w:hAnsi="Times New Roman" w:cs="Times New Roman"/>
          <w:lang w:val="es-AR"/>
        </w:rPr>
        <w:t>modularización</w:t>
      </w:r>
      <w:proofErr w:type="spellEnd"/>
      <w:r w:rsidRPr="00B372D7">
        <w:rPr>
          <w:rFonts w:ascii="Times New Roman" w:eastAsia="Aptos" w:hAnsi="Times New Roman" w:cs="Times New Roman"/>
          <w:lang w:val="es-AR"/>
        </w:rPr>
        <w:t xml:space="preserve"> aparece aquí no sólo como forma de ordenar asignaturas, sino como una herramienta para reducir duplicaciones, dar legibilidad a la oferta y construir una base compartida para la formación docente en el área. A su vez, la </w:t>
      </w:r>
      <w:proofErr w:type="spellStart"/>
      <w:r w:rsidRPr="00B372D7">
        <w:rPr>
          <w:rFonts w:ascii="Times New Roman" w:eastAsia="Aptos" w:hAnsi="Times New Roman" w:cs="Times New Roman"/>
          <w:lang w:val="es-AR"/>
        </w:rPr>
        <w:t>bidisciplina</w:t>
      </w:r>
      <w:proofErr w:type="spellEnd"/>
      <w:r w:rsidRPr="00B372D7">
        <w:rPr>
          <w:rFonts w:ascii="Times New Roman" w:eastAsia="Aptos" w:hAnsi="Times New Roman" w:cs="Times New Roman"/>
          <w:lang w:val="es-AR"/>
        </w:rPr>
        <w:t xml:space="preserve"> se presenta como una alternativa de expansión regulada de la oferta, basada en afinidades entre campos y en la búsqueda de preservar densidad disciplinar en la formación para el nivel secundario. Finalmente, la exposición recupera algunos aspectos del proceso institucional que acompañaron este rediseño: la elaboración de lineamientos comunes, la definición de perfiles de egreso y alcances de título, y la articulación con referencias del nivel secundario, entre ellas los Núcleos de Aprendizaje Prioritarios. Más que evaluar resultados de implementación, el trabajo busca documentar una experiencia de diseño curricular y aportar elementos para discutir modos posibles de ampliar la formación docente universitaria preservando articulación, consistencia y legibilidad en el sistema de planes.</w:t>
      </w:r>
    </w:p>
    <w:p w14:paraId="20563D7B" w14:textId="77777777" w:rsidR="00960E74" w:rsidRPr="00B372D7" w:rsidRDefault="00960E74" w:rsidP="00960E74">
      <w:pPr>
        <w:jc w:val="both"/>
        <w:rPr>
          <w:rFonts w:ascii="Times New Roman" w:hAnsi="Times New Roman" w:cs="Times New Roman"/>
          <w:b/>
          <w:bCs/>
        </w:rPr>
      </w:pPr>
      <w:r w:rsidRPr="00B372D7">
        <w:rPr>
          <w:rFonts w:ascii="Times New Roman" w:hAnsi="Times New Roman" w:cs="Times New Roman"/>
          <w:b/>
          <w:bCs/>
        </w:rPr>
        <w:t>Palabras clave</w:t>
      </w:r>
    </w:p>
    <w:p w14:paraId="2781519B"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Formación docente universitaria; </w:t>
      </w:r>
      <w:proofErr w:type="spellStart"/>
      <w:r w:rsidRPr="00B372D7">
        <w:rPr>
          <w:rFonts w:ascii="Times New Roman" w:hAnsi="Times New Roman" w:cs="Times New Roman"/>
        </w:rPr>
        <w:t>curriculum</w:t>
      </w:r>
      <w:proofErr w:type="spellEnd"/>
      <w:r w:rsidRPr="00B372D7">
        <w:rPr>
          <w:rFonts w:ascii="Times New Roman" w:hAnsi="Times New Roman" w:cs="Times New Roman"/>
        </w:rPr>
        <w:t xml:space="preserve">; profesorados </w:t>
      </w:r>
      <w:proofErr w:type="spellStart"/>
      <w:r w:rsidRPr="00B372D7">
        <w:rPr>
          <w:rFonts w:ascii="Times New Roman" w:hAnsi="Times New Roman" w:cs="Times New Roman"/>
        </w:rPr>
        <w:t>bidisciplinares</w:t>
      </w:r>
      <w:proofErr w:type="spellEnd"/>
      <w:r w:rsidRPr="00B372D7">
        <w:rPr>
          <w:rFonts w:ascii="Times New Roman" w:hAnsi="Times New Roman" w:cs="Times New Roman"/>
        </w:rPr>
        <w:t xml:space="preserve">; </w:t>
      </w:r>
      <w:proofErr w:type="spellStart"/>
      <w:r w:rsidRPr="00B372D7">
        <w:rPr>
          <w:rFonts w:ascii="Times New Roman" w:hAnsi="Times New Roman" w:cs="Times New Roman"/>
        </w:rPr>
        <w:t>modularización</w:t>
      </w:r>
      <w:proofErr w:type="spellEnd"/>
      <w:r w:rsidRPr="00B372D7">
        <w:rPr>
          <w:rFonts w:ascii="Times New Roman" w:hAnsi="Times New Roman" w:cs="Times New Roman"/>
        </w:rPr>
        <w:t>; articulación disciplinar.</w:t>
      </w:r>
    </w:p>
    <w:p w14:paraId="27246A72" w14:textId="77777777" w:rsidR="00960E74" w:rsidRPr="00B372D7" w:rsidRDefault="00960E74" w:rsidP="00960E74">
      <w:pPr>
        <w:jc w:val="both"/>
        <w:rPr>
          <w:rFonts w:ascii="Times New Roman" w:hAnsi="Times New Roman" w:cs="Times New Roman"/>
        </w:rPr>
      </w:pPr>
    </w:p>
    <w:p w14:paraId="3B1467AA" w14:textId="77777777" w:rsidR="00960E74" w:rsidRPr="00B372D7" w:rsidRDefault="00960E74" w:rsidP="00960E74">
      <w:pPr>
        <w:jc w:val="both"/>
        <w:rPr>
          <w:rFonts w:ascii="Times New Roman" w:hAnsi="Times New Roman" w:cs="Times New Roman"/>
          <w:b/>
          <w:bCs/>
        </w:rPr>
      </w:pPr>
      <w:r w:rsidRPr="00B372D7">
        <w:rPr>
          <w:rFonts w:ascii="Times New Roman" w:hAnsi="Times New Roman" w:cs="Times New Roman"/>
          <w:b/>
          <w:bCs/>
        </w:rPr>
        <w:t xml:space="preserve">Introducción </w:t>
      </w:r>
    </w:p>
    <w:p w14:paraId="18D9ACD7"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En los últimos años, la formación docente para la escuela secundaria se ha convertido en un terreno especialmente sensible a presiones simultáneas. Entre ellas se destaca la dificultad persistente para cubrir cargos en áreas específicas, en particular en campos vinculados con las ciencias naturales, la matemática y la computación, dificultad que tensiona la capacidad del sistema para sostener ofertas curriculares efectivas y equitativas. A esa situación se suman transformaciones del propio nivel secundario, que tienden a reorganizar saberes, a intensificar cruces entre campos y a demandar docentes con competencias de enseñanza que exceden la reproducción de una única tradición disciplinar. En paralelo, en el plano institucional y normativo del sistema formador, se consolidan orientaciones que buscan ampliar la oferta, mejorar la legibilidad de las trayectorias y facilitar articulaciones entre titulaciones sin resignar consistencia académica.</w:t>
      </w:r>
    </w:p>
    <w:p w14:paraId="71C883E7"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En ese marco, la Universidad de Buenos Aires llevó adelante, en un trabajo conjunto entre la Facultad de Ciencias Exactas y Naturales y la Secretaría Académica del Rectorado, un proceso de rediseño curricular que culminó en dos decisiones convergentes. Por un lado, la creación de cinco profesorados </w:t>
      </w:r>
      <w:proofErr w:type="spellStart"/>
      <w:r w:rsidRPr="00B372D7">
        <w:rPr>
          <w:rFonts w:ascii="Times New Roman" w:hAnsi="Times New Roman" w:cs="Times New Roman"/>
        </w:rPr>
        <w:t>bidisciplinares</w:t>
      </w:r>
      <w:proofErr w:type="spellEnd"/>
      <w:r w:rsidRPr="00B372D7">
        <w:rPr>
          <w:rFonts w:ascii="Times New Roman" w:hAnsi="Times New Roman" w:cs="Times New Roman"/>
        </w:rPr>
        <w:t xml:space="preserve"> para la enseñanza secundaria. Por otro, la actualización de cinco profesorados </w:t>
      </w:r>
      <w:proofErr w:type="spellStart"/>
      <w:r w:rsidRPr="00B372D7">
        <w:rPr>
          <w:rFonts w:ascii="Times New Roman" w:hAnsi="Times New Roman" w:cs="Times New Roman"/>
        </w:rPr>
        <w:t>monodisciplinares</w:t>
      </w:r>
      <w:proofErr w:type="spellEnd"/>
      <w:r w:rsidRPr="00B372D7">
        <w:rPr>
          <w:rFonts w:ascii="Times New Roman" w:hAnsi="Times New Roman" w:cs="Times New Roman"/>
        </w:rPr>
        <w:t xml:space="preserve"> para la enseñanza secundaria y superior, que existían previamente. Aunque responden a lógicas distintas, ambos </w:t>
      </w:r>
      <w:r w:rsidRPr="00B372D7">
        <w:rPr>
          <w:rFonts w:ascii="Times New Roman" w:hAnsi="Times New Roman" w:cs="Times New Roman"/>
        </w:rPr>
        <w:lastRenderedPageBreak/>
        <w:t>movimientos se apoyan en una arquitectura modular que combina tramos comunes y módulos disciplinares compartidos, con reglas de progresión y reconocimiento orientadas a sostener trayectorias articulables. Lejos de tratarse de una reorganización formal, el proceso condensó una discusión curricular de fondo acerca de qué significa hoy formar docentes desde la universidad, cómo se definen y se resguardan fronteras disciplinares, y de qué modo se construye integración entre saberes sin caer en eclecticismos débiles o en superposiciones improductivas.</w:t>
      </w:r>
    </w:p>
    <w:p w14:paraId="34791FEB"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El problema que organiza este trabajo puede formularse del siguiente modo: en la formación docente universitaria, la expansión de trayectorias y la diversificación de titulaciones suelen entrar en tensión con la preservación de la consistencia curricular. Cuando se multiplican ofertas y recorridos, aumenta el riesgo de fragmentación, de inconsistencias en la progresión de contenidos y de una integración que queda declamada pero no asegurada por dispositivos efectivos. Sin embargo, mantener planes rígidos y cerrados también puede resultar disfuncional si impide responder a nuevas demandas del nivel secundario, si obstaculiza articulaciones entre campos cercanos o si impone recorridos poco legibles para estudiantes que transitan itinerarios heterogéneos.</w:t>
      </w:r>
    </w:p>
    <w:p w14:paraId="25CA3C89"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La hipótesis de trabajo es que la </w:t>
      </w:r>
      <w:proofErr w:type="spellStart"/>
      <w:r w:rsidRPr="00B372D7">
        <w:rPr>
          <w:rFonts w:ascii="Times New Roman" w:hAnsi="Times New Roman" w:cs="Times New Roman"/>
        </w:rPr>
        <w:t>bidisciplina</w:t>
      </w:r>
      <w:proofErr w:type="spellEnd"/>
      <w:r w:rsidRPr="00B372D7">
        <w:rPr>
          <w:rFonts w:ascii="Times New Roman" w:hAnsi="Times New Roman" w:cs="Times New Roman"/>
        </w:rPr>
        <w:t xml:space="preserve"> y la </w:t>
      </w:r>
      <w:proofErr w:type="spellStart"/>
      <w:r w:rsidRPr="00B372D7">
        <w:rPr>
          <w:rFonts w:ascii="Times New Roman" w:hAnsi="Times New Roman" w:cs="Times New Roman"/>
        </w:rPr>
        <w:t>modularización</w:t>
      </w:r>
      <w:proofErr w:type="spellEnd"/>
      <w:r w:rsidRPr="00B372D7">
        <w:rPr>
          <w:rFonts w:ascii="Times New Roman" w:hAnsi="Times New Roman" w:cs="Times New Roman"/>
        </w:rPr>
        <w:t xml:space="preserve">, entendidas como decisiones de arquitectura curricular y no como meros formatos, pueden operar como tecnologías curriculares de expansión regulada. Esto ocurre cuando reorganizan de manera explícita la selección, la secuenciación y la integración del saber, y cuando establecen criterios claros de progresión y de reconocimiento entre tramos y titulaciones. En esas condiciones, el rediseño no solo amplía titulaciones posibles, sino que </w:t>
      </w:r>
      <w:proofErr w:type="gramStart"/>
      <w:r w:rsidRPr="00B372D7">
        <w:rPr>
          <w:rFonts w:ascii="Times New Roman" w:hAnsi="Times New Roman" w:cs="Times New Roman"/>
        </w:rPr>
        <w:t>también habilita continuidades</w:t>
      </w:r>
      <w:proofErr w:type="gramEnd"/>
      <w:r w:rsidRPr="00B372D7">
        <w:rPr>
          <w:rFonts w:ascii="Times New Roman" w:hAnsi="Times New Roman" w:cs="Times New Roman"/>
        </w:rPr>
        <w:t xml:space="preserve"> de estudio entre ofertas afines con requerimientos acotados de cursada adicional, y ofrece un marco más robusto para articular formación disciplinar y formación pedagógica, sosteniendo un diálogo más productivo entre universidad y escuela secundaria.</w:t>
      </w:r>
    </w:p>
    <w:p w14:paraId="5A811628"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El objetivo del artículo es describir y teorizar este proceso y sus resultados curriculares, con foco en la racionalidad institucional que organiza los nuevos planes y los planes actualizados, así como en las potencialidades y tensiones que abren en el gobierno curricular universitario.</w:t>
      </w:r>
    </w:p>
    <w:p w14:paraId="253BD3D3"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En lo que sigue, se delimita el objeto de análisis y las fuentes utilizadas, se presenta un marco conceptual acotado para interpretar decisiones de diseño, y luego se reconstruyen los dos movimientos del proceso. Primero, la creación de profesorados </w:t>
      </w:r>
      <w:proofErr w:type="spellStart"/>
      <w:r w:rsidRPr="00B372D7">
        <w:rPr>
          <w:rFonts w:ascii="Times New Roman" w:hAnsi="Times New Roman" w:cs="Times New Roman"/>
        </w:rPr>
        <w:t>bidisciplinares</w:t>
      </w:r>
      <w:proofErr w:type="spellEnd"/>
      <w:r w:rsidRPr="00B372D7">
        <w:rPr>
          <w:rFonts w:ascii="Times New Roman" w:hAnsi="Times New Roman" w:cs="Times New Roman"/>
        </w:rPr>
        <w:t xml:space="preserve"> como reconfiguración de fronteras disciplinares orientada a la enseñanza secundaria; luego, la </w:t>
      </w:r>
      <w:proofErr w:type="spellStart"/>
      <w:r w:rsidRPr="00B372D7">
        <w:rPr>
          <w:rFonts w:ascii="Times New Roman" w:hAnsi="Times New Roman" w:cs="Times New Roman"/>
        </w:rPr>
        <w:t>modularización</w:t>
      </w:r>
      <w:proofErr w:type="spellEnd"/>
      <w:r w:rsidRPr="00B372D7">
        <w:rPr>
          <w:rFonts w:ascii="Times New Roman" w:hAnsi="Times New Roman" w:cs="Times New Roman"/>
        </w:rPr>
        <w:t xml:space="preserve"> como tecnología de articulación y legibilidad curricular, capaz de sostener trayectorias titulantes con criterios explícitos de progresión y reconocimiento. </w:t>
      </w:r>
    </w:p>
    <w:p w14:paraId="033A1096" w14:textId="77777777" w:rsidR="00960E74" w:rsidRPr="00B372D7" w:rsidRDefault="00960E74" w:rsidP="00960E74">
      <w:pPr>
        <w:jc w:val="both"/>
        <w:rPr>
          <w:rFonts w:ascii="Times New Roman" w:hAnsi="Times New Roman" w:cs="Times New Roman"/>
          <w:b/>
          <w:bCs/>
        </w:rPr>
      </w:pPr>
    </w:p>
    <w:p w14:paraId="03FCFC91" w14:textId="77777777" w:rsidR="00960E74" w:rsidRPr="00B372D7" w:rsidRDefault="00960E74" w:rsidP="00960E74">
      <w:pPr>
        <w:jc w:val="both"/>
        <w:rPr>
          <w:rFonts w:ascii="Times New Roman" w:hAnsi="Times New Roman" w:cs="Times New Roman"/>
          <w:b/>
          <w:bCs/>
        </w:rPr>
      </w:pPr>
      <w:r w:rsidRPr="00B372D7">
        <w:rPr>
          <w:rFonts w:ascii="Times New Roman" w:hAnsi="Times New Roman" w:cs="Times New Roman"/>
          <w:b/>
          <w:bCs/>
        </w:rPr>
        <w:lastRenderedPageBreak/>
        <w:t>Objeto, enfoque y fuentes</w:t>
      </w:r>
    </w:p>
    <w:p w14:paraId="1B7207B7"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Este trabajo adopta un enfoque de análisis curricular orientado a reconstruir decisiones de diseño y a teorizar a partir de ellas. El objeto de estudio no es la implementación empírica en aulas ni la evaluación de resultados, sino la arquitectura prescriptiva de los planes y la racionalidad institucional que los organiza. En ese marco, el análisis se configura como estudio de caso de una experiencia situada, tratada como unidad de observación que permite identificar operaciones curriculares y discutir condiciones de validez del diseño en el ámbito universitario.</w:t>
      </w:r>
    </w:p>
    <w:p w14:paraId="009EC470"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Las fuentes principales del trabajo son los diez planes de estudio aprobados en abril de 2026 por la Universidad de Buenos Aires para la formación docente en ciencias exactas y naturales:</w:t>
      </w:r>
    </w:p>
    <w:tbl>
      <w:tblPr>
        <w:tblStyle w:val="Tablaconcuadrcula"/>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4252"/>
        <w:gridCol w:w="4252"/>
      </w:tblGrid>
      <w:tr w:rsidR="00960E74" w:rsidRPr="00B372D7" w14:paraId="086CF0AE" w14:textId="77777777" w:rsidTr="00655675">
        <w:trPr>
          <w:trHeight w:val="300"/>
        </w:trPr>
        <w:tc>
          <w:tcPr>
            <w:tcW w:w="4868" w:type="dxa"/>
          </w:tcPr>
          <w:p w14:paraId="65E29EB4" w14:textId="77777777" w:rsidR="00960E74" w:rsidRPr="00B372D7" w:rsidRDefault="00960E74" w:rsidP="00960E74">
            <w:pPr>
              <w:pStyle w:val="Prrafodelista"/>
              <w:numPr>
                <w:ilvl w:val="0"/>
                <w:numId w:val="1"/>
              </w:numPr>
              <w:rPr>
                <w:rFonts w:ascii="Times New Roman" w:hAnsi="Times New Roman" w:cs="Times New Roman"/>
              </w:rPr>
            </w:pPr>
            <w:r w:rsidRPr="00B372D7">
              <w:rPr>
                <w:rFonts w:ascii="Times New Roman" w:hAnsi="Times New Roman" w:cs="Times New Roman"/>
              </w:rPr>
              <w:t>Profesorado Universitario para la Educación Secundaria en Biología y Química</w:t>
            </w:r>
          </w:p>
          <w:p w14:paraId="41EF4B10" w14:textId="77777777" w:rsidR="00960E74" w:rsidRPr="00B372D7" w:rsidRDefault="00960E74" w:rsidP="00960E74">
            <w:pPr>
              <w:pStyle w:val="Prrafodelista"/>
              <w:numPr>
                <w:ilvl w:val="0"/>
                <w:numId w:val="1"/>
              </w:numPr>
              <w:rPr>
                <w:rFonts w:ascii="Times New Roman" w:hAnsi="Times New Roman" w:cs="Times New Roman"/>
              </w:rPr>
            </w:pPr>
            <w:r w:rsidRPr="00B372D7">
              <w:rPr>
                <w:rFonts w:ascii="Times New Roman" w:hAnsi="Times New Roman" w:cs="Times New Roman"/>
              </w:rPr>
              <w:t>Profesorado Universitario para la Educación Secundaria en Computación y Física</w:t>
            </w:r>
          </w:p>
          <w:p w14:paraId="141F8ACB" w14:textId="77777777" w:rsidR="00960E74" w:rsidRPr="00B372D7" w:rsidRDefault="00960E74" w:rsidP="00960E74">
            <w:pPr>
              <w:pStyle w:val="Prrafodelista"/>
              <w:numPr>
                <w:ilvl w:val="0"/>
                <w:numId w:val="1"/>
              </w:numPr>
              <w:rPr>
                <w:rFonts w:ascii="Times New Roman" w:hAnsi="Times New Roman" w:cs="Times New Roman"/>
              </w:rPr>
            </w:pPr>
            <w:r w:rsidRPr="00B372D7">
              <w:rPr>
                <w:rFonts w:ascii="Times New Roman" w:hAnsi="Times New Roman" w:cs="Times New Roman"/>
              </w:rPr>
              <w:t>Profesorado Universitario para la Educación Secundaria en Física y Matemática</w:t>
            </w:r>
          </w:p>
          <w:p w14:paraId="191C4964" w14:textId="77777777" w:rsidR="00960E74" w:rsidRPr="00B372D7" w:rsidRDefault="00960E74" w:rsidP="00960E74">
            <w:pPr>
              <w:pStyle w:val="Prrafodelista"/>
              <w:numPr>
                <w:ilvl w:val="0"/>
                <w:numId w:val="1"/>
              </w:numPr>
              <w:rPr>
                <w:rFonts w:ascii="Times New Roman" w:hAnsi="Times New Roman" w:cs="Times New Roman"/>
              </w:rPr>
            </w:pPr>
            <w:r w:rsidRPr="00B372D7">
              <w:rPr>
                <w:rFonts w:ascii="Times New Roman" w:hAnsi="Times New Roman" w:cs="Times New Roman"/>
              </w:rPr>
              <w:t>Profesorado Universitario para la Educación Secundaria en Matemática y Computación</w:t>
            </w:r>
          </w:p>
          <w:p w14:paraId="6D384B48" w14:textId="77777777" w:rsidR="00960E74" w:rsidRPr="00B372D7" w:rsidRDefault="00960E74" w:rsidP="00960E74">
            <w:pPr>
              <w:pStyle w:val="Prrafodelista"/>
              <w:numPr>
                <w:ilvl w:val="0"/>
                <w:numId w:val="1"/>
              </w:numPr>
              <w:rPr>
                <w:rFonts w:ascii="Times New Roman" w:hAnsi="Times New Roman" w:cs="Times New Roman"/>
              </w:rPr>
            </w:pPr>
            <w:r w:rsidRPr="00B372D7">
              <w:rPr>
                <w:rFonts w:ascii="Times New Roman" w:hAnsi="Times New Roman" w:cs="Times New Roman"/>
              </w:rPr>
              <w:t>Profesorado Universitario para la Educación Secundaria en Química y Física</w:t>
            </w:r>
          </w:p>
        </w:tc>
        <w:tc>
          <w:tcPr>
            <w:tcW w:w="4868" w:type="dxa"/>
          </w:tcPr>
          <w:p w14:paraId="23ACEDB6" w14:textId="77777777" w:rsidR="00960E74" w:rsidRPr="00B372D7" w:rsidRDefault="00960E74" w:rsidP="00960E74">
            <w:pPr>
              <w:pStyle w:val="Prrafodelista"/>
              <w:numPr>
                <w:ilvl w:val="0"/>
                <w:numId w:val="1"/>
              </w:numPr>
              <w:rPr>
                <w:rFonts w:ascii="Times New Roman" w:hAnsi="Times New Roman" w:cs="Times New Roman"/>
              </w:rPr>
            </w:pPr>
            <w:r w:rsidRPr="00B372D7">
              <w:rPr>
                <w:rFonts w:ascii="Times New Roman" w:hAnsi="Times New Roman" w:cs="Times New Roman"/>
              </w:rPr>
              <w:t>Profesorado Universitario en Biología</w:t>
            </w:r>
          </w:p>
          <w:p w14:paraId="3C282FF7" w14:textId="77777777" w:rsidR="00960E74" w:rsidRPr="00B372D7" w:rsidRDefault="00960E74" w:rsidP="00655675">
            <w:pPr>
              <w:pStyle w:val="Prrafodelista"/>
              <w:rPr>
                <w:rFonts w:ascii="Times New Roman" w:hAnsi="Times New Roman" w:cs="Times New Roman"/>
              </w:rPr>
            </w:pPr>
          </w:p>
          <w:p w14:paraId="6CC4F031" w14:textId="77777777" w:rsidR="00960E74" w:rsidRPr="00B372D7" w:rsidRDefault="00960E74" w:rsidP="00960E74">
            <w:pPr>
              <w:pStyle w:val="Prrafodelista"/>
              <w:numPr>
                <w:ilvl w:val="0"/>
                <w:numId w:val="1"/>
              </w:numPr>
              <w:rPr>
                <w:rFonts w:ascii="Times New Roman" w:hAnsi="Times New Roman" w:cs="Times New Roman"/>
              </w:rPr>
            </w:pPr>
            <w:r w:rsidRPr="00B372D7">
              <w:rPr>
                <w:rFonts w:ascii="Times New Roman" w:hAnsi="Times New Roman" w:cs="Times New Roman"/>
              </w:rPr>
              <w:t>Profesorado Universitario en Computación</w:t>
            </w:r>
          </w:p>
          <w:p w14:paraId="5A3F835B" w14:textId="77777777" w:rsidR="00960E74" w:rsidRPr="00B372D7" w:rsidRDefault="00960E74" w:rsidP="00655675">
            <w:pPr>
              <w:pStyle w:val="Prrafodelista"/>
              <w:rPr>
                <w:rFonts w:ascii="Times New Roman" w:hAnsi="Times New Roman" w:cs="Times New Roman"/>
              </w:rPr>
            </w:pPr>
          </w:p>
          <w:p w14:paraId="519F2821" w14:textId="77777777" w:rsidR="00960E74" w:rsidRPr="00B372D7" w:rsidRDefault="00960E74" w:rsidP="00960E74">
            <w:pPr>
              <w:pStyle w:val="Prrafodelista"/>
              <w:numPr>
                <w:ilvl w:val="0"/>
                <w:numId w:val="1"/>
              </w:numPr>
              <w:rPr>
                <w:rFonts w:ascii="Times New Roman" w:hAnsi="Times New Roman" w:cs="Times New Roman"/>
              </w:rPr>
            </w:pPr>
            <w:r w:rsidRPr="00B372D7">
              <w:rPr>
                <w:rFonts w:ascii="Times New Roman" w:hAnsi="Times New Roman" w:cs="Times New Roman"/>
              </w:rPr>
              <w:t>Profesorado Universitario en Física</w:t>
            </w:r>
          </w:p>
          <w:p w14:paraId="61D34D4F" w14:textId="77777777" w:rsidR="00960E74" w:rsidRPr="00B372D7" w:rsidRDefault="00960E74" w:rsidP="00655675">
            <w:pPr>
              <w:pStyle w:val="Prrafodelista"/>
              <w:rPr>
                <w:rFonts w:ascii="Times New Roman" w:hAnsi="Times New Roman" w:cs="Times New Roman"/>
              </w:rPr>
            </w:pPr>
          </w:p>
          <w:p w14:paraId="0249A8F1" w14:textId="77777777" w:rsidR="00960E74" w:rsidRPr="00B372D7" w:rsidRDefault="00960E74" w:rsidP="00960E74">
            <w:pPr>
              <w:pStyle w:val="Prrafodelista"/>
              <w:numPr>
                <w:ilvl w:val="0"/>
                <w:numId w:val="1"/>
              </w:numPr>
              <w:rPr>
                <w:rFonts w:ascii="Times New Roman" w:hAnsi="Times New Roman" w:cs="Times New Roman"/>
              </w:rPr>
            </w:pPr>
            <w:r w:rsidRPr="00B372D7">
              <w:rPr>
                <w:rFonts w:ascii="Times New Roman" w:hAnsi="Times New Roman" w:cs="Times New Roman"/>
              </w:rPr>
              <w:t>Profesorado Universitario en Matemática</w:t>
            </w:r>
          </w:p>
          <w:p w14:paraId="5EE2E5D6" w14:textId="77777777" w:rsidR="00960E74" w:rsidRPr="00B372D7" w:rsidRDefault="00960E74" w:rsidP="00655675">
            <w:pPr>
              <w:pStyle w:val="Prrafodelista"/>
              <w:rPr>
                <w:rFonts w:ascii="Times New Roman" w:hAnsi="Times New Roman" w:cs="Times New Roman"/>
              </w:rPr>
            </w:pPr>
          </w:p>
          <w:p w14:paraId="41983D1A" w14:textId="77777777" w:rsidR="00960E74" w:rsidRPr="00B372D7" w:rsidRDefault="00960E74" w:rsidP="00960E74">
            <w:pPr>
              <w:pStyle w:val="Prrafodelista"/>
              <w:numPr>
                <w:ilvl w:val="0"/>
                <w:numId w:val="1"/>
              </w:numPr>
              <w:rPr>
                <w:rFonts w:ascii="Times New Roman" w:hAnsi="Times New Roman" w:cs="Times New Roman"/>
              </w:rPr>
            </w:pPr>
            <w:r w:rsidRPr="00B372D7">
              <w:rPr>
                <w:rFonts w:ascii="Times New Roman" w:hAnsi="Times New Roman" w:cs="Times New Roman"/>
              </w:rPr>
              <w:t>Profesorado Universitario en Química</w:t>
            </w:r>
          </w:p>
        </w:tc>
      </w:tr>
    </w:tbl>
    <w:p w14:paraId="5659FBB5" w14:textId="77777777" w:rsidR="00960E74" w:rsidRPr="00B372D7" w:rsidRDefault="00960E74" w:rsidP="00960E74">
      <w:pPr>
        <w:jc w:val="both"/>
        <w:rPr>
          <w:rFonts w:ascii="Times New Roman" w:hAnsi="Times New Roman" w:cs="Times New Roman"/>
        </w:rPr>
      </w:pPr>
    </w:p>
    <w:p w14:paraId="551A26F2"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Como puede observarse, el corpus incluye cinco profesorados </w:t>
      </w:r>
      <w:proofErr w:type="spellStart"/>
      <w:r w:rsidRPr="00B372D7">
        <w:rPr>
          <w:rFonts w:ascii="Times New Roman" w:hAnsi="Times New Roman" w:cs="Times New Roman"/>
        </w:rPr>
        <w:t>bidisciplinares</w:t>
      </w:r>
      <w:proofErr w:type="spellEnd"/>
      <w:r w:rsidRPr="00B372D7">
        <w:rPr>
          <w:rFonts w:ascii="Times New Roman" w:hAnsi="Times New Roman" w:cs="Times New Roman"/>
        </w:rPr>
        <w:t xml:space="preserve"> orientados a la educación secundaria y cinco profesorados </w:t>
      </w:r>
      <w:proofErr w:type="spellStart"/>
      <w:r w:rsidRPr="00B372D7">
        <w:rPr>
          <w:rFonts w:ascii="Times New Roman" w:hAnsi="Times New Roman" w:cs="Times New Roman"/>
        </w:rPr>
        <w:t>monodisciplinares</w:t>
      </w:r>
      <w:proofErr w:type="spellEnd"/>
      <w:r w:rsidRPr="00B372D7">
        <w:rPr>
          <w:rFonts w:ascii="Times New Roman" w:hAnsi="Times New Roman" w:cs="Times New Roman"/>
        </w:rPr>
        <w:t xml:space="preserve"> que fueron reformulados a partir de propuestas preexistentes, y organizados mediante una arquitectura modular compartida. Sobre esa base documental se reconstruyen la estructura por módulos, los tramos comunes, los módulos disciplinares con su enseñanza para el nivel correspondiente, los dispositivos de integración y la lógica de trayectorias titulantes y continuidades de estudio que el </w:t>
      </w:r>
      <w:proofErr w:type="gramStart"/>
      <w:r w:rsidRPr="00B372D7">
        <w:rPr>
          <w:rFonts w:ascii="Times New Roman" w:hAnsi="Times New Roman" w:cs="Times New Roman"/>
        </w:rPr>
        <w:t>diseño habilita</w:t>
      </w:r>
      <w:proofErr w:type="gramEnd"/>
      <w:r w:rsidRPr="00B372D7">
        <w:rPr>
          <w:rFonts w:ascii="Times New Roman" w:hAnsi="Times New Roman" w:cs="Times New Roman"/>
        </w:rPr>
        <w:t>.</w:t>
      </w:r>
    </w:p>
    <w:p w14:paraId="6754E3BC"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El tratamiento analítico se apoya en categorías de teoría curricular y sociología del currículum, en un registro deliberadamente meso. Se privilegian nociones que permiten describir cómo se selecciona y recontextualiza el saber en el pasaje de las disciplinas académicas a la formación docente, cómo se delimitan y reordenan fronteras </w:t>
      </w:r>
      <w:r w:rsidRPr="00B372D7">
        <w:rPr>
          <w:rFonts w:ascii="Times New Roman" w:hAnsi="Times New Roman" w:cs="Times New Roman"/>
        </w:rPr>
        <w:lastRenderedPageBreak/>
        <w:t>disciplinares, y cómo se establecen secuencias, jerarquías, criterios de integración y reglas institucionales de progresión y reconocimiento. La intención es producir una conceptualización fundada del diseño, evitando extrapolaciones propias del análisis de la práctica de enseñanza.</w:t>
      </w:r>
    </w:p>
    <w:p w14:paraId="3EB18AA0" w14:textId="77777777" w:rsidR="00960E74" w:rsidRPr="00B372D7" w:rsidRDefault="00960E74" w:rsidP="00960E74">
      <w:pPr>
        <w:jc w:val="both"/>
        <w:rPr>
          <w:rFonts w:ascii="Times New Roman" w:hAnsi="Times New Roman" w:cs="Times New Roman"/>
          <w:b/>
          <w:bCs/>
        </w:rPr>
      </w:pPr>
      <w:r w:rsidRPr="00B372D7">
        <w:rPr>
          <w:rFonts w:ascii="Times New Roman" w:hAnsi="Times New Roman" w:cs="Times New Roman"/>
          <w:b/>
          <w:bCs/>
        </w:rPr>
        <w:t>El caso FCEN-UBA como operación de diseño sistémico con dos movimientos coordinados</w:t>
      </w:r>
    </w:p>
    <w:p w14:paraId="3C1FE21C" w14:textId="73D927C3"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El proceso que se analiza en este </w:t>
      </w:r>
      <w:r w:rsidR="000E0057">
        <w:rPr>
          <w:rFonts w:ascii="Times New Roman" w:hAnsi="Times New Roman" w:cs="Times New Roman"/>
        </w:rPr>
        <w:t>trabajo</w:t>
      </w:r>
      <w:r w:rsidRPr="00B372D7">
        <w:rPr>
          <w:rFonts w:ascii="Times New Roman" w:hAnsi="Times New Roman" w:cs="Times New Roman"/>
        </w:rPr>
        <w:t xml:space="preserve"> se inscribe en un marco de política educativa reciente. Hace casi veinte años, la Resolución CFE </w:t>
      </w:r>
      <w:proofErr w:type="spellStart"/>
      <w:r w:rsidRPr="00B372D7">
        <w:rPr>
          <w:rFonts w:ascii="Times New Roman" w:hAnsi="Times New Roman" w:cs="Times New Roman"/>
        </w:rPr>
        <w:t>N°</w:t>
      </w:r>
      <w:proofErr w:type="spellEnd"/>
      <w:r w:rsidRPr="00B372D7">
        <w:rPr>
          <w:rFonts w:ascii="Times New Roman" w:hAnsi="Times New Roman" w:cs="Times New Roman"/>
        </w:rPr>
        <w:t xml:space="preserve"> 74/08, que regulaba las titulaciones para las carreras de formación docente, establecía que el título de “Profesor/a de Educación Secundaria en…” debía otorgarse para una sola disciplina. En el nivel universitario, esta norma fue receptada por la Disposición DNGU </w:t>
      </w:r>
      <w:proofErr w:type="spellStart"/>
      <w:r w:rsidRPr="00B372D7">
        <w:rPr>
          <w:rFonts w:ascii="Times New Roman" w:hAnsi="Times New Roman" w:cs="Times New Roman"/>
        </w:rPr>
        <w:t>N°</w:t>
      </w:r>
      <w:proofErr w:type="spellEnd"/>
      <w:r w:rsidRPr="00B372D7">
        <w:rPr>
          <w:rFonts w:ascii="Times New Roman" w:hAnsi="Times New Roman" w:cs="Times New Roman"/>
        </w:rPr>
        <w:t xml:space="preserve"> 01/10, que ordenaba</w:t>
      </w:r>
      <w:r w:rsidR="000E0057">
        <w:rPr>
          <w:rFonts w:ascii="Times New Roman" w:hAnsi="Times New Roman" w:cs="Times New Roman"/>
        </w:rPr>
        <w:t>, del mismo modo,</w:t>
      </w:r>
      <w:r w:rsidRPr="00B372D7">
        <w:rPr>
          <w:rFonts w:ascii="Times New Roman" w:hAnsi="Times New Roman" w:cs="Times New Roman"/>
        </w:rPr>
        <w:t xml:space="preserve"> que el título de Profesor/a Universitario/a debía referirse a una única disciplina.</w:t>
      </w:r>
    </w:p>
    <w:p w14:paraId="2E3218AD" w14:textId="0E7954D1"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Esta prescripción ha cambiado recientemente. La Resolución CFE </w:t>
      </w:r>
      <w:proofErr w:type="spellStart"/>
      <w:r w:rsidRPr="00B372D7">
        <w:rPr>
          <w:rFonts w:ascii="Times New Roman" w:hAnsi="Times New Roman" w:cs="Times New Roman"/>
        </w:rPr>
        <w:t>Nº</w:t>
      </w:r>
      <w:proofErr w:type="spellEnd"/>
      <w:r w:rsidRPr="00B372D7">
        <w:rPr>
          <w:rFonts w:ascii="Times New Roman" w:hAnsi="Times New Roman" w:cs="Times New Roman"/>
        </w:rPr>
        <w:t xml:space="preserve"> 476/24, que aprueba los Lineamientos Curriculares Nacionales para la Formación Docente Inicial - Versión 2024, permite la creación de profesorados multidisciplinares en áreas con vacancia docente para el nivel secundario. </w:t>
      </w:r>
      <w:r w:rsidR="000E0057">
        <w:rPr>
          <w:rFonts w:ascii="Times New Roman" w:hAnsi="Times New Roman" w:cs="Times New Roman"/>
        </w:rPr>
        <w:t>Así</w:t>
      </w:r>
      <w:r w:rsidRPr="00B372D7">
        <w:rPr>
          <w:rFonts w:ascii="Times New Roman" w:hAnsi="Times New Roman" w:cs="Times New Roman"/>
        </w:rPr>
        <w:t>, en el capítulo IV de los Lineamientos se establece que:</w:t>
      </w:r>
    </w:p>
    <w:p w14:paraId="5F8BFBB1" w14:textId="77777777" w:rsidR="00960E74" w:rsidRPr="00B372D7" w:rsidRDefault="00960E74" w:rsidP="00960E74">
      <w:pPr>
        <w:ind w:left="708"/>
        <w:jc w:val="both"/>
        <w:rPr>
          <w:rFonts w:ascii="Times New Roman" w:hAnsi="Times New Roman" w:cs="Times New Roman"/>
          <w:i/>
          <w:iCs/>
        </w:rPr>
      </w:pPr>
      <w:r w:rsidRPr="00B372D7">
        <w:rPr>
          <w:rFonts w:ascii="Times New Roman" w:hAnsi="Times New Roman" w:cs="Times New Roman"/>
          <w:i/>
          <w:iCs/>
        </w:rPr>
        <w:t>Los profesorados de educación secundaria multidisciplinares se podrán pensar mediante una ecuación curricular que implica la integración de disciplinas afines desde su encuadre epistemológico, con una justificación que amerite su abordaje conforme la vacancia jurisdiccional de los perfiles que integre. Las jurisdicciones podrán elaborar y presentar propuestas de Diseños Curriculares Multidisciplinares de acuerdo con las vacancias y necesidades particulares locales.</w:t>
      </w:r>
    </w:p>
    <w:p w14:paraId="18438D92"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A partir de ese marco, la Universidad de Buenos Aires definió una línea de diseño curricular orientada a responder a la demanda sin desanclar la formación docente de su tradición universitaria. En el campo de las ciencias exactas y naturales, esta decisión supuso redefinir el problema en términos de arquitectura curricular. Se buscó ampliar la oferta y, al mismo tiempo, preservar densidad disciplinar y criterios de validez en áreas donde el conocimiento se organiza a través de progresiones conceptuales exigentes. </w:t>
      </w:r>
    </w:p>
    <w:p w14:paraId="729ACC77"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En ese contexto, la UBA, a través de la Facultad de Ciencias Exactas y Naturales, llevó adelante una operación de diseño sistémico que combinó dos movimientos coordinados. El primero consistió en la creación de cinco profesorados </w:t>
      </w:r>
      <w:proofErr w:type="spellStart"/>
      <w:r w:rsidRPr="00B372D7">
        <w:rPr>
          <w:rFonts w:ascii="Times New Roman" w:hAnsi="Times New Roman" w:cs="Times New Roman"/>
        </w:rPr>
        <w:t>bidisciplinares</w:t>
      </w:r>
      <w:proofErr w:type="spellEnd"/>
      <w:r w:rsidRPr="00B372D7">
        <w:rPr>
          <w:rFonts w:ascii="Times New Roman" w:hAnsi="Times New Roman" w:cs="Times New Roman"/>
        </w:rPr>
        <w:t xml:space="preserve"> orientados a la educación secundaria, organizados por pares disciplinares afines: Biología y Química, Química y Física, Física y Matemática, Matemática y Computación, y Computación y </w:t>
      </w:r>
      <w:r w:rsidRPr="00B372D7">
        <w:rPr>
          <w:rFonts w:ascii="Times New Roman" w:hAnsi="Times New Roman" w:cs="Times New Roman"/>
        </w:rPr>
        <w:lastRenderedPageBreak/>
        <w:t xml:space="preserve">Física. El segundo consistió en la reformulación de cinco profesorados </w:t>
      </w:r>
      <w:proofErr w:type="spellStart"/>
      <w:r w:rsidRPr="00B372D7">
        <w:rPr>
          <w:rFonts w:ascii="Times New Roman" w:hAnsi="Times New Roman" w:cs="Times New Roman"/>
        </w:rPr>
        <w:t>monodisciplinares</w:t>
      </w:r>
      <w:proofErr w:type="spellEnd"/>
      <w:r w:rsidRPr="00B372D7">
        <w:rPr>
          <w:rFonts w:ascii="Times New Roman" w:hAnsi="Times New Roman" w:cs="Times New Roman"/>
        </w:rPr>
        <w:t xml:space="preserve"> de la Facultad (Biología, Química, Física, Matemática y Computación) en una lógica modular, con el doble propósito de articularlos con lo nuevo y de actualizar criterios de organización de la formación docente universitaria en el área. El conjunto de títulos alcanzado permite dimensionar la escala real de la intervención, que no se limita a incorporar nuevas denominaciones, sino que reordena el sistema de trayectorias posibles bajo una gramática común. </w:t>
      </w:r>
    </w:p>
    <w:p w14:paraId="37A2D470"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El proceso no partió de una hoja en blanco. A fines de 2022 la Facultad de Ciencias Exactas y Naturales inició una revisión y actualización de planes vigentes desde la década de 1990, con el objetivo de adecuarlos a cambios en contenidos disciplinares, propuestas curriculares y enfoques didáctico-pedagógicos desarrollados a lo largo de las últimas décadas. Ese trabajo inicial tomó forma, entre otros espacios, en reuniones orientadas a construir acuerdos sobre saberes y competencias que debían constituir la base de los nuevos planes. A lo largo de 2023 se incorporaron instancias de debate con estudiantes, con jornadas específicas orientadas a deliberar sobre sentidos de la formación docente y sobre la necesidad de fortalecer la articulación entre formación disciplinar y formación pedagógica. </w:t>
      </w:r>
    </w:p>
    <w:p w14:paraId="7CBC930B"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Durante 2024, en diálogo con demandas emergentes y con marcos normativos recientes, se propuso además la creación de nuevos planes de carácter </w:t>
      </w:r>
      <w:proofErr w:type="spellStart"/>
      <w:r w:rsidRPr="00B372D7">
        <w:rPr>
          <w:rFonts w:ascii="Times New Roman" w:hAnsi="Times New Roman" w:cs="Times New Roman"/>
        </w:rPr>
        <w:t>bidisciplinar</w:t>
      </w:r>
      <w:proofErr w:type="spellEnd"/>
      <w:r w:rsidRPr="00B372D7">
        <w:rPr>
          <w:rFonts w:ascii="Times New Roman" w:hAnsi="Times New Roman" w:cs="Times New Roman"/>
        </w:rPr>
        <w:t xml:space="preserve">. La decisión no consistió en adoptar sin más la posibilidad de profesorados multidisciplinares amplios, sino en seleccionar una alternativa que permitiera ampliar perfiles docentes para la secundaria preservando densidad disciplinar. En esa línea, la </w:t>
      </w:r>
      <w:proofErr w:type="spellStart"/>
      <w:r w:rsidRPr="00B372D7">
        <w:rPr>
          <w:rFonts w:ascii="Times New Roman" w:hAnsi="Times New Roman" w:cs="Times New Roman"/>
        </w:rPr>
        <w:t>bidisciplina</w:t>
      </w:r>
      <w:proofErr w:type="spellEnd"/>
      <w:r w:rsidRPr="00B372D7">
        <w:rPr>
          <w:rFonts w:ascii="Times New Roman" w:hAnsi="Times New Roman" w:cs="Times New Roman"/>
        </w:rPr>
        <w:t xml:space="preserve"> se asumió como un principio de organización del conocimiento más adecuado para el área, porque </w:t>
      </w:r>
      <w:proofErr w:type="gramStart"/>
      <w:r w:rsidRPr="00B372D7">
        <w:rPr>
          <w:rFonts w:ascii="Times New Roman" w:hAnsi="Times New Roman" w:cs="Times New Roman"/>
        </w:rPr>
        <w:t>habilita articulaciones pertinentes</w:t>
      </w:r>
      <w:proofErr w:type="gramEnd"/>
      <w:r w:rsidRPr="00B372D7">
        <w:rPr>
          <w:rFonts w:ascii="Times New Roman" w:hAnsi="Times New Roman" w:cs="Times New Roman"/>
        </w:rPr>
        <w:t xml:space="preserve"> entre campos afines sin derivar en perfiles generalistas con formación fragmentaria. </w:t>
      </w:r>
    </w:p>
    <w:p w14:paraId="6961FC56" w14:textId="78454ADC"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Hacia finales de 2025, el proceso se institucionalizó en una mesa de trabajo integrada por representantes de diferentes claustros, con el propósito de consolidar lineamientos generales para planes </w:t>
      </w:r>
      <w:proofErr w:type="spellStart"/>
      <w:r w:rsidRPr="00B372D7">
        <w:rPr>
          <w:rFonts w:ascii="Times New Roman" w:hAnsi="Times New Roman" w:cs="Times New Roman"/>
        </w:rPr>
        <w:t>monodisciplinares</w:t>
      </w:r>
      <w:proofErr w:type="spellEnd"/>
      <w:r w:rsidRPr="00B372D7">
        <w:rPr>
          <w:rFonts w:ascii="Times New Roman" w:hAnsi="Times New Roman" w:cs="Times New Roman"/>
        </w:rPr>
        <w:t xml:space="preserve"> y </w:t>
      </w:r>
      <w:proofErr w:type="spellStart"/>
      <w:r w:rsidRPr="00B372D7">
        <w:rPr>
          <w:rFonts w:ascii="Times New Roman" w:hAnsi="Times New Roman" w:cs="Times New Roman"/>
        </w:rPr>
        <w:t>bidisciplinares</w:t>
      </w:r>
      <w:proofErr w:type="spellEnd"/>
      <w:r w:rsidRPr="00B372D7">
        <w:rPr>
          <w:rFonts w:ascii="Times New Roman" w:hAnsi="Times New Roman" w:cs="Times New Roman"/>
        </w:rPr>
        <w:t xml:space="preserve">. En ese ámbito se elaboró un documento marco que definió perfil de egreso, alcances del título y el módulo común a todos los profesorados, junto con criterios para la transversalización de contenidos, entre ellos Educación Sexual Integral, Educación Ambiental, Alimentación saludable y Lectura, Escritura y Oralidad. El resultado fue un conjunto de planes que comparten una estructura modular que contempla: el Ciclo Básico Común, que constituye el primer año de todas las carreras de grado de la universidad, un módulo de formación general y pedagógica, común a todos los profesorados, y módulos ligados a la disciplina y su enseñanza. En el caso de los profesorados </w:t>
      </w:r>
      <w:proofErr w:type="spellStart"/>
      <w:r w:rsidRPr="00B372D7">
        <w:rPr>
          <w:rFonts w:ascii="Times New Roman" w:hAnsi="Times New Roman" w:cs="Times New Roman"/>
        </w:rPr>
        <w:t>bidisciplinares</w:t>
      </w:r>
      <w:proofErr w:type="spellEnd"/>
      <w:r w:rsidRPr="00B372D7">
        <w:rPr>
          <w:rFonts w:ascii="Times New Roman" w:hAnsi="Times New Roman" w:cs="Times New Roman"/>
        </w:rPr>
        <w:t xml:space="preserve">, la estructura curricular </w:t>
      </w:r>
      <w:r w:rsidR="000E0057">
        <w:rPr>
          <w:rFonts w:ascii="Times New Roman" w:hAnsi="Times New Roman" w:cs="Times New Roman"/>
        </w:rPr>
        <w:t>quedó</w:t>
      </w:r>
      <w:r w:rsidRPr="00B372D7">
        <w:rPr>
          <w:rFonts w:ascii="Times New Roman" w:hAnsi="Times New Roman" w:cs="Times New Roman"/>
        </w:rPr>
        <w:t xml:space="preserve"> conformada del siguiente modo:</w:t>
      </w:r>
    </w:p>
    <w:tbl>
      <w:tblPr>
        <w:tblStyle w:val="Tablaconcuadrcula"/>
        <w:tblW w:w="0" w:type="auto"/>
        <w:jc w:val="center"/>
        <w:tblLook w:val="06A0" w:firstRow="1" w:lastRow="0" w:firstColumn="1" w:lastColumn="0" w:noHBand="1" w:noVBand="1"/>
      </w:tblPr>
      <w:tblGrid>
        <w:gridCol w:w="2052"/>
        <w:gridCol w:w="2152"/>
        <w:gridCol w:w="2145"/>
        <w:gridCol w:w="2145"/>
      </w:tblGrid>
      <w:tr w:rsidR="00960E74" w:rsidRPr="00B372D7" w14:paraId="103232F1" w14:textId="77777777" w:rsidTr="00655675">
        <w:trPr>
          <w:trHeight w:val="300"/>
          <w:jc w:val="center"/>
        </w:trPr>
        <w:tc>
          <w:tcPr>
            <w:tcW w:w="2434" w:type="dxa"/>
          </w:tcPr>
          <w:p w14:paraId="6F1A6C72" w14:textId="77777777" w:rsidR="00960E74" w:rsidRPr="00B372D7" w:rsidRDefault="00960E74" w:rsidP="00655675">
            <w:pPr>
              <w:jc w:val="center"/>
              <w:rPr>
                <w:rFonts w:ascii="Times New Roman" w:hAnsi="Times New Roman" w:cs="Times New Roman"/>
              </w:rPr>
            </w:pPr>
            <w:r w:rsidRPr="00B372D7">
              <w:rPr>
                <w:rFonts w:ascii="Times New Roman" w:hAnsi="Times New Roman" w:cs="Times New Roman"/>
              </w:rPr>
              <w:lastRenderedPageBreak/>
              <w:t>Ciclo Básico Común</w:t>
            </w:r>
          </w:p>
        </w:tc>
        <w:tc>
          <w:tcPr>
            <w:tcW w:w="2434" w:type="dxa"/>
          </w:tcPr>
          <w:p w14:paraId="63BF3F42" w14:textId="77777777" w:rsidR="00960E74" w:rsidRPr="00B372D7" w:rsidRDefault="00960E74" w:rsidP="00655675">
            <w:pPr>
              <w:jc w:val="center"/>
              <w:rPr>
                <w:rFonts w:ascii="Times New Roman" w:hAnsi="Times New Roman" w:cs="Times New Roman"/>
              </w:rPr>
            </w:pPr>
            <w:r w:rsidRPr="00B372D7">
              <w:rPr>
                <w:rFonts w:ascii="Times New Roman" w:hAnsi="Times New Roman" w:cs="Times New Roman"/>
              </w:rPr>
              <w:t>Módulo de Formación General y Pedagógica</w:t>
            </w:r>
          </w:p>
        </w:tc>
        <w:tc>
          <w:tcPr>
            <w:tcW w:w="2434" w:type="dxa"/>
          </w:tcPr>
          <w:p w14:paraId="3AEAABE8" w14:textId="77777777" w:rsidR="00960E74" w:rsidRPr="00B372D7" w:rsidRDefault="00960E74" w:rsidP="00655675">
            <w:pPr>
              <w:jc w:val="center"/>
              <w:rPr>
                <w:rFonts w:ascii="Times New Roman" w:hAnsi="Times New Roman" w:cs="Times New Roman"/>
              </w:rPr>
            </w:pPr>
            <w:r w:rsidRPr="00B372D7">
              <w:rPr>
                <w:rFonts w:ascii="Times New Roman" w:hAnsi="Times New Roman" w:cs="Times New Roman"/>
              </w:rPr>
              <w:t xml:space="preserve">Módulo de una Disciplina y su Enseñanza en el Nivel Secundario </w:t>
            </w:r>
          </w:p>
          <w:p w14:paraId="57D1B075" w14:textId="77777777" w:rsidR="00960E74" w:rsidRPr="00B372D7" w:rsidRDefault="00960E74" w:rsidP="00655675">
            <w:pPr>
              <w:jc w:val="center"/>
              <w:rPr>
                <w:rFonts w:ascii="Times New Roman" w:hAnsi="Times New Roman" w:cs="Times New Roman"/>
              </w:rPr>
            </w:pPr>
            <w:r w:rsidRPr="00B372D7">
              <w:rPr>
                <w:rFonts w:ascii="Times New Roman" w:hAnsi="Times New Roman" w:cs="Times New Roman"/>
              </w:rPr>
              <w:t>(por ejemplo, Física)</w:t>
            </w:r>
          </w:p>
        </w:tc>
        <w:tc>
          <w:tcPr>
            <w:tcW w:w="2434" w:type="dxa"/>
          </w:tcPr>
          <w:p w14:paraId="226B55CB" w14:textId="77777777" w:rsidR="00960E74" w:rsidRPr="00B372D7" w:rsidRDefault="00960E74" w:rsidP="00655675">
            <w:pPr>
              <w:jc w:val="center"/>
              <w:rPr>
                <w:rFonts w:ascii="Times New Roman" w:hAnsi="Times New Roman" w:cs="Times New Roman"/>
              </w:rPr>
            </w:pPr>
            <w:r w:rsidRPr="00B372D7">
              <w:rPr>
                <w:rFonts w:ascii="Times New Roman" w:hAnsi="Times New Roman" w:cs="Times New Roman"/>
              </w:rPr>
              <w:t>Módulo de otra Disciplina y su Enseñanza en el Nivel Secundario</w:t>
            </w:r>
          </w:p>
          <w:p w14:paraId="0AC705B2" w14:textId="77777777" w:rsidR="00960E74" w:rsidRPr="00B372D7" w:rsidRDefault="00960E74" w:rsidP="00655675">
            <w:pPr>
              <w:jc w:val="center"/>
              <w:rPr>
                <w:rFonts w:ascii="Times New Roman" w:hAnsi="Times New Roman" w:cs="Times New Roman"/>
              </w:rPr>
            </w:pPr>
            <w:r w:rsidRPr="00B372D7">
              <w:rPr>
                <w:rFonts w:ascii="Times New Roman" w:hAnsi="Times New Roman" w:cs="Times New Roman"/>
              </w:rPr>
              <w:t>(por ejemplo, Química)</w:t>
            </w:r>
          </w:p>
        </w:tc>
      </w:tr>
    </w:tbl>
    <w:p w14:paraId="70D900A5" w14:textId="77777777" w:rsidR="00960E74" w:rsidRPr="00B372D7" w:rsidRDefault="00960E74" w:rsidP="00960E74">
      <w:pPr>
        <w:jc w:val="both"/>
        <w:rPr>
          <w:rFonts w:ascii="Times New Roman" w:hAnsi="Times New Roman" w:cs="Times New Roman"/>
        </w:rPr>
      </w:pPr>
    </w:p>
    <w:p w14:paraId="4FFAA384" w14:textId="79FCB34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En el caso de los profesorados de una única disciplina, que habilitan para la docencia en los niveles secundario y superior, la estructura curricular </w:t>
      </w:r>
      <w:r w:rsidR="000E0057">
        <w:rPr>
          <w:rFonts w:ascii="Times New Roman" w:hAnsi="Times New Roman" w:cs="Times New Roman"/>
        </w:rPr>
        <w:t>es</w:t>
      </w:r>
      <w:r w:rsidRPr="00B372D7">
        <w:rPr>
          <w:rFonts w:ascii="Times New Roman" w:hAnsi="Times New Roman" w:cs="Times New Roman"/>
        </w:rPr>
        <w:t xml:space="preserve"> como sigue:</w:t>
      </w:r>
    </w:p>
    <w:tbl>
      <w:tblPr>
        <w:tblStyle w:val="Tablaconcuadrcula"/>
        <w:tblW w:w="0" w:type="auto"/>
        <w:tblLook w:val="06A0" w:firstRow="1" w:lastRow="0" w:firstColumn="1" w:lastColumn="0" w:noHBand="1" w:noVBand="1"/>
      </w:tblPr>
      <w:tblGrid>
        <w:gridCol w:w="2018"/>
        <w:gridCol w:w="2128"/>
        <w:gridCol w:w="2121"/>
        <w:gridCol w:w="2227"/>
      </w:tblGrid>
      <w:tr w:rsidR="00960E74" w:rsidRPr="00B372D7" w14:paraId="1396729A" w14:textId="77777777" w:rsidTr="00655675">
        <w:trPr>
          <w:trHeight w:val="300"/>
        </w:trPr>
        <w:tc>
          <w:tcPr>
            <w:tcW w:w="2434" w:type="dxa"/>
          </w:tcPr>
          <w:p w14:paraId="5D5FD63E" w14:textId="77777777" w:rsidR="00960E74" w:rsidRPr="00B372D7" w:rsidRDefault="00960E74" w:rsidP="00655675">
            <w:pPr>
              <w:jc w:val="center"/>
              <w:rPr>
                <w:rFonts w:ascii="Times New Roman" w:hAnsi="Times New Roman" w:cs="Times New Roman"/>
              </w:rPr>
            </w:pPr>
            <w:r w:rsidRPr="00B372D7">
              <w:rPr>
                <w:rFonts w:ascii="Times New Roman" w:hAnsi="Times New Roman" w:cs="Times New Roman"/>
              </w:rPr>
              <w:t>Ciclo Básico Común</w:t>
            </w:r>
          </w:p>
        </w:tc>
        <w:tc>
          <w:tcPr>
            <w:tcW w:w="2434" w:type="dxa"/>
          </w:tcPr>
          <w:p w14:paraId="40AAF9D1" w14:textId="77777777" w:rsidR="00960E74" w:rsidRPr="00B372D7" w:rsidRDefault="00960E74" w:rsidP="00655675">
            <w:pPr>
              <w:jc w:val="center"/>
              <w:rPr>
                <w:rFonts w:ascii="Times New Roman" w:hAnsi="Times New Roman" w:cs="Times New Roman"/>
              </w:rPr>
            </w:pPr>
            <w:r w:rsidRPr="00B372D7">
              <w:rPr>
                <w:rFonts w:ascii="Times New Roman" w:hAnsi="Times New Roman" w:cs="Times New Roman"/>
              </w:rPr>
              <w:t>Módulo de Formación General y Pedagógica</w:t>
            </w:r>
          </w:p>
        </w:tc>
        <w:tc>
          <w:tcPr>
            <w:tcW w:w="2434" w:type="dxa"/>
          </w:tcPr>
          <w:p w14:paraId="7A3E92FA" w14:textId="77777777" w:rsidR="00960E74" w:rsidRPr="00B372D7" w:rsidRDefault="00960E74" w:rsidP="00655675">
            <w:pPr>
              <w:jc w:val="center"/>
              <w:rPr>
                <w:rFonts w:ascii="Times New Roman" w:hAnsi="Times New Roman" w:cs="Times New Roman"/>
              </w:rPr>
            </w:pPr>
            <w:r w:rsidRPr="00B372D7">
              <w:rPr>
                <w:rFonts w:ascii="Times New Roman" w:hAnsi="Times New Roman" w:cs="Times New Roman"/>
              </w:rPr>
              <w:t xml:space="preserve">Módulo de una Disciplina y su Enseñanza en el Nivel Secundario </w:t>
            </w:r>
          </w:p>
          <w:p w14:paraId="4D9968AC" w14:textId="77777777" w:rsidR="00960E74" w:rsidRPr="00B372D7" w:rsidRDefault="00960E74" w:rsidP="00655675">
            <w:pPr>
              <w:jc w:val="center"/>
              <w:rPr>
                <w:rFonts w:ascii="Times New Roman" w:hAnsi="Times New Roman" w:cs="Times New Roman"/>
              </w:rPr>
            </w:pPr>
            <w:r w:rsidRPr="00B372D7">
              <w:rPr>
                <w:rFonts w:ascii="Times New Roman" w:hAnsi="Times New Roman" w:cs="Times New Roman"/>
              </w:rPr>
              <w:t>(por ejemplo, Física)</w:t>
            </w:r>
          </w:p>
        </w:tc>
        <w:tc>
          <w:tcPr>
            <w:tcW w:w="2434" w:type="dxa"/>
          </w:tcPr>
          <w:p w14:paraId="11515F09" w14:textId="77777777" w:rsidR="00960E74" w:rsidRPr="00B372D7" w:rsidRDefault="00960E74" w:rsidP="00655675">
            <w:pPr>
              <w:jc w:val="center"/>
              <w:rPr>
                <w:rFonts w:ascii="Times New Roman" w:hAnsi="Times New Roman" w:cs="Times New Roman"/>
              </w:rPr>
            </w:pPr>
            <w:r w:rsidRPr="00B372D7">
              <w:rPr>
                <w:rFonts w:ascii="Times New Roman" w:hAnsi="Times New Roman" w:cs="Times New Roman"/>
              </w:rPr>
              <w:t xml:space="preserve">Módulo de Profundización de la Disciplina y su Enseñanza </w:t>
            </w:r>
          </w:p>
          <w:p w14:paraId="79B799DB" w14:textId="77777777" w:rsidR="00960E74" w:rsidRPr="00B372D7" w:rsidRDefault="00960E74" w:rsidP="00655675">
            <w:pPr>
              <w:jc w:val="center"/>
              <w:rPr>
                <w:rFonts w:ascii="Times New Roman" w:hAnsi="Times New Roman" w:cs="Times New Roman"/>
              </w:rPr>
            </w:pPr>
            <w:r w:rsidRPr="00B372D7">
              <w:rPr>
                <w:rFonts w:ascii="Times New Roman" w:hAnsi="Times New Roman" w:cs="Times New Roman"/>
              </w:rPr>
              <w:t>(en este ejemplo, Física)</w:t>
            </w:r>
          </w:p>
        </w:tc>
      </w:tr>
    </w:tbl>
    <w:p w14:paraId="0DB74428" w14:textId="77777777" w:rsidR="00960E74" w:rsidRPr="00B372D7" w:rsidRDefault="00960E74" w:rsidP="00960E74">
      <w:pPr>
        <w:jc w:val="both"/>
        <w:rPr>
          <w:rFonts w:ascii="Times New Roman" w:hAnsi="Times New Roman" w:cs="Times New Roman"/>
        </w:rPr>
      </w:pPr>
    </w:p>
    <w:p w14:paraId="4ABE6D93"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La articulación con el nivel secundario aparece también como criterio de selección de saberes, no solo como declaración de intenciones. En el proceso de elaboración se definió una articulación explícita con referencias del marco federal del nivel secundario. Entre ellas se incluyeron los Núcleos de Aprendizaje Prioritarios y la organización en tres campos formativos, tal como se consigna en la fundamentación de los planes y en el documento marco de lineamientos generales. Esta doble inscripción, universitaria y federal, organiza una respuesta situada. Por un lado, preserva rasgos históricos de la formación docente en la UBA, especialmente el resguardo de la densidad disciplinar. Por otro, habilita una ampliación de títulos y trayectorias en un contexto donde la vacancia docente y las transformaciones curriculares del nivel secundario exigen aumentar capacidades institucionales de formación sin que esa expansión se convierta en dispersión.</w:t>
      </w:r>
    </w:p>
    <w:p w14:paraId="067E7F57"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En esta operación, la </w:t>
      </w:r>
      <w:proofErr w:type="spellStart"/>
      <w:r w:rsidRPr="00B372D7">
        <w:rPr>
          <w:rFonts w:ascii="Times New Roman" w:hAnsi="Times New Roman" w:cs="Times New Roman"/>
        </w:rPr>
        <w:t>modularización</w:t>
      </w:r>
      <w:proofErr w:type="spellEnd"/>
      <w:r w:rsidRPr="00B372D7">
        <w:rPr>
          <w:rFonts w:ascii="Times New Roman" w:hAnsi="Times New Roman" w:cs="Times New Roman"/>
        </w:rPr>
        <w:t xml:space="preserve"> cumple una función decisiva. No se limita a ordenar asignaturas, sino que provee una gramática común que hace posible que la </w:t>
      </w:r>
      <w:proofErr w:type="spellStart"/>
      <w:r w:rsidRPr="00B372D7">
        <w:rPr>
          <w:rFonts w:ascii="Times New Roman" w:hAnsi="Times New Roman" w:cs="Times New Roman"/>
        </w:rPr>
        <w:t>bidisciplina</w:t>
      </w:r>
      <w:proofErr w:type="spellEnd"/>
      <w:r w:rsidRPr="00B372D7">
        <w:rPr>
          <w:rFonts w:ascii="Times New Roman" w:hAnsi="Times New Roman" w:cs="Times New Roman"/>
        </w:rPr>
        <w:t xml:space="preserve"> opere como diseño curricular y no como yuxtaposición de recorridos. Al definir tramos comunes y módulos disciplinares delimitados, el diseño busca habilitar continuidades, reducir duplicaciones y volver racional la ampliación de la formación, bajo reglas explícitas de reconocimiento y progresión.</w:t>
      </w:r>
    </w:p>
    <w:p w14:paraId="3DE7E567" w14:textId="77777777" w:rsidR="00960E74" w:rsidRDefault="00960E74" w:rsidP="00960E74">
      <w:pPr>
        <w:jc w:val="both"/>
        <w:rPr>
          <w:rFonts w:ascii="Times New Roman" w:hAnsi="Times New Roman" w:cs="Times New Roman"/>
          <w:b/>
          <w:bCs/>
        </w:rPr>
      </w:pPr>
    </w:p>
    <w:p w14:paraId="78172F9E" w14:textId="77777777" w:rsidR="007A7B6D" w:rsidRDefault="007A7B6D" w:rsidP="00960E74">
      <w:pPr>
        <w:jc w:val="both"/>
        <w:rPr>
          <w:rFonts w:ascii="Times New Roman" w:hAnsi="Times New Roman" w:cs="Times New Roman"/>
          <w:b/>
          <w:bCs/>
        </w:rPr>
      </w:pPr>
    </w:p>
    <w:p w14:paraId="5E6B2F63" w14:textId="77777777" w:rsidR="007A7B6D" w:rsidRPr="00B372D7" w:rsidRDefault="007A7B6D" w:rsidP="00960E74">
      <w:pPr>
        <w:jc w:val="both"/>
        <w:rPr>
          <w:rFonts w:ascii="Times New Roman" w:hAnsi="Times New Roman" w:cs="Times New Roman"/>
          <w:b/>
          <w:bCs/>
        </w:rPr>
      </w:pPr>
    </w:p>
    <w:p w14:paraId="04586E1F" w14:textId="77777777" w:rsidR="00960E74" w:rsidRPr="00B372D7" w:rsidRDefault="00960E74" w:rsidP="00960E74">
      <w:pPr>
        <w:jc w:val="both"/>
        <w:rPr>
          <w:rFonts w:ascii="Times New Roman" w:hAnsi="Times New Roman" w:cs="Times New Roman"/>
          <w:b/>
          <w:bCs/>
        </w:rPr>
      </w:pPr>
      <w:r w:rsidRPr="00B372D7">
        <w:rPr>
          <w:rFonts w:ascii="Times New Roman" w:hAnsi="Times New Roman" w:cs="Times New Roman"/>
          <w:b/>
          <w:bCs/>
        </w:rPr>
        <w:lastRenderedPageBreak/>
        <w:t>Breve marco conceptual para leer el caso</w:t>
      </w:r>
    </w:p>
    <w:p w14:paraId="4F855C99"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Los planes de estudio constituyen artefactos normativos que condensan decisiones de selección cultural, distribución de saberes y regulación institucional de trayectorias (De Alba, 1995). En ese sentido, un profesorado universitario no puede leerse como una simple agregación de asignaturas, porque organiza jerarquías, secuencias y criterios de reconocimiento que producen efectos sobre qué conocimientos se vuelven centrales, qué vínculos entre campos se habilitan y qué tipo de formación profesional se considera legítima. Esta perspectiva, ampliamente trabajada en la teoría curricular, permite situar el análisis en un nivel meso, donde el currículum se interpreta como forma de regulación y no solo como programación de contenidos (Gimeno Sacristán, 1991).</w:t>
      </w:r>
    </w:p>
    <w:p w14:paraId="4A3E4268"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En la formación docente universitaria, esa regulación asume una complejidad específica, porque articula, al menos, dos órdenes de legitimidad. Por un lado, la pertenencia a tradiciones disciplinares con reglas de producción y validación propias (Goodson, 1995). Por otro, la construcción de capacidades de enseñanza orientadas a un nivel educativo que opera bajo restricciones, heterogeneidades y demandas institucionales particulares. La dificultad no reside únicamente en “sumar” formación disciplinar y formación pedagógica, sino en producir una articulación curricular que evite tanto la subordinación de una dimensión a la otra como la convivencia indiferente entre tramos. Dicho de otro modo, se trata de resolver una tensión estructural entre especialización y articulación, tensión que se manifiesta en la forma concreta en que el plan define núcleos, establece progresiones y crea condiciones para la integración.</w:t>
      </w:r>
    </w:p>
    <w:p w14:paraId="51866E0A"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Para describir con mayor precisión las operaciones de diseño involucradas en los planes analizados, el artículo utiliza una lectura </w:t>
      </w:r>
      <w:proofErr w:type="spellStart"/>
      <w:r w:rsidRPr="00B372D7">
        <w:rPr>
          <w:rFonts w:ascii="Times New Roman" w:hAnsi="Times New Roman" w:cs="Times New Roman"/>
        </w:rPr>
        <w:t>bernsteiniana</w:t>
      </w:r>
      <w:proofErr w:type="spellEnd"/>
      <w:r w:rsidRPr="00B372D7">
        <w:rPr>
          <w:rFonts w:ascii="Times New Roman" w:hAnsi="Times New Roman" w:cs="Times New Roman"/>
        </w:rPr>
        <w:t xml:space="preserve"> acotada, centrada en categorías pertinentes para un corpus documental y prescriptivo. La categoría de clasificación permite observar la fortaleza o flexibilidad de las fronteras entre campos, en particular entre disciplinas de referencia, y entre espacios de formación disciplinar y formación pedagógica. La categoría de recontextualización, a su vez, permite analizar cómo saberes producidos en ámbitos disciplinares se traducen y se reorganizan como saber formativo orientado a la enseñanza secundaria. En esta utilización, el interés no se desplaza al análisis de la interacción pedagógica en el aula universitaria, sino a las reglas formales que ordenan la arquitectura del plan: progresiones, criterios de acreditación y condiciones institucionales de reconocimiento de recorridos (Bernstein, 1988; 1993). Esta delimitación permite sostener un análisis fino del diseño, evitando inferencias que requerirían evidencia empírica de otro tipo.</w:t>
      </w:r>
    </w:p>
    <w:p w14:paraId="2D3862CE"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Con estas herramientas, la </w:t>
      </w:r>
      <w:proofErr w:type="spellStart"/>
      <w:r w:rsidRPr="00B372D7">
        <w:rPr>
          <w:rFonts w:ascii="Times New Roman" w:hAnsi="Times New Roman" w:cs="Times New Roman"/>
        </w:rPr>
        <w:t>bidisciplina</w:t>
      </w:r>
      <w:proofErr w:type="spellEnd"/>
      <w:r w:rsidRPr="00B372D7">
        <w:rPr>
          <w:rFonts w:ascii="Times New Roman" w:hAnsi="Times New Roman" w:cs="Times New Roman"/>
        </w:rPr>
        <w:t xml:space="preserve"> puede interpretarse como una operación sobre fronteras disciplinares. No se trata de la mera coexistencia de dos campos en un mismo título, sino de una reconfiguración de relaciones entre tradiciones disciplinares en función </w:t>
      </w:r>
      <w:r w:rsidRPr="00B372D7">
        <w:rPr>
          <w:rFonts w:ascii="Times New Roman" w:hAnsi="Times New Roman" w:cs="Times New Roman"/>
        </w:rPr>
        <w:lastRenderedPageBreak/>
        <w:t xml:space="preserve">de un horizonte formativo orientado a la enseñanza secundaria. Esa reconfiguración puede adoptar formas débiles cuando se limita a una yuxtaposición de trayectos, o puede asumir formas más robustas cuando establece criterios explícitos de progresión y dispone instancias de integración que transforman la convivencia de disciplinas en una lógica de formación. Desde esta perspectiva, la </w:t>
      </w:r>
      <w:proofErr w:type="spellStart"/>
      <w:r w:rsidRPr="00B372D7">
        <w:rPr>
          <w:rFonts w:ascii="Times New Roman" w:hAnsi="Times New Roman" w:cs="Times New Roman"/>
        </w:rPr>
        <w:t>bidisciplina</w:t>
      </w:r>
      <w:proofErr w:type="spellEnd"/>
      <w:r w:rsidRPr="00B372D7">
        <w:rPr>
          <w:rFonts w:ascii="Times New Roman" w:hAnsi="Times New Roman" w:cs="Times New Roman"/>
        </w:rPr>
        <w:t xml:space="preserve"> funciona como una decisión curricular que redefine qué se considera núcleo común, qué se considera específico y cómo se organiza la complementariedad sin diluir identidades disciplinares.</w:t>
      </w:r>
    </w:p>
    <w:p w14:paraId="67334543"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La </w:t>
      </w:r>
      <w:proofErr w:type="spellStart"/>
      <w:r w:rsidRPr="00B372D7">
        <w:rPr>
          <w:rFonts w:ascii="Times New Roman" w:hAnsi="Times New Roman" w:cs="Times New Roman"/>
        </w:rPr>
        <w:t>modularización</w:t>
      </w:r>
      <w:proofErr w:type="spellEnd"/>
      <w:r w:rsidRPr="00B372D7">
        <w:rPr>
          <w:rFonts w:ascii="Times New Roman" w:hAnsi="Times New Roman" w:cs="Times New Roman"/>
        </w:rPr>
        <w:t>, por su parte, se entiende aquí como una tecnología curricular que puede fortalecer articulación y legibilidad, siempre que se organice como arquitectura de progresión y no como simple cambio de formato. En contextos universitarios, modularizar puede contribuir a explicitar tramos con identidad, ordenar secuencias reconocibles y sostener criterios de reconocimiento entre trayectorias a partir de módulos compartidos. Sin embargo, también puede convertirse en un factor de fragmentación si deriva en un repertorio de unidades desancladas de una lógica de conjunto o si reemplaza una discusión sobre selección y secuenciación por una retórica organizativa. En esa tensión se juega parte de la validez curricular del diseño, sobre todo cuando se busca ampliar oferta y articular titulaciones sin deteriorar consistencia (Díaz Barriga, 1999).</w:t>
      </w:r>
    </w:p>
    <w:p w14:paraId="34F4FFAB"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En este marco adquiere relevancia una tercera noción que organiza el argumento del artículo: las trayectorias titulantes, entendidas como recorridos institucionalmente reconocibles que no solo ordenan espacios curriculares, sino que establecen una gramática de progresión y reconocimiento. En el corpus analizado, estas trayectorias aparecen como un principio de diseño que permite articular titulaciones mediante tramos comunes y módulos disciplinares compartidos. A partir de esa gramática, se habilitan continuidades de estudio entre ofertas afines: por un lado, continuidades horizontales entre profesorados </w:t>
      </w:r>
      <w:proofErr w:type="spellStart"/>
      <w:r w:rsidRPr="00B372D7">
        <w:rPr>
          <w:rFonts w:ascii="Times New Roman" w:hAnsi="Times New Roman" w:cs="Times New Roman"/>
        </w:rPr>
        <w:t>bidisciplinares</w:t>
      </w:r>
      <w:proofErr w:type="spellEnd"/>
      <w:r w:rsidRPr="00B372D7">
        <w:rPr>
          <w:rFonts w:ascii="Times New Roman" w:hAnsi="Times New Roman" w:cs="Times New Roman"/>
        </w:rPr>
        <w:t xml:space="preserve"> que comparten una disciplina, mediante la incorporación de un único módulo disciplinar con su enseñanza para el nivel secundario; por otro, continuidades verticales hacia títulos </w:t>
      </w:r>
      <w:proofErr w:type="spellStart"/>
      <w:r w:rsidRPr="00B372D7">
        <w:rPr>
          <w:rFonts w:ascii="Times New Roman" w:hAnsi="Times New Roman" w:cs="Times New Roman"/>
        </w:rPr>
        <w:t>monodisciplinares</w:t>
      </w:r>
      <w:proofErr w:type="spellEnd"/>
      <w:r w:rsidRPr="00B372D7">
        <w:rPr>
          <w:rFonts w:ascii="Times New Roman" w:hAnsi="Times New Roman" w:cs="Times New Roman"/>
        </w:rPr>
        <w:t>, mediante la incorporación del módulo disciplinar con su enseñanza para el nivel superior. Esta lógica, cuando se apoya en criterios explícitos de progresión y en reglas institucionales de reconocimiento, permite combinar flexibilidad con consistencia y expansión de la oferta sin dispersión.</w:t>
      </w:r>
    </w:p>
    <w:p w14:paraId="36012547" w14:textId="77777777" w:rsidR="00960E74" w:rsidRPr="00B372D7" w:rsidRDefault="00960E74" w:rsidP="00960E74">
      <w:pPr>
        <w:jc w:val="both"/>
        <w:rPr>
          <w:rFonts w:ascii="Times New Roman" w:hAnsi="Times New Roman" w:cs="Times New Roman"/>
        </w:rPr>
      </w:pPr>
    </w:p>
    <w:p w14:paraId="64FFECAF" w14:textId="77777777" w:rsidR="00960E74" w:rsidRPr="00B372D7" w:rsidRDefault="00960E74" w:rsidP="00960E74">
      <w:pPr>
        <w:jc w:val="both"/>
        <w:rPr>
          <w:rFonts w:ascii="Times New Roman" w:hAnsi="Times New Roman" w:cs="Times New Roman"/>
          <w:b/>
          <w:bCs/>
        </w:rPr>
      </w:pPr>
      <w:proofErr w:type="spellStart"/>
      <w:r w:rsidRPr="00B372D7">
        <w:rPr>
          <w:rFonts w:ascii="Times New Roman" w:hAnsi="Times New Roman" w:cs="Times New Roman"/>
          <w:b/>
          <w:bCs/>
        </w:rPr>
        <w:t>Bidisciplina</w:t>
      </w:r>
      <w:proofErr w:type="spellEnd"/>
      <w:r w:rsidRPr="00B372D7">
        <w:rPr>
          <w:rFonts w:ascii="Times New Roman" w:hAnsi="Times New Roman" w:cs="Times New Roman"/>
          <w:b/>
          <w:bCs/>
        </w:rPr>
        <w:t xml:space="preserve"> como reconfiguración de fronteras disciplinares</w:t>
      </w:r>
    </w:p>
    <w:p w14:paraId="4927D1E3"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La creación de cinco profesorados </w:t>
      </w:r>
      <w:proofErr w:type="spellStart"/>
      <w:r w:rsidRPr="00B372D7">
        <w:rPr>
          <w:rFonts w:ascii="Times New Roman" w:hAnsi="Times New Roman" w:cs="Times New Roman"/>
        </w:rPr>
        <w:t>bidisciplinares</w:t>
      </w:r>
      <w:proofErr w:type="spellEnd"/>
      <w:r w:rsidRPr="00B372D7">
        <w:rPr>
          <w:rFonts w:ascii="Times New Roman" w:hAnsi="Times New Roman" w:cs="Times New Roman"/>
        </w:rPr>
        <w:t xml:space="preserve"> para la educación secundaria introduce una decisión curricular de alcance estructural. En lugar de ampliar la oferta mediante perfiles generalistas, el diseño adopta una </w:t>
      </w:r>
      <w:proofErr w:type="spellStart"/>
      <w:r w:rsidRPr="00B372D7">
        <w:rPr>
          <w:rFonts w:ascii="Times New Roman" w:hAnsi="Times New Roman" w:cs="Times New Roman"/>
        </w:rPr>
        <w:t>bidisciplina</w:t>
      </w:r>
      <w:proofErr w:type="spellEnd"/>
      <w:r w:rsidRPr="00B372D7">
        <w:rPr>
          <w:rFonts w:ascii="Times New Roman" w:hAnsi="Times New Roman" w:cs="Times New Roman"/>
        </w:rPr>
        <w:t xml:space="preserve"> de pares afines como principio de organización del conocimiento. La afinidad no opera como criterio retórico, sino como </w:t>
      </w:r>
      <w:r w:rsidRPr="00B372D7">
        <w:rPr>
          <w:rFonts w:ascii="Times New Roman" w:hAnsi="Times New Roman" w:cs="Times New Roman"/>
        </w:rPr>
        <w:lastRenderedPageBreak/>
        <w:t>condición de posibilidad para preservar densidad conceptual y, a la vez, habilitar articulaciones relevantes para la enseñanza secundaria. Esta opción fija un límite deliberado: amplía la oferta, pero lo hace bajo reglas, evitando que la expansión se traduzca en fragmentación formativa.</w:t>
      </w:r>
    </w:p>
    <w:p w14:paraId="17ABC2EA"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La </w:t>
      </w:r>
      <w:proofErr w:type="spellStart"/>
      <w:r w:rsidRPr="00B372D7">
        <w:rPr>
          <w:rFonts w:ascii="Times New Roman" w:hAnsi="Times New Roman" w:cs="Times New Roman"/>
        </w:rPr>
        <w:t>bidisciplina</w:t>
      </w:r>
      <w:proofErr w:type="spellEnd"/>
      <w:r w:rsidRPr="00B372D7">
        <w:rPr>
          <w:rFonts w:ascii="Times New Roman" w:hAnsi="Times New Roman" w:cs="Times New Roman"/>
        </w:rPr>
        <w:t xml:space="preserve"> se materializa en una arquitectura común a los cinco títulos. Por un lado, un tramo compartido asegura un lenguaje profesional de formación docente y establece un piso pedagógico para todos los perfiles. Por otro, módulos disciplinares diferenciados sostienen la identidad de cada campo y organizan progresiones propias. En los planes </w:t>
      </w:r>
      <w:proofErr w:type="spellStart"/>
      <w:r w:rsidRPr="00B372D7">
        <w:rPr>
          <w:rFonts w:ascii="Times New Roman" w:hAnsi="Times New Roman" w:cs="Times New Roman"/>
        </w:rPr>
        <w:t>bidisciplinares</w:t>
      </w:r>
      <w:proofErr w:type="spellEnd"/>
      <w:r w:rsidRPr="00B372D7">
        <w:rPr>
          <w:rFonts w:ascii="Times New Roman" w:hAnsi="Times New Roman" w:cs="Times New Roman"/>
        </w:rPr>
        <w:t>, esa organización se expresa mediante bloques que integran el Ciclo Básico Común, un Módulo de Formación General y Pedagógica común, y módulos disciplinares con su enseñanza para el nivel secundario, uno por cada disciplina.</w:t>
      </w:r>
    </w:p>
    <w:p w14:paraId="33614F7E"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Desde una perspectiva curricular, lo decisivo no es solo la coexistencia de dos disciplinas, sino la forma en que el plan gobierna su relación. El diseño preserva fronteras disciplinares reconocibles, pero modifica el modo en que esas fronteras se ponen a trabajar en la formación docente. No se busca debilitar identidades disciplinares, sino disponer condiciones para una relación entre campos que no dependa únicamente de acuerdos informales o de la buena voluntad de equipos docentes. La arquitectura prescriptiva vuelve esa relación visible, y por eso la </w:t>
      </w:r>
      <w:proofErr w:type="spellStart"/>
      <w:r w:rsidRPr="00B372D7">
        <w:rPr>
          <w:rFonts w:ascii="Times New Roman" w:hAnsi="Times New Roman" w:cs="Times New Roman"/>
        </w:rPr>
        <w:t>bidisciplina</w:t>
      </w:r>
      <w:proofErr w:type="spellEnd"/>
      <w:r w:rsidRPr="00B372D7">
        <w:rPr>
          <w:rFonts w:ascii="Times New Roman" w:hAnsi="Times New Roman" w:cs="Times New Roman"/>
        </w:rPr>
        <w:t xml:space="preserve"> opera como una reconfiguración de fronteras y no como yuxtaposición de trayectos.</w:t>
      </w:r>
    </w:p>
    <w:p w14:paraId="37336F5D"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La misma operación puede leerse como un problema de recontextualización. La formación docente universitaria traduce saberes disciplinares hacia un registro orientado a la enseñanza. En profesorados </w:t>
      </w:r>
      <w:proofErr w:type="spellStart"/>
      <w:r w:rsidRPr="00B372D7">
        <w:rPr>
          <w:rFonts w:ascii="Times New Roman" w:hAnsi="Times New Roman" w:cs="Times New Roman"/>
        </w:rPr>
        <w:t>bidisciplinares</w:t>
      </w:r>
      <w:proofErr w:type="spellEnd"/>
      <w:r w:rsidRPr="00B372D7">
        <w:rPr>
          <w:rFonts w:ascii="Times New Roman" w:hAnsi="Times New Roman" w:cs="Times New Roman"/>
        </w:rPr>
        <w:t xml:space="preserve">, esa traducción ocurre en doble escala. Ocurre hacia la enseñanza de cada disciplina en la escuela secundaria, y ocurre también hacia la construcción de vínculos curriculares entre disciplinas que permitan elaborar secuencias, criterios de selección y decisiones didácticas consistentes con el trabajo escolar real. La </w:t>
      </w:r>
      <w:proofErr w:type="spellStart"/>
      <w:r w:rsidRPr="00B372D7">
        <w:rPr>
          <w:rFonts w:ascii="Times New Roman" w:hAnsi="Times New Roman" w:cs="Times New Roman"/>
        </w:rPr>
        <w:t>bidisciplina</w:t>
      </w:r>
      <w:proofErr w:type="spellEnd"/>
      <w:r w:rsidRPr="00B372D7">
        <w:rPr>
          <w:rFonts w:ascii="Times New Roman" w:hAnsi="Times New Roman" w:cs="Times New Roman"/>
        </w:rPr>
        <w:t>, en este sentido, no es una suma de contenidos. Es una reorganización de relaciones entre saberes bajo un horizonte de práctica profesional.</w:t>
      </w:r>
    </w:p>
    <w:p w14:paraId="4B440D6A"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Un rasgo distintivo del conjunto de planes es que la integración no queda reducida al perfil de egreso ni a formulaciones generales. Se incluye un espacio curricular de integración con estatuto propio dentro del tramo común (Integración Disciplinar para la Enseñanza de Ciencias), lo que convierte la articulación entre disciplinas en un objeto intencional de formación y no en un efecto esperado de la cursada paralela. Esta decisión es central porque diferencia dos modos de integrar. Uno es declarativo y se agota en enunciados de propósito. El otro es curricularmente construido, lo que exige dispositivos que obliguen a justificar selecciones, negociar criterios, proponer secuencias y sostener evaluaciones coherentes con la convergencia entre campos.</w:t>
      </w:r>
    </w:p>
    <w:p w14:paraId="0CC3720E"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lastRenderedPageBreak/>
        <w:t xml:space="preserve">Así formulada, la </w:t>
      </w:r>
      <w:proofErr w:type="spellStart"/>
      <w:r w:rsidRPr="00B372D7">
        <w:rPr>
          <w:rFonts w:ascii="Times New Roman" w:hAnsi="Times New Roman" w:cs="Times New Roman"/>
        </w:rPr>
        <w:t>bidisciplina</w:t>
      </w:r>
      <w:proofErr w:type="spellEnd"/>
      <w:r w:rsidRPr="00B372D7">
        <w:rPr>
          <w:rFonts w:ascii="Times New Roman" w:hAnsi="Times New Roman" w:cs="Times New Roman"/>
        </w:rPr>
        <w:t xml:space="preserve"> combina tres efectos curriculares. Amplía alternativas de titulación en áreas de alta demanda del nivel secundario. Preserva densidad disciplinar mediante módulos diferenciados y progresiones propias. Introduce, además, una integración institucionalizada que reduce la dependencia de arreglos contingentes. El resultado no es una solución automática a la vacancia docente, pero sí una arquitectura que vuelve posible expandir oferta sin renunciar a una lógica de formación universitaria, siempre que la gobernanza del sistema sostenga criterios explícitos de progresión y reconocimiento.</w:t>
      </w:r>
    </w:p>
    <w:p w14:paraId="40FB2EB2" w14:textId="77777777" w:rsidR="00960E74" w:rsidRPr="00B372D7" w:rsidRDefault="00960E74" w:rsidP="00960E74">
      <w:pPr>
        <w:jc w:val="both"/>
        <w:rPr>
          <w:rFonts w:ascii="Times New Roman" w:hAnsi="Times New Roman" w:cs="Times New Roman"/>
        </w:rPr>
      </w:pPr>
    </w:p>
    <w:p w14:paraId="7F3B318F" w14:textId="77777777" w:rsidR="00960E74" w:rsidRPr="00B372D7" w:rsidRDefault="00960E74" w:rsidP="00960E74">
      <w:pPr>
        <w:jc w:val="both"/>
        <w:rPr>
          <w:rFonts w:ascii="Times New Roman" w:hAnsi="Times New Roman" w:cs="Times New Roman"/>
          <w:b/>
          <w:bCs/>
        </w:rPr>
      </w:pPr>
      <w:proofErr w:type="spellStart"/>
      <w:r w:rsidRPr="00B372D7">
        <w:rPr>
          <w:rFonts w:ascii="Times New Roman" w:hAnsi="Times New Roman" w:cs="Times New Roman"/>
          <w:b/>
          <w:bCs/>
        </w:rPr>
        <w:t>Modularización</w:t>
      </w:r>
      <w:proofErr w:type="spellEnd"/>
      <w:r w:rsidRPr="00B372D7">
        <w:rPr>
          <w:rFonts w:ascii="Times New Roman" w:hAnsi="Times New Roman" w:cs="Times New Roman"/>
          <w:b/>
          <w:bCs/>
        </w:rPr>
        <w:t xml:space="preserve"> como tecnología curricular de coherencia y articulación</w:t>
      </w:r>
    </w:p>
    <w:p w14:paraId="1CE9456B"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La actualización de los cinco profesorados </w:t>
      </w:r>
      <w:proofErr w:type="spellStart"/>
      <w:r w:rsidRPr="00B372D7">
        <w:rPr>
          <w:rFonts w:ascii="Times New Roman" w:hAnsi="Times New Roman" w:cs="Times New Roman"/>
        </w:rPr>
        <w:t>monodisciplinares</w:t>
      </w:r>
      <w:proofErr w:type="spellEnd"/>
      <w:r w:rsidRPr="00B372D7">
        <w:rPr>
          <w:rFonts w:ascii="Times New Roman" w:hAnsi="Times New Roman" w:cs="Times New Roman"/>
        </w:rPr>
        <w:t xml:space="preserve"> mediante una arquitectura modular constituye el segundo movimiento del proceso y, al mismo tiempo, su condición de estabilidad sistémica. En su Resolución </w:t>
      </w:r>
      <w:proofErr w:type="spellStart"/>
      <w:r w:rsidRPr="00B372D7">
        <w:rPr>
          <w:rFonts w:ascii="Times New Roman" w:hAnsi="Times New Roman" w:cs="Times New Roman"/>
        </w:rPr>
        <w:t>N°</w:t>
      </w:r>
      <w:proofErr w:type="spellEnd"/>
      <w:r w:rsidRPr="00B372D7">
        <w:rPr>
          <w:rFonts w:ascii="Times New Roman" w:hAnsi="Times New Roman" w:cs="Times New Roman"/>
        </w:rPr>
        <w:t xml:space="preserve"> 118/10, el Consejo Federal de Educación define al módulo como un “componente curricular referido a un campo de contenidos que constituye una unidad de sentido que organiza el proceso de enseñanza y aprendizaje a partir de objetivos formativos claramente evaluables, con un importante grado de autonomía en relación con la estructura curricular de la que forma parte”. La </w:t>
      </w:r>
      <w:proofErr w:type="spellStart"/>
      <w:r w:rsidRPr="00B372D7">
        <w:rPr>
          <w:rFonts w:ascii="Times New Roman" w:hAnsi="Times New Roman" w:cs="Times New Roman"/>
        </w:rPr>
        <w:t>modularización</w:t>
      </w:r>
      <w:proofErr w:type="spellEnd"/>
      <w:r w:rsidRPr="00B372D7">
        <w:rPr>
          <w:rFonts w:ascii="Times New Roman" w:hAnsi="Times New Roman" w:cs="Times New Roman"/>
        </w:rPr>
        <w:t xml:space="preserve"> no opera aquí como un recurso de presentación ni como un </w:t>
      </w:r>
      <w:proofErr w:type="spellStart"/>
      <w:r w:rsidRPr="00B372D7">
        <w:rPr>
          <w:rFonts w:ascii="Times New Roman" w:hAnsi="Times New Roman" w:cs="Times New Roman"/>
        </w:rPr>
        <w:t>reetiquetado</w:t>
      </w:r>
      <w:proofErr w:type="spellEnd"/>
      <w:r w:rsidRPr="00B372D7">
        <w:rPr>
          <w:rFonts w:ascii="Times New Roman" w:hAnsi="Times New Roman" w:cs="Times New Roman"/>
        </w:rPr>
        <w:t xml:space="preserve"> de asignaturas: funciona como una tecnología curricular de articulación y legibilidad, porque establece una gramática común para organizar la formación docente en el área, ordenar progresiones y hacer posible la articulación entre títulos sin que el sistema se convierta en un mosaico de trayectorias inconmensurables.</w:t>
      </w:r>
    </w:p>
    <w:p w14:paraId="3C18E71F"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La decisión de modularizar responde, en primer lugar, a un problema de legibilidad y de gobierno del currículum. En profesorados universitarios con fuerte densidad disciplinar, los cambios suelen acumularse por adición, con el riesgo de generar estructuras extensas, poco transparentes y difíciles de articular entre sí. La lógica modular permite intervenir sobre esa tendencia, ya que obliga a </w:t>
      </w:r>
      <w:proofErr w:type="spellStart"/>
      <w:r w:rsidRPr="00B372D7">
        <w:rPr>
          <w:rFonts w:ascii="Times New Roman" w:hAnsi="Times New Roman" w:cs="Times New Roman"/>
        </w:rPr>
        <w:t>reespecificar</w:t>
      </w:r>
      <w:proofErr w:type="spellEnd"/>
      <w:r w:rsidRPr="00B372D7">
        <w:rPr>
          <w:rFonts w:ascii="Times New Roman" w:hAnsi="Times New Roman" w:cs="Times New Roman"/>
        </w:rPr>
        <w:t xml:space="preserve"> tramos con identidad y a explicitar criterios de secuenciación, de acreditación y de reconocimiento. En los planes </w:t>
      </w:r>
      <w:proofErr w:type="spellStart"/>
      <w:r w:rsidRPr="00B372D7">
        <w:rPr>
          <w:rFonts w:ascii="Times New Roman" w:hAnsi="Times New Roman" w:cs="Times New Roman"/>
        </w:rPr>
        <w:t>monodisciplinares</w:t>
      </w:r>
      <w:proofErr w:type="spellEnd"/>
      <w:r w:rsidRPr="00B372D7">
        <w:rPr>
          <w:rFonts w:ascii="Times New Roman" w:hAnsi="Times New Roman" w:cs="Times New Roman"/>
        </w:rPr>
        <w:t xml:space="preserve"> reformulados, esta racionalidad se expresa mediante una estructura por bloques que incluye el Ciclo Básico Común, un Módulo de Formación General y Pedagógica común y dos módulos disciplinares: uno de la disciplina con su enseñanza para el nivel secundario y otro de la disciplina con su enseñanza para el nivel superior.</w:t>
      </w:r>
    </w:p>
    <w:p w14:paraId="22677485"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Un rasgo relevante es que el Módulo de Formación General y Pedagógica se diseña como tramo común a todos los profesorados del conjunto, tanto </w:t>
      </w:r>
      <w:proofErr w:type="spellStart"/>
      <w:r w:rsidRPr="00B372D7">
        <w:rPr>
          <w:rFonts w:ascii="Times New Roman" w:hAnsi="Times New Roman" w:cs="Times New Roman"/>
        </w:rPr>
        <w:t>monodisciplinares</w:t>
      </w:r>
      <w:proofErr w:type="spellEnd"/>
      <w:r w:rsidRPr="00B372D7">
        <w:rPr>
          <w:rFonts w:ascii="Times New Roman" w:hAnsi="Times New Roman" w:cs="Times New Roman"/>
        </w:rPr>
        <w:t xml:space="preserve"> como </w:t>
      </w:r>
      <w:proofErr w:type="spellStart"/>
      <w:r w:rsidRPr="00B372D7">
        <w:rPr>
          <w:rFonts w:ascii="Times New Roman" w:hAnsi="Times New Roman" w:cs="Times New Roman"/>
        </w:rPr>
        <w:t>bidisciplinares</w:t>
      </w:r>
      <w:proofErr w:type="spellEnd"/>
      <w:r w:rsidRPr="00B372D7">
        <w:rPr>
          <w:rFonts w:ascii="Times New Roman" w:hAnsi="Times New Roman" w:cs="Times New Roman"/>
        </w:rPr>
        <w:t xml:space="preserve">. Esta decisión introduce un efecto curricular específico. Define un piso compartido de profesionalidad docente y reduce la dispersión de lenguajes formativos que suele producirse cuando cada carrera resuelve por separado su formación pedagógica. </w:t>
      </w:r>
      <w:r w:rsidRPr="00B372D7">
        <w:rPr>
          <w:rFonts w:ascii="Times New Roman" w:hAnsi="Times New Roman" w:cs="Times New Roman"/>
        </w:rPr>
        <w:lastRenderedPageBreak/>
        <w:t>En términos de sistema, el tramo común habilita articulación horizontal entre títulos y facilita el reconocimiento de recorridos compartidos sin debilitar la identidad de los módulos disciplinares.</w:t>
      </w:r>
    </w:p>
    <w:p w14:paraId="75EDC723"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Al mismo tiempo, la </w:t>
      </w:r>
      <w:proofErr w:type="spellStart"/>
      <w:r w:rsidRPr="00B372D7">
        <w:rPr>
          <w:rFonts w:ascii="Times New Roman" w:hAnsi="Times New Roman" w:cs="Times New Roman"/>
        </w:rPr>
        <w:t>modularización</w:t>
      </w:r>
      <w:proofErr w:type="spellEnd"/>
      <w:r w:rsidRPr="00B372D7">
        <w:rPr>
          <w:rFonts w:ascii="Times New Roman" w:hAnsi="Times New Roman" w:cs="Times New Roman"/>
        </w:rPr>
        <w:t xml:space="preserve"> reordena el vínculo entre formación disciplinar y formación para la enseñanza. En lugar de ubicar lo pedagógico como complemento periférico o como tramo desarticulado, el diseño busca organizarlo como parte constitutiva de una progresión profesional. Esto se refleja en la existencia de un módulo disciplinar con su enseñanza para el nivel secundario asociado a cada disciplina, que delimita un espacio propio para traducir saberes disciplinares hacia decisiones de selección, secuenciación y evaluación pertinentes para la escuela secundaria, así como en un módulo disciplinar con su enseñanza para el nivel superior, que orienta esa traducción hacia la enseñanza universitaria. La </w:t>
      </w:r>
      <w:proofErr w:type="spellStart"/>
      <w:r w:rsidRPr="00B372D7">
        <w:rPr>
          <w:rFonts w:ascii="Times New Roman" w:hAnsi="Times New Roman" w:cs="Times New Roman"/>
        </w:rPr>
        <w:t>modularización</w:t>
      </w:r>
      <w:proofErr w:type="spellEnd"/>
      <w:r w:rsidRPr="00B372D7">
        <w:rPr>
          <w:rFonts w:ascii="Times New Roman" w:hAnsi="Times New Roman" w:cs="Times New Roman"/>
        </w:rPr>
        <w:t>, en este punto, opera como mecanismo de recontextualización institucional. No garantiza por sí misma la calidad de esa traducción, pero crea condiciones formales para que la articulación entre disciplina y enseñanza no quede librada a la agregación informal ni a la superposición de cursos.</w:t>
      </w:r>
    </w:p>
    <w:p w14:paraId="3DFD8C17"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La estructura modular habilita, además, una relación más gobernable entre actualización y continuidad. Los profesorados </w:t>
      </w:r>
      <w:proofErr w:type="spellStart"/>
      <w:r w:rsidRPr="00B372D7">
        <w:rPr>
          <w:rFonts w:ascii="Times New Roman" w:hAnsi="Times New Roman" w:cs="Times New Roman"/>
        </w:rPr>
        <w:t>monodisciplinares</w:t>
      </w:r>
      <w:proofErr w:type="spellEnd"/>
      <w:r w:rsidRPr="00B372D7">
        <w:rPr>
          <w:rFonts w:ascii="Times New Roman" w:hAnsi="Times New Roman" w:cs="Times New Roman"/>
        </w:rPr>
        <w:t xml:space="preserve"> se reorganizan sin perder su identidad, pero ganan capacidad de articulación con el conjunto de títulos </w:t>
      </w:r>
      <w:proofErr w:type="spellStart"/>
      <w:r w:rsidRPr="00B372D7">
        <w:rPr>
          <w:rFonts w:ascii="Times New Roman" w:hAnsi="Times New Roman" w:cs="Times New Roman"/>
        </w:rPr>
        <w:t>bidisciplinares</w:t>
      </w:r>
      <w:proofErr w:type="spellEnd"/>
      <w:r w:rsidRPr="00B372D7">
        <w:rPr>
          <w:rFonts w:ascii="Times New Roman" w:hAnsi="Times New Roman" w:cs="Times New Roman"/>
        </w:rPr>
        <w:t>. Esto ocurre porque los módulos definen unidades reconocibles y, en consecuencia, permiten pensar acreditaciones parciales y recorridos alternativos sin que cada caso requiera decisiones ad hoc. El diseño reduce la necesidad de resolver articulaciones por excepción y desplaza el problema hacia reglas explícitas de reconocimiento que pueden sostenerse institucionalmente.</w:t>
      </w:r>
    </w:p>
    <w:p w14:paraId="42F42A4B"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Desde un punto de vista curricular, este movimiento es relevante porque suprime una falsa oposición. No plantea elegir entre rigidez y dispersión, sino organizar flexibilidad bajo reglas explícitas. La </w:t>
      </w:r>
      <w:proofErr w:type="spellStart"/>
      <w:r w:rsidRPr="00B372D7">
        <w:rPr>
          <w:rFonts w:ascii="Times New Roman" w:hAnsi="Times New Roman" w:cs="Times New Roman"/>
        </w:rPr>
        <w:t>modularización</w:t>
      </w:r>
      <w:proofErr w:type="spellEnd"/>
      <w:r w:rsidRPr="00B372D7">
        <w:rPr>
          <w:rFonts w:ascii="Times New Roman" w:hAnsi="Times New Roman" w:cs="Times New Roman"/>
        </w:rPr>
        <w:t xml:space="preserve"> vuelve posible una expansión racional de trayectorias, ya que permite combinar tramos comunes con módulos disciplinares diferenciados y, con ello, sostener simultáneamente dos tipos de legibilidad. Por un lado, la legibilidad interna de cada profesorado, que depende de su progresión conceptual y de la claridad de su formación docente. Por otro, la legibilidad del sistema de títulos como conjunto, que depende de la comparabilidad de tramos y de la disponibilidad de criterios explícitos de reconocimiento.</w:t>
      </w:r>
    </w:p>
    <w:p w14:paraId="2C075437"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La potencialidad de esta arquitectura reside, entonces, en su capacidad de producir articulación sistémica. La </w:t>
      </w:r>
      <w:proofErr w:type="spellStart"/>
      <w:r w:rsidRPr="00B372D7">
        <w:rPr>
          <w:rFonts w:ascii="Times New Roman" w:hAnsi="Times New Roman" w:cs="Times New Roman"/>
        </w:rPr>
        <w:t>modularización</w:t>
      </w:r>
      <w:proofErr w:type="spellEnd"/>
      <w:r w:rsidRPr="00B372D7">
        <w:rPr>
          <w:rFonts w:ascii="Times New Roman" w:hAnsi="Times New Roman" w:cs="Times New Roman"/>
        </w:rPr>
        <w:t xml:space="preserve"> crea un suelo común y organiza diferencias, haciendo posible que la creación de profesorados </w:t>
      </w:r>
      <w:proofErr w:type="spellStart"/>
      <w:r w:rsidRPr="00B372D7">
        <w:rPr>
          <w:rFonts w:ascii="Times New Roman" w:hAnsi="Times New Roman" w:cs="Times New Roman"/>
        </w:rPr>
        <w:t>bidisciplinares</w:t>
      </w:r>
      <w:proofErr w:type="spellEnd"/>
      <w:r w:rsidRPr="00B372D7">
        <w:rPr>
          <w:rFonts w:ascii="Times New Roman" w:hAnsi="Times New Roman" w:cs="Times New Roman"/>
        </w:rPr>
        <w:t xml:space="preserve"> no funcione como expansión aislada, sino como parte de un sistema que comparte principios de organización curricular. Al mismo tiempo, esta potencialidad queda condicionada por un requisito </w:t>
      </w:r>
      <w:r w:rsidRPr="00B372D7">
        <w:rPr>
          <w:rFonts w:ascii="Times New Roman" w:hAnsi="Times New Roman" w:cs="Times New Roman"/>
        </w:rPr>
        <w:lastRenderedPageBreak/>
        <w:t xml:space="preserve">exigente. Para que la </w:t>
      </w:r>
      <w:proofErr w:type="spellStart"/>
      <w:r w:rsidRPr="00B372D7">
        <w:rPr>
          <w:rFonts w:ascii="Times New Roman" w:hAnsi="Times New Roman" w:cs="Times New Roman"/>
        </w:rPr>
        <w:t>modularización</w:t>
      </w:r>
      <w:proofErr w:type="spellEnd"/>
      <w:r w:rsidRPr="00B372D7">
        <w:rPr>
          <w:rFonts w:ascii="Times New Roman" w:hAnsi="Times New Roman" w:cs="Times New Roman"/>
        </w:rPr>
        <w:t xml:space="preserve"> cumpla su función, el gobierno curricular debe sostener criterios consistentes de progresión y reconocimiento, y evitar que los módulos se conviertan en compartimentos cerrados o en unidades intercambiables sin sentido de conjunto. En la medida en que esas condiciones se preserven, la arquitectura modular permite ampliar la oferta y articular titulaciones sin resignar densidad disciplinar ni claridad formativa.</w:t>
      </w:r>
    </w:p>
    <w:p w14:paraId="30369B12" w14:textId="77777777" w:rsidR="00960E74" w:rsidRPr="00B372D7" w:rsidRDefault="00960E74" w:rsidP="00960E74">
      <w:pPr>
        <w:jc w:val="both"/>
        <w:rPr>
          <w:rFonts w:ascii="Times New Roman" w:hAnsi="Times New Roman" w:cs="Times New Roman"/>
        </w:rPr>
      </w:pPr>
    </w:p>
    <w:p w14:paraId="39E7DA41" w14:textId="77777777" w:rsidR="00960E74" w:rsidRPr="00B372D7" w:rsidRDefault="00960E74" w:rsidP="00960E74">
      <w:pPr>
        <w:jc w:val="both"/>
        <w:rPr>
          <w:rFonts w:ascii="Times New Roman" w:hAnsi="Times New Roman" w:cs="Times New Roman"/>
          <w:b/>
          <w:bCs/>
        </w:rPr>
      </w:pPr>
      <w:r w:rsidRPr="00B372D7">
        <w:rPr>
          <w:rFonts w:ascii="Times New Roman" w:hAnsi="Times New Roman" w:cs="Times New Roman"/>
          <w:b/>
          <w:bCs/>
        </w:rPr>
        <w:t>Trayectorias titulantes y progresión formativa</w:t>
      </w:r>
    </w:p>
    <w:p w14:paraId="0EACCBDA"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La operación conjunta de </w:t>
      </w:r>
      <w:proofErr w:type="spellStart"/>
      <w:r w:rsidRPr="00B372D7">
        <w:rPr>
          <w:rFonts w:ascii="Times New Roman" w:hAnsi="Times New Roman" w:cs="Times New Roman"/>
        </w:rPr>
        <w:t>bidisciplina</w:t>
      </w:r>
      <w:proofErr w:type="spellEnd"/>
      <w:r w:rsidRPr="00B372D7">
        <w:rPr>
          <w:rFonts w:ascii="Times New Roman" w:hAnsi="Times New Roman" w:cs="Times New Roman"/>
        </w:rPr>
        <w:t xml:space="preserve"> y </w:t>
      </w:r>
      <w:proofErr w:type="spellStart"/>
      <w:r w:rsidRPr="00B372D7">
        <w:rPr>
          <w:rFonts w:ascii="Times New Roman" w:hAnsi="Times New Roman" w:cs="Times New Roman"/>
        </w:rPr>
        <w:t>modularización</w:t>
      </w:r>
      <w:proofErr w:type="spellEnd"/>
      <w:r w:rsidRPr="00B372D7">
        <w:rPr>
          <w:rFonts w:ascii="Times New Roman" w:hAnsi="Times New Roman" w:cs="Times New Roman"/>
        </w:rPr>
        <w:t xml:space="preserve"> reorganiza el sistema de formación docente del área en torno a un principio que excede a cada plan considerado aisladamente. Ese principio puede describirse como un régimen de trayectorias titulantes, entendido como la posibilidad de construir recorridos institucionalmente reconocibles que comparten una gramática común de progresión. La noción es relevante porque desplaza el foco desde la suma de planes hacia el modo en que el conjunto produce alternativas de formación legibles, articulables y gobernables.</w:t>
      </w:r>
    </w:p>
    <w:p w14:paraId="161534AD"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En los diseños analizados, la progresión formativa se ordena mediante tramos diferenciados que cumplen funciones específicas. El Ciclo Básico Común configura un umbral de entrada compartido que asegura una base de formación universitaria general. Sobre ese umbral, el Módulo de Formación General y Pedagógica común introduce un piso transversal de profesionalidad docente. Ese piso no opera como complemento, sino como condición para que perfiles disciplinares distintos puedan compartir un lenguaje de enseñanza y un conjunto de problemas profesionales reconocibles. La formación disciplinar con su enseñanza para los distintos niveles, por su parte, se estructura en módulos que sostienen identidades y progresiones propias, a la vez que se articulan con ese tramo común.</w:t>
      </w:r>
    </w:p>
    <w:p w14:paraId="46929974"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Este ordenamiento produce un efecto curricular preciso. Permite que la expansión de títulos no implique necesariamente la multiplicación de recorridos incomparables. Las trayectorias se vuelven comparables porque comparten unidades estructurantes y criterios de organización. El sistema deja de depender exclusivamente de la singularidad de cada carrera y pasa a operar con una lógica de familia de títulos, donde la diversidad se construye sobre un núcleo común y no sobre una dispersión de soluciones inconexas.</w:t>
      </w:r>
    </w:p>
    <w:p w14:paraId="0115D15C"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En ese marco, resulta más productivo describir el diseño en términos de continuidades de estudio habilitadas por la gramática modular. Por un lado, se habilitan continuidades horizontales entre titulaciones </w:t>
      </w:r>
      <w:proofErr w:type="spellStart"/>
      <w:r w:rsidRPr="00B372D7">
        <w:rPr>
          <w:rFonts w:ascii="Times New Roman" w:hAnsi="Times New Roman" w:cs="Times New Roman"/>
        </w:rPr>
        <w:t>bidisciplinares</w:t>
      </w:r>
      <w:proofErr w:type="spellEnd"/>
      <w:r w:rsidRPr="00B372D7">
        <w:rPr>
          <w:rFonts w:ascii="Times New Roman" w:hAnsi="Times New Roman" w:cs="Times New Roman"/>
        </w:rPr>
        <w:t xml:space="preserve"> afines que comparten una disciplina, mediante la incorporación de un único módulo disciplinar con su enseñanza para el nivel secundario. Por otro, se habilitan continuidades verticales hacia titulaciones </w:t>
      </w:r>
      <w:proofErr w:type="spellStart"/>
      <w:r w:rsidRPr="00B372D7">
        <w:rPr>
          <w:rFonts w:ascii="Times New Roman" w:hAnsi="Times New Roman" w:cs="Times New Roman"/>
        </w:rPr>
        <w:lastRenderedPageBreak/>
        <w:t>monodisciplinares</w:t>
      </w:r>
      <w:proofErr w:type="spellEnd"/>
      <w:r w:rsidRPr="00B372D7">
        <w:rPr>
          <w:rFonts w:ascii="Times New Roman" w:hAnsi="Times New Roman" w:cs="Times New Roman"/>
        </w:rPr>
        <w:t xml:space="preserve">, mediante la incorporación del módulo disciplinar con su enseñanza para el nivel superior. Estas direcciones se vuelven viables porque el conjunto comparte un tramo común de formación general y pedagógica y porque la </w:t>
      </w:r>
      <w:proofErr w:type="spellStart"/>
      <w:r w:rsidRPr="00B372D7">
        <w:rPr>
          <w:rFonts w:ascii="Times New Roman" w:hAnsi="Times New Roman" w:cs="Times New Roman"/>
        </w:rPr>
        <w:t>modularización</w:t>
      </w:r>
      <w:proofErr w:type="spellEnd"/>
      <w:r w:rsidRPr="00B372D7">
        <w:rPr>
          <w:rFonts w:ascii="Times New Roman" w:hAnsi="Times New Roman" w:cs="Times New Roman"/>
        </w:rPr>
        <w:t xml:space="preserve"> define unidades reconocibles para el reconocimiento institucional de recorridos, sin que cada articulación deba resolverse como excepción.</w:t>
      </w:r>
    </w:p>
    <w:p w14:paraId="3D0D5E36"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La idea de trayectorias titulantes permite, además, comprender una dimensión política del diseño. En formación docente universitaria, ampliar oferta no es solo agregar títulos, sino producir condiciones institucionales para que estudiantes con historias académicas diversas puedan transitar recorridos que no se transformen en laberintos administrativos. La </w:t>
      </w:r>
      <w:proofErr w:type="spellStart"/>
      <w:r w:rsidRPr="00B372D7">
        <w:rPr>
          <w:rFonts w:ascii="Times New Roman" w:hAnsi="Times New Roman" w:cs="Times New Roman"/>
        </w:rPr>
        <w:t>modularización</w:t>
      </w:r>
      <w:proofErr w:type="spellEnd"/>
      <w:r w:rsidRPr="00B372D7">
        <w:rPr>
          <w:rFonts w:ascii="Times New Roman" w:hAnsi="Times New Roman" w:cs="Times New Roman"/>
        </w:rPr>
        <w:t xml:space="preserve"> contribuye a ese objetivo al proveer legibilidad y al reducir duplicaciones, pero su eficacia depende de un aspecto menos visible. Depende de la existencia de reglas explícitas de progresión y reconocimiento que sostengan el sentido de la trayectoria, evitando que la flexibilidad se convierta en arbitrariedad.</w:t>
      </w:r>
    </w:p>
    <w:p w14:paraId="44E40267"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Un componente central de esta progresión es la incorporación de instancias de integración con estatuto curricular. En el conjunto de planes, la integración no aparece como un agregado final o como un momento optativo, sino como parte del diseño que organiza la relación entre saberes. Esto tiene consecuencias directas sobre el modo en que la trayectoria se configura como formación docente. La progresión no se define únicamente por acumulación de contenidos disciplinares, sino por la capacidad de traducir esos contenidos en decisiones de enseñanza. En ese sentido, el régimen de trayectorias titulantes articula dos movimientos. Asegura progresiones conceptuales dentro de cada disciplina y, a la vez, produce un orden de profesionalización docente que atraviesa el conjunto, haciendo de la enseñanza un problema formativo explícito.</w:t>
      </w:r>
    </w:p>
    <w:p w14:paraId="7A3D04FA"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La potencialidad principal del diseño reside, entonces, en haber construido una expansión regulada, y no una expansión por acumulación. Las trayectorias titulantes permiten pensar un sistema donde la diversidad de títulos se organiza en torno a un núcleo común y a módulos diferenciados, con condiciones institucionales para la articulación. La tensión estructural que persiste es conocida. Cuanto más se amplía el repertorio de trayectorias, más exigente se vuelve el gobierno curricular para sostener criterios de progresión, reglas de reconocimiento y sentido de conjunto. En la medida en que esa exigencia se asuma como parte del diseño, y no como un problema posterior de gestión, el conjunto de planes analizado ofrece una vía plausible para ampliar formación docente universitaria en áreas de alta demanda del nivel secundario sin deteriorar la consistencia académica.</w:t>
      </w:r>
    </w:p>
    <w:p w14:paraId="11F4E9AD" w14:textId="77777777" w:rsidR="00960E74" w:rsidRDefault="00960E74" w:rsidP="00960E74">
      <w:pPr>
        <w:jc w:val="both"/>
        <w:rPr>
          <w:rFonts w:ascii="Times New Roman" w:hAnsi="Times New Roman" w:cs="Times New Roman"/>
          <w:b/>
          <w:bCs/>
        </w:rPr>
      </w:pPr>
    </w:p>
    <w:p w14:paraId="69001D1D" w14:textId="77777777" w:rsidR="007A7B6D" w:rsidRDefault="007A7B6D" w:rsidP="00960E74">
      <w:pPr>
        <w:jc w:val="both"/>
        <w:rPr>
          <w:rFonts w:ascii="Times New Roman" w:hAnsi="Times New Roman" w:cs="Times New Roman"/>
          <w:b/>
          <w:bCs/>
        </w:rPr>
      </w:pPr>
    </w:p>
    <w:p w14:paraId="28E6F0CC" w14:textId="77777777" w:rsidR="007A7B6D" w:rsidRPr="00B372D7" w:rsidRDefault="007A7B6D" w:rsidP="00960E74">
      <w:pPr>
        <w:jc w:val="both"/>
        <w:rPr>
          <w:rFonts w:ascii="Times New Roman" w:hAnsi="Times New Roman" w:cs="Times New Roman"/>
          <w:b/>
          <w:bCs/>
        </w:rPr>
      </w:pPr>
    </w:p>
    <w:p w14:paraId="7BB55940" w14:textId="77777777" w:rsidR="00960E74" w:rsidRPr="00B372D7" w:rsidRDefault="00960E74" w:rsidP="00960E74">
      <w:pPr>
        <w:jc w:val="both"/>
        <w:rPr>
          <w:rFonts w:ascii="Times New Roman" w:hAnsi="Times New Roman" w:cs="Times New Roman"/>
          <w:b/>
          <w:bCs/>
        </w:rPr>
      </w:pPr>
      <w:r w:rsidRPr="00B372D7">
        <w:rPr>
          <w:rFonts w:ascii="Times New Roman" w:hAnsi="Times New Roman" w:cs="Times New Roman"/>
          <w:b/>
          <w:bCs/>
        </w:rPr>
        <w:lastRenderedPageBreak/>
        <w:t>Cierre</w:t>
      </w:r>
    </w:p>
    <w:p w14:paraId="772DF06C"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El proceso de diseño curricular desarrollado en la Universidad de Buenos Aires junto con la Facultad de Ciencias Exactas y Naturales permitió construir una respuesta de escala al desafío de ampliar la formación docente en áreas de alta demanda del nivel secundario sin resignar densidad disciplinar ni consistencia formativa. Esa respuesta se expresó en dos movimientos coordinados. La creación de cinco profesorados </w:t>
      </w:r>
      <w:proofErr w:type="spellStart"/>
      <w:r w:rsidRPr="00B372D7">
        <w:rPr>
          <w:rFonts w:ascii="Times New Roman" w:hAnsi="Times New Roman" w:cs="Times New Roman"/>
        </w:rPr>
        <w:t>bidisciplinares</w:t>
      </w:r>
      <w:proofErr w:type="spellEnd"/>
      <w:r w:rsidRPr="00B372D7">
        <w:rPr>
          <w:rFonts w:ascii="Times New Roman" w:hAnsi="Times New Roman" w:cs="Times New Roman"/>
        </w:rPr>
        <w:t xml:space="preserve"> orientados a la educación secundaria reorganizó fronteras disciplinares bajo un criterio de afinidad, con módulos diferenciados y un tramo común que produce un piso compartido de profesionalidad docente. La actualización de cinco profesorados </w:t>
      </w:r>
      <w:proofErr w:type="spellStart"/>
      <w:r w:rsidRPr="00B372D7">
        <w:rPr>
          <w:rFonts w:ascii="Times New Roman" w:hAnsi="Times New Roman" w:cs="Times New Roman"/>
        </w:rPr>
        <w:t>monodisciplinares</w:t>
      </w:r>
      <w:proofErr w:type="spellEnd"/>
      <w:r w:rsidRPr="00B372D7">
        <w:rPr>
          <w:rFonts w:ascii="Times New Roman" w:hAnsi="Times New Roman" w:cs="Times New Roman"/>
        </w:rPr>
        <w:t xml:space="preserve"> mediante una arquitectura modular, a su vez, proveyó una gramática común que vuelve articulable el sistema de títulos y permite sostener progresiones y reconocimiento de recorridos sin depender de soluciones ad hoc.</w:t>
      </w:r>
    </w:p>
    <w:p w14:paraId="386D48F6"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El argumento central del artículo sostiene que la </w:t>
      </w:r>
      <w:proofErr w:type="spellStart"/>
      <w:r w:rsidRPr="00B372D7">
        <w:rPr>
          <w:rFonts w:ascii="Times New Roman" w:hAnsi="Times New Roman" w:cs="Times New Roman"/>
        </w:rPr>
        <w:t>bidisciplina</w:t>
      </w:r>
      <w:proofErr w:type="spellEnd"/>
      <w:r w:rsidRPr="00B372D7">
        <w:rPr>
          <w:rFonts w:ascii="Times New Roman" w:hAnsi="Times New Roman" w:cs="Times New Roman"/>
        </w:rPr>
        <w:t xml:space="preserve"> y la </w:t>
      </w:r>
      <w:proofErr w:type="spellStart"/>
      <w:r w:rsidRPr="00B372D7">
        <w:rPr>
          <w:rFonts w:ascii="Times New Roman" w:hAnsi="Times New Roman" w:cs="Times New Roman"/>
        </w:rPr>
        <w:t>modularización</w:t>
      </w:r>
      <w:proofErr w:type="spellEnd"/>
      <w:r w:rsidRPr="00B372D7">
        <w:rPr>
          <w:rFonts w:ascii="Times New Roman" w:hAnsi="Times New Roman" w:cs="Times New Roman"/>
        </w:rPr>
        <w:t xml:space="preserve"> pueden leerse como tecnologías curriculares de expansión regulada. Amplían trayectorias titulantes, introducen condiciones de integración con estatuto curricular y aumentan la legibilidad del sistema, pero lo hacen sobre la base de una arquitectura que preserva identidades disciplinares, ordena secuencias y define tramos comunes. En ese sentido, el aporte del caso no reside en la mera innovación formal, sino en la construcción de una relación gobernable entre diversidad y consistencia, entre ampliación de títulos y estabilidad de progresiones, entre articulación interdisciplinar y resguardo de validez disciplinar.</w:t>
      </w:r>
    </w:p>
    <w:p w14:paraId="5394C43B"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Al mismo tiempo, el caso muestra que la consistencia del diseño depende de condiciones institucionales exigentes. La </w:t>
      </w:r>
      <w:proofErr w:type="spellStart"/>
      <w:r w:rsidRPr="00B372D7">
        <w:rPr>
          <w:rFonts w:ascii="Times New Roman" w:hAnsi="Times New Roman" w:cs="Times New Roman"/>
        </w:rPr>
        <w:t>modularización</w:t>
      </w:r>
      <w:proofErr w:type="spellEnd"/>
      <w:r w:rsidRPr="00B372D7">
        <w:rPr>
          <w:rFonts w:ascii="Times New Roman" w:hAnsi="Times New Roman" w:cs="Times New Roman"/>
        </w:rPr>
        <w:t xml:space="preserve"> requiere identidad efectiva de los módulos, umbrales claros y reglas explícitas de reconocimiento. La </w:t>
      </w:r>
      <w:proofErr w:type="spellStart"/>
      <w:r w:rsidRPr="00B372D7">
        <w:rPr>
          <w:rFonts w:ascii="Times New Roman" w:hAnsi="Times New Roman" w:cs="Times New Roman"/>
        </w:rPr>
        <w:t>bidisciplina</w:t>
      </w:r>
      <w:proofErr w:type="spellEnd"/>
      <w:r w:rsidRPr="00B372D7">
        <w:rPr>
          <w:rFonts w:ascii="Times New Roman" w:hAnsi="Times New Roman" w:cs="Times New Roman"/>
        </w:rPr>
        <w:t xml:space="preserve"> requiere que la integración opere como capacidad enseñable y evaluable, distribuida en la trayectoria y no confinada a un punto aislado. El rendimiento del conjunto, por lo tanto, no se juega únicamente en la aprobación de los planes, sino en el gobierno curricular que los sostenga y en la consolidación de una cultura académica que asuma la articulación entre disciplinas como problema profesional de formación docente.</w:t>
      </w:r>
    </w:p>
    <w:p w14:paraId="0D38F47D" w14:textId="77777777" w:rsidR="00960E74" w:rsidRPr="00B372D7" w:rsidRDefault="00960E74" w:rsidP="00960E74">
      <w:pPr>
        <w:jc w:val="both"/>
        <w:rPr>
          <w:rFonts w:ascii="Times New Roman" w:hAnsi="Times New Roman" w:cs="Times New Roman"/>
        </w:rPr>
      </w:pPr>
      <w:r w:rsidRPr="00B372D7">
        <w:rPr>
          <w:rFonts w:ascii="Times New Roman" w:hAnsi="Times New Roman" w:cs="Times New Roman"/>
        </w:rPr>
        <w:t xml:space="preserve">En términos más amplios, la experiencia permite discutir un modo de intervención curricular universitaria que evita dos extremos frecuentes. Por un lado, el reformismo formal que cambia formatos sin alterar operaciones sustantivas de selección, secuenciación e integración. Por otro, la expansión por acumulación que amplía oferta sin construir una gramática común que preserve consistencia y legibilidad. La </w:t>
      </w:r>
      <w:proofErr w:type="spellStart"/>
      <w:r w:rsidRPr="00B372D7">
        <w:rPr>
          <w:rFonts w:ascii="Times New Roman" w:hAnsi="Times New Roman" w:cs="Times New Roman"/>
        </w:rPr>
        <w:t>bidisciplina</w:t>
      </w:r>
      <w:proofErr w:type="spellEnd"/>
      <w:r w:rsidRPr="00B372D7">
        <w:rPr>
          <w:rFonts w:ascii="Times New Roman" w:hAnsi="Times New Roman" w:cs="Times New Roman"/>
        </w:rPr>
        <w:t xml:space="preserve"> por pares afines y la </w:t>
      </w:r>
      <w:proofErr w:type="spellStart"/>
      <w:r w:rsidRPr="00B372D7">
        <w:rPr>
          <w:rFonts w:ascii="Times New Roman" w:hAnsi="Times New Roman" w:cs="Times New Roman"/>
        </w:rPr>
        <w:t>modularización</w:t>
      </w:r>
      <w:proofErr w:type="spellEnd"/>
      <w:r w:rsidRPr="00B372D7">
        <w:rPr>
          <w:rFonts w:ascii="Times New Roman" w:hAnsi="Times New Roman" w:cs="Times New Roman"/>
        </w:rPr>
        <w:t xml:space="preserve"> como arquitectura de progresión ofrecen, en este sentido, una vía plausible para ampliar formación docente universitaria para el nivel </w:t>
      </w:r>
      <w:r w:rsidRPr="00B372D7">
        <w:rPr>
          <w:rFonts w:ascii="Times New Roman" w:hAnsi="Times New Roman" w:cs="Times New Roman"/>
        </w:rPr>
        <w:lastRenderedPageBreak/>
        <w:t>secundario, especialmente en campos de alta demanda, sosteniendo a la vez criterios de validez académica y de articulación institucional.</w:t>
      </w:r>
    </w:p>
    <w:p w14:paraId="4A37A4B1" w14:textId="77777777" w:rsidR="003F23D8" w:rsidRDefault="003F23D8" w:rsidP="007B5B5F">
      <w:pPr>
        <w:spacing w:line="240" w:lineRule="auto"/>
        <w:rPr>
          <w:rFonts w:ascii="Times New Roman" w:hAnsi="Times New Roman" w:cs="Times New Roman"/>
          <w:b/>
          <w:bCs/>
        </w:rPr>
      </w:pPr>
    </w:p>
    <w:p w14:paraId="39B57161" w14:textId="6D7C0779"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 xml:space="preserve">Referencias </w:t>
      </w:r>
      <w:r w:rsidR="003F23D8">
        <w:rPr>
          <w:rFonts w:ascii="Times New Roman" w:hAnsi="Times New Roman" w:cs="Times New Roman"/>
          <w:b/>
          <w:bCs/>
        </w:rPr>
        <w:t>b</w:t>
      </w:r>
      <w:r w:rsidRPr="00BA642E">
        <w:rPr>
          <w:rFonts w:ascii="Times New Roman" w:hAnsi="Times New Roman" w:cs="Times New Roman"/>
          <w:b/>
          <w:bCs/>
        </w:rPr>
        <w:t>ibliográficas</w:t>
      </w:r>
    </w:p>
    <w:p w14:paraId="7CDE2008" w14:textId="77777777" w:rsidR="003F23D8" w:rsidRPr="00B372D7" w:rsidRDefault="003F23D8" w:rsidP="003F23D8">
      <w:pPr>
        <w:pStyle w:val="Standard"/>
        <w:spacing w:before="240"/>
        <w:jc w:val="both"/>
        <w:rPr>
          <w:rFonts w:ascii="Times New Roman" w:hAnsi="Times New Roman" w:cs="Times New Roman"/>
        </w:rPr>
      </w:pPr>
      <w:r w:rsidRPr="00B372D7">
        <w:rPr>
          <w:rFonts w:ascii="Times New Roman" w:eastAsia="Calibri" w:hAnsi="Times New Roman" w:cs="Times New Roman"/>
          <w:shd w:val="clear" w:color="auto" w:fill="FFFFFF"/>
        </w:rPr>
        <w:t xml:space="preserve">Bernstein, B. (1988). </w:t>
      </w:r>
      <w:r w:rsidRPr="00B372D7">
        <w:rPr>
          <w:rFonts w:ascii="Times New Roman" w:eastAsia="Calibri" w:hAnsi="Times New Roman" w:cs="Times New Roman"/>
          <w:i/>
          <w:iCs/>
          <w:shd w:val="clear" w:color="auto" w:fill="FFFFFF"/>
        </w:rPr>
        <w:t>Clases, códigos y control. Vol</w:t>
      </w:r>
      <w:r w:rsidRPr="00F268FA">
        <w:rPr>
          <w:rFonts w:ascii="Times New Roman" w:hAnsi="Times New Roman"/>
          <w:i/>
          <w:iCs/>
          <w:color w:val="000000"/>
          <w:shd w:val="clear" w:color="auto" w:fill="FFFFFF"/>
        </w:rPr>
        <w:t>.</w:t>
      </w:r>
      <w:r w:rsidRPr="00B372D7">
        <w:rPr>
          <w:rFonts w:ascii="Times New Roman" w:eastAsia="Calibri" w:hAnsi="Times New Roman" w:cs="Times New Roman"/>
          <w:i/>
          <w:iCs/>
          <w:shd w:val="clear" w:color="auto" w:fill="FFFFFF"/>
        </w:rPr>
        <w:t xml:space="preserve"> III</w:t>
      </w:r>
      <w:r w:rsidRPr="00F268FA">
        <w:rPr>
          <w:rFonts w:ascii="Times New Roman" w:hAnsi="Times New Roman"/>
          <w:i/>
          <w:iCs/>
          <w:color w:val="000000"/>
          <w:shd w:val="clear" w:color="auto" w:fill="FFFFFF"/>
        </w:rPr>
        <w:t>:</w:t>
      </w:r>
      <w:r w:rsidRPr="00B372D7">
        <w:rPr>
          <w:rFonts w:ascii="Times New Roman" w:eastAsia="Calibri" w:hAnsi="Times New Roman" w:cs="Times New Roman"/>
          <w:i/>
          <w:iCs/>
          <w:shd w:val="clear" w:color="auto" w:fill="FFFFFF"/>
        </w:rPr>
        <w:t xml:space="preserve"> Hacia una teoría de las transmisiones educativas</w:t>
      </w:r>
      <w:r w:rsidRPr="00F268FA">
        <w:rPr>
          <w:rFonts w:ascii="Times New Roman" w:hAnsi="Times New Roman"/>
          <w:color w:val="000000"/>
          <w:shd w:val="clear" w:color="auto" w:fill="FFFFFF"/>
        </w:rPr>
        <w:t>.</w:t>
      </w:r>
      <w:r w:rsidRPr="00B372D7">
        <w:rPr>
          <w:rFonts w:ascii="Times New Roman" w:eastAsia="Calibri" w:hAnsi="Times New Roman" w:cs="Times New Roman"/>
          <w:shd w:val="clear" w:color="auto" w:fill="FFFFFF"/>
        </w:rPr>
        <w:t xml:space="preserve"> AKAL Universitaria</w:t>
      </w:r>
      <w:r w:rsidRPr="00F268FA">
        <w:rPr>
          <w:rFonts w:ascii="Times New Roman" w:hAnsi="Times New Roman"/>
          <w:color w:val="000000"/>
          <w:shd w:val="clear" w:color="auto" w:fill="FFFFFF"/>
        </w:rPr>
        <w:t>.</w:t>
      </w:r>
    </w:p>
    <w:p w14:paraId="707FC206" w14:textId="77777777" w:rsidR="003F23D8" w:rsidRPr="00B372D7" w:rsidRDefault="003F23D8" w:rsidP="003F23D8">
      <w:pPr>
        <w:pStyle w:val="Standard"/>
        <w:spacing w:before="240"/>
        <w:jc w:val="both"/>
        <w:rPr>
          <w:rFonts w:ascii="Times New Roman" w:hAnsi="Times New Roman" w:cs="Times New Roman"/>
        </w:rPr>
      </w:pPr>
      <w:r w:rsidRPr="00B372D7">
        <w:rPr>
          <w:rFonts w:ascii="Times New Roman" w:hAnsi="Times New Roman" w:cs="Times New Roman"/>
          <w:color w:val="000000" w:themeColor="text1"/>
          <w:lang w:val="es-ES"/>
        </w:rPr>
        <w:t xml:space="preserve">Bernstein, B. (1993). </w:t>
      </w:r>
      <w:r w:rsidRPr="00B372D7">
        <w:rPr>
          <w:rFonts w:ascii="Times New Roman" w:hAnsi="Times New Roman" w:cs="Times New Roman"/>
          <w:i/>
          <w:iCs/>
          <w:color w:val="000000" w:themeColor="text1"/>
          <w:lang w:val="es-ES"/>
        </w:rPr>
        <w:t>Clases, código y control. Vol</w:t>
      </w:r>
      <w:r w:rsidRPr="00AB4327">
        <w:rPr>
          <w:rFonts w:ascii="Times New Roman" w:hAnsi="Times New Roman"/>
          <w:i/>
          <w:iCs/>
          <w:color w:val="000000"/>
          <w:lang w:val="es-ES"/>
        </w:rPr>
        <w:t>.</w:t>
      </w:r>
      <w:r w:rsidRPr="00B372D7">
        <w:rPr>
          <w:rFonts w:ascii="Times New Roman" w:hAnsi="Times New Roman" w:cs="Times New Roman"/>
          <w:i/>
          <w:iCs/>
          <w:color w:val="000000" w:themeColor="text1"/>
          <w:lang w:val="es-ES"/>
        </w:rPr>
        <w:t xml:space="preserve"> IV</w:t>
      </w:r>
      <w:r w:rsidRPr="00AB4327">
        <w:rPr>
          <w:rFonts w:ascii="Times New Roman" w:hAnsi="Times New Roman"/>
          <w:i/>
          <w:iCs/>
          <w:color w:val="000000"/>
          <w:lang w:val="es-ES"/>
        </w:rPr>
        <w:t>:</w:t>
      </w:r>
      <w:r w:rsidRPr="00B372D7">
        <w:rPr>
          <w:rFonts w:ascii="Times New Roman" w:hAnsi="Times New Roman" w:cs="Times New Roman"/>
          <w:i/>
          <w:iCs/>
          <w:color w:val="000000" w:themeColor="text1"/>
          <w:lang w:val="es-ES"/>
        </w:rPr>
        <w:t xml:space="preserve"> La estructura del discurso pedagógico.</w:t>
      </w:r>
      <w:r w:rsidRPr="00B372D7">
        <w:rPr>
          <w:rFonts w:ascii="Times New Roman" w:hAnsi="Times New Roman" w:cs="Times New Roman"/>
          <w:color w:val="000000" w:themeColor="text1"/>
          <w:lang w:val="es-ES"/>
        </w:rPr>
        <w:t xml:space="preserve"> Ediciones Morata.</w:t>
      </w:r>
    </w:p>
    <w:p w14:paraId="70434867" w14:textId="77777777" w:rsidR="003F23D8" w:rsidRPr="00B372D7" w:rsidRDefault="003F23D8" w:rsidP="003F23D8">
      <w:pPr>
        <w:pStyle w:val="Standard"/>
        <w:spacing w:before="240"/>
        <w:jc w:val="both"/>
        <w:rPr>
          <w:rFonts w:ascii="Times New Roman" w:hAnsi="Times New Roman" w:cs="Times New Roman"/>
        </w:rPr>
      </w:pPr>
      <w:r w:rsidRPr="00B372D7">
        <w:rPr>
          <w:rFonts w:ascii="Times New Roman" w:hAnsi="Times New Roman" w:cs="Times New Roman"/>
          <w:color w:val="000000" w:themeColor="text1"/>
          <w:lang w:val="es-ES"/>
        </w:rPr>
        <w:t>Camilloni, A. (2001). Modalidades y proyectos de cambio curricular</w:t>
      </w:r>
      <w:r w:rsidRPr="005D72B1">
        <w:rPr>
          <w:rFonts w:ascii="Times New Roman" w:hAnsi="Times New Roman"/>
          <w:color w:val="000000"/>
          <w:lang w:val="es-ES"/>
        </w:rPr>
        <w:t>. En</w:t>
      </w:r>
      <w:r w:rsidRPr="00B372D7">
        <w:rPr>
          <w:rFonts w:ascii="Times New Roman" w:hAnsi="Times New Roman" w:cs="Times New Roman"/>
          <w:color w:val="000000" w:themeColor="text1"/>
          <w:lang w:val="es-ES"/>
        </w:rPr>
        <w:t xml:space="preserve"> AA. VV., </w:t>
      </w:r>
      <w:r w:rsidRPr="00B372D7">
        <w:rPr>
          <w:rFonts w:ascii="Times New Roman" w:hAnsi="Times New Roman" w:cs="Times New Roman"/>
          <w:i/>
          <w:iCs/>
          <w:color w:val="000000" w:themeColor="text1"/>
          <w:lang w:val="es-ES"/>
        </w:rPr>
        <w:t>Aportes para un cambio curricular en Argentina 2001</w:t>
      </w:r>
      <w:r w:rsidRPr="00B372D7">
        <w:rPr>
          <w:rFonts w:ascii="Times New Roman" w:hAnsi="Times New Roman" w:cs="Times New Roman"/>
          <w:color w:val="000000" w:themeColor="text1"/>
          <w:lang w:val="es-ES"/>
        </w:rPr>
        <w:t>. OPS-</w:t>
      </w:r>
      <w:proofErr w:type="spellStart"/>
      <w:r w:rsidRPr="00B372D7">
        <w:rPr>
          <w:rFonts w:ascii="Times New Roman" w:hAnsi="Times New Roman" w:cs="Times New Roman"/>
          <w:color w:val="000000" w:themeColor="text1"/>
          <w:lang w:val="es-ES"/>
        </w:rPr>
        <w:t>FMed</w:t>
      </w:r>
      <w:proofErr w:type="spellEnd"/>
      <w:r w:rsidRPr="00B372D7">
        <w:rPr>
          <w:rFonts w:ascii="Times New Roman" w:hAnsi="Times New Roman" w:cs="Times New Roman"/>
          <w:color w:val="000000" w:themeColor="text1"/>
          <w:lang w:val="es-ES"/>
        </w:rPr>
        <w:t xml:space="preserve"> UBA.</w:t>
      </w:r>
    </w:p>
    <w:p w14:paraId="603D8ABB" w14:textId="77777777" w:rsidR="003F23D8" w:rsidRPr="00B372D7" w:rsidRDefault="003F23D8" w:rsidP="003F23D8">
      <w:pPr>
        <w:pStyle w:val="Standard"/>
        <w:spacing w:before="240"/>
        <w:jc w:val="both"/>
        <w:rPr>
          <w:rFonts w:ascii="Times New Roman" w:hAnsi="Times New Roman" w:cs="Times New Roman"/>
        </w:rPr>
      </w:pPr>
      <w:r w:rsidRPr="00B372D7">
        <w:rPr>
          <w:rFonts w:ascii="Times New Roman" w:hAnsi="Times New Roman" w:cs="Times New Roman"/>
          <w:color w:val="000000" w:themeColor="text1"/>
          <w:lang w:val="es-ES"/>
        </w:rPr>
        <w:t>Camilloni, A. (2016). Tendencias y formatos en el currículum universitario</w:t>
      </w:r>
      <w:r w:rsidRPr="003177D3">
        <w:rPr>
          <w:rFonts w:ascii="Times New Roman" w:hAnsi="Times New Roman"/>
          <w:color w:val="000000"/>
          <w:lang w:val="es-ES"/>
        </w:rPr>
        <w:t>.</w:t>
      </w:r>
      <w:r w:rsidRPr="00B372D7">
        <w:rPr>
          <w:rFonts w:ascii="Times New Roman" w:hAnsi="Times New Roman" w:cs="Times New Roman"/>
          <w:color w:val="000000" w:themeColor="text1"/>
          <w:lang w:val="es-ES"/>
        </w:rPr>
        <w:t xml:space="preserve"> </w:t>
      </w:r>
      <w:r w:rsidRPr="00B372D7">
        <w:rPr>
          <w:rFonts w:ascii="Times New Roman" w:hAnsi="Times New Roman" w:cs="Times New Roman"/>
          <w:i/>
          <w:iCs/>
          <w:color w:val="000000" w:themeColor="text1"/>
          <w:lang w:val="es-ES"/>
        </w:rPr>
        <w:t>Itinerarios Educativos</w:t>
      </w:r>
      <w:r w:rsidRPr="003177D3">
        <w:rPr>
          <w:rFonts w:ascii="Times New Roman" w:hAnsi="Times New Roman"/>
          <w:i/>
          <w:iCs/>
          <w:color w:val="000000"/>
          <w:lang w:val="es-ES"/>
        </w:rPr>
        <w:t>,</w:t>
      </w:r>
      <w:r w:rsidRPr="00B372D7">
        <w:rPr>
          <w:rFonts w:ascii="Times New Roman" w:hAnsi="Times New Roman" w:cs="Times New Roman"/>
          <w:color w:val="000000" w:themeColor="text1"/>
          <w:lang w:val="es-ES"/>
        </w:rPr>
        <w:t xml:space="preserve"> 9, 59</w:t>
      </w:r>
      <w:r w:rsidRPr="003177D3">
        <w:rPr>
          <w:rFonts w:ascii="Times New Roman" w:hAnsi="Times New Roman"/>
          <w:color w:val="000000"/>
          <w:lang w:val="es-ES"/>
        </w:rPr>
        <w:t>–</w:t>
      </w:r>
      <w:r w:rsidRPr="00B372D7">
        <w:rPr>
          <w:rFonts w:ascii="Times New Roman" w:hAnsi="Times New Roman" w:cs="Times New Roman"/>
          <w:color w:val="000000" w:themeColor="text1"/>
          <w:lang w:val="es-ES"/>
        </w:rPr>
        <w:t>87.</w:t>
      </w:r>
    </w:p>
    <w:p w14:paraId="340016C1" w14:textId="77777777" w:rsidR="003F23D8" w:rsidRPr="00B372D7" w:rsidRDefault="003F23D8" w:rsidP="003F23D8">
      <w:pPr>
        <w:spacing w:before="240"/>
        <w:jc w:val="both"/>
        <w:rPr>
          <w:rFonts w:ascii="Times New Roman" w:hAnsi="Times New Roman" w:cs="Times New Roman"/>
        </w:rPr>
      </w:pPr>
      <w:r w:rsidRPr="00F2172F">
        <w:rPr>
          <w:rFonts w:ascii="Times New Roman" w:hAnsi="Times New Roman"/>
        </w:rPr>
        <w:t xml:space="preserve">De Alba, A., &amp; Puiggrós, A. (1991). </w:t>
      </w:r>
      <w:proofErr w:type="spellStart"/>
      <w:r w:rsidRPr="00F2172F">
        <w:rPr>
          <w:rFonts w:ascii="Times New Roman" w:hAnsi="Times New Roman"/>
          <w:i/>
        </w:rPr>
        <w:t>Curriculum</w:t>
      </w:r>
      <w:proofErr w:type="spellEnd"/>
      <w:r w:rsidRPr="00F2172F">
        <w:rPr>
          <w:rFonts w:ascii="Times New Roman" w:hAnsi="Times New Roman"/>
          <w:i/>
        </w:rPr>
        <w:t xml:space="preserve">: </w:t>
      </w:r>
      <w:r w:rsidRPr="00F2172F">
        <w:rPr>
          <w:rFonts w:ascii="Times New Roman" w:hAnsi="Times New Roman"/>
          <w:i/>
          <w:iCs/>
        </w:rPr>
        <w:t>Crisis</w:t>
      </w:r>
      <w:r w:rsidRPr="00F2172F">
        <w:rPr>
          <w:rFonts w:ascii="Times New Roman" w:hAnsi="Times New Roman"/>
          <w:i/>
        </w:rPr>
        <w:t>, mito y perspectivas</w:t>
      </w:r>
      <w:r w:rsidRPr="00F2172F">
        <w:rPr>
          <w:rFonts w:ascii="Times New Roman" w:hAnsi="Times New Roman"/>
        </w:rPr>
        <w:t>. Universidad Nacional Autónoma de México, Coordinación de Humanidades, Centro de Estudios sobre la Universidad.</w:t>
      </w:r>
    </w:p>
    <w:p w14:paraId="0275B665" w14:textId="77777777" w:rsidR="003F23D8" w:rsidRPr="00B372D7" w:rsidRDefault="003F23D8" w:rsidP="003F23D8">
      <w:pPr>
        <w:spacing w:before="240"/>
        <w:jc w:val="both"/>
        <w:rPr>
          <w:rFonts w:ascii="Times New Roman" w:hAnsi="Times New Roman" w:cs="Times New Roman"/>
        </w:rPr>
      </w:pPr>
      <w:r w:rsidRPr="00F465EE">
        <w:rPr>
          <w:rFonts w:ascii="Times New Roman" w:hAnsi="Times New Roman"/>
        </w:rPr>
        <w:t xml:space="preserve">Díaz Barriga, Á. (1999). </w:t>
      </w:r>
      <w:r w:rsidRPr="00F465EE">
        <w:rPr>
          <w:rFonts w:ascii="Times New Roman" w:hAnsi="Times New Roman"/>
          <w:i/>
        </w:rPr>
        <w:t>Didáctica y currículum: Convergencia en los programas de estudio</w:t>
      </w:r>
      <w:r w:rsidRPr="00F465EE">
        <w:rPr>
          <w:rFonts w:ascii="Times New Roman" w:hAnsi="Times New Roman"/>
        </w:rPr>
        <w:t>. Paidós Educador.</w:t>
      </w:r>
    </w:p>
    <w:p w14:paraId="78E2F0B8" w14:textId="77777777" w:rsidR="003F23D8" w:rsidRPr="00B372D7" w:rsidRDefault="003F23D8" w:rsidP="003F23D8">
      <w:pPr>
        <w:spacing w:before="240"/>
        <w:jc w:val="both"/>
        <w:rPr>
          <w:rFonts w:ascii="Times New Roman" w:hAnsi="Times New Roman" w:cs="Times New Roman"/>
        </w:rPr>
      </w:pPr>
      <w:r w:rsidRPr="00AD7D02">
        <w:rPr>
          <w:rFonts w:ascii="Times New Roman" w:hAnsi="Times New Roman"/>
        </w:rPr>
        <w:t xml:space="preserve">Goodson, I. F. (1995). </w:t>
      </w:r>
      <w:r w:rsidRPr="00AD7D02">
        <w:rPr>
          <w:rFonts w:ascii="Times New Roman" w:hAnsi="Times New Roman"/>
          <w:i/>
        </w:rPr>
        <w:t>Historia del currículum: La construcción social de las disciplinas escolares</w:t>
      </w:r>
      <w:r w:rsidRPr="00AD7D02">
        <w:rPr>
          <w:rFonts w:ascii="Times New Roman" w:hAnsi="Times New Roman"/>
        </w:rPr>
        <w:t>. Ediciones Pomares-Corredor.</w:t>
      </w:r>
    </w:p>
    <w:p w14:paraId="3539AD3F" w14:textId="77777777" w:rsidR="003F23D8" w:rsidRPr="00B372D7" w:rsidRDefault="003F23D8" w:rsidP="003F23D8">
      <w:pPr>
        <w:spacing w:before="240"/>
        <w:jc w:val="both"/>
        <w:rPr>
          <w:rFonts w:ascii="Times New Roman" w:hAnsi="Times New Roman" w:cs="Times New Roman"/>
        </w:rPr>
      </w:pPr>
      <w:r w:rsidRPr="00575609">
        <w:rPr>
          <w:rFonts w:ascii="Times New Roman" w:hAnsi="Times New Roman"/>
        </w:rPr>
        <w:t xml:space="preserve">Mastache, A., Iglesias, Fernández, &amp; Pauer. (2024). Relato de un trabajo compartido en torno al diseño curricular modular: FILO-UBA y docentes de Educación Secundaria de Jóvenes y Adultos en CABA. </w:t>
      </w:r>
      <w:r w:rsidRPr="00575609">
        <w:rPr>
          <w:rFonts w:ascii="Times New Roman" w:hAnsi="Times New Roman"/>
          <w:i/>
        </w:rPr>
        <w:t>Pública. Debates en Educación</w:t>
      </w:r>
      <w:r w:rsidRPr="00575609">
        <w:rPr>
          <w:rFonts w:ascii="Times New Roman" w:hAnsi="Times New Roman"/>
          <w:i/>
          <w:iCs/>
        </w:rPr>
        <w:t xml:space="preserve">, </w:t>
      </w:r>
      <w:r w:rsidRPr="00575609">
        <w:rPr>
          <w:rFonts w:ascii="Times New Roman" w:hAnsi="Times New Roman"/>
          <w:i/>
        </w:rPr>
        <w:t>3</w:t>
      </w:r>
      <w:r w:rsidRPr="00575609">
        <w:rPr>
          <w:rFonts w:ascii="Times New Roman" w:hAnsi="Times New Roman"/>
        </w:rPr>
        <w:t>, 49–56.</w:t>
      </w:r>
    </w:p>
    <w:p w14:paraId="00B811BF" w14:textId="77777777" w:rsidR="003F23D8" w:rsidRPr="00B372D7" w:rsidRDefault="003F23D8" w:rsidP="003F23D8">
      <w:pPr>
        <w:spacing w:before="240"/>
        <w:jc w:val="both"/>
        <w:rPr>
          <w:rFonts w:ascii="Times New Roman" w:hAnsi="Times New Roman" w:cs="Times New Roman"/>
        </w:rPr>
      </w:pPr>
      <w:r w:rsidRPr="00217496">
        <w:rPr>
          <w:rFonts w:ascii="Times New Roman" w:hAnsi="Times New Roman"/>
        </w:rPr>
        <w:t xml:space="preserve">Gimeno Sacristán, J. (1988). </w:t>
      </w:r>
      <w:r w:rsidRPr="00217496">
        <w:rPr>
          <w:rFonts w:ascii="Times New Roman" w:hAnsi="Times New Roman"/>
          <w:i/>
        </w:rPr>
        <w:t xml:space="preserve">El </w:t>
      </w:r>
      <w:proofErr w:type="spellStart"/>
      <w:r w:rsidRPr="00217496">
        <w:rPr>
          <w:rFonts w:ascii="Times New Roman" w:hAnsi="Times New Roman"/>
          <w:i/>
        </w:rPr>
        <w:t>curriculum</w:t>
      </w:r>
      <w:proofErr w:type="spellEnd"/>
      <w:r w:rsidRPr="00217496">
        <w:rPr>
          <w:rFonts w:ascii="Times New Roman" w:hAnsi="Times New Roman"/>
          <w:i/>
        </w:rPr>
        <w:t xml:space="preserve">: </w:t>
      </w:r>
      <w:r w:rsidRPr="00217496">
        <w:rPr>
          <w:rFonts w:ascii="Times New Roman" w:hAnsi="Times New Roman"/>
          <w:i/>
          <w:iCs/>
        </w:rPr>
        <w:t>Una</w:t>
      </w:r>
      <w:r w:rsidRPr="00217496">
        <w:rPr>
          <w:rFonts w:ascii="Times New Roman" w:hAnsi="Times New Roman"/>
          <w:i/>
        </w:rPr>
        <w:t xml:space="preserve"> reflexión sobre la práctica</w:t>
      </w:r>
      <w:r w:rsidRPr="00217496">
        <w:rPr>
          <w:rFonts w:ascii="Times New Roman" w:hAnsi="Times New Roman"/>
        </w:rPr>
        <w:t xml:space="preserve"> (Vol. 1). Morata.</w:t>
      </w:r>
    </w:p>
    <w:p w14:paraId="23CA62C6" w14:textId="77777777" w:rsidR="00C802F5" w:rsidRPr="00BA642E" w:rsidRDefault="00C802F5" w:rsidP="007B5B5F">
      <w:pPr>
        <w:spacing w:line="240" w:lineRule="auto"/>
        <w:rPr>
          <w:rFonts w:ascii="Times New Roman" w:hAnsi="Times New Roman" w:cs="Times New Roman"/>
        </w:rPr>
      </w:pPr>
    </w:p>
    <w:sectPr w:rsidR="00C802F5" w:rsidRPr="00BA642E"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AAC54" w14:textId="77777777" w:rsidR="001152BE" w:rsidRPr="00BA642E" w:rsidRDefault="001152BE" w:rsidP="00C802F5">
      <w:pPr>
        <w:spacing w:after="0" w:line="240" w:lineRule="auto"/>
      </w:pPr>
      <w:r w:rsidRPr="00BA642E">
        <w:separator/>
      </w:r>
    </w:p>
  </w:endnote>
  <w:endnote w:type="continuationSeparator" w:id="0">
    <w:p w14:paraId="08A17937" w14:textId="77777777" w:rsidR="001152BE" w:rsidRPr="00BA642E" w:rsidRDefault="001152BE"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A0885" w14:textId="77777777" w:rsidR="001152BE" w:rsidRPr="00BA642E" w:rsidRDefault="001152BE" w:rsidP="00C802F5">
      <w:pPr>
        <w:spacing w:after="0" w:line="240" w:lineRule="auto"/>
      </w:pPr>
      <w:r w:rsidRPr="00BA642E">
        <w:separator/>
      </w:r>
    </w:p>
  </w:footnote>
  <w:footnote w:type="continuationSeparator" w:id="0">
    <w:p w14:paraId="74BA7EDA" w14:textId="77777777" w:rsidR="001152BE" w:rsidRPr="00BA642E" w:rsidRDefault="001152BE"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A9996D"/>
    <w:multiLevelType w:val="hybridMultilevel"/>
    <w:tmpl w:val="623C136C"/>
    <w:lvl w:ilvl="0" w:tplc="5950D70E">
      <w:start w:val="1"/>
      <w:numFmt w:val="bullet"/>
      <w:lvlText w:val=""/>
      <w:lvlJc w:val="left"/>
      <w:pPr>
        <w:ind w:left="720" w:hanging="360"/>
      </w:pPr>
      <w:rPr>
        <w:rFonts w:ascii="Symbol" w:hAnsi="Symbol" w:hint="default"/>
      </w:rPr>
    </w:lvl>
    <w:lvl w:ilvl="1" w:tplc="DA2EA290">
      <w:start w:val="1"/>
      <w:numFmt w:val="bullet"/>
      <w:lvlText w:val="o"/>
      <w:lvlJc w:val="left"/>
      <w:pPr>
        <w:ind w:left="1440" w:hanging="360"/>
      </w:pPr>
      <w:rPr>
        <w:rFonts w:ascii="Courier New" w:hAnsi="Courier New" w:hint="default"/>
      </w:rPr>
    </w:lvl>
    <w:lvl w:ilvl="2" w:tplc="E11C9648">
      <w:start w:val="1"/>
      <w:numFmt w:val="bullet"/>
      <w:lvlText w:val=""/>
      <w:lvlJc w:val="left"/>
      <w:pPr>
        <w:ind w:left="2160" w:hanging="360"/>
      </w:pPr>
      <w:rPr>
        <w:rFonts w:ascii="Wingdings" w:hAnsi="Wingdings" w:hint="default"/>
      </w:rPr>
    </w:lvl>
    <w:lvl w:ilvl="3" w:tplc="CFCE9EB6">
      <w:start w:val="1"/>
      <w:numFmt w:val="bullet"/>
      <w:lvlText w:val=""/>
      <w:lvlJc w:val="left"/>
      <w:pPr>
        <w:ind w:left="2880" w:hanging="360"/>
      </w:pPr>
      <w:rPr>
        <w:rFonts w:ascii="Symbol" w:hAnsi="Symbol" w:hint="default"/>
      </w:rPr>
    </w:lvl>
    <w:lvl w:ilvl="4" w:tplc="1996E162">
      <w:start w:val="1"/>
      <w:numFmt w:val="bullet"/>
      <w:lvlText w:val="o"/>
      <w:lvlJc w:val="left"/>
      <w:pPr>
        <w:ind w:left="3600" w:hanging="360"/>
      </w:pPr>
      <w:rPr>
        <w:rFonts w:ascii="Courier New" w:hAnsi="Courier New" w:hint="default"/>
      </w:rPr>
    </w:lvl>
    <w:lvl w:ilvl="5" w:tplc="1E2028A2">
      <w:start w:val="1"/>
      <w:numFmt w:val="bullet"/>
      <w:lvlText w:val=""/>
      <w:lvlJc w:val="left"/>
      <w:pPr>
        <w:ind w:left="4320" w:hanging="360"/>
      </w:pPr>
      <w:rPr>
        <w:rFonts w:ascii="Wingdings" w:hAnsi="Wingdings" w:hint="default"/>
      </w:rPr>
    </w:lvl>
    <w:lvl w:ilvl="6" w:tplc="2208E0E4">
      <w:start w:val="1"/>
      <w:numFmt w:val="bullet"/>
      <w:lvlText w:val=""/>
      <w:lvlJc w:val="left"/>
      <w:pPr>
        <w:ind w:left="5040" w:hanging="360"/>
      </w:pPr>
      <w:rPr>
        <w:rFonts w:ascii="Symbol" w:hAnsi="Symbol" w:hint="default"/>
      </w:rPr>
    </w:lvl>
    <w:lvl w:ilvl="7" w:tplc="2D2C737A">
      <w:start w:val="1"/>
      <w:numFmt w:val="bullet"/>
      <w:lvlText w:val="o"/>
      <w:lvlJc w:val="left"/>
      <w:pPr>
        <w:ind w:left="5760" w:hanging="360"/>
      </w:pPr>
      <w:rPr>
        <w:rFonts w:ascii="Courier New" w:hAnsi="Courier New" w:hint="default"/>
      </w:rPr>
    </w:lvl>
    <w:lvl w:ilvl="8" w:tplc="73C60BD6">
      <w:start w:val="1"/>
      <w:numFmt w:val="bullet"/>
      <w:lvlText w:val=""/>
      <w:lvlJc w:val="left"/>
      <w:pPr>
        <w:ind w:left="6480" w:hanging="360"/>
      </w:pPr>
      <w:rPr>
        <w:rFonts w:ascii="Wingdings" w:hAnsi="Wingdings" w:hint="default"/>
      </w:rPr>
    </w:lvl>
  </w:abstractNum>
  <w:num w:numId="1" w16cid:durableId="628315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E0057"/>
    <w:rsid w:val="001152BE"/>
    <w:rsid w:val="001816D6"/>
    <w:rsid w:val="00185F5E"/>
    <w:rsid w:val="001923DC"/>
    <w:rsid w:val="001B4147"/>
    <w:rsid w:val="002327C3"/>
    <w:rsid w:val="00312392"/>
    <w:rsid w:val="003F23D8"/>
    <w:rsid w:val="004040C0"/>
    <w:rsid w:val="00437E9C"/>
    <w:rsid w:val="00550766"/>
    <w:rsid w:val="005F3B2E"/>
    <w:rsid w:val="00701F64"/>
    <w:rsid w:val="007A7B6D"/>
    <w:rsid w:val="007B5B5F"/>
    <w:rsid w:val="007D233B"/>
    <w:rsid w:val="0085070B"/>
    <w:rsid w:val="00960E74"/>
    <w:rsid w:val="00A17247"/>
    <w:rsid w:val="00A863EC"/>
    <w:rsid w:val="00BA642E"/>
    <w:rsid w:val="00BC236F"/>
    <w:rsid w:val="00C802F5"/>
    <w:rsid w:val="00C96B2C"/>
    <w:rsid w:val="00CC04C1"/>
    <w:rsid w:val="00D843EC"/>
    <w:rsid w:val="00DE3F8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table" w:styleId="Tablaconcuadrcula">
    <w:name w:val="Table Grid"/>
    <w:basedOn w:val="Tablanormal"/>
    <w:uiPriority w:val="59"/>
    <w:rsid w:val="00960E7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andard">
    <w:name w:val="Standard"/>
    <w:rsid w:val="003F23D8"/>
    <w:pPr>
      <w:suppressAutoHyphens/>
      <w:autoSpaceDN w:val="0"/>
      <w:spacing w:after="0" w:line="240" w:lineRule="auto"/>
      <w:textAlignment w:val="baseline"/>
    </w:pPr>
    <w:rPr>
      <w:rFonts w:ascii="Liberation Serif" w:eastAsia="NSimSun" w:hAnsi="Liberation Serif" w:cs="Lucida Sans"/>
      <w:kern w:val="3"/>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16</Pages>
  <Words>6067</Words>
  <Characters>36711</Characters>
  <Application>Microsoft Office Word</Application>
  <DocSecurity>0</DocSecurity>
  <Lines>532</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Damián Tornese</cp:lastModifiedBy>
  <cp:revision>8</cp:revision>
  <dcterms:created xsi:type="dcterms:W3CDTF">2026-03-14T03:50:00Z</dcterms:created>
  <dcterms:modified xsi:type="dcterms:W3CDTF">2026-07-13T00:43:00Z</dcterms:modified>
</cp:coreProperties>
</file>