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48DBF" w14:textId="77777777" w:rsidR="00353DD9" w:rsidRDefault="00353DD9" w:rsidP="00353DD9">
      <w:pPr>
        <w:tabs>
          <w:tab w:val="center" w:pos="4252"/>
          <w:tab w:val="right" w:pos="8504"/>
        </w:tabs>
        <w:spacing w:after="0" w:line="240" w:lineRule="auto"/>
        <w:jc w:val="center"/>
        <w:rPr>
          <w:rFonts w:ascii="Times New Roman" w:hAnsi="Times New Roman" w:cs="Times New Roman"/>
          <w:b/>
          <w:bCs/>
        </w:rPr>
      </w:pPr>
      <w:r w:rsidRPr="00353DD9">
        <w:rPr>
          <w:rFonts w:ascii="Times New Roman" w:hAnsi="Times New Roman" w:cs="Times New Roman"/>
          <w:b/>
          <w:bCs/>
        </w:rPr>
        <w:t>La formación universitaria para Educación Física y el deporte en América Latina: características y desafíos</w:t>
      </w:r>
    </w:p>
    <w:p w14:paraId="3F6986E9" w14:textId="2CDECD47" w:rsidR="005F3B2E" w:rsidRPr="00D852DD" w:rsidRDefault="00C802F5" w:rsidP="00C802F5">
      <w:pPr>
        <w:tabs>
          <w:tab w:val="center" w:pos="4252"/>
          <w:tab w:val="right" w:pos="8504"/>
        </w:tabs>
        <w:spacing w:after="0" w:line="240" w:lineRule="auto"/>
        <w:rPr>
          <w:rFonts w:ascii="Times New Roman" w:hAnsi="Times New Roman" w:cs="Times New Roman"/>
          <w:lang w:val="pt-BR"/>
        </w:rPr>
      </w:pPr>
      <w:r w:rsidRPr="0077367E">
        <w:rPr>
          <w:rFonts w:ascii="Times New Roman" w:hAnsi="Times New Roman" w:cs="Times New Roman"/>
          <w:lang w:val="es-ES"/>
        </w:rPr>
        <w:tab/>
      </w:r>
      <w:r w:rsidRPr="0077367E">
        <w:rPr>
          <w:rFonts w:ascii="Times New Roman" w:hAnsi="Times New Roman" w:cs="Times New Roman"/>
          <w:lang w:val="es-ES"/>
        </w:rPr>
        <w:tab/>
      </w:r>
      <w:r w:rsidR="00F462A8" w:rsidRPr="00D852DD">
        <w:rPr>
          <w:rFonts w:ascii="Times New Roman" w:hAnsi="Times New Roman" w:cs="Times New Roman"/>
          <w:lang w:val="pt-BR"/>
        </w:rPr>
        <w:t>Jean Carlos Freitas Gama</w:t>
      </w:r>
    </w:p>
    <w:p w14:paraId="4E696C7D" w14:textId="63E8BFB1" w:rsidR="005F3B2E" w:rsidRPr="00F462A8" w:rsidRDefault="00F462A8" w:rsidP="005F3B2E">
      <w:pPr>
        <w:spacing w:after="0" w:line="240" w:lineRule="auto"/>
        <w:jc w:val="right"/>
        <w:rPr>
          <w:rFonts w:ascii="Times New Roman" w:hAnsi="Times New Roman" w:cs="Times New Roman"/>
          <w:lang w:val="pt-BR"/>
        </w:rPr>
      </w:pPr>
      <w:r w:rsidRPr="00F462A8">
        <w:rPr>
          <w:rFonts w:ascii="Times New Roman" w:hAnsi="Times New Roman" w:cs="Times New Roman"/>
          <w:lang w:val="pt-BR"/>
        </w:rPr>
        <w:t>Universidade Federal de Mato Grosso</w:t>
      </w:r>
    </w:p>
    <w:p w14:paraId="3D73DB11" w14:textId="4F2A11CE" w:rsidR="005F3B2E" w:rsidRDefault="00F462A8" w:rsidP="005F3B2E">
      <w:pPr>
        <w:spacing w:after="0" w:line="240" w:lineRule="auto"/>
        <w:jc w:val="right"/>
        <w:rPr>
          <w:rFonts w:ascii="Times New Roman" w:hAnsi="Times New Roman" w:cs="Times New Roman"/>
          <w:lang w:val="pt-BR"/>
        </w:rPr>
      </w:pPr>
      <w:r w:rsidRPr="00727284">
        <w:rPr>
          <w:rFonts w:ascii="Times New Roman" w:hAnsi="Times New Roman" w:cs="Times New Roman"/>
          <w:lang w:val="pt-BR"/>
        </w:rPr>
        <w:t>jeanfreitas.gama@gmail.com</w:t>
      </w:r>
    </w:p>
    <w:p w14:paraId="6BAEE6F1" w14:textId="77777777" w:rsidR="0077367E" w:rsidRDefault="0077367E" w:rsidP="005F3B2E">
      <w:pPr>
        <w:spacing w:after="0" w:line="240" w:lineRule="auto"/>
        <w:jc w:val="right"/>
        <w:rPr>
          <w:rFonts w:ascii="Times New Roman" w:hAnsi="Times New Roman" w:cs="Times New Roman"/>
          <w:lang w:val="pt-BR"/>
        </w:rPr>
      </w:pPr>
    </w:p>
    <w:p w14:paraId="4496B9DB" w14:textId="77777777" w:rsidR="00353DD9" w:rsidRDefault="00353DD9" w:rsidP="00353DD9">
      <w:pPr>
        <w:spacing w:after="0" w:line="240" w:lineRule="auto"/>
        <w:jc w:val="right"/>
        <w:rPr>
          <w:rFonts w:ascii="Times New Roman" w:hAnsi="Times New Roman" w:cs="Times New Roman"/>
          <w:lang w:val="pt-BR"/>
        </w:rPr>
      </w:pPr>
      <w:r w:rsidRPr="00353DD9">
        <w:rPr>
          <w:rFonts w:ascii="Times New Roman" w:hAnsi="Times New Roman" w:cs="Times New Roman"/>
          <w:lang w:val="pt-BR"/>
        </w:rPr>
        <w:t>Miguel Lopes Zounar de Freitas</w:t>
      </w:r>
    </w:p>
    <w:p w14:paraId="2BBD8B2F" w14:textId="092B845B" w:rsidR="002740E8" w:rsidRDefault="002740E8" w:rsidP="00353DD9">
      <w:pPr>
        <w:spacing w:after="0" w:line="240" w:lineRule="auto"/>
        <w:jc w:val="right"/>
        <w:rPr>
          <w:rFonts w:ascii="Times New Roman" w:hAnsi="Times New Roman" w:cs="Times New Roman"/>
          <w:lang w:val="pt-BR"/>
        </w:rPr>
      </w:pPr>
      <w:r>
        <w:rPr>
          <w:rFonts w:ascii="Times New Roman" w:hAnsi="Times New Roman" w:cs="Times New Roman"/>
          <w:lang w:val="pt-BR"/>
        </w:rPr>
        <w:t>Universidade Federal de Mato Grosso</w:t>
      </w:r>
    </w:p>
    <w:p w14:paraId="6B1E0DEC" w14:textId="297294A7" w:rsidR="00353DD9" w:rsidRDefault="002740E8" w:rsidP="00353DD9">
      <w:pPr>
        <w:spacing w:after="0" w:line="240" w:lineRule="auto"/>
        <w:jc w:val="right"/>
        <w:rPr>
          <w:rFonts w:ascii="Times New Roman" w:hAnsi="Times New Roman" w:cs="Times New Roman"/>
          <w:lang w:val="pt-BR"/>
        </w:rPr>
      </w:pPr>
      <w:r w:rsidRPr="002740E8">
        <w:rPr>
          <w:rFonts w:ascii="Times New Roman" w:hAnsi="Times New Roman" w:cs="Times New Roman"/>
          <w:lang w:val="pt-BR"/>
        </w:rPr>
        <w:t>miguellopeszounar@gmail.com</w:t>
      </w:r>
    </w:p>
    <w:p w14:paraId="7B08FE22" w14:textId="77777777" w:rsidR="00353DD9" w:rsidRPr="00353DD9" w:rsidRDefault="00353DD9" w:rsidP="00353DD9">
      <w:pPr>
        <w:spacing w:after="0" w:line="240" w:lineRule="auto"/>
        <w:jc w:val="right"/>
        <w:rPr>
          <w:rFonts w:ascii="Times New Roman" w:hAnsi="Times New Roman" w:cs="Times New Roman"/>
          <w:lang w:val="pt-BR"/>
        </w:rPr>
      </w:pPr>
    </w:p>
    <w:p w14:paraId="7A75DE0D" w14:textId="6564E7D0" w:rsidR="00353DD9" w:rsidRDefault="00353DD9" w:rsidP="00353DD9">
      <w:pPr>
        <w:spacing w:after="0" w:line="240" w:lineRule="auto"/>
        <w:jc w:val="right"/>
        <w:rPr>
          <w:rFonts w:ascii="Times New Roman" w:hAnsi="Times New Roman" w:cs="Times New Roman"/>
          <w:lang w:val="pt-BR"/>
        </w:rPr>
      </w:pPr>
      <w:r w:rsidRPr="00353DD9">
        <w:rPr>
          <w:rFonts w:ascii="Times New Roman" w:hAnsi="Times New Roman" w:cs="Times New Roman"/>
          <w:lang w:val="pt-BR"/>
        </w:rPr>
        <w:t>Matheus Lima Frossard</w:t>
      </w:r>
    </w:p>
    <w:p w14:paraId="2C9F98D8" w14:textId="28264CCA" w:rsidR="0077367E" w:rsidRPr="00D852DD" w:rsidRDefault="00353DD9" w:rsidP="005F3B2E">
      <w:pPr>
        <w:spacing w:after="0" w:line="240" w:lineRule="auto"/>
        <w:jc w:val="right"/>
        <w:rPr>
          <w:rFonts w:ascii="Times New Roman" w:hAnsi="Times New Roman" w:cs="Times New Roman"/>
        </w:rPr>
      </w:pPr>
      <w:r w:rsidRPr="00D852DD">
        <w:rPr>
          <w:rFonts w:ascii="Times New Roman" w:hAnsi="Times New Roman" w:cs="Times New Roman"/>
        </w:rPr>
        <w:t>Universidade Federal de Mato Grosso</w:t>
      </w:r>
    </w:p>
    <w:p w14:paraId="4B4F4E84" w14:textId="1CD4B4E8" w:rsidR="00353DD9" w:rsidRPr="00D852DD" w:rsidRDefault="00353DD9" w:rsidP="005F3B2E">
      <w:pPr>
        <w:spacing w:after="0" w:line="240" w:lineRule="auto"/>
        <w:jc w:val="right"/>
        <w:rPr>
          <w:rFonts w:ascii="Times New Roman" w:hAnsi="Times New Roman" w:cs="Times New Roman"/>
        </w:rPr>
      </w:pPr>
      <w:r w:rsidRPr="00D852DD">
        <w:rPr>
          <w:rFonts w:ascii="Times New Roman" w:hAnsi="Times New Roman" w:cs="Times New Roman"/>
        </w:rPr>
        <w:t>matheusmlf1@gmail.com</w:t>
      </w:r>
    </w:p>
    <w:p w14:paraId="1B43FD84" w14:textId="77777777" w:rsidR="001923DC" w:rsidRPr="00D852DD" w:rsidRDefault="001923DC" w:rsidP="001923DC">
      <w:pPr>
        <w:jc w:val="center"/>
        <w:rPr>
          <w:rFonts w:ascii="Times New Roman" w:hAnsi="Times New Roman" w:cs="Times New Roman"/>
        </w:rPr>
      </w:pPr>
    </w:p>
    <w:p w14:paraId="156C9DF0" w14:textId="77777777" w:rsidR="007B5B5F" w:rsidRPr="00D852DD"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D852DD">
        <w:rPr>
          <w:rFonts w:ascii="Times New Roman" w:hAnsi="Times New Roman" w:cs="Times New Roman"/>
          <w:b/>
          <w:bCs/>
          <w:color w:val="EE0000"/>
        </w:rPr>
        <w:t>Instrucciones:</w:t>
      </w:r>
      <w:r w:rsidRPr="00D852DD">
        <w:rPr>
          <w:rFonts w:ascii="Times New Roman" w:hAnsi="Times New Roman" w:cs="Times New Roman"/>
          <w:color w:val="EE0000"/>
        </w:rPr>
        <w:t xml:space="preserve"> </w:t>
      </w:r>
    </w:p>
    <w:p w14:paraId="6730F5D0" w14:textId="4E8D1507" w:rsidR="00BA642E" w:rsidRPr="00BA642E"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BA642E">
        <w:rPr>
          <w:rFonts w:ascii="Times New Roman" w:hAnsi="Times New Roman" w:cs="Times New Roman"/>
          <w:color w:val="EE0000"/>
        </w:rPr>
        <w:t>Las ponencias completas deberán tener una extensión de entre 5.000 y 8.000 palabras. Deben enviarse este archivo en formato Word</w:t>
      </w:r>
      <w:r w:rsidR="007B5B5F">
        <w:rPr>
          <w:rFonts w:ascii="Times New Roman" w:hAnsi="Times New Roman" w:cs="Times New Roman"/>
          <w:color w:val="EE0000"/>
        </w:rPr>
        <w:t xml:space="preserve"> (en ningún caso PDF). </w:t>
      </w:r>
      <w:r w:rsidRPr="00BA642E">
        <w:rPr>
          <w:rFonts w:ascii="Times New Roman" w:hAnsi="Times New Roman" w:cs="Times New Roman"/>
          <w:color w:val="EE0000"/>
        </w:rPr>
        <w:t>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14:paraId="714018CD" w14:textId="632CF3AD" w:rsidR="00BA642E" w:rsidRP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EE0000"/>
        </w:rPr>
      </w:pPr>
      <w:r w:rsidRPr="007B5B5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BA642E" w:rsidRDefault="00BA642E" w:rsidP="005F3B2E">
      <w:pPr>
        <w:rPr>
          <w:rFonts w:ascii="Times New Roman" w:hAnsi="Times New Roman" w:cs="Times New Roman"/>
          <w:b/>
          <w:bCs/>
        </w:rPr>
      </w:pPr>
    </w:p>
    <w:p w14:paraId="186BA2FD" w14:textId="6D89C643" w:rsidR="0077367E" w:rsidRPr="00353DD9" w:rsidRDefault="00BA642E" w:rsidP="00353DD9">
      <w:pPr>
        <w:jc w:val="both"/>
        <w:rPr>
          <w:lang w:val="es-ES"/>
        </w:rPr>
      </w:pPr>
      <w:r w:rsidRPr="00977634">
        <w:rPr>
          <w:rFonts w:ascii="Times New Roman" w:hAnsi="Times New Roman" w:cs="Times New Roman"/>
          <w:b/>
          <w:bCs/>
          <w:lang w:val="es-ES"/>
        </w:rPr>
        <w:t>Resumen:</w:t>
      </w:r>
      <w:r w:rsidR="007B5B5F" w:rsidRPr="00977634">
        <w:rPr>
          <w:rFonts w:ascii="Times New Roman" w:hAnsi="Times New Roman" w:cs="Times New Roman"/>
          <w:b/>
          <w:bCs/>
          <w:lang w:val="es-ES"/>
        </w:rPr>
        <w:t xml:space="preserve"> </w:t>
      </w:r>
      <w:r w:rsidR="00353DD9" w:rsidRPr="00E20820">
        <w:rPr>
          <w:rFonts w:ascii="Times New Roman" w:eastAsia="Times New Roman" w:hAnsi="Times New Roman"/>
          <w:lang w:val="es-ES"/>
        </w:rPr>
        <w:t xml:space="preserve">El objetivo de este trabajo es presentar y discutir un panorama de la formación universitaria y profesional que habilita a sujetos para el trabajo en la Educación Física y el deporte en los 18 países hispanohablantes de América Latina. La investigación identifica las instituciones, examina su distribución territorial, caracteriza las modalidades formativas y analiza los objetivos que orientan los programas. Se trata de una investigación cualitativa y exploratoria, desarrollada mediante análisis documental crítico, método comparativo y paradigma indiciario. El corpus empírico está compuesto por informaciones institucionales, planes de curso, proyectos educativos y documentos oficiales disponibles en sitios web de instituciones de enseñanza, ministerios y organismos vinculados a la educación y al deporte. Fueron identificadas 140 instituciones y 227 programas formativos. Los resultados evidencian una concentración importante en Colombia, Argentina, Chile y México, países que reúnen más de la mitad de las instituciones mapeadas. También se observa una pluralidad de </w:t>
      </w:r>
      <w:r w:rsidR="00353DD9" w:rsidRPr="00E20820">
        <w:rPr>
          <w:rFonts w:ascii="Times New Roman" w:eastAsia="Times New Roman" w:hAnsi="Times New Roman"/>
          <w:lang w:val="es-ES"/>
        </w:rPr>
        <w:lastRenderedPageBreak/>
        <w:t>nomenclaturas, niveles y sentidos atribuidos a la formación, que incluyen pregrados, tecnologías superiores, programas técnicos, capacitaciones, complementaciones, especializaciones, dobles grados, bachilleratos y cursos promovidos por federaciones deportivas. El análisis permite afirmar que la formación para el deporte en la región se configura en una zona de intersección entre la Educación Física, el entrenamiento, la gestión, la salud, el ocio y las prácticas deportivas. Al mismo tiempo, revela tensiones entre formación amplia y formación específica, entre habilitación legal y preparación profesional, y entre singularidades nacionales y posibles ejes comunes latinoamericanos. Se concluye que pensar la formación universitaria y profesional en Educación Física y deporte en América Latina exige reconocer las diferencias históricas, culturales y legislativas de cada país, sin perder de vista la necesidad de construir diálogos regionales que fortalezcan el campo académico, político y pedagógico.</w:t>
      </w:r>
    </w:p>
    <w:p w14:paraId="6101AD8B" w14:textId="4ACA1D7E" w:rsidR="0077367E" w:rsidRDefault="00BA642E" w:rsidP="00353DD9">
      <w:pPr>
        <w:spacing w:after="0"/>
        <w:jc w:val="both"/>
        <w:rPr>
          <w:lang w:val="es-ES"/>
        </w:rPr>
      </w:pPr>
      <w:r w:rsidRPr="007B5B5F">
        <w:rPr>
          <w:rFonts w:ascii="Times New Roman" w:hAnsi="Times New Roman" w:cs="Times New Roman"/>
          <w:b/>
          <w:bCs/>
        </w:rPr>
        <w:t xml:space="preserve">Palabras clave: </w:t>
      </w:r>
      <w:r w:rsidR="00353DD9">
        <w:rPr>
          <w:rFonts w:ascii="Times New Roman" w:eastAsia="Times New Roman" w:hAnsi="Times New Roman"/>
        </w:rPr>
        <w:t>Formación u</w:t>
      </w:r>
      <w:r w:rsidR="00353DD9" w:rsidRPr="00353DD9">
        <w:rPr>
          <w:rFonts w:ascii="Times New Roman" w:eastAsia="Times New Roman" w:hAnsi="Times New Roman"/>
        </w:rPr>
        <w:t xml:space="preserve">niversitaria, Educación Física, </w:t>
      </w:r>
      <w:r w:rsidR="00353DD9">
        <w:rPr>
          <w:rFonts w:ascii="Times New Roman" w:eastAsia="Times New Roman" w:hAnsi="Times New Roman"/>
        </w:rPr>
        <w:t>d</w:t>
      </w:r>
      <w:r w:rsidR="00353DD9" w:rsidRPr="00353DD9">
        <w:rPr>
          <w:rFonts w:ascii="Times New Roman" w:eastAsia="Times New Roman" w:hAnsi="Times New Roman"/>
        </w:rPr>
        <w:t>eporte, América Latina</w:t>
      </w:r>
    </w:p>
    <w:p w14:paraId="3F9C023C" w14:textId="77777777" w:rsidR="00353DD9" w:rsidRPr="00353DD9" w:rsidRDefault="00353DD9" w:rsidP="00353DD9">
      <w:pPr>
        <w:spacing w:after="0"/>
        <w:jc w:val="both"/>
        <w:rPr>
          <w:lang w:val="es-ES"/>
        </w:rPr>
      </w:pPr>
    </w:p>
    <w:p w14:paraId="6A5547A1" w14:textId="36B7FAC2" w:rsidR="00BA642E"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774A05FE" w14:textId="448C54EA" w:rsidR="00353DD9" w:rsidRPr="00E20820" w:rsidRDefault="00353DD9" w:rsidP="00353DD9">
      <w:pPr>
        <w:jc w:val="both"/>
        <w:rPr>
          <w:lang w:val="es-ES"/>
        </w:rPr>
      </w:pPr>
      <w:r w:rsidRPr="00E20820">
        <w:rPr>
          <w:rFonts w:ascii="Times New Roman" w:eastAsia="Times New Roman" w:hAnsi="Times New Roman"/>
          <w:lang w:val="es-ES"/>
        </w:rPr>
        <w:t xml:space="preserve">La formación de profesionales para la Educación Física y el deporte constituye un problema central para comprender cómo las sociedades latinoamericanas organizan, legitiman y proyectan sus prácticas corporales, deportivas y educativas. En los últimos años, distintas investigaciones han señalado la necesidad de analizar con mayor profundidad los currículos, los perfiles profesionales y las modalidades de formación que preparan a los sujetos para actuar en este campo (Ayala-Zuluaga et al., 2015; </w:t>
      </w:r>
      <w:r w:rsidR="00DA47A9">
        <w:rPr>
          <w:rFonts w:ascii="Times New Roman" w:eastAsia="Times New Roman" w:hAnsi="Times New Roman"/>
          <w:lang w:val="es-ES"/>
        </w:rPr>
        <w:t xml:space="preserve">Isaza et al., 2019. </w:t>
      </w:r>
      <w:r w:rsidRPr="00E20820">
        <w:rPr>
          <w:rFonts w:ascii="Times New Roman" w:eastAsia="Times New Roman" w:hAnsi="Times New Roman"/>
          <w:lang w:val="es-ES"/>
        </w:rPr>
        <w:t>Esta preocupación se vuelve todavía más relevante cuando el análisis se desplaza desde estudios nacionales aislados hacia una mirada comparativa sobre América Latina, región marcada por vínculos históricos, aproximaciones lingüísticas, desigualdades estructurales, experiencias coloniales compartidas y, al mismo tiempo, por una notable diversidad cultural, política y educativa</w:t>
      </w:r>
      <w:r w:rsidR="00E27F98" w:rsidRPr="00E27F98">
        <w:rPr>
          <w:rFonts w:ascii="Times New Roman" w:eastAsia="Times New Roman" w:hAnsi="Times New Roman"/>
          <w:lang w:val="es-ES"/>
        </w:rPr>
        <w:t xml:space="preserve"> </w:t>
      </w:r>
      <w:r w:rsidR="00E27F98">
        <w:rPr>
          <w:rFonts w:ascii="Times New Roman" w:eastAsia="Times New Roman" w:hAnsi="Times New Roman"/>
          <w:lang w:val="es-ES"/>
        </w:rPr>
        <w:t>(</w:t>
      </w:r>
      <w:r w:rsidR="00E27F98" w:rsidRPr="00E20820">
        <w:rPr>
          <w:rFonts w:ascii="Times New Roman" w:eastAsia="Times New Roman" w:hAnsi="Times New Roman"/>
          <w:lang w:val="es-ES"/>
        </w:rPr>
        <w:t>Gama et al., 202</w:t>
      </w:r>
      <w:r w:rsidR="00E27F98">
        <w:rPr>
          <w:rFonts w:ascii="Times New Roman" w:eastAsia="Times New Roman" w:hAnsi="Times New Roman"/>
          <w:lang w:val="es-ES"/>
        </w:rPr>
        <w:t>1)</w:t>
      </w:r>
      <w:r w:rsidRPr="00E20820">
        <w:rPr>
          <w:rFonts w:ascii="Times New Roman" w:eastAsia="Times New Roman" w:hAnsi="Times New Roman"/>
          <w:lang w:val="es-ES"/>
        </w:rPr>
        <w:t>.</w:t>
      </w:r>
    </w:p>
    <w:p w14:paraId="6DD4E5D2" w14:textId="77777777" w:rsidR="00353DD9" w:rsidRPr="00E20820" w:rsidRDefault="00353DD9" w:rsidP="00353DD9">
      <w:pPr>
        <w:jc w:val="both"/>
        <w:rPr>
          <w:lang w:val="es-ES"/>
        </w:rPr>
      </w:pPr>
      <w:r w:rsidRPr="00E20820">
        <w:rPr>
          <w:rFonts w:ascii="Times New Roman" w:eastAsia="Times New Roman" w:hAnsi="Times New Roman"/>
          <w:lang w:val="es-ES"/>
        </w:rPr>
        <w:t>En este trabajo, el foco recae sobre los 18 países hispanohablantes de América Latina. La delimitación no pretende reducir la complejidad regional a una unidad homogénea, sino construir un recorte analítico que permita observar regularidades, diferencias y tensiones en los procesos formativos. La lengua española, aunque no agota la diversidad cultural de esos países, ofrece una vía de aproximación al conjunto de documentos institucionales y programas formativos. Al mismo tiempo, permite problematizar cómo se han organizado las ofertas de formación en Educación Física y deporte en países que comparten algunos elementos históricos, pero que poseen sistemas educativos, legislaciones deportivas, trayectorias universitarias y modos de institucionalización profesional muy distintos.</w:t>
      </w:r>
    </w:p>
    <w:p w14:paraId="1B818F92" w14:textId="4F72334B" w:rsidR="00353DD9" w:rsidRPr="00E20820" w:rsidRDefault="00353DD9" w:rsidP="00353DD9">
      <w:pPr>
        <w:jc w:val="both"/>
        <w:rPr>
          <w:lang w:val="es-ES"/>
        </w:rPr>
      </w:pPr>
      <w:r w:rsidRPr="00E20820">
        <w:rPr>
          <w:rFonts w:ascii="Times New Roman" w:eastAsia="Times New Roman" w:hAnsi="Times New Roman"/>
          <w:lang w:val="es-ES"/>
        </w:rPr>
        <w:lastRenderedPageBreak/>
        <w:t>La relevancia de este debate se vincula, en primer lugar, con la amplitud del fenómeno deportivo. El deporte no se restringe al rendimiento competitivo ni a la formación de atletas. Se expresa en la escuela, en clubes, academias, proyectos sociales, federaciones, políticas públicas, programas de salud, espacios comunitarios, iniciativas de ocio, prácticas de recreación y procesos de gestión</w:t>
      </w:r>
      <w:r w:rsidR="00E27F98">
        <w:rPr>
          <w:rFonts w:ascii="Times New Roman" w:eastAsia="Times New Roman" w:hAnsi="Times New Roman"/>
          <w:lang w:val="es-ES"/>
        </w:rPr>
        <w:t xml:space="preserve"> </w:t>
      </w:r>
      <w:r w:rsidR="00E27F98" w:rsidRPr="00DF28CE">
        <w:rPr>
          <w:rFonts w:ascii="Times New Roman" w:eastAsia="Times New Roman" w:hAnsi="Times New Roman"/>
          <w:lang w:val="es-ES"/>
        </w:rPr>
        <w:t>(Oliveira Junior, 2026)</w:t>
      </w:r>
      <w:r w:rsidRPr="00DF28CE">
        <w:rPr>
          <w:rFonts w:ascii="Times New Roman" w:eastAsia="Times New Roman" w:hAnsi="Times New Roman"/>
          <w:lang w:val="es-ES"/>
        </w:rPr>
        <w:t>.</w:t>
      </w:r>
      <w:r w:rsidRPr="00E20820">
        <w:rPr>
          <w:rFonts w:ascii="Times New Roman" w:eastAsia="Times New Roman" w:hAnsi="Times New Roman"/>
          <w:lang w:val="es-ES"/>
        </w:rPr>
        <w:t xml:space="preserve"> Por ello, hablar de formación </w:t>
      </w:r>
      <w:r w:rsidR="00DA47A9">
        <w:rPr>
          <w:rFonts w:ascii="Times New Roman" w:eastAsia="Times New Roman" w:hAnsi="Times New Roman"/>
          <w:lang w:val="es-ES"/>
        </w:rPr>
        <w:t xml:space="preserve">universitaria </w:t>
      </w:r>
      <w:r w:rsidRPr="00E20820">
        <w:rPr>
          <w:rFonts w:ascii="Times New Roman" w:eastAsia="Times New Roman" w:hAnsi="Times New Roman"/>
          <w:lang w:val="es-ES"/>
        </w:rPr>
        <w:t>para la Educación Física y el deporte implica preguntar qué tipos de profesionales son formados, con qué finalidades, para qué ámbitos de actuación, bajo qué racionalidades curriculares y a partir de qué concepciones de cuerpo, educación, entrenamiento, salud, cultura y ciudadanía.</w:t>
      </w:r>
    </w:p>
    <w:p w14:paraId="546D8544" w14:textId="58F4E503" w:rsidR="00353DD9" w:rsidRPr="00E20820" w:rsidRDefault="00353DD9" w:rsidP="00353DD9">
      <w:pPr>
        <w:jc w:val="both"/>
        <w:rPr>
          <w:lang w:val="es-ES"/>
        </w:rPr>
      </w:pPr>
      <w:r w:rsidRPr="00E20820">
        <w:rPr>
          <w:rFonts w:ascii="Times New Roman" w:eastAsia="Times New Roman" w:hAnsi="Times New Roman"/>
          <w:lang w:val="es-ES"/>
        </w:rPr>
        <w:t xml:space="preserve">En segundo lugar, este debate es importante porque la literatura muestra que el campo todavía carece de investigaciones comparativas de amplio alcance sobre la formación para el deporte en América Latina hispanohablante. Silva y Bedoya (2015) reunieron estudios sobre la formación profesional en Educación Física en diferentes países latinoamericanos, destacando encuentros, diversidades y desafíos de la región. Isaza et al. (2019), por su parte, investigaron programas de formación superior en Educación Física, deporte y áreas afines en Argentina, Chile, Colombia y México, evidenciando perfiles profesionales, desafíos curriculares </w:t>
      </w:r>
      <w:r w:rsidR="009639A3">
        <w:rPr>
          <w:rFonts w:ascii="Times New Roman" w:eastAsia="Times New Roman" w:hAnsi="Times New Roman"/>
          <w:lang w:val="es-ES"/>
        </w:rPr>
        <w:t>y denominaciones variadas. Gama, Ferreira Neto y Santos</w:t>
      </w:r>
      <w:r w:rsidRPr="00E20820">
        <w:rPr>
          <w:rFonts w:ascii="Times New Roman" w:eastAsia="Times New Roman" w:hAnsi="Times New Roman"/>
          <w:lang w:val="es-ES"/>
        </w:rPr>
        <w:t xml:space="preserve"> (2021) </w:t>
      </w:r>
      <w:r w:rsidR="00BE5D77">
        <w:rPr>
          <w:rFonts w:ascii="Times New Roman" w:eastAsia="Times New Roman" w:hAnsi="Times New Roman"/>
          <w:lang w:val="es-ES"/>
        </w:rPr>
        <w:t xml:space="preserve">y Paula, Oliveira Junior y Gama (2022) </w:t>
      </w:r>
      <w:r w:rsidRPr="00E20820">
        <w:rPr>
          <w:rFonts w:ascii="Times New Roman" w:eastAsia="Times New Roman" w:hAnsi="Times New Roman"/>
          <w:lang w:val="es-ES"/>
        </w:rPr>
        <w:t>también contribuyeron al señalar el lugar todavía limitado de los estudios sobre formación para actuar con el deporte en un contexto internacional. Sin embargo, persiste la necesidad de producir un mapa más amplio, capaz de reunir informaciones de los países hispanohablantes de América Latina y de discutir sus configuraciones formativas.</w:t>
      </w:r>
    </w:p>
    <w:p w14:paraId="5036BC23" w14:textId="77777777" w:rsidR="00AD1675" w:rsidRPr="00E20820" w:rsidRDefault="00353DD9" w:rsidP="00AD1675">
      <w:pPr>
        <w:jc w:val="both"/>
        <w:rPr>
          <w:lang w:val="es-ES"/>
        </w:rPr>
      </w:pPr>
      <w:r w:rsidRPr="00E20820">
        <w:rPr>
          <w:rFonts w:ascii="Times New Roman" w:eastAsia="Times New Roman" w:hAnsi="Times New Roman"/>
          <w:lang w:val="es-ES"/>
        </w:rPr>
        <w:t>Desde esta perspectiva, el objetivo del trabajo es presentar un panorama sobre cómo está presente la formación universitaria y profesional que habilita el trabajo en la Educación Física y el deporte en los 18 países hispanohablantes de América Latina, identificando las instituciones, analizando sus distribuciones y examinando los objetivos formativos de sus programas. A partir de este objetivo, se busca comprender cómo se materializan distintas modalidades de formación, qué perfiles profesionales son privilegiados y de qué modo se articulan o se tensionan las nociones de Educación Física, deporte, entrenamiento, gestión y formación integral.</w:t>
      </w:r>
      <w:r w:rsidR="00AD1675">
        <w:rPr>
          <w:rFonts w:ascii="Times New Roman" w:eastAsia="Times New Roman" w:hAnsi="Times New Roman"/>
          <w:lang w:val="es-ES"/>
        </w:rPr>
        <w:t xml:space="preserve"> </w:t>
      </w:r>
      <w:r w:rsidR="00AD1675" w:rsidRPr="00E20820">
        <w:rPr>
          <w:rFonts w:ascii="Times New Roman" w:eastAsia="Times New Roman" w:hAnsi="Times New Roman"/>
          <w:lang w:val="es-ES"/>
        </w:rPr>
        <w:t>La comparación, en este sentido, no busca ordenar países en una escala jerárquica, sino identificar aproximaciones, distanciamientos y configuraciones que ayudan a pensar América Latina como un espacio de circulación de ideas, políticas, prácticas y problemas comunes.</w:t>
      </w:r>
    </w:p>
    <w:p w14:paraId="6394DD7B" w14:textId="1A038304" w:rsidR="0077367E" w:rsidRDefault="00353DD9" w:rsidP="00353DD9">
      <w:pPr>
        <w:spacing w:after="0"/>
        <w:jc w:val="both"/>
        <w:rPr>
          <w:lang w:val="es-ES"/>
        </w:rPr>
      </w:pPr>
      <w:r w:rsidRPr="00E20820">
        <w:rPr>
          <w:rFonts w:ascii="Times New Roman" w:eastAsia="Times New Roman" w:hAnsi="Times New Roman"/>
          <w:lang w:val="es-ES"/>
        </w:rPr>
        <w:t xml:space="preserve">El texto se organiza en tres momentos. En la introducción, se delimitan el problema, el objetivo y los fundamentos generales de la investigación. En el desarrollo, se presentan los procedimientos metodológicos, la distribución de las instituciones y programas, las modalidades formativas identificadas y los sentidos atribuidos a la formación en </w:t>
      </w:r>
      <w:r w:rsidRPr="00E20820">
        <w:rPr>
          <w:rFonts w:ascii="Times New Roman" w:eastAsia="Times New Roman" w:hAnsi="Times New Roman"/>
          <w:lang w:val="es-ES"/>
        </w:rPr>
        <w:lastRenderedPageBreak/>
        <w:t>Educación Física y deporte. En las conclusiones, se retoman los principales hallazgos y se discuten desafíos para la construcción de una agenda regional de investigación, cooperación académica y fortalecimiento de la formación profesional en el campo.</w:t>
      </w:r>
    </w:p>
    <w:p w14:paraId="01612ABF" w14:textId="77777777" w:rsidR="00353DD9" w:rsidRPr="00353DD9" w:rsidRDefault="00353DD9" w:rsidP="00353DD9">
      <w:pPr>
        <w:spacing w:after="0"/>
        <w:jc w:val="both"/>
        <w:rPr>
          <w:lang w:val="es-ES"/>
        </w:rPr>
      </w:pPr>
    </w:p>
    <w:p w14:paraId="1728B3C5" w14:textId="70335C08" w:rsidR="00F367D8" w:rsidRDefault="0077367E" w:rsidP="0077367E">
      <w:pPr>
        <w:spacing w:line="240" w:lineRule="auto"/>
        <w:rPr>
          <w:rFonts w:ascii="Times New Roman" w:hAnsi="Times New Roman" w:cs="Times New Roman"/>
          <w:b/>
          <w:bCs/>
          <w:lang w:val="es-ES"/>
        </w:rPr>
      </w:pPr>
      <w:r>
        <w:rPr>
          <w:rFonts w:ascii="Times New Roman" w:hAnsi="Times New Roman" w:cs="Times New Roman"/>
          <w:b/>
          <w:bCs/>
          <w:lang w:val="es-ES"/>
        </w:rPr>
        <w:t>Desarrollo</w:t>
      </w:r>
    </w:p>
    <w:p w14:paraId="60F72EB1" w14:textId="77777777" w:rsidR="00353DD9" w:rsidRPr="00E20820" w:rsidRDefault="00353DD9" w:rsidP="00353DD9">
      <w:pPr>
        <w:jc w:val="both"/>
        <w:rPr>
          <w:lang w:val="es-ES"/>
        </w:rPr>
      </w:pPr>
      <w:r w:rsidRPr="00E20820">
        <w:rPr>
          <w:rFonts w:ascii="Times New Roman" w:eastAsia="Times New Roman" w:hAnsi="Times New Roman"/>
          <w:lang w:val="es-ES"/>
        </w:rPr>
        <w:t>Pensar la formación en Educación Física y deporte en América Latina exige partir de una comprensión amplia de la propia región. América Latina no constituye un bloque uniforme. Está integrada por países ubicados en América del Sur, América Central y América del Norte, con trayectorias históricas diferenciadas, sistemas políticos diversos y configuraciones institucionales heterogéneas. Aun así, es posible reconocer procesos compartidos que atraviesan la región, como la colonización, la centralidad de la lengua española en gran parte de sus territorios, la circulación de modelos educativos europeos y norteamericanos, la expansión de la universidad como institución legitimadora del conocimiento profesional y la presencia del deporte como práctica cultural, pedagógica, competitiva y política.</w:t>
      </w:r>
    </w:p>
    <w:p w14:paraId="76F1CADD" w14:textId="77777777" w:rsidR="00AD1675" w:rsidRDefault="00AD1675" w:rsidP="00353DD9">
      <w:pPr>
        <w:jc w:val="both"/>
        <w:rPr>
          <w:rFonts w:ascii="Times New Roman" w:eastAsia="Times New Roman" w:hAnsi="Times New Roman"/>
          <w:lang w:val="es-ES"/>
        </w:rPr>
      </w:pPr>
      <w:r w:rsidRPr="00AD1675">
        <w:rPr>
          <w:rFonts w:ascii="Times New Roman" w:eastAsia="Times New Roman" w:hAnsi="Times New Roman"/>
          <w:lang w:val="es-ES"/>
        </w:rPr>
        <w:t>La investigación se inscribe en una perspectiva cualitativa y exploratoria. Metodológicamente, articula análisis crítico documental, método comparativo y el paradigma indiciario (</w:t>
      </w:r>
      <w:proofErr w:type="spellStart"/>
      <w:r w:rsidRPr="00AD1675">
        <w:rPr>
          <w:rFonts w:ascii="Times New Roman" w:eastAsia="Times New Roman" w:hAnsi="Times New Roman"/>
          <w:lang w:val="es-ES"/>
        </w:rPr>
        <w:t>Bloch</w:t>
      </w:r>
      <w:proofErr w:type="spellEnd"/>
      <w:r w:rsidRPr="00AD1675">
        <w:rPr>
          <w:rFonts w:ascii="Times New Roman" w:eastAsia="Times New Roman" w:hAnsi="Times New Roman"/>
          <w:lang w:val="es-ES"/>
        </w:rPr>
        <w:t xml:space="preserve">, 1998, 2001; Ferrer, 2002; </w:t>
      </w:r>
      <w:proofErr w:type="spellStart"/>
      <w:r w:rsidRPr="00AD1675">
        <w:rPr>
          <w:rFonts w:ascii="Times New Roman" w:eastAsia="Times New Roman" w:hAnsi="Times New Roman"/>
          <w:lang w:val="es-ES"/>
        </w:rPr>
        <w:t>Ginzburg</w:t>
      </w:r>
      <w:proofErr w:type="spellEnd"/>
      <w:r w:rsidRPr="00AD1675">
        <w:rPr>
          <w:rFonts w:ascii="Times New Roman" w:eastAsia="Times New Roman" w:hAnsi="Times New Roman"/>
          <w:lang w:val="es-ES"/>
        </w:rPr>
        <w:t xml:space="preserve">, 2002). La opción por estos referentes permite tratar los documentos institucionales no como registros neutros, sino como producciones históricas, culturales y políticas. </w:t>
      </w:r>
      <w:r>
        <w:rPr>
          <w:rFonts w:ascii="Times New Roman" w:eastAsia="Times New Roman" w:hAnsi="Times New Roman"/>
          <w:lang w:val="es-ES"/>
        </w:rPr>
        <w:t>E</w:t>
      </w:r>
      <w:r w:rsidR="00353DD9" w:rsidRPr="00E20820">
        <w:rPr>
          <w:rFonts w:ascii="Times New Roman" w:eastAsia="Times New Roman" w:hAnsi="Times New Roman"/>
          <w:lang w:val="es-ES"/>
        </w:rPr>
        <w:t xml:space="preserve">l estudio se desarrolló a partir de fuentes documentales digitales. Fueron consultados sitios oficiales de ministerios de educación, ministerios o secretarías vinculadas al deporte, portales institucionales de universidades, institutos, centros de formación, federaciones y organismos que ofrecen cursos relacionados con Educación Física y deporte. </w:t>
      </w:r>
    </w:p>
    <w:p w14:paraId="347D14A9" w14:textId="35007FAA" w:rsidR="00353DD9" w:rsidRPr="00E20820" w:rsidRDefault="00353DD9" w:rsidP="00353DD9">
      <w:pPr>
        <w:jc w:val="both"/>
        <w:rPr>
          <w:lang w:val="es-ES"/>
        </w:rPr>
      </w:pPr>
      <w:r w:rsidRPr="00E20820">
        <w:rPr>
          <w:rFonts w:ascii="Times New Roman" w:eastAsia="Times New Roman" w:hAnsi="Times New Roman"/>
          <w:lang w:val="es-ES"/>
        </w:rPr>
        <w:t>También se utilizaron buscadores especializados en programas de formación para localizar instituciones y acceder, siempre que fue posible, a los sitios oficiales. La composición del corpus obedeció a tres criterios principales: que la institución estuviera localizada en un país hispanohablante de América Latina; que ofreciera un curso de formación específica o que habilitara profesionalmente para actuar en el deporte o en áreas vinculadas a la Educación Física; y que mantuviera un sitio web oficial activo con informaciones consultables sobre el curso.</w:t>
      </w:r>
    </w:p>
    <w:p w14:paraId="3D8E749B" w14:textId="77777777" w:rsidR="00353DD9" w:rsidRDefault="00353DD9" w:rsidP="00353DD9">
      <w:pPr>
        <w:jc w:val="both"/>
        <w:rPr>
          <w:rFonts w:ascii="Times New Roman" w:eastAsia="Times New Roman" w:hAnsi="Times New Roman"/>
          <w:lang w:val="es-ES"/>
        </w:rPr>
      </w:pPr>
      <w:r w:rsidRPr="00E20820">
        <w:rPr>
          <w:rFonts w:ascii="Times New Roman" w:eastAsia="Times New Roman" w:hAnsi="Times New Roman"/>
          <w:lang w:val="es-ES"/>
        </w:rPr>
        <w:t xml:space="preserve">El uso de fuentes digitales requiere cautela. Como advierte Almeida (2011), el trabajo con documentos disponibles en internet exige verificar procedencia, estabilidad, respaldo institucional y consistencia de la información. Carneiro (2011) también permite comprender que la matriz digital modifica las formas de acceso, lectura y producción de signos, ya que el investigador se desplaza por enlaces, páginas, documentos descargables, perfiles de cursos y materiales institucionales que pueden ser alterados </w:t>
      </w:r>
      <w:r w:rsidRPr="00E20820">
        <w:rPr>
          <w:rFonts w:ascii="Times New Roman" w:eastAsia="Times New Roman" w:hAnsi="Times New Roman"/>
          <w:lang w:val="es-ES"/>
        </w:rPr>
        <w:lastRenderedPageBreak/>
        <w:t>con facilidad. Por esta razón, el análisis no se limitó a recoger nombres de programas. Fue necesario cruzar informaciones, observar objetivos, identificar modalidades, verificar la pertenencia institucional y organizar los datos en una base comparativa.</w:t>
      </w:r>
    </w:p>
    <w:p w14:paraId="77D6545D" w14:textId="77777777" w:rsidR="00AD1675" w:rsidRPr="00E20820" w:rsidRDefault="00AD1675" w:rsidP="00AD1675">
      <w:pPr>
        <w:jc w:val="both"/>
        <w:rPr>
          <w:lang w:val="es-ES"/>
        </w:rPr>
      </w:pPr>
      <w:r w:rsidRPr="00AD1675">
        <w:rPr>
          <w:rFonts w:ascii="Times New Roman" w:eastAsia="Times New Roman" w:hAnsi="Times New Roman"/>
          <w:lang w:val="es-ES"/>
        </w:rPr>
        <w:t>Los planes de curso, perfiles profesionales, objetivos institucionales y nomenclaturas curriculares son entendidos como indicios que expresan concepciones de formación, expectativas sobre el profesional y modos de organizar el campo deportivo y educativo.</w:t>
      </w:r>
      <w:r w:rsidRPr="00E20820">
        <w:rPr>
          <w:rFonts w:ascii="Times New Roman" w:eastAsia="Times New Roman" w:hAnsi="Times New Roman"/>
          <w:lang w:val="es-ES"/>
        </w:rPr>
        <w:t xml:space="preserve"> </w:t>
      </w:r>
    </w:p>
    <w:p w14:paraId="1D1C36A7" w14:textId="77777777" w:rsidR="00353DD9" w:rsidRPr="00E20820" w:rsidRDefault="00353DD9" w:rsidP="00353DD9">
      <w:pPr>
        <w:jc w:val="both"/>
        <w:rPr>
          <w:lang w:val="es-ES"/>
        </w:rPr>
      </w:pPr>
      <w:r w:rsidRPr="00E20820">
        <w:rPr>
          <w:rFonts w:ascii="Times New Roman" w:eastAsia="Times New Roman" w:hAnsi="Times New Roman"/>
          <w:lang w:val="es-ES"/>
        </w:rPr>
        <w:t>El corpus empírico final está compuesto por 140 instituciones y 227 programas formativos distribuidos en los 18 países hispanohablantes de América Latina. Este dato, por sí mismo, ya constituye un aporte para el campo, pues permite visualizar una organización continental de la formación en Educación Física y deporte. La distribución muestra una concentración significativa en pocos países. Colombia reúne 25 instituciones y 31 programas; Argentina, 20 instituciones y 34 programas; Chile, 18 instituciones y 25 programas; México, 14 instituciones y 18 programas. Estos cuatro países concentran más de la mitad de las instituciones identificadas, lo que evidencia su peso en la configuración regional de la oferta formativa.</w:t>
      </w:r>
    </w:p>
    <w:p w14:paraId="5E695E10" w14:textId="77777777" w:rsidR="00353DD9" w:rsidRDefault="00353DD9" w:rsidP="00353DD9">
      <w:pPr>
        <w:jc w:val="both"/>
        <w:rPr>
          <w:rFonts w:ascii="Times New Roman" w:eastAsia="Times New Roman" w:hAnsi="Times New Roman"/>
          <w:lang w:val="es-ES"/>
        </w:rPr>
      </w:pPr>
      <w:r w:rsidRPr="00E20820">
        <w:rPr>
          <w:rFonts w:ascii="Times New Roman" w:eastAsia="Times New Roman" w:hAnsi="Times New Roman"/>
          <w:lang w:val="es-ES"/>
        </w:rPr>
        <w:t>Los demás países presentan distribuciones más reducidas, aunque igualmente relevantes para comprender la diversidad regional. Cuba aparece con 9 instituciones y 15 programas; Ecuador, con 8 instituciones y 17 programas; Perú, con 7 instituciones y 16 programas; Paraguay, con 7 instituciones y 11 programas; Costa Rica, con 5 instituciones y 10 programas; Guatemala, con 5 instituciones y 8 programas; Panamá, con 4 instituciones y 4 programas; Uruguay, con 3 instituciones y 18 programas; Bolivia, con 3 instituciones y 4 programas; Honduras, con 3 instituciones y 3 programas; Nicaragua, con 3 instituciones y 4 programas; Venezuela, con 2 instituciones y 5 programas; República Dominicana, con 2 instituciones y 2 programas; y El Salvador, con 2 instituciones y 2 programas.</w:t>
      </w:r>
    </w:p>
    <w:p w14:paraId="1EA09180" w14:textId="77777777" w:rsidR="002D7620" w:rsidRPr="00E20820" w:rsidRDefault="002D7620" w:rsidP="002D7620">
      <w:pPr>
        <w:jc w:val="both"/>
        <w:rPr>
          <w:lang w:val="es-ES"/>
        </w:rPr>
      </w:pPr>
      <w:r w:rsidRPr="00E20820">
        <w:rPr>
          <w:rFonts w:ascii="Times New Roman" w:eastAsia="Times New Roman" w:hAnsi="Times New Roman"/>
          <w:lang w:val="es-ES"/>
        </w:rPr>
        <w:t xml:space="preserve">El marco teórico utilizado permite abordar esa tensión sin reducirla a una oposición simple. Dewey (1978) ayuda a comprender la formación como experiencia, es decir, como proceso que articula aprendizaje, práctica y vida social. </w:t>
      </w:r>
      <w:proofErr w:type="spellStart"/>
      <w:r w:rsidRPr="00E20820">
        <w:rPr>
          <w:rFonts w:ascii="Times New Roman" w:eastAsia="Times New Roman" w:hAnsi="Times New Roman"/>
          <w:lang w:val="es-ES"/>
        </w:rPr>
        <w:t>Charlot</w:t>
      </w:r>
      <w:proofErr w:type="spellEnd"/>
      <w:r w:rsidRPr="00E20820">
        <w:rPr>
          <w:rFonts w:ascii="Times New Roman" w:eastAsia="Times New Roman" w:hAnsi="Times New Roman"/>
          <w:lang w:val="es-ES"/>
        </w:rPr>
        <w:t xml:space="preserve"> (2000) permite pensar la formación como relación con el saber, lo que implica considerar que el sujeto se forma en vínculos con conocimientos, instituciones, trayectorias, expectativas y prácticas. Sacristán (</w:t>
      </w:r>
      <w:r>
        <w:rPr>
          <w:rFonts w:ascii="Times New Roman" w:eastAsia="Times New Roman" w:hAnsi="Times New Roman"/>
          <w:lang w:val="es-ES"/>
        </w:rPr>
        <w:t>2000</w:t>
      </w:r>
      <w:r w:rsidRPr="00E20820">
        <w:rPr>
          <w:rFonts w:ascii="Times New Roman" w:eastAsia="Times New Roman" w:hAnsi="Times New Roman"/>
          <w:lang w:val="es-ES"/>
        </w:rPr>
        <w:t>) contribuye a distinguir entre currículo prescrito, currículo vivido y currículo practicado, una diferencia central para este estudio, puesto que las fuentes analizadas son predominantemente documentos institucionales y, por lo tanto, expresan aquello que los programas declaran, proponen y autorizan, no necesariamente lo que ocurre en la práctica cotidiana de las aulas, laboratorios, clubes o espacios de entrenamiento.</w:t>
      </w:r>
    </w:p>
    <w:p w14:paraId="10FA9AAB" w14:textId="77777777" w:rsidR="002D7620" w:rsidRPr="00E20820" w:rsidRDefault="002D7620" w:rsidP="002D7620">
      <w:pPr>
        <w:jc w:val="both"/>
        <w:rPr>
          <w:lang w:val="es-ES"/>
        </w:rPr>
      </w:pPr>
      <w:r w:rsidRPr="00E20820">
        <w:rPr>
          <w:rFonts w:ascii="Times New Roman" w:eastAsia="Times New Roman" w:hAnsi="Times New Roman"/>
          <w:lang w:val="es-ES"/>
        </w:rPr>
        <w:lastRenderedPageBreak/>
        <w:t xml:space="preserve">También se considera la contribución de </w:t>
      </w:r>
      <w:proofErr w:type="spellStart"/>
      <w:r w:rsidRPr="00E20820">
        <w:rPr>
          <w:rFonts w:ascii="Times New Roman" w:eastAsia="Times New Roman" w:hAnsi="Times New Roman"/>
          <w:lang w:val="es-ES"/>
        </w:rPr>
        <w:t>Certeau</w:t>
      </w:r>
      <w:proofErr w:type="spellEnd"/>
      <w:r w:rsidRPr="00E20820">
        <w:rPr>
          <w:rFonts w:ascii="Times New Roman" w:eastAsia="Times New Roman" w:hAnsi="Times New Roman"/>
          <w:lang w:val="es-ES"/>
        </w:rPr>
        <w:t xml:space="preserve"> (200</w:t>
      </w:r>
      <w:r>
        <w:rPr>
          <w:rFonts w:ascii="Times New Roman" w:eastAsia="Times New Roman" w:hAnsi="Times New Roman"/>
          <w:lang w:val="es-ES"/>
        </w:rPr>
        <w:t>2</w:t>
      </w:r>
      <w:r w:rsidRPr="00E20820">
        <w:rPr>
          <w:rFonts w:ascii="Times New Roman" w:eastAsia="Times New Roman" w:hAnsi="Times New Roman"/>
          <w:lang w:val="es-ES"/>
        </w:rPr>
        <w:t>), especialmente en la comprensión de las maneras de hacer presentes en cada contexto. Aunque existan denominaciones semejantes entre países, las prácticas de formación no se materializan del mismo modo. Una licenciatura, un pregrado, una tecnología superior o una tecnicatura pueden asumir funciones distintas según la legislación, la tradición universitaria, el mercado laboral, la organización deportiva y los sentidos sociales atribuidos a la Educación Física. Por ello, el análisis de las nomenclaturas debe estar acompañado por la lectura de los objetivos formativos y de los perfiles profesionales indicados por cada institución.</w:t>
      </w:r>
    </w:p>
    <w:p w14:paraId="0B4A6AE6" w14:textId="6386D228" w:rsidR="00353DD9" w:rsidRPr="00E20820" w:rsidRDefault="00353DD9" w:rsidP="00353DD9">
      <w:pPr>
        <w:jc w:val="both"/>
        <w:rPr>
          <w:lang w:val="es-ES"/>
        </w:rPr>
      </w:pPr>
      <w:r w:rsidRPr="00E20820">
        <w:rPr>
          <w:rFonts w:ascii="Times New Roman" w:eastAsia="Times New Roman" w:hAnsi="Times New Roman"/>
          <w:lang w:val="es-ES"/>
        </w:rPr>
        <w:t>La lectura de estos datos no debe restringirse al número absoluto de instituciones. Uruguay, por ejemplo, presenta 3 instituciones, pero concentra 18 programas, lo que indica una densidad interna de oferta formativa en un conjunto institucional reducido. Argentina, por su parte, combina un número elevado de instituciones con el mayor número de programas entre los países mapeados. Colombia se destaca por la cantidad de instituciones y por la diversidad de modalidades formativas. Chile también aparece como un caso relevante, tanto por su distribución institucional como por la presencia de una política nacional que utiliza la expresión Formación para el Deporte, aunque su sentido se aproxime más a la formación de deportistas que a una formación profesional específica para actuar en el campo deportivo (Chile, 2016).</w:t>
      </w:r>
    </w:p>
    <w:p w14:paraId="40F3C04A" w14:textId="77777777" w:rsidR="00353DD9" w:rsidRPr="00E20820" w:rsidRDefault="00353DD9" w:rsidP="00353DD9">
      <w:pPr>
        <w:jc w:val="both"/>
        <w:rPr>
          <w:lang w:val="es-ES"/>
        </w:rPr>
      </w:pPr>
      <w:r w:rsidRPr="00E20820">
        <w:rPr>
          <w:rFonts w:ascii="Times New Roman" w:eastAsia="Times New Roman" w:hAnsi="Times New Roman"/>
          <w:lang w:val="es-ES"/>
        </w:rPr>
        <w:t>La concentración en Colombia, Argentina, Chile y México puede ser interpretada desde diferentes ángulos. Por un lado, estos países poseen sistemas universitarios amplios y tradición institucional en la formación profesional. Por otro, presentan economías, mercados deportivos y estructuras de regulación que favorecen la diversificación de ofertas. Sin embargo, esa concentración no significa que los demás países sean periféricos en términos de relevancia. Al contrario, el análisis comparativo muestra que países con menor número de instituciones pueden presentar modalidades específicas, cursos técnicos vinculados a demandas locales, programas federativos o experiencias formativas que revelan racionalidades distintas de organización profesional.</w:t>
      </w:r>
    </w:p>
    <w:p w14:paraId="03AD4C20" w14:textId="59162540" w:rsidR="003471E6" w:rsidRDefault="00353DD9" w:rsidP="00353DD9">
      <w:pPr>
        <w:jc w:val="both"/>
        <w:rPr>
          <w:rFonts w:ascii="Times New Roman" w:eastAsia="Times New Roman" w:hAnsi="Times New Roman"/>
          <w:lang w:val="es-ES"/>
        </w:rPr>
      </w:pPr>
      <w:r w:rsidRPr="00E20820">
        <w:rPr>
          <w:rFonts w:ascii="Times New Roman" w:eastAsia="Times New Roman" w:hAnsi="Times New Roman"/>
          <w:lang w:val="es-ES"/>
        </w:rPr>
        <w:t xml:space="preserve">Para comprender esta distribución, la investigación recurrió al apoyo del software </w:t>
      </w:r>
      <w:proofErr w:type="spellStart"/>
      <w:r w:rsidRPr="00E20820">
        <w:rPr>
          <w:rFonts w:ascii="Times New Roman" w:eastAsia="Times New Roman" w:hAnsi="Times New Roman"/>
          <w:lang w:val="es-ES"/>
        </w:rPr>
        <w:t>Gephi</w:t>
      </w:r>
      <w:proofErr w:type="spellEnd"/>
      <w:r w:rsidRPr="00E20820">
        <w:rPr>
          <w:rFonts w:ascii="Times New Roman" w:eastAsia="Times New Roman" w:hAnsi="Times New Roman"/>
          <w:lang w:val="es-ES"/>
        </w:rPr>
        <w:t>, utilizado para construir visualizaciones de redes</w:t>
      </w:r>
      <w:r w:rsidR="003471E6">
        <w:rPr>
          <w:rFonts w:ascii="Times New Roman" w:eastAsia="Times New Roman" w:hAnsi="Times New Roman"/>
          <w:lang w:val="es-ES"/>
        </w:rPr>
        <w:t>.</w:t>
      </w:r>
      <w:r w:rsidRPr="00E20820">
        <w:rPr>
          <w:rFonts w:ascii="Times New Roman" w:eastAsia="Times New Roman" w:hAnsi="Times New Roman"/>
          <w:lang w:val="es-ES"/>
        </w:rPr>
        <w:t xml:space="preserve"> </w:t>
      </w:r>
      <w:r w:rsidR="003471E6">
        <w:rPr>
          <w:rFonts w:ascii="Times New Roman" w:eastAsia="Times New Roman" w:hAnsi="Times New Roman"/>
          <w:lang w:val="es-ES"/>
        </w:rPr>
        <w:t xml:space="preserve">En este caso, </w:t>
      </w:r>
      <w:r w:rsidRPr="00E20820">
        <w:rPr>
          <w:rFonts w:ascii="Times New Roman" w:eastAsia="Times New Roman" w:hAnsi="Times New Roman"/>
          <w:lang w:val="es-ES"/>
        </w:rPr>
        <w:t>entre instituciones y modalidades formativas. La herramienta permitió observar agrupamientos, conexiones y recurrencias</w:t>
      </w:r>
      <w:r w:rsidR="002D7620">
        <w:rPr>
          <w:rFonts w:ascii="Times New Roman" w:eastAsia="Times New Roman" w:hAnsi="Times New Roman"/>
          <w:lang w:val="es-ES"/>
        </w:rPr>
        <w:t xml:space="preserve">, evidenciadas en la </w:t>
      </w:r>
      <w:r w:rsidR="00897829">
        <w:rPr>
          <w:rFonts w:ascii="Times New Roman" w:eastAsia="Times New Roman" w:hAnsi="Times New Roman"/>
          <w:lang w:val="es-ES"/>
        </w:rPr>
        <w:t xml:space="preserve">Figura </w:t>
      </w:r>
      <w:r w:rsidR="002D7620">
        <w:rPr>
          <w:rFonts w:ascii="Times New Roman" w:eastAsia="Times New Roman" w:hAnsi="Times New Roman"/>
          <w:lang w:val="es-ES"/>
        </w:rPr>
        <w:t>1</w:t>
      </w:r>
      <w:r w:rsidRPr="00E20820">
        <w:rPr>
          <w:rFonts w:ascii="Times New Roman" w:eastAsia="Times New Roman" w:hAnsi="Times New Roman"/>
          <w:lang w:val="es-ES"/>
        </w:rPr>
        <w:t xml:space="preserve">. </w:t>
      </w:r>
    </w:p>
    <w:p w14:paraId="0F9E1232" w14:textId="77777777" w:rsidR="003471E6" w:rsidRDefault="003471E6" w:rsidP="00353DD9">
      <w:pPr>
        <w:jc w:val="both"/>
        <w:rPr>
          <w:rFonts w:ascii="Times New Roman" w:eastAsia="Times New Roman" w:hAnsi="Times New Roman"/>
          <w:lang w:val="es-ES"/>
        </w:rPr>
      </w:pPr>
    </w:p>
    <w:p w14:paraId="3E2CB66F" w14:textId="77777777" w:rsidR="003471E6" w:rsidRDefault="003471E6" w:rsidP="00353DD9">
      <w:pPr>
        <w:jc w:val="both"/>
        <w:rPr>
          <w:rFonts w:ascii="Times New Roman" w:eastAsia="Times New Roman" w:hAnsi="Times New Roman"/>
          <w:lang w:val="es-ES"/>
        </w:rPr>
      </w:pPr>
    </w:p>
    <w:p w14:paraId="46027A42" w14:textId="77777777" w:rsidR="009639A3" w:rsidRDefault="009639A3" w:rsidP="00353DD9">
      <w:pPr>
        <w:jc w:val="both"/>
        <w:rPr>
          <w:rFonts w:ascii="Times New Roman" w:eastAsia="Times New Roman" w:hAnsi="Times New Roman"/>
          <w:lang w:val="es-ES"/>
        </w:rPr>
      </w:pPr>
    </w:p>
    <w:p w14:paraId="68190B78" w14:textId="77777777" w:rsidR="009639A3" w:rsidRDefault="009639A3" w:rsidP="00353DD9">
      <w:pPr>
        <w:jc w:val="both"/>
        <w:rPr>
          <w:rFonts w:ascii="Times New Roman" w:eastAsia="Times New Roman" w:hAnsi="Times New Roman"/>
          <w:lang w:val="es-ES"/>
        </w:rPr>
      </w:pPr>
    </w:p>
    <w:p w14:paraId="4A79A705" w14:textId="2C03ABA5" w:rsidR="002D7620" w:rsidRPr="002D7620" w:rsidRDefault="002D7620" w:rsidP="002D7620">
      <w:pPr>
        <w:spacing w:after="120"/>
        <w:jc w:val="center"/>
        <w:rPr>
          <w:rFonts w:ascii="Times New Roman" w:hAnsi="Times New Roman" w:cs="Times New Roman"/>
        </w:rPr>
      </w:pPr>
      <w:r w:rsidRPr="002D7620">
        <w:rPr>
          <w:rFonts w:ascii="Times New Roman" w:hAnsi="Times New Roman" w:cs="Times New Roman"/>
          <w:b/>
        </w:rPr>
        <w:lastRenderedPageBreak/>
        <w:t>Figura 1</w:t>
      </w:r>
      <w:r w:rsidRPr="002D7620">
        <w:rPr>
          <w:rFonts w:ascii="Times New Roman" w:hAnsi="Times New Roman" w:cs="Times New Roman"/>
        </w:rPr>
        <w:t xml:space="preserve"> – </w:t>
      </w:r>
      <w:r w:rsidRPr="002D7620">
        <w:rPr>
          <w:rFonts w:ascii="Times New Roman" w:hAnsi="Times New Roman" w:cs="Times New Roman"/>
        </w:rPr>
        <w:t>Instituciones y tipos de formación para el deporte en America Latina</w:t>
      </w:r>
    </w:p>
    <w:p w14:paraId="380946AE" w14:textId="77777777" w:rsidR="002D7620" w:rsidRDefault="002D7620" w:rsidP="002D7620">
      <w:pPr>
        <w:jc w:val="center"/>
        <w:rPr>
          <w:b/>
        </w:rPr>
      </w:pPr>
      <w:r>
        <w:rPr>
          <w:b/>
          <w:noProof/>
          <w:lang w:eastAsia="pt-BR"/>
        </w:rPr>
        <w:drawing>
          <wp:inline distT="0" distB="0" distL="0" distR="0" wp14:anchorId="4F90A7D4" wp14:editId="6938982F">
            <wp:extent cx="4691270" cy="4399685"/>
            <wp:effectExtent l="0" t="0" r="0" b="1270"/>
            <wp:docPr id="4" name="Imagem 4" descr="D:\DOUTORADO\Doutorado\PROJETO\TESE\CAP 5\GEPHI - ENFOQUE PROGRA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UTORADO\Doutorado\PROJETO\TESE\CAP 5\GEPHI - ENFOQUE PROGRAMAS.png"/>
                    <pic:cNvPicPr>
                      <a:picLocks noChangeAspect="1" noChangeArrowheads="1"/>
                    </pic:cNvPicPr>
                  </pic:nvPicPr>
                  <pic:blipFill rotWithShape="1">
                    <a:blip r:embed="rId9">
                      <a:extLst>
                        <a:ext uri="{28A0092B-C50C-407E-A947-70E740481C1C}">
                          <a14:useLocalDpi xmlns:a14="http://schemas.microsoft.com/office/drawing/2010/main" val="0"/>
                        </a:ext>
                      </a:extLst>
                    </a:blip>
                    <a:srcRect t="3177" b="3038"/>
                    <a:stretch/>
                  </pic:blipFill>
                  <pic:spPr bwMode="auto">
                    <a:xfrm>
                      <a:off x="0" y="0"/>
                      <a:ext cx="4699783" cy="4407669"/>
                    </a:xfrm>
                    <a:prstGeom prst="rect">
                      <a:avLst/>
                    </a:prstGeom>
                    <a:noFill/>
                    <a:ln>
                      <a:noFill/>
                    </a:ln>
                    <a:extLst>
                      <a:ext uri="{53640926-AAD7-44D8-BBD7-CCE9431645EC}">
                        <a14:shadowObscured xmlns:a14="http://schemas.microsoft.com/office/drawing/2010/main"/>
                      </a:ext>
                    </a:extLst>
                  </pic:spPr>
                </pic:pic>
              </a:graphicData>
            </a:graphic>
          </wp:inline>
        </w:drawing>
      </w:r>
    </w:p>
    <w:p w14:paraId="7482189C" w14:textId="1DADD877" w:rsidR="002D7620" w:rsidRPr="002D7620" w:rsidRDefault="002D7620" w:rsidP="002D7620">
      <w:pPr>
        <w:jc w:val="both"/>
        <w:rPr>
          <w:rFonts w:ascii="Times New Roman" w:eastAsia="Times New Roman" w:hAnsi="Times New Roman" w:cs="Times New Roman"/>
          <w:lang w:val="es-ES"/>
        </w:rPr>
      </w:pPr>
      <w:r w:rsidRPr="002D7620">
        <w:rPr>
          <w:rFonts w:ascii="Times New Roman" w:hAnsi="Times New Roman" w:cs="Times New Roman"/>
          <w:b/>
        </w:rPr>
        <w:t>Fuente</w:t>
      </w:r>
      <w:r w:rsidRPr="002D7620">
        <w:rPr>
          <w:rFonts w:ascii="Times New Roman" w:hAnsi="Times New Roman" w:cs="Times New Roman"/>
          <w:b/>
        </w:rPr>
        <w:t xml:space="preserve">: </w:t>
      </w:r>
      <w:r w:rsidRPr="002D7620">
        <w:rPr>
          <w:rFonts w:ascii="Times New Roman" w:hAnsi="Times New Roman" w:cs="Times New Roman"/>
        </w:rPr>
        <w:t>D</w:t>
      </w:r>
      <w:r w:rsidRPr="002D7620">
        <w:rPr>
          <w:rFonts w:ascii="Times New Roman" w:hAnsi="Times New Roman" w:cs="Times New Roman"/>
        </w:rPr>
        <w:t>at</w:t>
      </w:r>
      <w:r w:rsidRPr="002D7620">
        <w:rPr>
          <w:rFonts w:ascii="Times New Roman" w:hAnsi="Times New Roman" w:cs="Times New Roman"/>
        </w:rPr>
        <w:t>os d</w:t>
      </w:r>
      <w:r w:rsidRPr="002D7620">
        <w:rPr>
          <w:rFonts w:ascii="Times New Roman" w:hAnsi="Times New Roman" w:cs="Times New Roman"/>
        </w:rPr>
        <w:t>e</w:t>
      </w:r>
      <w:r w:rsidRPr="002D7620">
        <w:rPr>
          <w:rFonts w:ascii="Times New Roman" w:hAnsi="Times New Roman" w:cs="Times New Roman"/>
        </w:rPr>
        <w:t xml:space="preserve"> </w:t>
      </w:r>
      <w:r w:rsidRPr="002D7620">
        <w:rPr>
          <w:rFonts w:ascii="Times New Roman" w:hAnsi="Times New Roman" w:cs="Times New Roman"/>
        </w:rPr>
        <w:t>la investiagación</w:t>
      </w:r>
      <w:r w:rsidRPr="002D7620">
        <w:rPr>
          <w:rFonts w:ascii="Times New Roman" w:hAnsi="Times New Roman" w:cs="Times New Roman"/>
        </w:rPr>
        <w:t>.</w:t>
      </w:r>
    </w:p>
    <w:p w14:paraId="62249C57" w14:textId="2A4E0EE4" w:rsidR="00353DD9" w:rsidRPr="00E20820" w:rsidRDefault="00353DD9" w:rsidP="00353DD9">
      <w:pPr>
        <w:jc w:val="both"/>
        <w:rPr>
          <w:lang w:val="es-ES"/>
        </w:rPr>
      </w:pPr>
      <w:r w:rsidRPr="00E20820">
        <w:rPr>
          <w:rFonts w:ascii="Times New Roman" w:eastAsia="Times New Roman" w:hAnsi="Times New Roman"/>
          <w:lang w:val="es-ES"/>
        </w:rPr>
        <w:t xml:space="preserve">La utilización de algoritmos de visualización, como el </w:t>
      </w:r>
      <w:proofErr w:type="spellStart"/>
      <w:r w:rsidRPr="00E20820">
        <w:rPr>
          <w:rFonts w:ascii="Times New Roman" w:eastAsia="Times New Roman" w:hAnsi="Times New Roman"/>
          <w:lang w:val="es-ES"/>
        </w:rPr>
        <w:t>Fruchterman-Reingold</w:t>
      </w:r>
      <w:proofErr w:type="spellEnd"/>
      <w:r w:rsidRPr="00E20820">
        <w:rPr>
          <w:rFonts w:ascii="Times New Roman" w:eastAsia="Times New Roman" w:hAnsi="Times New Roman"/>
          <w:lang w:val="es-ES"/>
        </w:rPr>
        <w:t>, no sustituyó el análisis cualitativo, pero contribuyó a representar relaciones entre instituciones, tipos de cursos y frecuencias de oferta (</w:t>
      </w:r>
      <w:proofErr w:type="spellStart"/>
      <w:r w:rsidRPr="00E20820">
        <w:rPr>
          <w:rFonts w:ascii="Times New Roman" w:eastAsia="Times New Roman" w:hAnsi="Times New Roman"/>
          <w:lang w:val="es-ES"/>
        </w:rPr>
        <w:t>Fruchterman</w:t>
      </w:r>
      <w:proofErr w:type="spellEnd"/>
      <w:r w:rsidRPr="00E20820">
        <w:rPr>
          <w:rFonts w:ascii="Times New Roman" w:eastAsia="Times New Roman" w:hAnsi="Times New Roman"/>
          <w:lang w:val="es-ES"/>
        </w:rPr>
        <w:t xml:space="preserve"> &amp; </w:t>
      </w:r>
      <w:proofErr w:type="spellStart"/>
      <w:r w:rsidRPr="00E20820">
        <w:rPr>
          <w:rFonts w:ascii="Times New Roman" w:eastAsia="Times New Roman" w:hAnsi="Times New Roman"/>
          <w:lang w:val="es-ES"/>
        </w:rPr>
        <w:t>Reingold</w:t>
      </w:r>
      <w:proofErr w:type="spellEnd"/>
      <w:r w:rsidRPr="00E20820">
        <w:rPr>
          <w:rFonts w:ascii="Times New Roman" w:eastAsia="Times New Roman" w:hAnsi="Times New Roman"/>
          <w:lang w:val="es-ES"/>
        </w:rPr>
        <w:t>, 1991). La red general evidenció 10 grupos de modalidades formativas, 150 nodos y 140 aristas, indicando que una misma institución puede ofertar más de un tipo de programa.</w:t>
      </w:r>
    </w:p>
    <w:p w14:paraId="318E9E0F" w14:textId="77777777" w:rsidR="00353DD9" w:rsidRPr="00E20820" w:rsidRDefault="00353DD9" w:rsidP="00353DD9">
      <w:pPr>
        <w:jc w:val="both"/>
        <w:rPr>
          <w:lang w:val="es-ES"/>
        </w:rPr>
      </w:pPr>
      <w:r w:rsidRPr="00E20820">
        <w:rPr>
          <w:rFonts w:ascii="Times New Roman" w:eastAsia="Times New Roman" w:hAnsi="Times New Roman"/>
          <w:lang w:val="es-ES"/>
        </w:rPr>
        <w:t>El primer conjunto identificado corresponde a los pregrados. Fueron localizados 104 programas de este tipo, presentes en todos los países analizados. De manera general, los pregrados corresponden a cursos de nivel superior que habilitan profesionales para actuar en Educación Física, deporte, ocio, salud, gestión o áreas relacionadas. En muchos casos, poseen una formación amplia, semejante a modelos generalistas, en los cuales el egresado recibe una preparación que puede abarcar diferentes ámbitos de trabajo. Esta característica revela la centralidad de la universidad y del nivel superior en la legitimación profesional de la Educación Física y del deporte en la región.</w:t>
      </w:r>
    </w:p>
    <w:p w14:paraId="475260DE" w14:textId="77777777" w:rsidR="00353DD9" w:rsidRPr="00E20820" w:rsidRDefault="00353DD9" w:rsidP="00353DD9">
      <w:pPr>
        <w:jc w:val="both"/>
        <w:rPr>
          <w:lang w:val="es-ES"/>
        </w:rPr>
      </w:pPr>
      <w:r w:rsidRPr="00E20820">
        <w:rPr>
          <w:rFonts w:ascii="Times New Roman" w:eastAsia="Times New Roman" w:hAnsi="Times New Roman"/>
          <w:lang w:val="es-ES"/>
        </w:rPr>
        <w:lastRenderedPageBreak/>
        <w:t xml:space="preserve">El segundo conjunto corresponde a la tecnología superior, con 32 programas identificados. Aunque también se sitúan en el nivel superior, estos cursos suelen presentar menor duración, titulación diferenciada y orientación más directa a un campo específico, frecuentemente el deportivo. Fueron encontrados en Argentina, Chile, Colombia, Cuba, Ecuador, Nicaragua, Paraguay y Uruguay. La presencia de tecnologías superiores es especialmente relevante porque señala una racionalidad formativa más </w:t>
      </w:r>
      <w:proofErr w:type="spellStart"/>
      <w:r w:rsidRPr="00E20820">
        <w:rPr>
          <w:rFonts w:ascii="Times New Roman" w:eastAsia="Times New Roman" w:hAnsi="Times New Roman"/>
          <w:lang w:val="es-ES"/>
        </w:rPr>
        <w:t>profesionalizante</w:t>
      </w:r>
      <w:proofErr w:type="spellEnd"/>
      <w:r w:rsidRPr="00E20820">
        <w:rPr>
          <w:rFonts w:ascii="Times New Roman" w:eastAsia="Times New Roman" w:hAnsi="Times New Roman"/>
          <w:lang w:val="es-ES"/>
        </w:rPr>
        <w:t>, dirigida a preparar sujetos para funciones delimitadas en el campo del deporte, como entrenamiento, preparación física, dirección técnica o apoyo especializado.</w:t>
      </w:r>
    </w:p>
    <w:p w14:paraId="3E5B0010" w14:textId="77777777" w:rsidR="00353DD9" w:rsidRPr="00E20820" w:rsidRDefault="00353DD9" w:rsidP="00353DD9">
      <w:pPr>
        <w:jc w:val="both"/>
        <w:rPr>
          <w:lang w:val="es-ES"/>
        </w:rPr>
      </w:pPr>
      <w:r w:rsidRPr="00E20820">
        <w:rPr>
          <w:rFonts w:ascii="Times New Roman" w:eastAsia="Times New Roman" w:hAnsi="Times New Roman"/>
          <w:lang w:val="es-ES"/>
        </w:rPr>
        <w:t>El tercer conjunto está compuesto por 24 capacitaciones. Estos cursos se dirigen, en general, a profesionales ya formados que buscan actualizarse, ampliar conocimientos o especializarse en una dimensión específica de la Educación Física, el deporte, la salud o el ocio. Fueron localizados en Cuba, El Salvador, Ecuador, Guatemala, Nicaragua, Perú, Uruguay y Venezuela. Las capacitaciones revelan una dimensión importante de la formación continua, especialmente en un campo marcado por cambios en las demandas profesionales, avances en el entrenamiento, nuevas políticas deportivas y ampliación de los espacios de intervención.</w:t>
      </w:r>
    </w:p>
    <w:p w14:paraId="441E305E" w14:textId="77777777" w:rsidR="00353DD9" w:rsidRPr="00E20820" w:rsidRDefault="00353DD9" w:rsidP="00353DD9">
      <w:pPr>
        <w:jc w:val="both"/>
        <w:rPr>
          <w:lang w:val="es-ES"/>
        </w:rPr>
      </w:pPr>
      <w:r w:rsidRPr="00E20820">
        <w:rPr>
          <w:rFonts w:ascii="Times New Roman" w:eastAsia="Times New Roman" w:hAnsi="Times New Roman"/>
          <w:lang w:val="es-ES"/>
        </w:rPr>
        <w:t>El cuarto grupo reúne 18 programas de federaciones o confederaciones deportivas. Se trata de cursos, licencias o procesos de habilitación ofrecidos por entidades responsables de modalidades específicas. Su objetivo suele ser capacitar entrenadores, auxiliares, preparadores, analistas u otros profesionales vinculados al funcionamiento técnico de una práctica deportiva. Fueron identificados en Argentina, Bolivia, Ecuador, Guatemala, Honduras, Perú y Uruguay. Estos programas muestran que la formación para el deporte no se organiza solamente en la universidad. También se produce en el interior del sistema deportivo, donde federaciones y confederaciones regulan saberes, credenciales y trayectorias de actuación.</w:t>
      </w:r>
    </w:p>
    <w:p w14:paraId="553255B9" w14:textId="5EC19B51" w:rsidR="00353DD9" w:rsidRPr="00E20820" w:rsidRDefault="00353DD9" w:rsidP="00353DD9">
      <w:pPr>
        <w:jc w:val="both"/>
        <w:rPr>
          <w:lang w:val="es-ES"/>
        </w:rPr>
      </w:pPr>
      <w:r w:rsidRPr="00E20820">
        <w:rPr>
          <w:rFonts w:ascii="Times New Roman" w:eastAsia="Times New Roman" w:hAnsi="Times New Roman"/>
          <w:lang w:val="es-ES"/>
        </w:rPr>
        <w:t>El quinto conjunto corresponde a los cursos técnicos profesionales, con 14 programas general</w:t>
      </w:r>
      <w:r w:rsidR="00053D6F">
        <w:rPr>
          <w:rFonts w:ascii="Times New Roman" w:eastAsia="Times New Roman" w:hAnsi="Times New Roman"/>
          <w:lang w:val="es-ES"/>
        </w:rPr>
        <w:t>istas</w:t>
      </w:r>
      <w:r w:rsidRPr="00E20820">
        <w:rPr>
          <w:rFonts w:ascii="Times New Roman" w:eastAsia="Times New Roman" w:hAnsi="Times New Roman"/>
          <w:lang w:val="es-ES"/>
        </w:rPr>
        <w:t xml:space="preserve"> y 15 cuando se aplica el filtro de formación específica para el deporte. Este aparente desplazamiento resulta de los criterios de clasificación y de la incorporación de programas cuyo foco directo se dirige al campo deportivo. En términos generales, son cursos que preparan técnicos, entrenadores o profesionales para actuar en una modalidad, área o función específica. Fueron encontrados en Argentina, Chile, México, Nicaragua, Paraguay y Uruguay. Su importancia reside en mostrar que la formación para el deporte en América Latina no depende exclusivamente de la formación universitaria, sino que también se expresa en trayectorias de menor duración y fuerte orientación práctica.</w:t>
      </w:r>
    </w:p>
    <w:p w14:paraId="070F704E" w14:textId="77777777" w:rsidR="00353DD9" w:rsidRPr="00E20820" w:rsidRDefault="00353DD9" w:rsidP="00353DD9">
      <w:pPr>
        <w:jc w:val="both"/>
        <w:rPr>
          <w:lang w:val="es-ES"/>
        </w:rPr>
      </w:pPr>
      <w:r w:rsidRPr="00E20820">
        <w:rPr>
          <w:rFonts w:ascii="Times New Roman" w:eastAsia="Times New Roman" w:hAnsi="Times New Roman"/>
          <w:lang w:val="es-ES"/>
        </w:rPr>
        <w:lastRenderedPageBreak/>
        <w:t>Además de estas modalidades, fueron identificados 11 dobles grados, 8 pregrados amplios, 8 complementaciones, 5 especializaciones y 3 bachilleratos en deporte o Educación Física. Los dobles grados habilitan para dos campos de actuación, articulando, por ejemplo, docencia escolar y otras áreas profesionales. Los pregrados amplios combinan formación general con orientación técnica o especialización en una práctica. Las complementaciones amplían posibilidades de actuación, muchas veces agregando un componente pedagógico o profesional a trayectorias anteriores. Las especializaciones corresponden a cursos posteriores al pregrado. Los bachilleratos, por su parte, se sitúan en el nivel de educación media y pueden preparar auxiliares, monitores o sujetos que posteriormente ingresarán a programas superiores.</w:t>
      </w:r>
    </w:p>
    <w:p w14:paraId="7654087F" w14:textId="08FEA6ED" w:rsidR="00353DD9" w:rsidRPr="00E20820" w:rsidRDefault="00353DD9" w:rsidP="00353DD9">
      <w:pPr>
        <w:jc w:val="both"/>
        <w:rPr>
          <w:lang w:val="es-ES"/>
        </w:rPr>
      </w:pPr>
      <w:r w:rsidRPr="00E20820">
        <w:rPr>
          <w:rFonts w:ascii="Times New Roman" w:eastAsia="Times New Roman" w:hAnsi="Times New Roman"/>
          <w:lang w:val="es-ES"/>
        </w:rPr>
        <w:t xml:space="preserve">La pluralidad de modalidades evidencia que la formación para la Educación Física y el deporte en América Latina hispanohablante no puede ser pensada a partir de un único modelo. Existe una trama de ofertas que </w:t>
      </w:r>
      <w:proofErr w:type="gramStart"/>
      <w:r w:rsidRPr="00E20820">
        <w:rPr>
          <w:rFonts w:ascii="Times New Roman" w:eastAsia="Times New Roman" w:hAnsi="Times New Roman"/>
          <w:lang w:val="es-ES"/>
        </w:rPr>
        <w:t>articula</w:t>
      </w:r>
      <w:proofErr w:type="gramEnd"/>
      <w:r w:rsidRPr="00E20820">
        <w:rPr>
          <w:rFonts w:ascii="Times New Roman" w:eastAsia="Times New Roman" w:hAnsi="Times New Roman"/>
          <w:lang w:val="es-ES"/>
        </w:rPr>
        <w:t xml:space="preserve"> universidad, educación técnica, formación tecnológica, sistema federativo, capacitación continua y especialización. Esta trama produce distintos grados de legitimación profesional. En algunos casos, el curso habilita formalmente para el ejercicio de una profesión regulada. En otros, funciona como credencial reconocida por una federación. En otros, amplía conocimientos sin necesariamente modificar la condición legal de actuación. Por ello, es fundamental </w:t>
      </w:r>
      <w:r w:rsidRPr="009639A3">
        <w:rPr>
          <w:rFonts w:ascii="Times New Roman" w:eastAsia="Times New Roman" w:hAnsi="Times New Roman"/>
          <w:lang w:val="es-ES"/>
        </w:rPr>
        <w:t>diferenciar habilitación, certificación, preparación y formación integral</w:t>
      </w:r>
      <w:r w:rsidR="00053D6F" w:rsidRPr="009639A3">
        <w:rPr>
          <w:rFonts w:ascii="Times New Roman" w:eastAsia="Times New Roman" w:hAnsi="Times New Roman"/>
          <w:lang w:val="es-ES"/>
        </w:rPr>
        <w:t xml:space="preserve"> (</w:t>
      </w:r>
      <w:r w:rsidR="009639A3" w:rsidRPr="009639A3">
        <w:rPr>
          <w:rFonts w:ascii="Times New Roman" w:eastAsia="Times New Roman" w:hAnsi="Times New Roman"/>
          <w:lang w:val="es-ES"/>
        </w:rPr>
        <w:t>Gama et al., 2022</w:t>
      </w:r>
      <w:r w:rsidR="00053D6F" w:rsidRPr="009639A3">
        <w:rPr>
          <w:rFonts w:ascii="Times New Roman" w:eastAsia="Times New Roman" w:hAnsi="Times New Roman"/>
          <w:lang w:val="es-ES"/>
        </w:rPr>
        <w:t>)</w:t>
      </w:r>
      <w:r w:rsidRPr="009639A3">
        <w:rPr>
          <w:rFonts w:ascii="Times New Roman" w:eastAsia="Times New Roman" w:hAnsi="Times New Roman"/>
          <w:lang w:val="es-ES"/>
        </w:rPr>
        <w:t>.</w:t>
      </w:r>
    </w:p>
    <w:p w14:paraId="10D6D7C4" w14:textId="0B2CD09A" w:rsidR="00353DD9" w:rsidRPr="00E20820" w:rsidRDefault="00353DD9" w:rsidP="00353DD9">
      <w:pPr>
        <w:jc w:val="both"/>
        <w:rPr>
          <w:lang w:val="es-ES"/>
        </w:rPr>
      </w:pPr>
      <w:r w:rsidRPr="00E20820">
        <w:rPr>
          <w:rFonts w:ascii="Times New Roman" w:eastAsia="Times New Roman" w:hAnsi="Times New Roman"/>
          <w:lang w:val="es-ES"/>
        </w:rPr>
        <w:t>La diferencia entre estar habilitado y estar preparado constituye una de las tensiones más importantes del estudio. Un programa puede otorgar un título o una licencia, pero ello no garantiza, por sí mismo, que el egresado esté preparado para enfrentar la complejidad del trabajo en el deporte. Preparar profesionales implica articular conocimientos técnicos, pedagógicos, éticos, científicos, culturales y sociales. Implica comprender la modalidad deportiva, pero también las trayectorias de los practicantes, los contextos institucionales, las políticas públicas, las desigualdades de acceso, los riesgos de una formación reducida al rendimiento y los sentidos educativos de la práctica corporal</w:t>
      </w:r>
      <w:r w:rsidR="0071690B">
        <w:rPr>
          <w:rFonts w:ascii="Times New Roman" w:eastAsia="Times New Roman" w:hAnsi="Times New Roman"/>
          <w:lang w:val="es-ES"/>
        </w:rPr>
        <w:t xml:space="preserve"> (Isaza et al., 2019)</w:t>
      </w:r>
      <w:r w:rsidRPr="00E20820">
        <w:rPr>
          <w:rFonts w:ascii="Times New Roman" w:eastAsia="Times New Roman" w:hAnsi="Times New Roman"/>
          <w:lang w:val="es-ES"/>
        </w:rPr>
        <w:t>.</w:t>
      </w:r>
    </w:p>
    <w:p w14:paraId="1D2035C6" w14:textId="77777777" w:rsidR="00353DD9" w:rsidRPr="00E20820" w:rsidRDefault="00353DD9" w:rsidP="00353DD9">
      <w:pPr>
        <w:jc w:val="both"/>
        <w:rPr>
          <w:lang w:val="es-ES"/>
        </w:rPr>
      </w:pPr>
      <w:r w:rsidRPr="00E20820">
        <w:rPr>
          <w:rFonts w:ascii="Times New Roman" w:eastAsia="Times New Roman" w:hAnsi="Times New Roman"/>
          <w:lang w:val="es-ES"/>
        </w:rPr>
        <w:t xml:space="preserve">Al aplicar un filtro sobre el conjunto más amplio de programas, fueron seleccionadas las ofertas de formación inicial que, por su nomenclatura y objetivos, se dirigen específicamente al campo del deporte. En este recorte aparecen 32 programas de tecnología superior, 26 pregrados, 18 programas de federaciones, 15 cursos técnicos profesionales y 5 pregrados amplios. La inversión es significativa: mientras en la red general predominan los pregrados amplios, en el recorte específico para el deporte se destacan las tecnologías superiores y los cursos técnicos. Este resultado sugiere una tendencia de profesionalización más técnica y dirigida cuando el foco se desplaza de la </w:t>
      </w:r>
      <w:r w:rsidRPr="00E20820">
        <w:rPr>
          <w:rFonts w:ascii="Times New Roman" w:eastAsia="Times New Roman" w:hAnsi="Times New Roman"/>
          <w:lang w:val="es-ES"/>
        </w:rPr>
        <w:lastRenderedPageBreak/>
        <w:t>Educación Física en sentido amplio hacia el deporte como campo específico de actuación.</w:t>
      </w:r>
    </w:p>
    <w:p w14:paraId="77BBAFEA" w14:textId="686EA118" w:rsidR="00353DD9" w:rsidRPr="00E20820" w:rsidRDefault="00353DD9" w:rsidP="00353DD9">
      <w:pPr>
        <w:jc w:val="both"/>
        <w:rPr>
          <w:lang w:val="es-ES"/>
        </w:rPr>
      </w:pPr>
      <w:r w:rsidRPr="00E20820">
        <w:rPr>
          <w:rFonts w:ascii="Times New Roman" w:eastAsia="Times New Roman" w:hAnsi="Times New Roman"/>
          <w:lang w:val="es-ES"/>
        </w:rPr>
        <w:t>Por un lado, los cursos técnicos y tecnológicos pueden responder a demandas concretas de formación especializada, especialmente en modalidades deportivas, entrenamiento, preparación física y funciones de apoyo. Por otro, existe el riesgo de una reducción instrumental de la formación, cuando los programas se concentran exclusivamente en procedimientos técnicos y dejan en segundo plano dimensiones pedagógicas, sociales, culturales y políticas</w:t>
      </w:r>
      <w:r w:rsidR="0071690B">
        <w:rPr>
          <w:rFonts w:ascii="Times New Roman" w:eastAsia="Times New Roman" w:hAnsi="Times New Roman"/>
          <w:lang w:val="es-ES"/>
        </w:rPr>
        <w:t xml:space="preserve"> (Silva y Bedoya, 2015)</w:t>
      </w:r>
      <w:r w:rsidRPr="00E20820">
        <w:rPr>
          <w:rFonts w:ascii="Times New Roman" w:eastAsia="Times New Roman" w:hAnsi="Times New Roman"/>
          <w:lang w:val="es-ES"/>
        </w:rPr>
        <w:t>. La cuestión central, por tanto, no es oponer formación universitaria a formación técnica, sino analizar qué concepción de profesional se produce en cada modalidad y qué relación se establece entre especificidad, amplitud y responsabilidad social.</w:t>
      </w:r>
    </w:p>
    <w:p w14:paraId="76588CAE" w14:textId="19AACDC4" w:rsidR="00353DD9" w:rsidRPr="00E20820" w:rsidRDefault="00353DD9" w:rsidP="00353DD9">
      <w:pPr>
        <w:jc w:val="both"/>
        <w:rPr>
          <w:lang w:val="es-ES"/>
        </w:rPr>
      </w:pPr>
      <w:r w:rsidRPr="00E20820">
        <w:rPr>
          <w:rFonts w:ascii="Times New Roman" w:eastAsia="Times New Roman" w:hAnsi="Times New Roman"/>
          <w:lang w:val="es-ES"/>
        </w:rPr>
        <w:t xml:space="preserve">La especificidad de la formación para el deporte aparece como un punto clave. Los datos sugieren que muchos programas habilitan para actuar en el deporte dentro de cursos más amplios de Educación Física. El deporte </w:t>
      </w:r>
      <w:r w:rsidR="003E788D">
        <w:rPr>
          <w:rFonts w:ascii="Times New Roman" w:eastAsia="Times New Roman" w:hAnsi="Times New Roman"/>
          <w:lang w:val="es-ES"/>
        </w:rPr>
        <w:t xml:space="preserve">es amplio, diversificado, </w:t>
      </w:r>
      <w:r w:rsidRPr="00E20820">
        <w:rPr>
          <w:rFonts w:ascii="Times New Roman" w:eastAsia="Times New Roman" w:hAnsi="Times New Roman"/>
          <w:lang w:val="es-ES"/>
        </w:rPr>
        <w:t xml:space="preserve">posee </w:t>
      </w:r>
      <w:r w:rsidR="00130753">
        <w:rPr>
          <w:rFonts w:ascii="Times New Roman" w:eastAsia="Times New Roman" w:hAnsi="Times New Roman"/>
          <w:lang w:val="es-ES"/>
        </w:rPr>
        <w:t xml:space="preserve">especificidades y </w:t>
      </w:r>
      <w:r w:rsidRPr="00E20820">
        <w:rPr>
          <w:rFonts w:ascii="Times New Roman" w:eastAsia="Times New Roman" w:hAnsi="Times New Roman"/>
          <w:lang w:val="es-ES"/>
        </w:rPr>
        <w:t>no puede ser separado de su dimensión educativa, cultural y social. En ese equilibrio se encuentra uno de los principales desafíos curriculares.</w:t>
      </w:r>
    </w:p>
    <w:p w14:paraId="3E19E5F9" w14:textId="0B4FB058" w:rsidR="00353DD9" w:rsidRPr="00E20820" w:rsidRDefault="00353DD9" w:rsidP="00214C17">
      <w:pPr>
        <w:pStyle w:val="BodyText"/>
      </w:pPr>
      <w:r w:rsidRPr="00E20820">
        <w:t>Las nomenclaturas de los programas confirman esa diversidad. Fueron identificadas alrededor de 60 denominaciones distintas, lo que muestra la multiplicidad de formas mediante las cuales las instituciones nombran y orientan sus cursos. Algunas denominaciones remiten al entrenamiento deportivo; otras, al deporte y la recreación; otras, a la actividad física; otras, a la gestión; otras, a la Educación Física; otras, a la preparación física o a modalidades específicas. Nombrar un curso no es un acto meramente administrativo. La nomenclatura proyecta un campo de actuación, delimita expectativas, comunica una identidad profesional y orienta el modo como los estudiantes y la sociedad interpretan el valor del título</w:t>
      </w:r>
      <w:r w:rsidR="00214C17">
        <w:t xml:space="preserve"> (Isaza et al., 2019)</w:t>
      </w:r>
      <w:r w:rsidRPr="00E20820">
        <w:t>.</w:t>
      </w:r>
    </w:p>
    <w:p w14:paraId="0298578E" w14:textId="590FC364" w:rsidR="00353DD9" w:rsidRPr="00E20820" w:rsidRDefault="00353DD9" w:rsidP="00353DD9">
      <w:pPr>
        <w:jc w:val="both"/>
        <w:rPr>
          <w:lang w:val="es-ES"/>
        </w:rPr>
      </w:pPr>
      <w:r w:rsidRPr="00E20820">
        <w:rPr>
          <w:rFonts w:ascii="Times New Roman" w:eastAsia="Times New Roman" w:hAnsi="Times New Roman"/>
          <w:lang w:val="es-ES"/>
        </w:rPr>
        <w:t xml:space="preserve">A partir del análisis de los objetivos </w:t>
      </w:r>
      <w:r w:rsidR="00CF2CE5" w:rsidRPr="00E20820">
        <w:rPr>
          <w:rFonts w:ascii="Times New Roman" w:eastAsia="Times New Roman" w:hAnsi="Times New Roman"/>
          <w:lang w:val="es-ES"/>
        </w:rPr>
        <w:t>formativos</w:t>
      </w:r>
      <w:r w:rsidR="00CF2CE5">
        <w:rPr>
          <w:rFonts w:ascii="Times New Roman" w:eastAsia="Times New Roman" w:hAnsi="Times New Roman"/>
          <w:lang w:val="es-ES"/>
        </w:rPr>
        <w:t xml:space="preserve"> de los programas</w:t>
      </w:r>
      <w:r w:rsidRPr="00E20820">
        <w:rPr>
          <w:rFonts w:ascii="Times New Roman" w:eastAsia="Times New Roman" w:hAnsi="Times New Roman"/>
          <w:lang w:val="es-ES"/>
        </w:rPr>
        <w:t>, fue posible agrupar los perfiles pretendidos en tres grandes categorías. La primera corresponde al licenciado, investigador y/o gestor en deporte. En este grupo se ubican programas que articulan formación humanista, producción de conocimiento, organización pedagógica de prácticas deportivas, intervención en instituciones y participación en procesos de gestión. La segunda categoría corresponde al profesional en deporte, más vinculada a la preparación para demandas específicas de sistemas deportivos nacionales y regionales. La tercera reúne entrenadores, técnicos y/o instructores, generalmente asociados a modalidades, prácticas o funciones más delimitadas.</w:t>
      </w:r>
    </w:p>
    <w:p w14:paraId="29638AC0" w14:textId="77777777" w:rsidR="00353DD9" w:rsidRPr="00E20820" w:rsidRDefault="00353DD9" w:rsidP="00353DD9">
      <w:pPr>
        <w:jc w:val="both"/>
        <w:rPr>
          <w:lang w:val="es-ES"/>
        </w:rPr>
      </w:pPr>
      <w:r w:rsidRPr="00E20820">
        <w:rPr>
          <w:rFonts w:ascii="Times New Roman" w:eastAsia="Times New Roman" w:hAnsi="Times New Roman"/>
          <w:lang w:val="es-ES"/>
        </w:rPr>
        <w:t xml:space="preserve">Estas categorías no son cerradas. En muchas instituciones, los perfiles se superponen. Un licenciado puede actuar como entrenador; un profesional en deporte puede gestionar proyectos; un técnico puede desarrollar tareas educativas; un instructor puede participar </w:t>
      </w:r>
      <w:r w:rsidRPr="00E20820">
        <w:rPr>
          <w:rFonts w:ascii="Times New Roman" w:eastAsia="Times New Roman" w:hAnsi="Times New Roman"/>
          <w:lang w:val="es-ES"/>
        </w:rPr>
        <w:lastRenderedPageBreak/>
        <w:t>de programas sociales. Sin embargo, la clasificación ayuda a entender las racionalidades predominantes. Cuando el perfil se orienta hacia la investigación y la gestión, la formación tiende a incorporar elementos de planificación, análisis institucional, evaluación de programas y producción de conocimiento. Cuando se orienta al profesional en deporte, se enfatiza la inserción laboral en sistemas deportivos. Cuando se orienta al entrenador, técnico o instructor, el foco suele recaer sobre la práctica, la enseñanza de habilidades, la conducción de entrenamientos y la especificidad de la modalidad.</w:t>
      </w:r>
    </w:p>
    <w:p w14:paraId="6ACEA903" w14:textId="77777777" w:rsidR="00353DD9" w:rsidRPr="00E20820" w:rsidRDefault="00353DD9" w:rsidP="00353DD9">
      <w:pPr>
        <w:jc w:val="both"/>
        <w:rPr>
          <w:lang w:val="es-ES"/>
        </w:rPr>
      </w:pPr>
      <w:r w:rsidRPr="00E20820">
        <w:rPr>
          <w:rFonts w:ascii="Times New Roman" w:eastAsia="Times New Roman" w:hAnsi="Times New Roman"/>
          <w:lang w:val="es-ES"/>
        </w:rPr>
        <w:t xml:space="preserve">La literatura sobre formación de entrenadores contribuye a ampliar esta discusión. Ayala-Zuluaga et al. (2015) destacan la importancia de considerar la formación académica y la experiencia deportiva de entrenadores sudamericanos. </w:t>
      </w:r>
      <w:proofErr w:type="spellStart"/>
      <w:r w:rsidRPr="00E20820">
        <w:rPr>
          <w:rFonts w:ascii="Times New Roman" w:eastAsia="Times New Roman" w:hAnsi="Times New Roman"/>
          <w:lang w:val="es-ES"/>
        </w:rPr>
        <w:t>Milistetd</w:t>
      </w:r>
      <w:proofErr w:type="spellEnd"/>
      <w:r w:rsidRPr="00E20820">
        <w:rPr>
          <w:rFonts w:ascii="Times New Roman" w:eastAsia="Times New Roman" w:hAnsi="Times New Roman"/>
          <w:lang w:val="es-ES"/>
        </w:rPr>
        <w:t xml:space="preserve"> et al. (2018), Brasil et al. (2021) y </w:t>
      </w:r>
      <w:proofErr w:type="spellStart"/>
      <w:r w:rsidRPr="00E20820">
        <w:rPr>
          <w:rFonts w:ascii="Times New Roman" w:eastAsia="Times New Roman" w:hAnsi="Times New Roman"/>
          <w:lang w:val="es-ES"/>
        </w:rPr>
        <w:t>Kramers</w:t>
      </w:r>
      <w:proofErr w:type="spellEnd"/>
      <w:r w:rsidRPr="00E20820">
        <w:rPr>
          <w:rFonts w:ascii="Times New Roman" w:eastAsia="Times New Roman" w:hAnsi="Times New Roman"/>
          <w:lang w:val="es-ES"/>
        </w:rPr>
        <w:t xml:space="preserve"> et al. (2022) muestran que aprender a ser entrenador no se reduce a dominar contenidos técnicos, sino que involucra participación social, trayectorias, experiencias previas y procesos de reflexión. </w:t>
      </w:r>
      <w:proofErr w:type="spellStart"/>
      <w:r w:rsidRPr="00E20820">
        <w:rPr>
          <w:rFonts w:ascii="Times New Roman" w:eastAsia="Times New Roman" w:hAnsi="Times New Roman"/>
          <w:lang w:val="es-ES"/>
        </w:rPr>
        <w:t>Milan</w:t>
      </w:r>
      <w:proofErr w:type="spellEnd"/>
      <w:r w:rsidRPr="00E20820">
        <w:rPr>
          <w:rFonts w:ascii="Times New Roman" w:eastAsia="Times New Roman" w:hAnsi="Times New Roman"/>
          <w:lang w:val="es-ES"/>
        </w:rPr>
        <w:t xml:space="preserve"> et al. (2022) también llaman la atención sobre las biografías de estudiantes-entrenadores y sobre la necesidad de que los cursos conozcan mejor sus trayectorias para formular acciones coherentes con sus expectativas y necesidades.</w:t>
      </w:r>
    </w:p>
    <w:p w14:paraId="1536D0F4" w14:textId="0E15ACAA" w:rsidR="00353DD9" w:rsidRPr="00E20820" w:rsidRDefault="00353DD9" w:rsidP="009D7626">
      <w:pPr>
        <w:pStyle w:val="BodyText"/>
      </w:pPr>
      <w:r w:rsidRPr="00E20820">
        <w:t>Esta perspectiva es importante porque muchos estudiantes ingresan a programas de formación en deporte con experiencias previas como atletas, practicantes, monitores o participantes de proyectos deportivos. Esas experiencias no desaparecen al entrar en la institución formadora. Al contrario, influyen en la manera como los sujetos interpretan los contenidos, aceptan o resisten saberes académicos, proyectan su futuro profesional y comprenden la práctica deportiva. Un programa formativo que ignora esas trayectorias corre el riesgo de trabajar con una imagen abstracta de estudiante, desconectada de la experiencia concreta de quienes se forman</w:t>
      </w:r>
      <w:r w:rsidR="00CF2CE5">
        <w:t xml:space="preserve"> (Gama et al., 202</w:t>
      </w:r>
      <w:r w:rsidR="009639A3">
        <w:t>2</w:t>
      </w:r>
      <w:r w:rsidR="00CF2CE5">
        <w:t>)</w:t>
      </w:r>
      <w:r w:rsidRPr="00E20820">
        <w:t>.</w:t>
      </w:r>
    </w:p>
    <w:p w14:paraId="0E1AC317" w14:textId="77777777" w:rsidR="00353DD9" w:rsidRPr="00E20820" w:rsidRDefault="00353DD9" w:rsidP="00353DD9">
      <w:pPr>
        <w:jc w:val="both"/>
        <w:rPr>
          <w:lang w:val="es-ES"/>
        </w:rPr>
      </w:pPr>
      <w:r w:rsidRPr="00E20820">
        <w:rPr>
          <w:rFonts w:ascii="Times New Roman" w:eastAsia="Times New Roman" w:hAnsi="Times New Roman"/>
          <w:lang w:val="es-ES"/>
        </w:rPr>
        <w:t>El caso latinoamericano muestra, por lo tanto, una doble configuración. Por un lado, existen países con fuerte presencia de instituciones universitarias y programas superiores que sostienen una formación amplia en Educación Física y deporte. Por otro, se expanden cursos técnicos, tecnológicos y federativos que buscan atender exigencias de especialización y demandas más inmediatas del campo deportivo. Esta doble configuración revela un escenario dinámico, pero también plantea preguntas sobre calidad, articulación curricular, reconocimiento profesional y continuidad formativa. ¿Cómo garantizar que un técnico pueda avanzar hacia trayectorias superiores? ¿Cómo evitar que la universidad se vuelva excesivamente generalista? ¿Cómo impedir que la formación específica pierda densidad pedagógica y social?</w:t>
      </w:r>
    </w:p>
    <w:p w14:paraId="33BAEEF8" w14:textId="151309FE" w:rsidR="00353DD9" w:rsidRPr="00E20820" w:rsidRDefault="00353DD9" w:rsidP="00353DD9">
      <w:pPr>
        <w:jc w:val="both"/>
        <w:rPr>
          <w:lang w:val="es-ES"/>
        </w:rPr>
      </w:pPr>
      <w:r w:rsidRPr="00E20820">
        <w:rPr>
          <w:rFonts w:ascii="Times New Roman" w:eastAsia="Times New Roman" w:hAnsi="Times New Roman"/>
          <w:lang w:val="es-ES"/>
        </w:rPr>
        <w:t xml:space="preserve">La comparación entre países vecinos permite observar aproximaciones de racionalidades formativas. Argentina y Uruguay, por ejemplo, muestran proximidades </w:t>
      </w:r>
      <w:r w:rsidRPr="00E20820">
        <w:rPr>
          <w:rFonts w:ascii="Times New Roman" w:eastAsia="Times New Roman" w:hAnsi="Times New Roman"/>
          <w:lang w:val="es-ES"/>
        </w:rPr>
        <w:lastRenderedPageBreak/>
        <w:t>en la presencia de programas vinculados al entrenamiento, tecnicaturas, federaciones y formación profesional. Chile y Colombia se destacan por diversidad de modalidades, aunque con trayectorias institucionales propias. México aparece como país con presencia relevante de programas superiores y técnicos, pero situado en una dinámica regional distinta, articulada a América del Norte. Cuba, Ecuador, Perú y Paraguay muestran ofertas que combinan formación superior, programas específicos y capacitación. Los países centroamericanos, aunque con menor número absoluto de instituciones, revelan modalidades que deben ser comprendidas en sus contextos nacionales.</w:t>
      </w:r>
    </w:p>
    <w:p w14:paraId="256E80FA" w14:textId="64DB2DF3" w:rsidR="00353DD9" w:rsidRPr="00E20820" w:rsidRDefault="00353DD9" w:rsidP="00353DD9">
      <w:pPr>
        <w:jc w:val="both"/>
        <w:rPr>
          <w:lang w:val="es-ES"/>
        </w:rPr>
      </w:pPr>
      <w:r w:rsidRPr="00E20820">
        <w:rPr>
          <w:rFonts w:ascii="Times New Roman" w:eastAsia="Times New Roman" w:hAnsi="Times New Roman"/>
          <w:lang w:val="es-ES"/>
        </w:rPr>
        <w:t xml:space="preserve">Estos movimientos indican que América Latina necesita ser pensada simultáneamente desde lo macro y desde lo micro. La mirada macro permite identificar tendencias regionales, como la centralidad de los pregrados, la emergencia de tecnologías superiores, la presencia de cursos federativos y la concentración de instituciones en ciertos países. La mirada micro permite comprender las singularidades de cada nación, sus leyes, instituciones, tradiciones curriculares y demandas deportivas. Inspirados en </w:t>
      </w:r>
      <w:proofErr w:type="spellStart"/>
      <w:r w:rsidRPr="00E20820">
        <w:rPr>
          <w:rFonts w:ascii="Times New Roman" w:eastAsia="Times New Roman" w:hAnsi="Times New Roman"/>
          <w:lang w:val="es-ES"/>
        </w:rPr>
        <w:t>Ginzburg</w:t>
      </w:r>
      <w:proofErr w:type="spellEnd"/>
      <w:r w:rsidRPr="00E20820">
        <w:rPr>
          <w:rFonts w:ascii="Times New Roman" w:eastAsia="Times New Roman" w:hAnsi="Times New Roman"/>
          <w:lang w:val="es-ES"/>
        </w:rPr>
        <w:t xml:space="preserve"> (2002), puede decirse </w:t>
      </w:r>
      <w:r w:rsidR="003B34C9">
        <w:rPr>
          <w:rFonts w:ascii="Times New Roman" w:eastAsia="Times New Roman" w:hAnsi="Times New Roman"/>
          <w:lang w:val="es-ES"/>
        </w:rPr>
        <w:t>se debe</w:t>
      </w:r>
      <w:r w:rsidRPr="00E20820">
        <w:rPr>
          <w:rFonts w:ascii="Times New Roman" w:eastAsia="Times New Roman" w:hAnsi="Times New Roman"/>
          <w:lang w:val="es-ES"/>
        </w:rPr>
        <w:t xml:space="preserve"> trabaja</w:t>
      </w:r>
      <w:r w:rsidR="003B34C9">
        <w:rPr>
          <w:rFonts w:ascii="Times New Roman" w:eastAsia="Times New Roman" w:hAnsi="Times New Roman"/>
          <w:lang w:val="es-ES"/>
        </w:rPr>
        <w:t>r</w:t>
      </w:r>
      <w:r w:rsidRPr="00E20820">
        <w:rPr>
          <w:rFonts w:ascii="Times New Roman" w:eastAsia="Times New Roman" w:hAnsi="Times New Roman"/>
          <w:lang w:val="es-ES"/>
        </w:rPr>
        <w:t xml:space="preserve"> con indicios: pequeñas marcas documentales que, cuando articuladas, permiten reconstruir una trama más amplia.</w:t>
      </w:r>
    </w:p>
    <w:p w14:paraId="1B56CB58" w14:textId="7A1CA2F2" w:rsidR="00353DD9" w:rsidRPr="00E20820" w:rsidRDefault="00353DD9" w:rsidP="00353DD9">
      <w:pPr>
        <w:jc w:val="both"/>
        <w:rPr>
          <w:lang w:val="es-ES"/>
        </w:rPr>
      </w:pPr>
      <w:r w:rsidRPr="00E20820">
        <w:rPr>
          <w:rFonts w:ascii="Times New Roman" w:eastAsia="Times New Roman" w:hAnsi="Times New Roman"/>
          <w:lang w:val="es-ES"/>
        </w:rPr>
        <w:t xml:space="preserve">La cuestión de la formación integral </w:t>
      </w:r>
      <w:r w:rsidR="003B34C9">
        <w:rPr>
          <w:rFonts w:ascii="Times New Roman" w:eastAsia="Times New Roman" w:hAnsi="Times New Roman"/>
          <w:lang w:val="es-ES"/>
        </w:rPr>
        <w:t>en importante a</w:t>
      </w:r>
      <w:r w:rsidRPr="00E20820">
        <w:rPr>
          <w:rFonts w:ascii="Times New Roman" w:eastAsia="Times New Roman" w:hAnsi="Times New Roman"/>
          <w:lang w:val="es-ES"/>
        </w:rPr>
        <w:t xml:space="preserve"> todo el debate.</w:t>
      </w:r>
      <w:r w:rsidR="003B34C9">
        <w:rPr>
          <w:rFonts w:ascii="Times New Roman" w:eastAsia="Times New Roman" w:hAnsi="Times New Roman"/>
          <w:lang w:val="es-ES"/>
        </w:rPr>
        <w:t xml:space="preserve"> Inicialmente </w:t>
      </w:r>
      <w:r w:rsidRPr="00E20820">
        <w:rPr>
          <w:rFonts w:ascii="Times New Roman" w:eastAsia="Times New Roman" w:hAnsi="Times New Roman"/>
          <w:lang w:val="es-ES"/>
        </w:rPr>
        <w:t>se afirmaba que el espacio universitario es fundamental para el desarrollo de una formación integral y para un diálogo amplio. Esta afirmación se mantiene, pero necesita ser problematizada. La universidad puede ofrecer condiciones para articular investigación, teoría, práctica, extensión, reflexión crítica y responsabilidad social. Sin embargo, la sola pertenencia universitaria no garantiza una formación integral. Es necesario observar cómo los currículos organizan saberes</w:t>
      </w:r>
      <w:r w:rsidR="003B34C9">
        <w:rPr>
          <w:rFonts w:ascii="Times New Roman" w:eastAsia="Times New Roman" w:hAnsi="Times New Roman"/>
          <w:lang w:val="es-ES"/>
        </w:rPr>
        <w:t xml:space="preserve"> (Sacristán, 2000)</w:t>
      </w:r>
      <w:r w:rsidRPr="00E20820">
        <w:rPr>
          <w:rFonts w:ascii="Times New Roman" w:eastAsia="Times New Roman" w:hAnsi="Times New Roman"/>
          <w:lang w:val="es-ES"/>
        </w:rPr>
        <w:t>, qué lugar atribuyen al deporte, cómo comprenden la Educación Física, qué tipo de relación establecen con las prácticas profesionales y cómo enfrentan la especificidad del trabajo deportivo.</w:t>
      </w:r>
    </w:p>
    <w:p w14:paraId="6BC39E3F" w14:textId="6204AD54" w:rsidR="00353DD9" w:rsidRPr="00E20820" w:rsidRDefault="00353DD9" w:rsidP="00353DD9">
      <w:pPr>
        <w:jc w:val="both"/>
        <w:rPr>
          <w:lang w:val="es-ES"/>
        </w:rPr>
      </w:pPr>
      <w:r w:rsidRPr="00E20820">
        <w:rPr>
          <w:rFonts w:ascii="Times New Roman" w:eastAsia="Times New Roman" w:hAnsi="Times New Roman"/>
          <w:lang w:val="es-ES"/>
        </w:rPr>
        <w:t>Al mismo tiempo, los cursos técnicos, tecnológicos y federativos no deben ser desvalorizados por no pertenecer siempre al modelo universitario tradicional. Muchos de ellos responden a necesidades concretas, poseen vínculos directos con prácticas deportivas y pueden ofrecer experiencias formativas relevantes. La pregunta central es qué condiciones poseen para articular técnica, pedagogía, ética, inclusión, seguridad, diversidad cultural y comprensión crítica del deporte. En este punto, la formación para el deporte necesita ser pensada como un campo que no se limita a la transmisión de métodos de entrenamiento, sino que prepara sujetos para intervenir en prácticas sociales complejas</w:t>
      </w:r>
      <w:r w:rsidR="004E0F58">
        <w:rPr>
          <w:rFonts w:ascii="Times New Roman" w:eastAsia="Times New Roman" w:hAnsi="Times New Roman"/>
          <w:lang w:val="es-ES"/>
        </w:rPr>
        <w:t xml:space="preserve"> (Gama et al.</w:t>
      </w:r>
      <w:r w:rsidR="009639A3">
        <w:rPr>
          <w:rFonts w:ascii="Times New Roman" w:eastAsia="Times New Roman" w:hAnsi="Times New Roman"/>
          <w:lang w:val="es-ES"/>
        </w:rPr>
        <w:t>, 2022</w:t>
      </w:r>
      <w:r w:rsidR="004E0F58">
        <w:rPr>
          <w:rFonts w:ascii="Times New Roman" w:eastAsia="Times New Roman" w:hAnsi="Times New Roman"/>
          <w:lang w:val="es-ES"/>
        </w:rPr>
        <w:t>)</w:t>
      </w:r>
      <w:r w:rsidRPr="00E20820">
        <w:rPr>
          <w:rFonts w:ascii="Times New Roman" w:eastAsia="Times New Roman" w:hAnsi="Times New Roman"/>
          <w:lang w:val="es-ES"/>
        </w:rPr>
        <w:t>.</w:t>
      </w:r>
    </w:p>
    <w:p w14:paraId="4A9AC854" w14:textId="77777777" w:rsidR="00353DD9" w:rsidRPr="00E20820" w:rsidRDefault="00353DD9" w:rsidP="00353DD9">
      <w:pPr>
        <w:jc w:val="both"/>
        <w:rPr>
          <w:lang w:val="es-ES"/>
        </w:rPr>
      </w:pPr>
      <w:r w:rsidRPr="00E20820">
        <w:rPr>
          <w:rFonts w:ascii="Times New Roman" w:eastAsia="Times New Roman" w:hAnsi="Times New Roman"/>
          <w:lang w:val="es-ES"/>
        </w:rPr>
        <w:lastRenderedPageBreak/>
        <w:t>La pérdida de especificidad también aparece como un riesgo. Cuando Educación Física y deporte son tratados de forma excesivamente amplia, puede ocurrir que los programas no preparen suficientemente para las demandas concretas de la actuación deportiva. Por otro lado, cuando el deporte es reducido a técnica, rendimiento o certificación, se pierde su dimensión educativa y cultural. La tarea, por lo tanto, consiste en diferenciar sin separar de manera rígida. Es necesario reconocer la especificidad de la formación para el deporte, pero también mantener su diálogo con la Educación Física, la pedagogía, la salud, las ciencias sociales, la gestión y las políticas públicas.</w:t>
      </w:r>
    </w:p>
    <w:p w14:paraId="2F0418A8" w14:textId="603DF5D0" w:rsidR="00353DD9" w:rsidRPr="00E20820" w:rsidRDefault="00353DD9" w:rsidP="00353DD9">
      <w:pPr>
        <w:jc w:val="both"/>
        <w:rPr>
          <w:lang w:val="es-ES"/>
        </w:rPr>
      </w:pPr>
      <w:r w:rsidRPr="00E20820">
        <w:rPr>
          <w:rFonts w:ascii="Times New Roman" w:eastAsia="Times New Roman" w:hAnsi="Times New Roman"/>
          <w:lang w:val="es-ES"/>
        </w:rPr>
        <w:t>Esta diferenciación tiene implicaciones curriculares y políticas. En el currículo, exige definir qué saberes son indispensables par</w:t>
      </w:r>
      <w:r w:rsidR="00744542">
        <w:rPr>
          <w:rFonts w:ascii="Times New Roman" w:eastAsia="Times New Roman" w:hAnsi="Times New Roman"/>
          <w:lang w:val="es-ES"/>
        </w:rPr>
        <w:t xml:space="preserve">a quien actuará con el deporte. </w:t>
      </w:r>
      <w:r w:rsidRPr="00E20820">
        <w:rPr>
          <w:rFonts w:ascii="Times New Roman" w:eastAsia="Times New Roman" w:hAnsi="Times New Roman"/>
          <w:lang w:val="es-ES"/>
        </w:rPr>
        <w:t>En las políticas, exige reconocer campos de actuación, responsabilidades profesionales y criterios de habilitación. En la investigación, exige construir categorías que permitan estudiar la formación para el deporte en su especificidad latinoamericana, evitando importar modelos sin considerar las condiciones sociales y culturales de la región.</w:t>
      </w:r>
    </w:p>
    <w:p w14:paraId="4B32AC36" w14:textId="1190B045" w:rsidR="00353DD9" w:rsidRPr="00E20820" w:rsidRDefault="00353DD9" w:rsidP="00353DD9">
      <w:pPr>
        <w:jc w:val="both"/>
        <w:rPr>
          <w:lang w:val="es-ES"/>
        </w:rPr>
      </w:pPr>
      <w:r w:rsidRPr="00E20820">
        <w:rPr>
          <w:rFonts w:ascii="Times New Roman" w:eastAsia="Times New Roman" w:hAnsi="Times New Roman"/>
          <w:lang w:val="es-ES"/>
        </w:rPr>
        <w:t xml:space="preserve">La noción de formación para el deporte, tal como se plantea en este trabajo, puede ser entendida como el conjunto de procesos legislativos, institucionales y pedagógicos que preparan y habilitan sujetos para actuar profesionalmente en el deporte, especialmente en contextos </w:t>
      </w:r>
      <w:r w:rsidR="00BE19A4">
        <w:rPr>
          <w:rFonts w:ascii="Times New Roman" w:eastAsia="Times New Roman" w:hAnsi="Times New Roman"/>
          <w:lang w:val="es-ES"/>
        </w:rPr>
        <w:t xml:space="preserve">distintos desde sus </w:t>
      </w:r>
      <w:r w:rsidRPr="00E20820">
        <w:rPr>
          <w:rFonts w:ascii="Times New Roman" w:eastAsia="Times New Roman" w:hAnsi="Times New Roman"/>
          <w:lang w:val="es-ES"/>
        </w:rPr>
        <w:t>manifestaciones. En este sentido, la formación para el deporte se relaciona con la formación deportiva, pero no se confunde con ella. La formación deportiva se dirige, muchas veces, al practicante o al atleta. La formación para el deporte se dirige al sujeto que trabajará profesionalmente en ese campo.</w:t>
      </w:r>
    </w:p>
    <w:p w14:paraId="720582E2" w14:textId="77777777" w:rsidR="00353DD9" w:rsidRPr="00E20820" w:rsidRDefault="00353DD9" w:rsidP="00353DD9">
      <w:pPr>
        <w:jc w:val="both"/>
        <w:rPr>
          <w:lang w:val="es-ES"/>
        </w:rPr>
      </w:pPr>
      <w:r w:rsidRPr="00E20820">
        <w:rPr>
          <w:rFonts w:ascii="Times New Roman" w:eastAsia="Times New Roman" w:hAnsi="Times New Roman"/>
          <w:lang w:val="es-ES"/>
        </w:rPr>
        <w:t>El análisis de los documentos también muestra que los programas formativos producen expectativas sobre el lugar social del profesional. Algunos textos institucionales destacan la intervención pedagógica, la investigación y la transformación social. Otros enfatizan la empleabilidad, la excelencia, la eficiencia, la preparación física o la competencia técnica. Otros combinan una retórica humanista con objetivos laborales muy específicos. Estas diferencias no son secundarias. Revelan disputas sobre el sentido del deporte en la sociedad. El deporte puede ser pensado como derecho, como mercado, como política pública, como medio educativo, como rendimiento, como salud, como cultura o como entretenimiento. Cada programa se aproxima de modo distinto a esas posibilidades.</w:t>
      </w:r>
    </w:p>
    <w:p w14:paraId="587B0E30" w14:textId="77777777" w:rsidR="00353DD9" w:rsidRPr="00E20820" w:rsidRDefault="00353DD9" w:rsidP="00353DD9">
      <w:pPr>
        <w:jc w:val="both"/>
        <w:rPr>
          <w:lang w:val="es-ES"/>
        </w:rPr>
      </w:pPr>
      <w:r w:rsidRPr="00E20820">
        <w:rPr>
          <w:rFonts w:ascii="Times New Roman" w:eastAsia="Times New Roman" w:hAnsi="Times New Roman"/>
          <w:lang w:val="es-ES"/>
        </w:rPr>
        <w:t xml:space="preserve">Por esa razón, los objetivos formativos deben ser leídos como indicios de proyectos de sociedad y de profesión. Cuando un curso declara formar gestores deportivos, no solamente describe una función; también reconoce que el deporte necesita planificación, organización y administración. Cuando declara formar entrenadores, afirma la centralidad de la conducción técnica de procesos deportivos. Cuando declara formar licenciados e investigadores, vincula la práctica a la producción de conocimiento y a la </w:t>
      </w:r>
      <w:r w:rsidRPr="00E20820">
        <w:rPr>
          <w:rFonts w:ascii="Times New Roman" w:eastAsia="Times New Roman" w:hAnsi="Times New Roman"/>
          <w:lang w:val="es-ES"/>
        </w:rPr>
        <w:lastRenderedPageBreak/>
        <w:t>reflexión crítica. Cuando declara formar profesionales integrales, proyecta una imagen de sujeto capaz de circular por diferentes campos, aunque sea necesario verificar si el currículo ofrece condiciones reales para ello.</w:t>
      </w:r>
    </w:p>
    <w:p w14:paraId="03DC2B79" w14:textId="1E631DED" w:rsidR="00353DD9" w:rsidRPr="00E20820" w:rsidRDefault="00353DD9" w:rsidP="00353DD9">
      <w:pPr>
        <w:jc w:val="both"/>
        <w:rPr>
          <w:lang w:val="es-ES"/>
        </w:rPr>
      </w:pPr>
      <w:r w:rsidRPr="00E20820">
        <w:rPr>
          <w:rFonts w:ascii="Times New Roman" w:eastAsia="Times New Roman" w:hAnsi="Times New Roman"/>
          <w:lang w:val="es-ES"/>
        </w:rPr>
        <w:t xml:space="preserve">En este punto, la comparación con el caso brasileño, aunque no forme parte del corpus principal de países hispanohablantes, ayuda a problematizar el tema. En Brasil, la separación entre licenciatura y </w:t>
      </w:r>
      <w:r w:rsidR="00516B94">
        <w:rPr>
          <w:rFonts w:ascii="Times New Roman" w:eastAsia="Times New Roman" w:hAnsi="Times New Roman"/>
          <w:lang w:val="es-ES"/>
        </w:rPr>
        <w:t>“</w:t>
      </w:r>
      <w:proofErr w:type="spellStart"/>
      <w:r w:rsidR="00516B94">
        <w:rPr>
          <w:rFonts w:ascii="Times New Roman" w:eastAsia="Times New Roman" w:hAnsi="Times New Roman"/>
          <w:lang w:val="es-ES"/>
        </w:rPr>
        <w:t>bacharelado</w:t>
      </w:r>
      <w:proofErr w:type="spellEnd"/>
      <w:r w:rsidR="00516B94">
        <w:rPr>
          <w:rFonts w:ascii="Times New Roman" w:eastAsia="Times New Roman" w:hAnsi="Times New Roman"/>
          <w:lang w:val="es-ES"/>
        </w:rPr>
        <w:t>”</w:t>
      </w:r>
      <w:r w:rsidRPr="00E20820">
        <w:rPr>
          <w:rFonts w:ascii="Times New Roman" w:eastAsia="Times New Roman" w:hAnsi="Times New Roman"/>
          <w:lang w:val="es-ES"/>
        </w:rPr>
        <w:t xml:space="preserve"> en Educación Física produjo debates intensos sobre los campos de actuación escolar y no escolar. En varios países hispanohablantes, la organización parece seguir otros caminos, con mayor presencia de pregrados amplios, dobles grados, tecnologías y cursos técnicos. Esta diferencia muestra que no existe una única solución institucional para el problema de la formación. Cada país construye respuestas a partir de sus sistemas educativos, legislaciones, tradiciones académicas y demandas profesionales.</w:t>
      </w:r>
    </w:p>
    <w:p w14:paraId="307C60E1" w14:textId="7A23294A" w:rsidR="00353DD9" w:rsidRDefault="00353DD9" w:rsidP="00353DD9">
      <w:pPr>
        <w:jc w:val="both"/>
        <w:rPr>
          <w:rFonts w:ascii="Times New Roman" w:eastAsia="Times New Roman" w:hAnsi="Times New Roman"/>
          <w:lang w:val="es-ES"/>
        </w:rPr>
      </w:pPr>
      <w:r w:rsidRPr="00E20820">
        <w:rPr>
          <w:rFonts w:ascii="Times New Roman" w:eastAsia="Times New Roman" w:hAnsi="Times New Roman"/>
          <w:lang w:val="es-ES"/>
        </w:rPr>
        <w:t xml:space="preserve">Los datos permiten afirmar que la formación para la Educación Física y el deporte en América Latina hispanohablante se configura como un campo plural, fragmentado y, al mismo tiempo, potencialmente </w:t>
      </w:r>
      <w:r w:rsidR="0029097D">
        <w:rPr>
          <w:rFonts w:ascii="Times New Roman" w:eastAsia="Times New Roman" w:hAnsi="Times New Roman"/>
          <w:lang w:val="es-ES"/>
        </w:rPr>
        <w:t>“</w:t>
      </w:r>
      <w:proofErr w:type="spellStart"/>
      <w:r w:rsidRPr="00E20820">
        <w:rPr>
          <w:rFonts w:ascii="Times New Roman" w:eastAsia="Times New Roman" w:hAnsi="Times New Roman"/>
          <w:lang w:val="es-ES"/>
        </w:rPr>
        <w:t>articulable</w:t>
      </w:r>
      <w:proofErr w:type="spellEnd"/>
      <w:r w:rsidR="0029097D">
        <w:rPr>
          <w:rFonts w:ascii="Times New Roman" w:eastAsia="Times New Roman" w:hAnsi="Times New Roman"/>
          <w:lang w:val="es-ES"/>
        </w:rPr>
        <w:t>”</w:t>
      </w:r>
      <w:r w:rsidRPr="00E20820">
        <w:rPr>
          <w:rFonts w:ascii="Times New Roman" w:eastAsia="Times New Roman" w:hAnsi="Times New Roman"/>
          <w:lang w:val="es-ES"/>
        </w:rPr>
        <w:t>. La pluralidad aparece en la diversidad de modalidades, nombres, objetivos y perfiles. La fragmentación se evidencia en la ausencia de una conceptualización común sobre formación para el deporte en muchas legislaciones y programas. La posibilidad de articulación surge cuando se observan problemas compartidos: la necesidad de formació</w:t>
      </w:r>
      <w:bookmarkStart w:id="0" w:name="_GoBack"/>
      <w:bookmarkEnd w:id="0"/>
      <w:r w:rsidRPr="00E20820">
        <w:rPr>
          <w:rFonts w:ascii="Times New Roman" w:eastAsia="Times New Roman" w:hAnsi="Times New Roman"/>
          <w:lang w:val="es-ES"/>
        </w:rPr>
        <w:t>n integral, la definición de campos de actuación, la relación entre universidad y sistema deportivo, la regulación profesional, la calidad de las ofertas y el reconocimiento de las singularidades culturales.</w:t>
      </w:r>
    </w:p>
    <w:p w14:paraId="7B1D66EE" w14:textId="48C4EF56" w:rsidR="009D7626" w:rsidRPr="00E20820" w:rsidRDefault="009D7626" w:rsidP="009D7626">
      <w:pPr>
        <w:jc w:val="both"/>
        <w:rPr>
          <w:lang w:val="es-ES"/>
        </w:rPr>
      </w:pPr>
      <w:r w:rsidRPr="00E20820">
        <w:rPr>
          <w:rFonts w:ascii="Times New Roman" w:eastAsia="Times New Roman" w:hAnsi="Times New Roman"/>
          <w:lang w:val="es-ES"/>
        </w:rPr>
        <w:t xml:space="preserve">La relación entre legislación y formación </w:t>
      </w:r>
      <w:r w:rsidR="00A2096D">
        <w:rPr>
          <w:rFonts w:ascii="Times New Roman" w:eastAsia="Times New Roman" w:hAnsi="Times New Roman"/>
          <w:lang w:val="es-ES"/>
        </w:rPr>
        <w:t xml:space="preserve">también </w:t>
      </w:r>
      <w:r w:rsidRPr="00E20820">
        <w:rPr>
          <w:rFonts w:ascii="Times New Roman" w:eastAsia="Times New Roman" w:hAnsi="Times New Roman"/>
          <w:lang w:val="es-ES"/>
        </w:rPr>
        <w:t>es decisiva. Las leyes pueden reconocer profesiones, definir requisitos de actuación, establecer políticas de desarrollo deportivo y orientar responsabilidades institucionales. Sin embargo, cuando la formación aparece de modo genérico o fragmentado, se crea una distancia entre las demandas del campo deportivo y las trayectorias formativas ofrecidas. Esa distancia afecta tanto a las instituciones de enseñanza como a los sujetos que buscan insertarse profesionalmente. También puede generar disputas entre universidades, federaciones, organismos públicos y mercados de trabajo sobre quién tiene legitimidad para formar, certificar y habilitar profesionales.</w:t>
      </w:r>
    </w:p>
    <w:p w14:paraId="2E9D59C0" w14:textId="77777777" w:rsidR="00353DD9" w:rsidRPr="00E20820" w:rsidRDefault="00353DD9" w:rsidP="00353DD9">
      <w:pPr>
        <w:jc w:val="both"/>
        <w:rPr>
          <w:lang w:val="es-ES"/>
        </w:rPr>
      </w:pPr>
      <w:r w:rsidRPr="00E20820">
        <w:rPr>
          <w:rFonts w:ascii="Times New Roman" w:eastAsia="Times New Roman" w:hAnsi="Times New Roman"/>
          <w:lang w:val="es-ES"/>
        </w:rPr>
        <w:t xml:space="preserve">Construir ejes comunes para pensar esta formación no significa imponer un currículo único para América Latina. Significa reconocer problemas compartidos y abrir espacios de cooperación. Entre esos ejes, pueden destacarse: la defensa de una formación ética y socialmente responsable; la articulación entre conocimientos científicos y experiencias prácticas; la consideración de las trayectorias de los estudiantes; el diálogo entre Educación Física, deporte y políticas públicas; la valorización de la diversidad cultural </w:t>
      </w:r>
      <w:r w:rsidRPr="00E20820">
        <w:rPr>
          <w:rFonts w:ascii="Times New Roman" w:eastAsia="Times New Roman" w:hAnsi="Times New Roman"/>
          <w:lang w:val="es-ES"/>
        </w:rPr>
        <w:lastRenderedPageBreak/>
        <w:t>latinoamericana; y la definición de criterios que permitan diferenciar formación general, formación específica, capacitación y certificación.</w:t>
      </w:r>
    </w:p>
    <w:p w14:paraId="6588F590" w14:textId="0D838544" w:rsidR="00353DD9" w:rsidRPr="00E20820" w:rsidRDefault="00353DD9" w:rsidP="00353DD9">
      <w:pPr>
        <w:jc w:val="both"/>
        <w:rPr>
          <w:lang w:val="es-ES"/>
        </w:rPr>
      </w:pPr>
      <w:r w:rsidRPr="00E20820">
        <w:rPr>
          <w:rFonts w:ascii="Times New Roman" w:eastAsia="Times New Roman" w:hAnsi="Times New Roman"/>
          <w:lang w:val="es-ES"/>
        </w:rPr>
        <w:t xml:space="preserve">La cooperación académica regional puede contribuir a ese proceso. Silva y Bedoya (2015) </w:t>
      </w:r>
      <w:r w:rsidR="00A2096D">
        <w:rPr>
          <w:rFonts w:ascii="Times New Roman" w:eastAsia="Times New Roman" w:hAnsi="Times New Roman"/>
          <w:lang w:val="es-ES"/>
        </w:rPr>
        <w:t xml:space="preserve">y </w:t>
      </w:r>
      <w:r w:rsidR="00A2096D" w:rsidRPr="00D862D4">
        <w:rPr>
          <w:rFonts w:ascii="Times New Roman" w:eastAsia="Times New Roman" w:hAnsi="Times New Roman"/>
          <w:lang w:val="es-ES"/>
        </w:rPr>
        <w:t>Gama, Ferreira Neto y Santos (2021)</w:t>
      </w:r>
      <w:r w:rsidR="00A2096D">
        <w:rPr>
          <w:rFonts w:ascii="Times New Roman" w:eastAsia="Times New Roman" w:hAnsi="Times New Roman"/>
          <w:lang w:val="es-ES"/>
        </w:rPr>
        <w:t xml:space="preserve"> </w:t>
      </w:r>
      <w:r w:rsidRPr="00E20820">
        <w:rPr>
          <w:rFonts w:ascii="Times New Roman" w:eastAsia="Times New Roman" w:hAnsi="Times New Roman"/>
          <w:lang w:val="es-ES"/>
        </w:rPr>
        <w:t xml:space="preserve">ya indicaban la importancia de ampliar los intercambios y comparaciones entre países latinoamericanos. La construcción de bases de datos, redes de investigación, seminarios, publicaciones conjuntas y estudios </w:t>
      </w:r>
      <w:proofErr w:type="spellStart"/>
      <w:r w:rsidRPr="00E20820">
        <w:rPr>
          <w:rFonts w:ascii="Times New Roman" w:eastAsia="Times New Roman" w:hAnsi="Times New Roman"/>
          <w:lang w:val="es-ES"/>
        </w:rPr>
        <w:t>multicéntricos</w:t>
      </w:r>
      <w:proofErr w:type="spellEnd"/>
      <w:r w:rsidRPr="00E20820">
        <w:rPr>
          <w:rFonts w:ascii="Times New Roman" w:eastAsia="Times New Roman" w:hAnsi="Times New Roman"/>
          <w:lang w:val="es-ES"/>
        </w:rPr>
        <w:t xml:space="preserve"> puede fortalecer el campo. Además, permite que la región no dependa exclusivamente de marcos interpretativos producidos en otros contextos. La formación para el deporte en América Latina debe dialogar con la producción internacional, pero necesita construir categorías sensibles a sus propias historias, desigualdades, instituciones y prácticas.</w:t>
      </w:r>
    </w:p>
    <w:p w14:paraId="07B1A234" w14:textId="77777777" w:rsidR="00353DD9" w:rsidRPr="0077367E" w:rsidRDefault="00353DD9" w:rsidP="0077367E">
      <w:pPr>
        <w:spacing w:line="240" w:lineRule="auto"/>
        <w:rPr>
          <w:rFonts w:ascii="Times New Roman" w:hAnsi="Times New Roman" w:cs="Times New Roman"/>
          <w:bCs/>
          <w:lang w:val="es-ES"/>
        </w:rPr>
      </w:pPr>
    </w:p>
    <w:p w14:paraId="78EAB7EB" w14:textId="7ED21631" w:rsidR="00F367D8" w:rsidRDefault="005F3B2E" w:rsidP="0077367E">
      <w:pPr>
        <w:spacing w:line="240" w:lineRule="auto"/>
        <w:rPr>
          <w:rFonts w:ascii="Times New Roman" w:hAnsi="Times New Roman" w:cs="Times New Roman"/>
          <w:b/>
          <w:bCs/>
          <w:lang w:val="es-ES"/>
        </w:rPr>
      </w:pPr>
      <w:r w:rsidRPr="00977634">
        <w:rPr>
          <w:rFonts w:ascii="Times New Roman" w:hAnsi="Times New Roman" w:cs="Times New Roman"/>
          <w:b/>
          <w:bCs/>
          <w:lang w:val="es-ES"/>
        </w:rPr>
        <w:t>Conclusiones</w:t>
      </w:r>
    </w:p>
    <w:p w14:paraId="5B7C2DB7" w14:textId="77777777" w:rsidR="00353DD9" w:rsidRPr="00E20820" w:rsidRDefault="00353DD9" w:rsidP="00353DD9">
      <w:pPr>
        <w:jc w:val="both"/>
        <w:rPr>
          <w:lang w:val="es-ES"/>
        </w:rPr>
      </w:pPr>
      <w:r w:rsidRPr="00E20820">
        <w:rPr>
          <w:rFonts w:ascii="Times New Roman" w:eastAsia="Times New Roman" w:hAnsi="Times New Roman"/>
          <w:lang w:val="es-ES"/>
        </w:rPr>
        <w:t>El análisis realizado permite afirmar que la formación universitaria y profesional para la Educación Física y el deporte en América Latina hispanohablante se organiza a partir de una trama amplia, diversa y desigual. El corpus compuesto por 140 instituciones y 227 programas evidencia que existe una oferta significativa en la región, pero distribuida de manera concentrada. Colombia, Argentina, Chile y México reúnen más de la mitad de las instituciones mapeadas, mientras otros países presentan números menores, aunque con experiencias formativas relevantes y, en algunos casos, con alta densidad de programas en pocas instituciones.</w:t>
      </w:r>
    </w:p>
    <w:p w14:paraId="0B1DDCB0" w14:textId="02D7A081" w:rsidR="00353DD9" w:rsidRPr="00E20820" w:rsidRDefault="00353DD9" w:rsidP="00353DD9">
      <w:pPr>
        <w:jc w:val="both"/>
        <w:rPr>
          <w:lang w:val="es-ES"/>
        </w:rPr>
      </w:pPr>
      <w:r w:rsidRPr="00E20820">
        <w:rPr>
          <w:rFonts w:ascii="Times New Roman" w:eastAsia="Times New Roman" w:hAnsi="Times New Roman"/>
          <w:lang w:val="es-ES"/>
        </w:rPr>
        <w:t>Los programas proyectan distintos sujetos: licenciados, investigadores, gestores, profesionales en deporte, entrenadores, técnicos e instructores. Esta diversidad expresa la riqueza del campo, pero también plantea desafíos para la regulación, el reconocimiento profesional y la construcción de currículos capaces de articular saberes técnicos, pedagógicos, científicos y socioculturales. La distinción entre estar habilitado y estar preparado aparece, así, como una cuestión central.</w:t>
      </w:r>
    </w:p>
    <w:p w14:paraId="13A81525" w14:textId="72F7FE48" w:rsidR="00353DD9" w:rsidRPr="00E20820" w:rsidRDefault="002B71E7" w:rsidP="00353DD9">
      <w:pPr>
        <w:jc w:val="both"/>
        <w:rPr>
          <w:lang w:val="es-ES"/>
        </w:rPr>
      </w:pPr>
      <w:r>
        <w:rPr>
          <w:rFonts w:ascii="Times New Roman" w:eastAsia="Times New Roman" w:hAnsi="Times New Roman"/>
          <w:lang w:val="es-ES"/>
        </w:rPr>
        <w:t xml:space="preserve">Se </w:t>
      </w:r>
      <w:r w:rsidR="00353DD9" w:rsidRPr="00E20820">
        <w:rPr>
          <w:rFonts w:ascii="Times New Roman" w:eastAsia="Times New Roman" w:hAnsi="Times New Roman"/>
          <w:lang w:val="es-ES"/>
        </w:rPr>
        <w:t>refuerza la necesidad de diferenciar la formación deportiva de la formación para el deporte. La primera suele estar orientada al practicante, al atleta o al proceso de desarrollo deportivo. La segunda se refiere a la preparación del sujeto que actuará profesionalmente en el campo deportivo, con diferentes responsabilidades pedagógicas, técnicas, éticas y políticas. Esta diferenciación no busca separar rígidamente Educación Física y deporte, sino reconocer sus especificidades y fortalecer sus diálogos.</w:t>
      </w:r>
    </w:p>
    <w:p w14:paraId="323FF1AD" w14:textId="5F616F16" w:rsidR="00353DD9" w:rsidRDefault="002B71E7" w:rsidP="00353DD9">
      <w:pPr>
        <w:jc w:val="both"/>
        <w:rPr>
          <w:rFonts w:ascii="Times New Roman" w:eastAsia="Times New Roman" w:hAnsi="Times New Roman"/>
          <w:lang w:val="es-ES"/>
        </w:rPr>
      </w:pPr>
      <w:r>
        <w:rPr>
          <w:rFonts w:ascii="Times New Roman" w:eastAsia="Times New Roman" w:hAnsi="Times New Roman"/>
          <w:lang w:val="es-ES"/>
        </w:rPr>
        <w:t>S</w:t>
      </w:r>
      <w:r w:rsidR="00353DD9" w:rsidRPr="00E20820">
        <w:rPr>
          <w:rFonts w:ascii="Times New Roman" w:eastAsia="Times New Roman" w:hAnsi="Times New Roman"/>
          <w:lang w:val="es-ES"/>
        </w:rPr>
        <w:t xml:space="preserve">e plantea la construcción de una agenda latinoamericana de investigación y cooperación. Dicha agenda debe considerar las singularidades nacionales, pero también los problemas comunes que atraviesan la región: la fragmentación de las ofertas, la </w:t>
      </w:r>
      <w:r w:rsidR="00353DD9" w:rsidRPr="00E20820">
        <w:rPr>
          <w:rFonts w:ascii="Times New Roman" w:eastAsia="Times New Roman" w:hAnsi="Times New Roman"/>
          <w:lang w:val="es-ES"/>
        </w:rPr>
        <w:lastRenderedPageBreak/>
        <w:t>escasa precisión legislativa, la tensión entre amplitud y especificidad, la relación entre universidad y sistema deportivo, la formación continua, la regulación profesional y la democratización del acceso a prácticas deportivas de calidad. Pensar ejes comunes para la formación en Educación Física y deporte en América Latina exige trabajo colectivo, comparación rigurosa y compromiso con una perspectiva regional que dialogue con las prácticas concretas de nuestros países.</w:t>
      </w:r>
    </w:p>
    <w:p w14:paraId="503D8317" w14:textId="78445100" w:rsidR="002B71E7" w:rsidRPr="00353DD9" w:rsidRDefault="002B71E7" w:rsidP="002B71E7">
      <w:pPr>
        <w:spacing w:after="0"/>
        <w:jc w:val="both"/>
        <w:rPr>
          <w:lang w:val="es-ES"/>
        </w:rPr>
      </w:pPr>
      <w:r w:rsidRPr="00E20820">
        <w:rPr>
          <w:rFonts w:ascii="Times New Roman" w:eastAsia="Times New Roman" w:hAnsi="Times New Roman"/>
          <w:lang w:val="es-ES"/>
        </w:rPr>
        <w:t xml:space="preserve">Finalmente, el panorama presentado no agota el tema. Al trabajar con documentos institucionales, el estudio ofrece una lectura de las prescripciones, no de las prácticas efectivas. Será necesario avanzar hacia investigaciones que incluyan entrevistas con gestores, docentes, estudiantes, entrenadores y egresados; análisis de planes de estudio completos; observación de prácticas pedagógicas; evaluación de trayectorias profesionales; y comparación entre lo que los programas declaran y lo que realmente producen. Aun así, el </w:t>
      </w:r>
      <w:r w:rsidR="004E1178">
        <w:rPr>
          <w:rFonts w:ascii="Times New Roman" w:eastAsia="Times New Roman" w:hAnsi="Times New Roman"/>
          <w:lang w:val="es-ES"/>
        </w:rPr>
        <w:t>mapeo</w:t>
      </w:r>
      <w:r w:rsidRPr="00E20820">
        <w:rPr>
          <w:rFonts w:ascii="Times New Roman" w:eastAsia="Times New Roman" w:hAnsi="Times New Roman"/>
          <w:lang w:val="es-ES"/>
        </w:rPr>
        <w:t xml:space="preserve"> desarrollado constituye un paso fundamental, porque permite saber dónde están las instituciones, qué programas ofrecen, cómo se distribuyen y qué perfiles profesionales proyectan.</w:t>
      </w:r>
    </w:p>
    <w:p w14:paraId="40A43216" w14:textId="77777777" w:rsidR="002B71E7" w:rsidRDefault="002B71E7" w:rsidP="00353DD9">
      <w:pPr>
        <w:jc w:val="both"/>
        <w:rPr>
          <w:rFonts w:ascii="Times New Roman" w:eastAsia="Times New Roman" w:hAnsi="Times New Roman"/>
          <w:lang w:val="es-ES"/>
        </w:rPr>
      </w:pPr>
    </w:p>
    <w:p w14:paraId="5A274D64" w14:textId="21BBE746" w:rsidR="00353DD9" w:rsidRPr="00E20820" w:rsidRDefault="00353DD9" w:rsidP="00353DD9">
      <w:pPr>
        <w:jc w:val="both"/>
        <w:rPr>
          <w:lang w:val="es-ES"/>
        </w:rPr>
      </w:pPr>
      <w:r w:rsidRPr="00E20820">
        <w:rPr>
          <w:rFonts w:ascii="Times New Roman" w:eastAsia="Times New Roman" w:hAnsi="Times New Roman"/>
          <w:lang w:val="es-ES"/>
        </w:rPr>
        <w:t>A partir de este mapa, será posible avanzar hacia análisis más específicos sobre cada país, sobre cada modalidad formativa y sobre los efectos concretos de estos procesos en la actuación profesional. La formación para la Educación Física y el deporte en América Latina no debe ser pensada solamente como respuesta a demandas laborales, sino como parte de un proyecto educativo, cultural y político que incide en la vida colectiva, en las prácticas corporales y en la construcción de sociedades más democráticas.</w:t>
      </w:r>
    </w:p>
    <w:p w14:paraId="5CAA4E95" w14:textId="77777777" w:rsidR="0077367E" w:rsidRPr="0077367E" w:rsidRDefault="0077367E" w:rsidP="0077367E">
      <w:pPr>
        <w:spacing w:line="240" w:lineRule="auto"/>
        <w:rPr>
          <w:rFonts w:ascii="Times New Roman" w:hAnsi="Times New Roman" w:cs="Times New Roman"/>
          <w:bCs/>
          <w:lang w:val="es-ES"/>
        </w:rPr>
      </w:pPr>
    </w:p>
    <w:p w14:paraId="23CA62C6" w14:textId="0316B5A7" w:rsidR="00C802F5" w:rsidRPr="00353DD9" w:rsidRDefault="005F3B2E" w:rsidP="00977634">
      <w:pPr>
        <w:spacing w:line="240" w:lineRule="auto"/>
        <w:rPr>
          <w:rFonts w:ascii="Times New Roman" w:hAnsi="Times New Roman" w:cs="Times New Roman"/>
          <w:b/>
          <w:bCs/>
          <w:lang w:val="pt-BR"/>
        </w:rPr>
      </w:pPr>
      <w:r w:rsidRPr="00353DD9">
        <w:rPr>
          <w:rFonts w:ascii="Times New Roman" w:hAnsi="Times New Roman" w:cs="Times New Roman"/>
          <w:b/>
          <w:bCs/>
          <w:lang w:val="pt-BR"/>
        </w:rPr>
        <w:t xml:space="preserve">Referencias Bibliográficas </w:t>
      </w:r>
    </w:p>
    <w:p w14:paraId="7BE989D7" w14:textId="77777777" w:rsidR="00353DD9" w:rsidRPr="00353DD9" w:rsidRDefault="00353DD9" w:rsidP="00353DD9">
      <w:pPr>
        <w:spacing w:line="240" w:lineRule="auto"/>
        <w:jc w:val="both"/>
        <w:rPr>
          <w:rFonts w:ascii="Times New Roman" w:hAnsi="Times New Roman" w:cs="Times New Roman"/>
          <w:lang w:val="es-ES"/>
        </w:rPr>
      </w:pPr>
      <w:r w:rsidRPr="00353DD9">
        <w:rPr>
          <w:rFonts w:ascii="Times New Roman" w:hAnsi="Times New Roman" w:cs="Times New Roman"/>
          <w:lang w:val="pt-BR"/>
        </w:rPr>
        <w:t xml:space="preserve">Almeida, F. C. de. (2011). </w:t>
      </w:r>
      <w:r w:rsidRPr="00353DD9">
        <w:rPr>
          <w:rFonts w:ascii="Times New Roman" w:hAnsi="Times New Roman" w:cs="Times New Roman"/>
          <w:i/>
          <w:lang w:val="pt-BR"/>
        </w:rPr>
        <w:t>O historiador e as fontes digitais: uma visão acerca da internet como fonte primária para pesquisas históricas</w:t>
      </w:r>
      <w:r w:rsidRPr="00353DD9">
        <w:rPr>
          <w:rFonts w:ascii="Times New Roman" w:hAnsi="Times New Roman" w:cs="Times New Roman"/>
          <w:lang w:val="pt-BR"/>
        </w:rPr>
        <w:t xml:space="preserve">. </w:t>
      </w:r>
      <w:r w:rsidRPr="00353DD9">
        <w:rPr>
          <w:rFonts w:ascii="Times New Roman" w:hAnsi="Times New Roman" w:cs="Times New Roman"/>
          <w:lang w:val="es-ES"/>
        </w:rPr>
        <w:t>AEDOS, 3(8), 1-22.</w:t>
      </w:r>
    </w:p>
    <w:p w14:paraId="4959F36B" w14:textId="77777777" w:rsidR="00353DD9" w:rsidRPr="00353DD9" w:rsidRDefault="00353DD9" w:rsidP="00353DD9">
      <w:pPr>
        <w:spacing w:line="240" w:lineRule="auto"/>
        <w:jc w:val="both"/>
        <w:rPr>
          <w:rFonts w:ascii="Times New Roman" w:hAnsi="Times New Roman" w:cs="Times New Roman"/>
          <w:lang w:val="pt-BR"/>
        </w:rPr>
      </w:pPr>
      <w:r w:rsidRPr="00353DD9">
        <w:rPr>
          <w:rFonts w:ascii="Times New Roman" w:hAnsi="Times New Roman" w:cs="Times New Roman"/>
          <w:lang w:val="es-ES"/>
        </w:rPr>
        <w:t xml:space="preserve">Ayala-Zuluaga, C. F., Aguirre-Loaiza, H. H., &amp; Ramos-Bermúdez, S. (2015). Formación académica y experiencia deportiva de los entrenadores suramericanos. </w:t>
      </w:r>
      <w:r w:rsidRPr="00353DD9">
        <w:rPr>
          <w:rFonts w:ascii="Times New Roman" w:hAnsi="Times New Roman" w:cs="Times New Roman"/>
          <w:i/>
          <w:lang w:val="pt-BR"/>
        </w:rPr>
        <w:t>Revista Brasileira de Ciências do Esporte</w:t>
      </w:r>
      <w:r w:rsidRPr="00353DD9">
        <w:rPr>
          <w:rFonts w:ascii="Times New Roman" w:hAnsi="Times New Roman" w:cs="Times New Roman"/>
          <w:lang w:val="pt-BR"/>
        </w:rPr>
        <w:t>, 37(4), 367-375.</w:t>
      </w:r>
    </w:p>
    <w:p w14:paraId="1ADC2285" w14:textId="77777777" w:rsidR="00353DD9" w:rsidRPr="00353DD9" w:rsidRDefault="00353DD9" w:rsidP="00353DD9">
      <w:pPr>
        <w:spacing w:line="240" w:lineRule="auto"/>
        <w:jc w:val="both"/>
        <w:rPr>
          <w:rFonts w:ascii="Times New Roman" w:hAnsi="Times New Roman" w:cs="Times New Roman"/>
          <w:lang w:val="pt-BR"/>
        </w:rPr>
      </w:pPr>
      <w:r w:rsidRPr="00353DD9">
        <w:rPr>
          <w:rFonts w:ascii="Times New Roman" w:hAnsi="Times New Roman" w:cs="Times New Roman"/>
          <w:lang w:val="pt-BR"/>
        </w:rPr>
        <w:t xml:space="preserve">Bloch, M. (1998). </w:t>
      </w:r>
      <w:r w:rsidRPr="00353DD9">
        <w:rPr>
          <w:rFonts w:ascii="Times New Roman" w:hAnsi="Times New Roman" w:cs="Times New Roman"/>
          <w:i/>
          <w:lang w:val="pt-BR"/>
        </w:rPr>
        <w:t>Para uma história comparada das sociedades europeias. In M. Bloch, História e historiadores</w:t>
      </w:r>
      <w:r w:rsidRPr="00353DD9">
        <w:rPr>
          <w:rFonts w:ascii="Times New Roman" w:hAnsi="Times New Roman" w:cs="Times New Roman"/>
          <w:lang w:val="pt-BR"/>
        </w:rPr>
        <w:t xml:space="preserve"> (pp. 119-150). Teorema.</w:t>
      </w:r>
    </w:p>
    <w:p w14:paraId="0A250935" w14:textId="77777777" w:rsidR="00353DD9" w:rsidRPr="00353DD9" w:rsidRDefault="00353DD9" w:rsidP="00353DD9">
      <w:pPr>
        <w:spacing w:line="240" w:lineRule="auto"/>
        <w:jc w:val="both"/>
        <w:rPr>
          <w:rFonts w:ascii="Times New Roman" w:hAnsi="Times New Roman" w:cs="Times New Roman"/>
          <w:lang w:val="pt-BR"/>
        </w:rPr>
      </w:pPr>
      <w:r w:rsidRPr="00353DD9">
        <w:rPr>
          <w:rFonts w:ascii="Times New Roman" w:hAnsi="Times New Roman" w:cs="Times New Roman"/>
          <w:lang w:val="pt-BR"/>
        </w:rPr>
        <w:t xml:space="preserve">Bloch, M. (2001). </w:t>
      </w:r>
      <w:r w:rsidRPr="00353DD9">
        <w:rPr>
          <w:rFonts w:ascii="Times New Roman" w:hAnsi="Times New Roman" w:cs="Times New Roman"/>
          <w:i/>
          <w:lang w:val="pt-BR"/>
        </w:rPr>
        <w:t>Apologia da história: Ou o ofício de historiador</w:t>
      </w:r>
      <w:r w:rsidRPr="00353DD9">
        <w:rPr>
          <w:rFonts w:ascii="Times New Roman" w:hAnsi="Times New Roman" w:cs="Times New Roman"/>
          <w:lang w:val="pt-BR"/>
        </w:rPr>
        <w:t>. Zahar.</w:t>
      </w:r>
    </w:p>
    <w:p w14:paraId="49DEF545" w14:textId="77777777" w:rsidR="00353DD9" w:rsidRPr="00353DD9" w:rsidRDefault="00353DD9" w:rsidP="00353DD9">
      <w:pPr>
        <w:spacing w:line="240" w:lineRule="auto"/>
        <w:jc w:val="both"/>
        <w:rPr>
          <w:rFonts w:ascii="Times New Roman" w:hAnsi="Times New Roman" w:cs="Times New Roman"/>
          <w:lang w:val="en-US"/>
        </w:rPr>
      </w:pPr>
      <w:r w:rsidRPr="00D852DD">
        <w:rPr>
          <w:rFonts w:ascii="Times New Roman" w:hAnsi="Times New Roman" w:cs="Times New Roman"/>
        </w:rPr>
        <w:t xml:space="preserve">Brasil, V. Z., et al. </w:t>
      </w:r>
      <w:r w:rsidRPr="00353DD9">
        <w:rPr>
          <w:rFonts w:ascii="Times New Roman" w:hAnsi="Times New Roman" w:cs="Times New Roman"/>
          <w:lang w:val="pt-BR"/>
        </w:rPr>
        <w:t xml:space="preserve">(2021). Aprendizagem do treinador esportivo como um processo de participação social: Uma perspectiva à pesquisa científica. </w:t>
      </w:r>
      <w:proofErr w:type="spellStart"/>
      <w:proofErr w:type="gramStart"/>
      <w:r w:rsidRPr="00353DD9">
        <w:rPr>
          <w:rFonts w:ascii="Times New Roman" w:hAnsi="Times New Roman" w:cs="Times New Roman"/>
          <w:i/>
          <w:lang w:val="en-US"/>
        </w:rPr>
        <w:t>Movimento</w:t>
      </w:r>
      <w:proofErr w:type="spellEnd"/>
      <w:r w:rsidRPr="00353DD9">
        <w:rPr>
          <w:rFonts w:ascii="Times New Roman" w:hAnsi="Times New Roman" w:cs="Times New Roman"/>
          <w:lang w:val="en-US"/>
        </w:rPr>
        <w:t>, 27.</w:t>
      </w:r>
      <w:proofErr w:type="gramEnd"/>
    </w:p>
    <w:p w14:paraId="097428B1" w14:textId="77777777" w:rsidR="00353DD9" w:rsidRPr="00353DD9" w:rsidRDefault="00353DD9" w:rsidP="00353DD9">
      <w:pPr>
        <w:spacing w:line="240" w:lineRule="auto"/>
        <w:jc w:val="both"/>
        <w:rPr>
          <w:rFonts w:ascii="Times New Roman" w:hAnsi="Times New Roman" w:cs="Times New Roman"/>
          <w:lang w:val="es-ES"/>
        </w:rPr>
      </w:pPr>
      <w:r w:rsidRPr="00353DD9">
        <w:rPr>
          <w:rFonts w:ascii="Times New Roman" w:hAnsi="Times New Roman" w:cs="Times New Roman"/>
          <w:lang w:val="en-US"/>
        </w:rPr>
        <w:t xml:space="preserve">Bravo, G., D'Amico, R. L., &amp; Parrish, C. (2016). </w:t>
      </w:r>
      <w:proofErr w:type="gramStart"/>
      <w:r w:rsidRPr="00353DD9">
        <w:rPr>
          <w:rFonts w:ascii="Times New Roman" w:hAnsi="Times New Roman" w:cs="Times New Roman"/>
          <w:i/>
          <w:lang w:val="en-US"/>
        </w:rPr>
        <w:t>Sport in Latin America: Policy, organization, management</w:t>
      </w:r>
      <w:r w:rsidRPr="00353DD9">
        <w:rPr>
          <w:rFonts w:ascii="Times New Roman" w:hAnsi="Times New Roman" w:cs="Times New Roman"/>
          <w:lang w:val="en-US"/>
        </w:rPr>
        <w:t>.</w:t>
      </w:r>
      <w:proofErr w:type="gramEnd"/>
      <w:r w:rsidRPr="00353DD9">
        <w:rPr>
          <w:rFonts w:ascii="Times New Roman" w:hAnsi="Times New Roman" w:cs="Times New Roman"/>
          <w:lang w:val="en-US"/>
        </w:rPr>
        <w:t xml:space="preserve"> </w:t>
      </w:r>
      <w:proofErr w:type="spellStart"/>
      <w:r w:rsidRPr="00353DD9">
        <w:rPr>
          <w:rFonts w:ascii="Times New Roman" w:hAnsi="Times New Roman" w:cs="Times New Roman"/>
          <w:lang w:val="es-ES"/>
        </w:rPr>
        <w:t>Routledge</w:t>
      </w:r>
      <w:proofErr w:type="spellEnd"/>
      <w:r w:rsidRPr="00353DD9">
        <w:rPr>
          <w:rFonts w:ascii="Times New Roman" w:hAnsi="Times New Roman" w:cs="Times New Roman"/>
          <w:lang w:val="es-ES"/>
        </w:rPr>
        <w:t>.</w:t>
      </w:r>
    </w:p>
    <w:p w14:paraId="4849D2DC" w14:textId="77777777" w:rsidR="00353DD9" w:rsidRPr="00353DD9" w:rsidRDefault="00353DD9" w:rsidP="00353DD9">
      <w:pPr>
        <w:spacing w:line="240" w:lineRule="auto"/>
        <w:jc w:val="both"/>
        <w:rPr>
          <w:rFonts w:ascii="Times New Roman" w:hAnsi="Times New Roman" w:cs="Times New Roman"/>
          <w:lang w:val="es-ES"/>
        </w:rPr>
      </w:pPr>
      <w:r w:rsidRPr="00353DD9">
        <w:rPr>
          <w:rFonts w:ascii="Times New Roman" w:hAnsi="Times New Roman" w:cs="Times New Roman"/>
          <w:lang w:val="es-ES"/>
        </w:rPr>
        <w:lastRenderedPageBreak/>
        <w:t xml:space="preserve">Camargo Rojas, D. A., &amp; Forero Cárdenas, C. V. (2018). La inclusión deportiva en Colombia: Una mirada desde los actores. Estudio de caso. </w:t>
      </w:r>
      <w:r w:rsidRPr="00353DD9">
        <w:rPr>
          <w:rFonts w:ascii="Times New Roman" w:hAnsi="Times New Roman" w:cs="Times New Roman"/>
          <w:i/>
          <w:lang w:val="es-ES"/>
        </w:rPr>
        <w:t>Cuerpo, Cultura y Movimiento</w:t>
      </w:r>
      <w:r w:rsidRPr="00353DD9">
        <w:rPr>
          <w:rFonts w:ascii="Times New Roman" w:hAnsi="Times New Roman" w:cs="Times New Roman"/>
          <w:lang w:val="es-ES"/>
        </w:rPr>
        <w:t>, 6(2), 143-165. https://doi.org/10.15332/s2248-4418.2016.0002.03</w:t>
      </w:r>
    </w:p>
    <w:p w14:paraId="532B237A" w14:textId="77777777" w:rsidR="00353DD9" w:rsidRPr="00353DD9" w:rsidRDefault="00353DD9" w:rsidP="00353DD9">
      <w:pPr>
        <w:spacing w:line="240" w:lineRule="auto"/>
        <w:jc w:val="both"/>
        <w:rPr>
          <w:rFonts w:ascii="Times New Roman" w:hAnsi="Times New Roman" w:cs="Times New Roman"/>
          <w:lang w:val="pt-BR"/>
        </w:rPr>
      </w:pPr>
      <w:r w:rsidRPr="00353DD9">
        <w:rPr>
          <w:rFonts w:ascii="Times New Roman" w:hAnsi="Times New Roman" w:cs="Times New Roman"/>
          <w:lang w:val="pt-BR"/>
        </w:rPr>
        <w:t xml:space="preserve">Carneiro, F. B. (2011). </w:t>
      </w:r>
      <w:r w:rsidRPr="00353DD9">
        <w:rPr>
          <w:rFonts w:ascii="Times New Roman" w:hAnsi="Times New Roman" w:cs="Times New Roman"/>
          <w:i/>
          <w:lang w:val="pt-BR"/>
        </w:rPr>
        <w:t>Práticas científicas em Educação Física: A arqueologia do GTT escola no Congresso Brasileiro de Ciências do Esporte</w:t>
      </w:r>
      <w:r w:rsidRPr="00353DD9">
        <w:rPr>
          <w:rFonts w:ascii="Times New Roman" w:hAnsi="Times New Roman" w:cs="Times New Roman"/>
          <w:lang w:val="pt-BR"/>
        </w:rPr>
        <w:t xml:space="preserve"> (1997-2009) (Dissertação de mestrado). Universidade Federal do Espírito Santo.</w:t>
      </w:r>
    </w:p>
    <w:p w14:paraId="38FCEC31" w14:textId="77777777" w:rsidR="00353DD9" w:rsidRPr="00353DD9" w:rsidRDefault="00353DD9" w:rsidP="00353DD9">
      <w:pPr>
        <w:spacing w:line="240" w:lineRule="auto"/>
        <w:jc w:val="both"/>
        <w:rPr>
          <w:rFonts w:ascii="Times New Roman" w:hAnsi="Times New Roman" w:cs="Times New Roman"/>
          <w:lang w:val="pt-BR"/>
        </w:rPr>
      </w:pPr>
      <w:r w:rsidRPr="00353DD9">
        <w:rPr>
          <w:rFonts w:ascii="Times New Roman" w:hAnsi="Times New Roman" w:cs="Times New Roman"/>
          <w:lang w:val="pt-BR"/>
        </w:rPr>
        <w:t xml:space="preserve">Certeau, M. de. (2000). </w:t>
      </w:r>
      <w:r w:rsidRPr="00353DD9">
        <w:rPr>
          <w:rFonts w:ascii="Times New Roman" w:hAnsi="Times New Roman" w:cs="Times New Roman"/>
          <w:i/>
          <w:lang w:val="pt-BR"/>
        </w:rPr>
        <w:t>A invenção do cotidiano: Artes de fazer</w:t>
      </w:r>
      <w:r w:rsidRPr="00353DD9">
        <w:rPr>
          <w:rFonts w:ascii="Times New Roman" w:hAnsi="Times New Roman" w:cs="Times New Roman"/>
          <w:lang w:val="pt-BR"/>
        </w:rPr>
        <w:t xml:space="preserve"> (5a ed.). Artmed.</w:t>
      </w:r>
    </w:p>
    <w:p w14:paraId="59FDEAB7" w14:textId="77777777" w:rsidR="00353DD9" w:rsidRPr="00353DD9" w:rsidRDefault="00353DD9" w:rsidP="00353DD9">
      <w:pPr>
        <w:spacing w:line="240" w:lineRule="auto"/>
        <w:jc w:val="both"/>
        <w:rPr>
          <w:rFonts w:ascii="Times New Roman" w:hAnsi="Times New Roman" w:cs="Times New Roman"/>
          <w:lang w:val="es-ES"/>
        </w:rPr>
      </w:pPr>
      <w:r w:rsidRPr="00353DD9">
        <w:rPr>
          <w:rFonts w:ascii="Times New Roman" w:hAnsi="Times New Roman" w:cs="Times New Roman"/>
          <w:lang w:val="pt-BR"/>
        </w:rPr>
        <w:t xml:space="preserve">Charlot, B. (2000). </w:t>
      </w:r>
      <w:r w:rsidRPr="00353DD9">
        <w:rPr>
          <w:rFonts w:ascii="Times New Roman" w:hAnsi="Times New Roman" w:cs="Times New Roman"/>
          <w:i/>
          <w:lang w:val="pt-BR"/>
        </w:rPr>
        <w:t>Da relação com o saber: Elementos para uma teoria</w:t>
      </w:r>
      <w:r w:rsidRPr="00353DD9">
        <w:rPr>
          <w:rFonts w:ascii="Times New Roman" w:hAnsi="Times New Roman" w:cs="Times New Roman"/>
          <w:lang w:val="pt-BR"/>
        </w:rPr>
        <w:t xml:space="preserve">. </w:t>
      </w:r>
      <w:proofErr w:type="spellStart"/>
      <w:r w:rsidRPr="00353DD9">
        <w:rPr>
          <w:rFonts w:ascii="Times New Roman" w:hAnsi="Times New Roman" w:cs="Times New Roman"/>
          <w:lang w:val="es-ES"/>
        </w:rPr>
        <w:t>Artmed</w:t>
      </w:r>
      <w:proofErr w:type="spellEnd"/>
      <w:r w:rsidRPr="00353DD9">
        <w:rPr>
          <w:rFonts w:ascii="Times New Roman" w:hAnsi="Times New Roman" w:cs="Times New Roman"/>
          <w:lang w:val="es-ES"/>
        </w:rPr>
        <w:t>.</w:t>
      </w:r>
    </w:p>
    <w:p w14:paraId="7D22634A" w14:textId="77777777" w:rsidR="00353DD9" w:rsidRPr="00353DD9" w:rsidRDefault="00353DD9" w:rsidP="00353DD9">
      <w:pPr>
        <w:spacing w:line="240" w:lineRule="auto"/>
        <w:jc w:val="both"/>
        <w:rPr>
          <w:rFonts w:ascii="Times New Roman" w:hAnsi="Times New Roman" w:cs="Times New Roman"/>
          <w:lang w:val="es-ES"/>
        </w:rPr>
      </w:pPr>
      <w:r w:rsidRPr="00353DD9">
        <w:rPr>
          <w:rFonts w:ascii="Times New Roman" w:hAnsi="Times New Roman" w:cs="Times New Roman"/>
          <w:lang w:val="es-ES"/>
        </w:rPr>
        <w:t xml:space="preserve">Chile. Ministerio del Deporte. (2016). </w:t>
      </w:r>
      <w:r w:rsidRPr="00353DD9">
        <w:rPr>
          <w:rFonts w:ascii="Times New Roman" w:hAnsi="Times New Roman" w:cs="Times New Roman"/>
          <w:i/>
          <w:lang w:val="es-ES"/>
        </w:rPr>
        <w:t>Política Nacional de Actividad Física y Deporte 2016-2025</w:t>
      </w:r>
      <w:r w:rsidRPr="00353DD9">
        <w:rPr>
          <w:rFonts w:ascii="Times New Roman" w:hAnsi="Times New Roman" w:cs="Times New Roman"/>
          <w:lang w:val="es-ES"/>
        </w:rPr>
        <w:t>. Gobierno de Chile. http://www.mindep.cl</w:t>
      </w:r>
    </w:p>
    <w:p w14:paraId="2B4814E8" w14:textId="77777777" w:rsidR="00353DD9" w:rsidRPr="00353DD9" w:rsidRDefault="00353DD9" w:rsidP="00353DD9">
      <w:pPr>
        <w:spacing w:line="240" w:lineRule="auto"/>
        <w:jc w:val="both"/>
        <w:rPr>
          <w:rFonts w:ascii="Times New Roman" w:hAnsi="Times New Roman" w:cs="Times New Roman"/>
          <w:lang w:val="pt-BR"/>
        </w:rPr>
      </w:pPr>
      <w:r w:rsidRPr="00353DD9">
        <w:rPr>
          <w:rFonts w:ascii="Times New Roman" w:hAnsi="Times New Roman" w:cs="Times New Roman"/>
          <w:lang w:val="es-ES"/>
        </w:rPr>
        <w:t xml:space="preserve">Colombia. Ministerio del Deporte. (2022). </w:t>
      </w:r>
      <w:r w:rsidRPr="00353DD9">
        <w:rPr>
          <w:rFonts w:ascii="Times New Roman" w:hAnsi="Times New Roman" w:cs="Times New Roman"/>
          <w:i/>
          <w:lang w:val="es-ES"/>
        </w:rPr>
        <w:t>Ley 2210 de 23 de mayo de 2022</w:t>
      </w:r>
      <w:r w:rsidRPr="00353DD9">
        <w:rPr>
          <w:rFonts w:ascii="Times New Roman" w:hAnsi="Times New Roman" w:cs="Times New Roman"/>
          <w:lang w:val="es-ES"/>
        </w:rPr>
        <w:t xml:space="preserve">, por medio de la cual se reglamenta la actividad del entrenador(a) deportivo(a) y se dictan otras disposiciones. </w:t>
      </w:r>
      <w:r w:rsidRPr="00353DD9">
        <w:rPr>
          <w:rFonts w:ascii="Times New Roman" w:hAnsi="Times New Roman" w:cs="Times New Roman"/>
          <w:lang w:val="pt-BR"/>
        </w:rPr>
        <w:t>Diario Oficial.</w:t>
      </w:r>
    </w:p>
    <w:p w14:paraId="0756C80D" w14:textId="21B96C21" w:rsidR="00353DD9" w:rsidRPr="00353DD9" w:rsidRDefault="00353DD9" w:rsidP="00353DD9">
      <w:pPr>
        <w:spacing w:line="240" w:lineRule="auto"/>
        <w:jc w:val="both"/>
        <w:rPr>
          <w:rFonts w:ascii="Times New Roman" w:hAnsi="Times New Roman" w:cs="Times New Roman"/>
          <w:lang w:val="pt-BR"/>
        </w:rPr>
      </w:pPr>
      <w:r w:rsidRPr="00353DD9">
        <w:rPr>
          <w:rFonts w:ascii="Times New Roman" w:hAnsi="Times New Roman" w:cs="Times New Roman"/>
          <w:lang w:val="pt-BR"/>
        </w:rPr>
        <w:t xml:space="preserve">Dewey, J. (1978). </w:t>
      </w:r>
      <w:r w:rsidRPr="00353DD9">
        <w:rPr>
          <w:rFonts w:ascii="Times New Roman" w:hAnsi="Times New Roman" w:cs="Times New Roman"/>
          <w:i/>
          <w:lang w:val="pt-BR"/>
        </w:rPr>
        <w:t>Vida e educaçã</w:t>
      </w:r>
      <w:r>
        <w:rPr>
          <w:rFonts w:ascii="Times New Roman" w:hAnsi="Times New Roman" w:cs="Times New Roman"/>
          <w:i/>
          <w:lang w:val="pt-BR"/>
        </w:rPr>
        <w:t>o</w:t>
      </w:r>
      <w:r w:rsidRPr="00353DD9">
        <w:rPr>
          <w:rFonts w:ascii="Times New Roman" w:hAnsi="Times New Roman" w:cs="Times New Roman"/>
          <w:lang w:val="pt-BR"/>
        </w:rPr>
        <w:t xml:space="preserve"> (11a ed.). Edições Melhoramentos.</w:t>
      </w:r>
    </w:p>
    <w:p w14:paraId="27453DF1" w14:textId="77777777" w:rsidR="00353DD9" w:rsidRPr="00DF28CE" w:rsidRDefault="00353DD9" w:rsidP="00353DD9">
      <w:pPr>
        <w:spacing w:line="240" w:lineRule="auto"/>
        <w:jc w:val="both"/>
        <w:rPr>
          <w:rFonts w:ascii="Times New Roman" w:hAnsi="Times New Roman" w:cs="Times New Roman"/>
          <w:lang w:val="en-US"/>
        </w:rPr>
      </w:pPr>
      <w:r w:rsidRPr="00353DD9">
        <w:rPr>
          <w:rFonts w:ascii="Times New Roman" w:hAnsi="Times New Roman" w:cs="Times New Roman"/>
          <w:lang w:val="es-ES"/>
        </w:rPr>
        <w:t xml:space="preserve">Ferrer, F. (2002). </w:t>
      </w:r>
      <w:r w:rsidRPr="00353DD9">
        <w:rPr>
          <w:rFonts w:ascii="Times New Roman" w:hAnsi="Times New Roman" w:cs="Times New Roman"/>
          <w:i/>
          <w:lang w:val="es-ES"/>
        </w:rPr>
        <w:t>La educación comparada actual</w:t>
      </w:r>
      <w:r w:rsidRPr="00353DD9">
        <w:rPr>
          <w:rFonts w:ascii="Times New Roman" w:hAnsi="Times New Roman" w:cs="Times New Roman"/>
          <w:lang w:val="es-ES"/>
        </w:rPr>
        <w:t xml:space="preserve">. </w:t>
      </w:r>
      <w:proofErr w:type="gramStart"/>
      <w:r w:rsidRPr="00DF28CE">
        <w:rPr>
          <w:rFonts w:ascii="Times New Roman" w:hAnsi="Times New Roman" w:cs="Times New Roman"/>
          <w:lang w:val="en-US"/>
        </w:rPr>
        <w:t>Ariel.</w:t>
      </w:r>
      <w:proofErr w:type="gramEnd"/>
    </w:p>
    <w:p w14:paraId="3357D7A5" w14:textId="77777777" w:rsidR="00353DD9" w:rsidRPr="00353DD9" w:rsidRDefault="00353DD9" w:rsidP="00353DD9">
      <w:pPr>
        <w:spacing w:line="240" w:lineRule="auto"/>
        <w:jc w:val="both"/>
        <w:rPr>
          <w:rFonts w:ascii="Times New Roman" w:hAnsi="Times New Roman" w:cs="Times New Roman"/>
          <w:lang w:val="pt-BR"/>
        </w:rPr>
      </w:pPr>
      <w:proofErr w:type="spellStart"/>
      <w:proofErr w:type="gramStart"/>
      <w:r w:rsidRPr="00353DD9">
        <w:rPr>
          <w:rFonts w:ascii="Times New Roman" w:hAnsi="Times New Roman" w:cs="Times New Roman"/>
          <w:lang w:val="en-US"/>
        </w:rPr>
        <w:t>Fruchterman</w:t>
      </w:r>
      <w:proofErr w:type="spellEnd"/>
      <w:r w:rsidRPr="00353DD9">
        <w:rPr>
          <w:rFonts w:ascii="Times New Roman" w:hAnsi="Times New Roman" w:cs="Times New Roman"/>
          <w:lang w:val="en-US"/>
        </w:rPr>
        <w:t xml:space="preserve">, T. M. J., &amp; </w:t>
      </w:r>
      <w:proofErr w:type="spellStart"/>
      <w:r w:rsidRPr="00353DD9">
        <w:rPr>
          <w:rFonts w:ascii="Times New Roman" w:hAnsi="Times New Roman" w:cs="Times New Roman"/>
          <w:lang w:val="en-US"/>
        </w:rPr>
        <w:t>Reingold</w:t>
      </w:r>
      <w:proofErr w:type="spellEnd"/>
      <w:r w:rsidRPr="00353DD9">
        <w:rPr>
          <w:rFonts w:ascii="Times New Roman" w:hAnsi="Times New Roman" w:cs="Times New Roman"/>
          <w:lang w:val="en-US"/>
        </w:rPr>
        <w:t>, E. M. (1991).</w:t>
      </w:r>
      <w:proofErr w:type="gramEnd"/>
      <w:r w:rsidRPr="00353DD9">
        <w:rPr>
          <w:rFonts w:ascii="Times New Roman" w:hAnsi="Times New Roman" w:cs="Times New Roman"/>
          <w:lang w:val="en-US"/>
        </w:rPr>
        <w:t xml:space="preserve"> Graph drawing by force-directed placement. </w:t>
      </w:r>
      <w:r w:rsidRPr="00353DD9">
        <w:rPr>
          <w:rFonts w:ascii="Times New Roman" w:hAnsi="Times New Roman" w:cs="Times New Roman"/>
          <w:i/>
          <w:lang w:val="pt-BR"/>
        </w:rPr>
        <w:t>Software: Practice and Experience</w:t>
      </w:r>
      <w:r w:rsidRPr="00353DD9">
        <w:rPr>
          <w:rFonts w:ascii="Times New Roman" w:hAnsi="Times New Roman" w:cs="Times New Roman"/>
          <w:lang w:val="pt-BR"/>
        </w:rPr>
        <w:t>, 21(11), 149-160.</w:t>
      </w:r>
    </w:p>
    <w:p w14:paraId="4BF89E98" w14:textId="77777777" w:rsidR="00353DD9" w:rsidRPr="00353DD9" w:rsidRDefault="00353DD9" w:rsidP="00353DD9">
      <w:pPr>
        <w:spacing w:line="240" w:lineRule="auto"/>
        <w:jc w:val="both"/>
        <w:rPr>
          <w:rFonts w:ascii="Times New Roman" w:hAnsi="Times New Roman" w:cs="Times New Roman"/>
          <w:lang w:val="pt-BR"/>
        </w:rPr>
      </w:pPr>
      <w:r w:rsidRPr="00353DD9">
        <w:rPr>
          <w:rFonts w:ascii="Times New Roman" w:hAnsi="Times New Roman" w:cs="Times New Roman"/>
          <w:lang w:val="pt-BR"/>
        </w:rPr>
        <w:t xml:space="preserve">Gama, J. C. F., Ferreira Neto, A., &amp; Santos, W. (2021). Formação para atuação com o esporte: Características bibliométricas e redes de colaboração. </w:t>
      </w:r>
      <w:r w:rsidRPr="00353DD9">
        <w:rPr>
          <w:rFonts w:ascii="Times New Roman" w:hAnsi="Times New Roman" w:cs="Times New Roman"/>
          <w:i/>
          <w:lang w:val="pt-BR"/>
        </w:rPr>
        <w:t>Movimento</w:t>
      </w:r>
      <w:r w:rsidRPr="00353DD9">
        <w:rPr>
          <w:rFonts w:ascii="Times New Roman" w:hAnsi="Times New Roman" w:cs="Times New Roman"/>
          <w:lang w:val="pt-BR"/>
        </w:rPr>
        <w:t>, 27, 27017.</w:t>
      </w:r>
    </w:p>
    <w:p w14:paraId="1BE91C44" w14:textId="77777777" w:rsidR="00353DD9" w:rsidRPr="00353DD9" w:rsidRDefault="00353DD9" w:rsidP="00353DD9">
      <w:pPr>
        <w:spacing w:line="240" w:lineRule="auto"/>
        <w:jc w:val="both"/>
        <w:rPr>
          <w:rFonts w:ascii="Times New Roman" w:hAnsi="Times New Roman" w:cs="Times New Roman"/>
          <w:lang w:val="pt-BR"/>
        </w:rPr>
      </w:pPr>
      <w:r w:rsidRPr="00353DD9">
        <w:rPr>
          <w:rFonts w:ascii="Times New Roman" w:hAnsi="Times New Roman" w:cs="Times New Roman"/>
          <w:lang w:val="pt-BR"/>
        </w:rPr>
        <w:t>Gama, J. C. F., Santos, W., Oliveira Junior, G. L., &amp; Ferreira Neto, A. (2022). O esporte prescrito nos países da América Latina: Panorama e características das leis</w:t>
      </w:r>
      <w:r w:rsidRPr="00353DD9">
        <w:rPr>
          <w:rFonts w:ascii="Times New Roman" w:hAnsi="Times New Roman" w:cs="Times New Roman"/>
          <w:i/>
          <w:lang w:val="pt-BR"/>
        </w:rPr>
        <w:t>. Journal of Physical Education</w:t>
      </w:r>
      <w:r w:rsidRPr="00353DD9">
        <w:rPr>
          <w:rFonts w:ascii="Times New Roman" w:hAnsi="Times New Roman" w:cs="Times New Roman"/>
          <w:lang w:val="pt-BR"/>
        </w:rPr>
        <w:t>, 33(1), e3349.</w:t>
      </w:r>
    </w:p>
    <w:p w14:paraId="58EE1785" w14:textId="77777777" w:rsidR="00353DD9" w:rsidRPr="00353DD9" w:rsidRDefault="00353DD9" w:rsidP="00353DD9">
      <w:pPr>
        <w:spacing w:line="240" w:lineRule="auto"/>
        <w:jc w:val="both"/>
        <w:rPr>
          <w:rFonts w:ascii="Times New Roman" w:hAnsi="Times New Roman" w:cs="Times New Roman"/>
          <w:lang w:val="es-ES"/>
        </w:rPr>
      </w:pPr>
      <w:r w:rsidRPr="00353DD9">
        <w:rPr>
          <w:rFonts w:ascii="Times New Roman" w:hAnsi="Times New Roman" w:cs="Times New Roman"/>
          <w:lang w:val="pt-BR"/>
        </w:rPr>
        <w:t xml:space="preserve">Ginzburg, C. (2002). </w:t>
      </w:r>
      <w:r w:rsidRPr="00353DD9">
        <w:rPr>
          <w:rFonts w:ascii="Times New Roman" w:hAnsi="Times New Roman" w:cs="Times New Roman"/>
          <w:i/>
          <w:lang w:val="pt-BR"/>
        </w:rPr>
        <w:t>Mitos, emblemas, sinais: Morfologia e história</w:t>
      </w:r>
      <w:r w:rsidRPr="00353DD9">
        <w:rPr>
          <w:rFonts w:ascii="Times New Roman" w:hAnsi="Times New Roman" w:cs="Times New Roman"/>
          <w:lang w:val="pt-BR"/>
        </w:rPr>
        <w:t xml:space="preserve"> (2a ed.). </w:t>
      </w:r>
      <w:proofErr w:type="spellStart"/>
      <w:r w:rsidRPr="00353DD9">
        <w:rPr>
          <w:rFonts w:ascii="Times New Roman" w:hAnsi="Times New Roman" w:cs="Times New Roman"/>
          <w:lang w:val="es-ES"/>
        </w:rPr>
        <w:t>Companhia</w:t>
      </w:r>
      <w:proofErr w:type="spellEnd"/>
      <w:r w:rsidRPr="00353DD9">
        <w:rPr>
          <w:rFonts w:ascii="Times New Roman" w:hAnsi="Times New Roman" w:cs="Times New Roman"/>
          <w:lang w:val="es-ES"/>
        </w:rPr>
        <w:t xml:space="preserve"> das Letras.</w:t>
      </w:r>
    </w:p>
    <w:p w14:paraId="410939B6" w14:textId="77777777" w:rsidR="00353DD9" w:rsidRPr="00353DD9" w:rsidRDefault="00353DD9" w:rsidP="00353DD9">
      <w:pPr>
        <w:spacing w:line="240" w:lineRule="auto"/>
        <w:jc w:val="both"/>
        <w:rPr>
          <w:rFonts w:ascii="Times New Roman" w:hAnsi="Times New Roman" w:cs="Times New Roman"/>
          <w:lang w:val="es-ES"/>
        </w:rPr>
      </w:pPr>
      <w:r w:rsidRPr="00353DD9">
        <w:rPr>
          <w:rFonts w:ascii="Times New Roman" w:hAnsi="Times New Roman" w:cs="Times New Roman"/>
          <w:lang w:val="es-ES"/>
        </w:rPr>
        <w:t xml:space="preserve">Isaza, G., González, E., Rengifo, R., &amp; González, L. (2019). Programas de formación superior en el campo de la educación física, el deporte y áreas afines en cuatro países de América Latina. Perfiles profesionales y desafíos. </w:t>
      </w:r>
      <w:r w:rsidRPr="00353DD9">
        <w:rPr>
          <w:rFonts w:ascii="Times New Roman" w:hAnsi="Times New Roman" w:cs="Times New Roman"/>
          <w:i/>
          <w:lang w:val="es-ES"/>
        </w:rPr>
        <w:t>Revista Latinoamericana de Estudios Educativos</w:t>
      </w:r>
      <w:r w:rsidRPr="00353DD9">
        <w:rPr>
          <w:rFonts w:ascii="Times New Roman" w:hAnsi="Times New Roman" w:cs="Times New Roman"/>
          <w:lang w:val="es-ES"/>
        </w:rPr>
        <w:t>, 15(1), 111-129.</w:t>
      </w:r>
    </w:p>
    <w:p w14:paraId="19F7C047" w14:textId="77777777" w:rsidR="00353DD9" w:rsidRPr="00353DD9" w:rsidRDefault="00353DD9" w:rsidP="00353DD9">
      <w:pPr>
        <w:spacing w:line="240" w:lineRule="auto"/>
        <w:jc w:val="both"/>
        <w:rPr>
          <w:rFonts w:ascii="Times New Roman" w:hAnsi="Times New Roman" w:cs="Times New Roman"/>
          <w:lang w:val="en-US"/>
        </w:rPr>
      </w:pPr>
      <w:proofErr w:type="spellStart"/>
      <w:r w:rsidRPr="00353DD9">
        <w:rPr>
          <w:rFonts w:ascii="Times New Roman" w:hAnsi="Times New Roman" w:cs="Times New Roman"/>
          <w:lang w:val="es-ES"/>
        </w:rPr>
        <w:t>Kramers</w:t>
      </w:r>
      <w:proofErr w:type="spellEnd"/>
      <w:r w:rsidRPr="00353DD9">
        <w:rPr>
          <w:rFonts w:ascii="Times New Roman" w:hAnsi="Times New Roman" w:cs="Times New Roman"/>
          <w:lang w:val="es-ES"/>
        </w:rPr>
        <w:t xml:space="preserve">, S., et al. </w:t>
      </w:r>
      <w:r w:rsidRPr="00D852DD">
        <w:rPr>
          <w:rFonts w:ascii="Times New Roman" w:hAnsi="Times New Roman" w:cs="Times New Roman"/>
          <w:lang w:val="es-ES"/>
        </w:rPr>
        <w:t xml:space="preserve">(2022). </w:t>
      </w:r>
      <w:proofErr w:type="spellStart"/>
      <w:r w:rsidRPr="00D852DD">
        <w:rPr>
          <w:rFonts w:ascii="Times New Roman" w:hAnsi="Times New Roman" w:cs="Times New Roman"/>
          <w:lang w:val="es-ES"/>
        </w:rPr>
        <w:t>Development</w:t>
      </w:r>
      <w:proofErr w:type="spellEnd"/>
      <w:r w:rsidRPr="00D852DD">
        <w:rPr>
          <w:rFonts w:ascii="Times New Roman" w:hAnsi="Times New Roman" w:cs="Times New Roman"/>
          <w:lang w:val="es-ES"/>
        </w:rPr>
        <w:t xml:space="preserve"> of a </w:t>
      </w:r>
      <w:proofErr w:type="spellStart"/>
      <w:r w:rsidRPr="00D852DD">
        <w:rPr>
          <w:rFonts w:ascii="Times New Roman" w:hAnsi="Times New Roman" w:cs="Times New Roman"/>
          <w:lang w:val="es-ES"/>
        </w:rPr>
        <w:t>life</w:t>
      </w:r>
      <w:proofErr w:type="spellEnd"/>
      <w:r w:rsidRPr="00D852DD">
        <w:rPr>
          <w:rFonts w:ascii="Times New Roman" w:hAnsi="Times New Roman" w:cs="Times New Roman"/>
          <w:lang w:val="es-ES"/>
        </w:rPr>
        <w:t xml:space="preserve"> </w:t>
      </w:r>
      <w:proofErr w:type="spellStart"/>
      <w:r w:rsidRPr="00D852DD">
        <w:rPr>
          <w:rFonts w:ascii="Times New Roman" w:hAnsi="Times New Roman" w:cs="Times New Roman"/>
          <w:lang w:val="es-ES"/>
        </w:rPr>
        <w:t>skills</w:t>
      </w:r>
      <w:proofErr w:type="spellEnd"/>
      <w:r w:rsidRPr="00D852DD">
        <w:rPr>
          <w:rFonts w:ascii="Times New Roman" w:hAnsi="Times New Roman" w:cs="Times New Roman"/>
          <w:lang w:val="es-ES"/>
        </w:rPr>
        <w:t xml:space="preserve"> </w:t>
      </w:r>
      <w:proofErr w:type="spellStart"/>
      <w:r w:rsidRPr="00D852DD">
        <w:rPr>
          <w:rFonts w:ascii="Times New Roman" w:hAnsi="Times New Roman" w:cs="Times New Roman"/>
          <w:lang w:val="es-ES"/>
        </w:rPr>
        <w:t>self-assessment</w:t>
      </w:r>
      <w:proofErr w:type="spellEnd"/>
      <w:r w:rsidRPr="00D852DD">
        <w:rPr>
          <w:rFonts w:ascii="Times New Roman" w:hAnsi="Times New Roman" w:cs="Times New Roman"/>
          <w:lang w:val="es-ES"/>
        </w:rPr>
        <w:t xml:space="preserve"> </w:t>
      </w:r>
      <w:proofErr w:type="spellStart"/>
      <w:r w:rsidRPr="00D852DD">
        <w:rPr>
          <w:rFonts w:ascii="Times New Roman" w:hAnsi="Times New Roman" w:cs="Times New Roman"/>
          <w:lang w:val="es-ES"/>
        </w:rPr>
        <w:t>tool</w:t>
      </w:r>
      <w:proofErr w:type="spellEnd"/>
      <w:r w:rsidRPr="00D852DD">
        <w:rPr>
          <w:rFonts w:ascii="Times New Roman" w:hAnsi="Times New Roman" w:cs="Times New Roman"/>
          <w:lang w:val="es-ES"/>
        </w:rPr>
        <w:t xml:space="preserve"> </w:t>
      </w:r>
      <w:proofErr w:type="spellStart"/>
      <w:r w:rsidRPr="00D852DD">
        <w:rPr>
          <w:rFonts w:ascii="Times New Roman" w:hAnsi="Times New Roman" w:cs="Times New Roman"/>
          <w:lang w:val="es-ES"/>
        </w:rPr>
        <w:t>for</w:t>
      </w:r>
      <w:proofErr w:type="spellEnd"/>
      <w:r w:rsidRPr="00D852DD">
        <w:rPr>
          <w:rFonts w:ascii="Times New Roman" w:hAnsi="Times New Roman" w:cs="Times New Roman"/>
          <w:lang w:val="es-ES"/>
        </w:rPr>
        <w:t xml:space="preserve"> </w:t>
      </w:r>
      <w:proofErr w:type="spellStart"/>
      <w:r w:rsidRPr="00D852DD">
        <w:rPr>
          <w:rFonts w:ascii="Times New Roman" w:hAnsi="Times New Roman" w:cs="Times New Roman"/>
          <w:lang w:val="es-ES"/>
        </w:rPr>
        <w:t>coaches</w:t>
      </w:r>
      <w:proofErr w:type="spellEnd"/>
      <w:r w:rsidRPr="00D852DD">
        <w:rPr>
          <w:rFonts w:ascii="Times New Roman" w:hAnsi="Times New Roman" w:cs="Times New Roman"/>
          <w:lang w:val="es-ES"/>
        </w:rPr>
        <w:t xml:space="preserve">. </w:t>
      </w:r>
      <w:r w:rsidRPr="00353DD9">
        <w:rPr>
          <w:rFonts w:ascii="Times New Roman" w:hAnsi="Times New Roman" w:cs="Times New Roman"/>
          <w:i/>
          <w:lang w:val="en-US"/>
        </w:rPr>
        <w:t>Journal of Sport Psychology in Action</w:t>
      </w:r>
      <w:r w:rsidRPr="00353DD9">
        <w:rPr>
          <w:rFonts w:ascii="Times New Roman" w:hAnsi="Times New Roman" w:cs="Times New Roman"/>
          <w:lang w:val="en-US"/>
        </w:rPr>
        <w:t>, 13(1), 54-64.</w:t>
      </w:r>
    </w:p>
    <w:p w14:paraId="5098305E" w14:textId="77777777" w:rsidR="00353DD9" w:rsidRPr="00353DD9" w:rsidRDefault="00353DD9" w:rsidP="00353DD9">
      <w:pPr>
        <w:spacing w:line="240" w:lineRule="auto"/>
        <w:jc w:val="both"/>
        <w:rPr>
          <w:rFonts w:ascii="Times New Roman" w:hAnsi="Times New Roman" w:cs="Times New Roman"/>
          <w:lang w:val="pt-BR"/>
        </w:rPr>
      </w:pPr>
      <w:r w:rsidRPr="00D852DD">
        <w:rPr>
          <w:rFonts w:ascii="Times New Roman" w:hAnsi="Times New Roman" w:cs="Times New Roman"/>
          <w:lang w:val="pt-BR"/>
        </w:rPr>
        <w:t xml:space="preserve">Milan, F. J., Salles, W. D. N., Brasil, V. Z., Rodrigues, H. de A., Nascimento, J. V. do, &amp; Milistetd, M. (2022). </w:t>
      </w:r>
      <w:r w:rsidRPr="00353DD9">
        <w:rPr>
          <w:rFonts w:ascii="Times New Roman" w:hAnsi="Times New Roman" w:cs="Times New Roman"/>
          <w:lang w:val="pt-BR"/>
        </w:rPr>
        <w:t xml:space="preserve">Experiências de estudantes-treinadores em Educação Física: Uma perspetiva biográfica de aprendizagem. </w:t>
      </w:r>
      <w:r w:rsidRPr="00353DD9">
        <w:rPr>
          <w:rFonts w:ascii="Times New Roman" w:hAnsi="Times New Roman" w:cs="Times New Roman"/>
          <w:i/>
          <w:lang w:val="pt-BR"/>
        </w:rPr>
        <w:t>Revista Portuguesa de Educação</w:t>
      </w:r>
      <w:r w:rsidRPr="00353DD9">
        <w:rPr>
          <w:rFonts w:ascii="Times New Roman" w:hAnsi="Times New Roman" w:cs="Times New Roman"/>
          <w:lang w:val="pt-BR"/>
        </w:rPr>
        <w:t>, 35(2), 228-245. https://doi.org/10.21814/rpe.18764</w:t>
      </w:r>
    </w:p>
    <w:p w14:paraId="79847869" w14:textId="77777777" w:rsidR="00353DD9" w:rsidRPr="00353DD9" w:rsidRDefault="00353DD9" w:rsidP="00353DD9">
      <w:pPr>
        <w:spacing w:line="240" w:lineRule="auto"/>
        <w:jc w:val="both"/>
        <w:rPr>
          <w:rFonts w:ascii="Times New Roman" w:hAnsi="Times New Roman" w:cs="Times New Roman"/>
          <w:lang w:val="pt-BR"/>
        </w:rPr>
      </w:pPr>
      <w:r w:rsidRPr="00353DD9">
        <w:rPr>
          <w:rFonts w:ascii="Times New Roman" w:hAnsi="Times New Roman" w:cs="Times New Roman"/>
          <w:lang w:val="pt-BR"/>
        </w:rPr>
        <w:t xml:space="preserve">Milistetd, M., et al. </w:t>
      </w:r>
      <w:r w:rsidRPr="00353DD9">
        <w:rPr>
          <w:rFonts w:ascii="Times New Roman" w:hAnsi="Times New Roman" w:cs="Times New Roman"/>
          <w:lang w:val="en-US"/>
        </w:rPr>
        <w:t xml:space="preserve">(2018). </w:t>
      </w:r>
      <w:proofErr w:type="gramStart"/>
      <w:r w:rsidRPr="00353DD9">
        <w:rPr>
          <w:rFonts w:ascii="Times New Roman" w:hAnsi="Times New Roman" w:cs="Times New Roman"/>
          <w:lang w:val="en-US"/>
        </w:rPr>
        <w:t>The</w:t>
      </w:r>
      <w:proofErr w:type="gramEnd"/>
      <w:r w:rsidRPr="00353DD9">
        <w:rPr>
          <w:rFonts w:ascii="Times New Roman" w:hAnsi="Times New Roman" w:cs="Times New Roman"/>
          <w:lang w:val="en-US"/>
        </w:rPr>
        <w:t xml:space="preserve"> learner-</w:t>
      </w:r>
      <w:proofErr w:type="spellStart"/>
      <w:r w:rsidRPr="00353DD9">
        <w:rPr>
          <w:rFonts w:ascii="Times New Roman" w:hAnsi="Times New Roman" w:cs="Times New Roman"/>
          <w:lang w:val="en-US"/>
        </w:rPr>
        <w:t>centred</w:t>
      </w:r>
      <w:proofErr w:type="spellEnd"/>
      <w:r w:rsidRPr="00353DD9">
        <w:rPr>
          <w:rFonts w:ascii="Times New Roman" w:hAnsi="Times New Roman" w:cs="Times New Roman"/>
          <w:lang w:val="en-US"/>
        </w:rPr>
        <w:t xml:space="preserve"> status of a Brazilian university coach education program. </w:t>
      </w:r>
      <w:r w:rsidRPr="00353DD9">
        <w:rPr>
          <w:rFonts w:ascii="Times New Roman" w:hAnsi="Times New Roman" w:cs="Times New Roman"/>
          <w:i/>
          <w:lang w:val="pt-BR"/>
        </w:rPr>
        <w:t>International Sport Coaching Journal</w:t>
      </w:r>
      <w:r w:rsidRPr="00353DD9">
        <w:rPr>
          <w:rFonts w:ascii="Times New Roman" w:hAnsi="Times New Roman" w:cs="Times New Roman"/>
          <w:lang w:val="pt-BR"/>
        </w:rPr>
        <w:t>, 5(2), 105-115.</w:t>
      </w:r>
    </w:p>
    <w:p w14:paraId="3B34CF3C" w14:textId="4254DDCD" w:rsidR="009265EB" w:rsidRDefault="009265EB" w:rsidP="009265EB">
      <w:pPr>
        <w:spacing w:line="240" w:lineRule="auto"/>
        <w:jc w:val="both"/>
        <w:rPr>
          <w:rFonts w:ascii="Times New Roman" w:hAnsi="Times New Roman" w:cs="Times New Roman"/>
          <w:lang w:val="pt-BR"/>
        </w:rPr>
      </w:pPr>
      <w:r>
        <w:rPr>
          <w:rFonts w:ascii="Times New Roman" w:hAnsi="Times New Roman" w:cs="Times New Roman"/>
          <w:lang w:val="pt-BR"/>
        </w:rPr>
        <w:lastRenderedPageBreak/>
        <w:t xml:space="preserve">Oliveira Junior, G. L. (2026). </w:t>
      </w:r>
      <w:r w:rsidRPr="007F0F7B">
        <w:rPr>
          <w:rFonts w:ascii="Times New Roman" w:hAnsi="Times New Roman" w:cs="Times New Roman"/>
          <w:i/>
          <w:lang w:val="pt-BR"/>
        </w:rPr>
        <w:t>A</w:t>
      </w:r>
      <w:r w:rsidRPr="009265EB">
        <w:rPr>
          <w:rFonts w:ascii="Times New Roman" w:hAnsi="Times New Roman" w:cs="Times New Roman"/>
          <w:i/>
          <w:lang w:val="pt-BR"/>
        </w:rPr>
        <w:t xml:space="preserve"> Lei de</w:t>
      </w:r>
      <w:r w:rsidRPr="009265EB">
        <w:rPr>
          <w:rFonts w:ascii="Times New Roman" w:hAnsi="Times New Roman" w:cs="Times New Roman"/>
          <w:i/>
          <w:lang w:val="pt-BR"/>
        </w:rPr>
        <w:t xml:space="preserve"> </w:t>
      </w:r>
      <w:r w:rsidRPr="009265EB">
        <w:rPr>
          <w:rFonts w:ascii="Times New Roman" w:hAnsi="Times New Roman" w:cs="Times New Roman"/>
          <w:i/>
          <w:lang w:val="pt-BR"/>
        </w:rPr>
        <w:t>Incentivo ao Esporte no Estado do Espírito Santo e o seu</w:t>
      </w:r>
      <w:r w:rsidRPr="009265EB">
        <w:rPr>
          <w:rFonts w:ascii="Times New Roman" w:hAnsi="Times New Roman" w:cs="Times New Roman"/>
          <w:i/>
          <w:lang w:val="pt-BR"/>
        </w:rPr>
        <w:t xml:space="preserve"> </w:t>
      </w:r>
      <w:r w:rsidRPr="009265EB">
        <w:rPr>
          <w:rFonts w:ascii="Times New Roman" w:hAnsi="Times New Roman" w:cs="Times New Roman"/>
          <w:i/>
          <w:lang w:val="pt-BR"/>
        </w:rPr>
        <w:t>desenvolvimento: entre histórias, memórias, políticas e</w:t>
      </w:r>
      <w:r w:rsidRPr="009265EB">
        <w:rPr>
          <w:rFonts w:ascii="Times New Roman" w:hAnsi="Times New Roman" w:cs="Times New Roman"/>
          <w:i/>
          <w:lang w:val="pt-BR"/>
        </w:rPr>
        <w:t xml:space="preserve"> proposições</w:t>
      </w:r>
      <w:r>
        <w:rPr>
          <w:rFonts w:ascii="Times New Roman" w:hAnsi="Times New Roman" w:cs="Times New Roman"/>
          <w:lang w:val="pt-BR"/>
        </w:rPr>
        <w:t xml:space="preserve"> [Tese de Doutorado, Universiade Federal do Espírito Santo].</w:t>
      </w:r>
    </w:p>
    <w:p w14:paraId="760F8BDF" w14:textId="77777777" w:rsidR="00353DD9" w:rsidRPr="00353DD9" w:rsidRDefault="00353DD9" w:rsidP="00353DD9">
      <w:pPr>
        <w:spacing w:line="240" w:lineRule="auto"/>
        <w:jc w:val="both"/>
        <w:rPr>
          <w:rFonts w:ascii="Times New Roman" w:hAnsi="Times New Roman" w:cs="Times New Roman"/>
          <w:lang w:val="pt-BR"/>
        </w:rPr>
      </w:pPr>
      <w:r w:rsidRPr="00353DD9">
        <w:rPr>
          <w:rFonts w:ascii="Times New Roman" w:hAnsi="Times New Roman" w:cs="Times New Roman"/>
          <w:lang w:val="pt-BR"/>
        </w:rPr>
        <w:t xml:space="preserve">Paula, S. C., Oliveira Junior, G. L., &amp; Gama, J. C. F. (2022). </w:t>
      </w:r>
      <w:r w:rsidRPr="00353DD9">
        <w:rPr>
          <w:rFonts w:ascii="Times New Roman" w:hAnsi="Times New Roman" w:cs="Times New Roman"/>
          <w:lang w:val="en-US"/>
        </w:rPr>
        <w:t xml:space="preserve">Training for sports in an international context: What do the studies say and which is the place of Brazil? </w:t>
      </w:r>
      <w:r w:rsidRPr="00353DD9">
        <w:rPr>
          <w:rFonts w:ascii="Times New Roman" w:hAnsi="Times New Roman" w:cs="Times New Roman"/>
          <w:i/>
          <w:lang w:val="pt-BR"/>
        </w:rPr>
        <w:t>E-Legis - Revista Eletrônica do Programa de Pós-Graduação da Câmara dos Deputados</w:t>
      </w:r>
      <w:r w:rsidRPr="00353DD9">
        <w:rPr>
          <w:rFonts w:ascii="Times New Roman" w:hAnsi="Times New Roman" w:cs="Times New Roman"/>
          <w:lang w:val="pt-BR"/>
        </w:rPr>
        <w:t>, 15(Especial), 128-148.</w:t>
      </w:r>
    </w:p>
    <w:p w14:paraId="4D75E5A5" w14:textId="110FDE13" w:rsidR="00353DD9" w:rsidRPr="00353DD9" w:rsidRDefault="00CB110C" w:rsidP="00353DD9">
      <w:pPr>
        <w:spacing w:line="240" w:lineRule="auto"/>
        <w:jc w:val="both"/>
        <w:rPr>
          <w:rFonts w:ascii="Times New Roman" w:hAnsi="Times New Roman" w:cs="Times New Roman"/>
          <w:lang w:val="pt-BR"/>
        </w:rPr>
      </w:pPr>
      <w:r>
        <w:rPr>
          <w:rFonts w:ascii="Times New Roman" w:hAnsi="Times New Roman" w:cs="Times New Roman"/>
          <w:lang w:val="es-ES"/>
        </w:rPr>
        <w:t>Sacristán, J. G. (2000</w:t>
      </w:r>
      <w:r w:rsidR="00353DD9" w:rsidRPr="00353DD9">
        <w:rPr>
          <w:rFonts w:ascii="Times New Roman" w:hAnsi="Times New Roman" w:cs="Times New Roman"/>
          <w:lang w:val="es-ES"/>
        </w:rPr>
        <w:t xml:space="preserve">). </w:t>
      </w:r>
      <w:r w:rsidR="00353DD9" w:rsidRPr="00353DD9">
        <w:rPr>
          <w:rFonts w:ascii="Times New Roman" w:hAnsi="Times New Roman" w:cs="Times New Roman"/>
          <w:i/>
          <w:lang w:val="pt-BR"/>
        </w:rPr>
        <w:t>O currículo: Uma reflexão sobre a prática</w:t>
      </w:r>
      <w:r w:rsidR="00353DD9" w:rsidRPr="00353DD9">
        <w:rPr>
          <w:rFonts w:ascii="Times New Roman" w:hAnsi="Times New Roman" w:cs="Times New Roman"/>
          <w:lang w:val="pt-BR"/>
        </w:rPr>
        <w:t xml:space="preserve"> (3a ed.). Artmed.</w:t>
      </w:r>
    </w:p>
    <w:p w14:paraId="3EF7B9B1" w14:textId="77777777" w:rsidR="00353DD9" w:rsidRPr="00353DD9" w:rsidRDefault="00353DD9" w:rsidP="00353DD9">
      <w:pPr>
        <w:spacing w:line="240" w:lineRule="auto"/>
        <w:jc w:val="both"/>
        <w:rPr>
          <w:rFonts w:ascii="Times New Roman" w:hAnsi="Times New Roman" w:cs="Times New Roman"/>
          <w:lang w:val="pt-BR"/>
        </w:rPr>
      </w:pPr>
      <w:r w:rsidRPr="00353DD9">
        <w:rPr>
          <w:rFonts w:ascii="Times New Roman" w:hAnsi="Times New Roman" w:cs="Times New Roman"/>
          <w:lang w:val="pt-BR"/>
        </w:rPr>
        <w:t xml:space="preserve">Silva, A. M., &amp; Bedoya, V. M. (2015). </w:t>
      </w:r>
      <w:r w:rsidRPr="00353DD9">
        <w:rPr>
          <w:rFonts w:ascii="Times New Roman" w:hAnsi="Times New Roman" w:cs="Times New Roman"/>
          <w:i/>
          <w:lang w:val="pt-BR"/>
        </w:rPr>
        <w:t>Formação profissional em Educação Física na América Latina: Encontros, diversidades e desafios</w:t>
      </w:r>
      <w:r w:rsidRPr="00353DD9">
        <w:rPr>
          <w:rFonts w:ascii="Times New Roman" w:hAnsi="Times New Roman" w:cs="Times New Roman"/>
          <w:lang w:val="pt-BR"/>
        </w:rPr>
        <w:t>. Paco Editorial.</w:t>
      </w:r>
    </w:p>
    <w:p w14:paraId="7E83515B" w14:textId="2B287E17" w:rsidR="001923DC" w:rsidRPr="00BA642E" w:rsidRDefault="00353DD9" w:rsidP="00353DD9">
      <w:pPr>
        <w:spacing w:line="240" w:lineRule="auto"/>
        <w:jc w:val="both"/>
        <w:rPr>
          <w:rFonts w:ascii="Times New Roman" w:hAnsi="Times New Roman" w:cs="Times New Roman"/>
          <w:lang w:val="pt-BR"/>
        </w:rPr>
      </w:pPr>
      <w:r w:rsidRPr="00353DD9">
        <w:rPr>
          <w:rFonts w:ascii="Times New Roman" w:hAnsi="Times New Roman" w:cs="Times New Roman"/>
          <w:lang w:val="pt-BR"/>
        </w:rPr>
        <w:t xml:space="preserve">Zucal, J. G., &amp; Levoratti, A. (2019). </w:t>
      </w:r>
      <w:r w:rsidRPr="00353DD9">
        <w:rPr>
          <w:rFonts w:ascii="Times New Roman" w:hAnsi="Times New Roman" w:cs="Times New Roman"/>
          <w:lang w:val="es-ES"/>
        </w:rPr>
        <w:t>Lo múltiple y lo fragmentado. Pista para los estudios sociales del deporte. In B. M. Pereyra et al. (</w:t>
      </w:r>
      <w:proofErr w:type="spellStart"/>
      <w:r w:rsidRPr="00353DD9">
        <w:rPr>
          <w:rFonts w:ascii="Times New Roman" w:hAnsi="Times New Roman" w:cs="Times New Roman"/>
          <w:lang w:val="es-ES"/>
        </w:rPr>
        <w:t>Orgs</w:t>
      </w:r>
      <w:proofErr w:type="spellEnd"/>
      <w:r w:rsidRPr="00353DD9">
        <w:rPr>
          <w:rFonts w:ascii="Times New Roman" w:hAnsi="Times New Roman" w:cs="Times New Roman"/>
          <w:lang w:val="es-ES"/>
        </w:rPr>
        <w:t xml:space="preserve">.), </w:t>
      </w:r>
      <w:r w:rsidRPr="00353DD9">
        <w:rPr>
          <w:rFonts w:ascii="Times New Roman" w:hAnsi="Times New Roman" w:cs="Times New Roman"/>
          <w:i/>
          <w:lang w:val="es-ES"/>
        </w:rPr>
        <w:t>Deporte y sociedad: Encontrando el futuro de los estudios sociales y culturales sobre deporte</w:t>
      </w:r>
      <w:r w:rsidRPr="00353DD9">
        <w:rPr>
          <w:rFonts w:ascii="Times New Roman" w:hAnsi="Times New Roman" w:cs="Times New Roman"/>
          <w:lang w:val="es-ES"/>
        </w:rPr>
        <w:t xml:space="preserve">. </w:t>
      </w:r>
      <w:r w:rsidRPr="00353DD9">
        <w:rPr>
          <w:rFonts w:ascii="Times New Roman" w:hAnsi="Times New Roman" w:cs="Times New Roman"/>
          <w:lang w:val="pt-BR"/>
        </w:rPr>
        <w:t>Universidad de la República.</w:t>
      </w:r>
    </w:p>
    <w:sectPr w:rsidR="001923DC" w:rsidRPr="00BA642E"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1340A" w14:textId="77777777" w:rsidR="00656B1B" w:rsidRPr="00BA642E" w:rsidRDefault="00656B1B" w:rsidP="00C802F5">
      <w:pPr>
        <w:spacing w:after="0" w:line="240" w:lineRule="auto"/>
      </w:pPr>
      <w:r w:rsidRPr="00BA642E">
        <w:separator/>
      </w:r>
    </w:p>
  </w:endnote>
  <w:endnote w:type="continuationSeparator" w:id="0">
    <w:p w14:paraId="35D03A94" w14:textId="77777777" w:rsidR="00656B1B" w:rsidRPr="00BA642E" w:rsidRDefault="00656B1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Footer"/>
    </w:pPr>
    <w:r w:rsidRPr="00BA642E">
      <w:rPr>
        <w:noProof/>
        <w:lang w:val="pt-BR" w:eastAsia="pt-B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A6425" w14:textId="77777777" w:rsidR="00656B1B" w:rsidRPr="00BA642E" w:rsidRDefault="00656B1B" w:rsidP="00C802F5">
      <w:pPr>
        <w:spacing w:after="0" w:line="240" w:lineRule="auto"/>
      </w:pPr>
      <w:r w:rsidRPr="00BA642E">
        <w:separator/>
      </w:r>
    </w:p>
  </w:footnote>
  <w:footnote w:type="continuationSeparator" w:id="0">
    <w:p w14:paraId="71A0C046" w14:textId="77777777" w:rsidR="00656B1B" w:rsidRPr="00BA642E" w:rsidRDefault="00656B1B"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Header"/>
      <w:jc w:val="center"/>
    </w:pPr>
    <w:r w:rsidRPr="00BA642E">
      <w:rPr>
        <w:noProof/>
        <w:lang w:val="pt-BR" w:eastAsia="pt-B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2278A"/>
    <w:multiLevelType w:val="multilevel"/>
    <w:tmpl w:val="1B4EB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D10213"/>
    <w:multiLevelType w:val="multilevel"/>
    <w:tmpl w:val="706C4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020EC2"/>
    <w:rsid w:val="00053D6F"/>
    <w:rsid w:val="000B3A19"/>
    <w:rsid w:val="00130753"/>
    <w:rsid w:val="001514FE"/>
    <w:rsid w:val="001816D6"/>
    <w:rsid w:val="00185F5E"/>
    <w:rsid w:val="001923DC"/>
    <w:rsid w:val="001D75D8"/>
    <w:rsid w:val="00214C17"/>
    <w:rsid w:val="002327C3"/>
    <w:rsid w:val="002740E8"/>
    <w:rsid w:val="0029097D"/>
    <w:rsid w:val="002B71E7"/>
    <w:rsid w:val="002B79C9"/>
    <w:rsid w:val="002D7620"/>
    <w:rsid w:val="00302E93"/>
    <w:rsid w:val="00312392"/>
    <w:rsid w:val="003471E6"/>
    <w:rsid w:val="00353DD9"/>
    <w:rsid w:val="003B34C9"/>
    <w:rsid w:val="003E788D"/>
    <w:rsid w:val="004040C0"/>
    <w:rsid w:val="00437E9C"/>
    <w:rsid w:val="004D295E"/>
    <w:rsid w:val="004E0F58"/>
    <w:rsid w:val="004E1178"/>
    <w:rsid w:val="004F14FE"/>
    <w:rsid w:val="00516B94"/>
    <w:rsid w:val="00550766"/>
    <w:rsid w:val="005F3B2E"/>
    <w:rsid w:val="005F54C6"/>
    <w:rsid w:val="0065518E"/>
    <w:rsid w:val="00656B1B"/>
    <w:rsid w:val="006F6D97"/>
    <w:rsid w:val="00701F64"/>
    <w:rsid w:val="0071690B"/>
    <w:rsid w:val="00727284"/>
    <w:rsid w:val="00744542"/>
    <w:rsid w:val="0077367E"/>
    <w:rsid w:val="007A19C9"/>
    <w:rsid w:val="007B5B5F"/>
    <w:rsid w:val="007D233B"/>
    <w:rsid w:val="007F0F7B"/>
    <w:rsid w:val="00824A58"/>
    <w:rsid w:val="0085070B"/>
    <w:rsid w:val="00897829"/>
    <w:rsid w:val="008E2272"/>
    <w:rsid w:val="009265EB"/>
    <w:rsid w:val="009639A3"/>
    <w:rsid w:val="00977634"/>
    <w:rsid w:val="009D7626"/>
    <w:rsid w:val="00A17247"/>
    <w:rsid w:val="00A2096D"/>
    <w:rsid w:val="00AB2597"/>
    <w:rsid w:val="00AD1675"/>
    <w:rsid w:val="00B5212D"/>
    <w:rsid w:val="00BA642E"/>
    <w:rsid w:val="00BC236F"/>
    <w:rsid w:val="00BE19A4"/>
    <w:rsid w:val="00BE5D77"/>
    <w:rsid w:val="00C37B4B"/>
    <w:rsid w:val="00C46B32"/>
    <w:rsid w:val="00C802F5"/>
    <w:rsid w:val="00C8178E"/>
    <w:rsid w:val="00C96B2C"/>
    <w:rsid w:val="00CB110C"/>
    <w:rsid w:val="00CC04C1"/>
    <w:rsid w:val="00CF2CE5"/>
    <w:rsid w:val="00D04112"/>
    <w:rsid w:val="00D255F2"/>
    <w:rsid w:val="00D843EC"/>
    <w:rsid w:val="00D852DD"/>
    <w:rsid w:val="00D862D4"/>
    <w:rsid w:val="00DA47A9"/>
    <w:rsid w:val="00DF28CE"/>
    <w:rsid w:val="00E27F98"/>
    <w:rsid w:val="00EF4DBC"/>
    <w:rsid w:val="00F367D8"/>
    <w:rsid w:val="00F462A8"/>
    <w:rsid w:val="00F63C70"/>
    <w:rsid w:val="00FA3A4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Heading1">
    <w:name w:val="heading 1"/>
    <w:basedOn w:val="Normal"/>
    <w:next w:val="Normal"/>
    <w:link w:val="Heading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3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23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23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23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23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3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3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3DC"/>
    <w:rPr>
      <w:rFonts w:eastAsiaTheme="majorEastAsia" w:cstheme="majorBidi"/>
      <w:color w:val="272727" w:themeColor="text1" w:themeTint="D8"/>
    </w:rPr>
  </w:style>
  <w:style w:type="paragraph" w:styleId="Title">
    <w:name w:val="Title"/>
    <w:basedOn w:val="Normal"/>
    <w:next w:val="Normal"/>
    <w:link w:val="Title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3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3DC"/>
    <w:pPr>
      <w:spacing w:before="160"/>
      <w:jc w:val="center"/>
    </w:pPr>
    <w:rPr>
      <w:i/>
      <w:iCs/>
      <w:color w:val="404040" w:themeColor="text1" w:themeTint="BF"/>
    </w:rPr>
  </w:style>
  <w:style w:type="character" w:customStyle="1" w:styleId="QuoteChar">
    <w:name w:val="Quote Char"/>
    <w:basedOn w:val="DefaultParagraphFont"/>
    <w:link w:val="Quote"/>
    <w:uiPriority w:val="29"/>
    <w:rsid w:val="001923DC"/>
    <w:rPr>
      <w:i/>
      <w:iCs/>
      <w:color w:val="404040" w:themeColor="text1" w:themeTint="BF"/>
    </w:rPr>
  </w:style>
  <w:style w:type="paragraph" w:styleId="ListParagraph">
    <w:name w:val="List Paragraph"/>
    <w:basedOn w:val="Normal"/>
    <w:uiPriority w:val="34"/>
    <w:qFormat/>
    <w:rsid w:val="001923DC"/>
    <w:pPr>
      <w:ind w:left="720"/>
      <w:contextualSpacing/>
    </w:pPr>
  </w:style>
  <w:style w:type="character" w:styleId="IntenseEmphasis">
    <w:name w:val="Intense Emphasis"/>
    <w:basedOn w:val="DefaultParagraphFont"/>
    <w:uiPriority w:val="21"/>
    <w:qFormat/>
    <w:rsid w:val="001923DC"/>
    <w:rPr>
      <w:i/>
      <w:iCs/>
      <w:color w:val="2F5496" w:themeColor="accent1" w:themeShade="BF"/>
    </w:rPr>
  </w:style>
  <w:style w:type="paragraph" w:styleId="IntenseQuote">
    <w:name w:val="Intense Quote"/>
    <w:basedOn w:val="Normal"/>
    <w:next w:val="Normal"/>
    <w:link w:val="IntenseQuote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23DC"/>
    <w:rPr>
      <w:i/>
      <w:iCs/>
      <w:color w:val="2F5496" w:themeColor="accent1" w:themeShade="BF"/>
    </w:rPr>
  </w:style>
  <w:style w:type="character" w:styleId="IntenseReference">
    <w:name w:val="Intense Reference"/>
    <w:basedOn w:val="DefaultParagraphFont"/>
    <w:uiPriority w:val="32"/>
    <w:qFormat/>
    <w:rsid w:val="001923DC"/>
    <w:rPr>
      <w:b/>
      <w:bCs/>
      <w:smallCaps/>
      <w:color w:val="2F5496" w:themeColor="accent1" w:themeShade="BF"/>
      <w:spacing w:val="5"/>
    </w:rPr>
  </w:style>
  <w:style w:type="paragraph" w:styleId="Header">
    <w:name w:val="header"/>
    <w:basedOn w:val="Normal"/>
    <w:link w:val="HeaderChar"/>
    <w:uiPriority w:val="99"/>
    <w:unhideWhenUsed/>
    <w:rsid w:val="00C802F5"/>
    <w:pPr>
      <w:tabs>
        <w:tab w:val="center" w:pos="4252"/>
        <w:tab w:val="right" w:pos="8504"/>
      </w:tabs>
      <w:spacing w:after="0" w:line="240" w:lineRule="auto"/>
    </w:pPr>
  </w:style>
  <w:style w:type="character" w:customStyle="1" w:styleId="HeaderChar">
    <w:name w:val="Header Char"/>
    <w:basedOn w:val="DefaultParagraphFont"/>
    <w:link w:val="Header"/>
    <w:uiPriority w:val="99"/>
    <w:rsid w:val="00C802F5"/>
  </w:style>
  <w:style w:type="paragraph" w:styleId="Footer">
    <w:name w:val="footer"/>
    <w:basedOn w:val="Normal"/>
    <w:link w:val="FooterChar"/>
    <w:uiPriority w:val="99"/>
    <w:unhideWhenUsed/>
    <w:rsid w:val="00C802F5"/>
    <w:pPr>
      <w:tabs>
        <w:tab w:val="center" w:pos="4252"/>
        <w:tab w:val="right" w:pos="8504"/>
      </w:tabs>
      <w:spacing w:after="0" w:line="240" w:lineRule="auto"/>
    </w:pPr>
  </w:style>
  <w:style w:type="character" w:customStyle="1" w:styleId="FooterChar">
    <w:name w:val="Footer Char"/>
    <w:basedOn w:val="DefaultParagraphFont"/>
    <w:link w:val="Footer"/>
    <w:uiPriority w:val="99"/>
    <w:rsid w:val="00C802F5"/>
  </w:style>
  <w:style w:type="character" w:styleId="Hyperlink">
    <w:name w:val="Hyperlink"/>
    <w:basedOn w:val="DefaultParagraphFont"/>
    <w:uiPriority w:val="99"/>
    <w:unhideWhenUsed/>
    <w:rsid w:val="00C802F5"/>
    <w:rPr>
      <w:color w:val="0563C1" w:themeColor="hyperlink"/>
      <w:u w:val="single"/>
    </w:rPr>
  </w:style>
  <w:style w:type="character" w:customStyle="1" w:styleId="UnresolvedMention">
    <w:name w:val="Unresolved Mention"/>
    <w:basedOn w:val="DefaultParagraphFont"/>
    <w:uiPriority w:val="99"/>
    <w:semiHidden/>
    <w:unhideWhenUsed/>
    <w:rsid w:val="00C802F5"/>
    <w:rPr>
      <w:color w:val="605E5C"/>
      <w:shd w:val="clear" w:color="auto" w:fill="E1DFDD"/>
    </w:rPr>
  </w:style>
  <w:style w:type="paragraph" w:styleId="BalloonText">
    <w:name w:val="Balloon Text"/>
    <w:basedOn w:val="Normal"/>
    <w:link w:val="BalloonTextChar"/>
    <w:uiPriority w:val="99"/>
    <w:semiHidden/>
    <w:unhideWhenUsed/>
    <w:rsid w:val="00F462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2A8"/>
    <w:rPr>
      <w:rFonts w:ascii="Tahoma" w:hAnsi="Tahoma" w:cs="Tahoma"/>
      <w:sz w:val="16"/>
      <w:szCs w:val="16"/>
      <w:lang w:val="es-419"/>
    </w:rPr>
  </w:style>
  <w:style w:type="paragraph" w:customStyle="1" w:styleId="isselectedend">
    <w:name w:val="isselectedend"/>
    <w:basedOn w:val="Normal"/>
    <w:rsid w:val="00977634"/>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paragraph" w:styleId="NormalWeb">
    <w:name w:val="Normal (Web)"/>
    <w:basedOn w:val="Normal"/>
    <w:uiPriority w:val="99"/>
    <w:semiHidden/>
    <w:unhideWhenUsed/>
    <w:rsid w:val="00977634"/>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character" w:styleId="Strong">
    <w:name w:val="Strong"/>
    <w:basedOn w:val="DefaultParagraphFont"/>
    <w:uiPriority w:val="22"/>
    <w:qFormat/>
    <w:rsid w:val="00977634"/>
    <w:rPr>
      <w:b/>
      <w:bCs/>
    </w:rPr>
  </w:style>
  <w:style w:type="character" w:styleId="Emphasis">
    <w:name w:val="Emphasis"/>
    <w:basedOn w:val="DefaultParagraphFont"/>
    <w:uiPriority w:val="20"/>
    <w:qFormat/>
    <w:rsid w:val="00977634"/>
    <w:rPr>
      <w:i/>
      <w:iCs/>
    </w:rPr>
  </w:style>
  <w:style w:type="character" w:customStyle="1" w:styleId="text-token-text-primary">
    <w:name w:val="text-token-text-primary"/>
    <w:basedOn w:val="DefaultParagraphFont"/>
    <w:rsid w:val="00824A58"/>
  </w:style>
  <w:style w:type="paragraph" w:styleId="BodyText">
    <w:name w:val="Body Text"/>
    <w:basedOn w:val="Normal"/>
    <w:link w:val="BodyTextChar"/>
    <w:uiPriority w:val="99"/>
    <w:unhideWhenUsed/>
    <w:rsid w:val="00214C17"/>
    <w:pPr>
      <w:jc w:val="both"/>
    </w:pPr>
    <w:rPr>
      <w:rFonts w:ascii="Times New Roman" w:eastAsia="Times New Roman" w:hAnsi="Times New Roman"/>
      <w:lang w:val="es-ES"/>
    </w:rPr>
  </w:style>
  <w:style w:type="character" w:customStyle="1" w:styleId="BodyTextChar">
    <w:name w:val="Body Text Char"/>
    <w:basedOn w:val="DefaultParagraphFont"/>
    <w:link w:val="BodyText"/>
    <w:uiPriority w:val="99"/>
    <w:rsid w:val="00214C17"/>
    <w:rPr>
      <w:rFonts w:ascii="Times New Roman" w:eastAsia="Times New Roman" w:hAnsi="Times New Roman"/>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Heading1">
    <w:name w:val="heading 1"/>
    <w:basedOn w:val="Normal"/>
    <w:next w:val="Normal"/>
    <w:link w:val="Heading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3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23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23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23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23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3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3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3DC"/>
    <w:rPr>
      <w:rFonts w:eastAsiaTheme="majorEastAsia" w:cstheme="majorBidi"/>
      <w:color w:val="272727" w:themeColor="text1" w:themeTint="D8"/>
    </w:rPr>
  </w:style>
  <w:style w:type="paragraph" w:styleId="Title">
    <w:name w:val="Title"/>
    <w:basedOn w:val="Normal"/>
    <w:next w:val="Normal"/>
    <w:link w:val="Title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3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3DC"/>
    <w:pPr>
      <w:spacing w:before="160"/>
      <w:jc w:val="center"/>
    </w:pPr>
    <w:rPr>
      <w:i/>
      <w:iCs/>
      <w:color w:val="404040" w:themeColor="text1" w:themeTint="BF"/>
    </w:rPr>
  </w:style>
  <w:style w:type="character" w:customStyle="1" w:styleId="QuoteChar">
    <w:name w:val="Quote Char"/>
    <w:basedOn w:val="DefaultParagraphFont"/>
    <w:link w:val="Quote"/>
    <w:uiPriority w:val="29"/>
    <w:rsid w:val="001923DC"/>
    <w:rPr>
      <w:i/>
      <w:iCs/>
      <w:color w:val="404040" w:themeColor="text1" w:themeTint="BF"/>
    </w:rPr>
  </w:style>
  <w:style w:type="paragraph" w:styleId="ListParagraph">
    <w:name w:val="List Paragraph"/>
    <w:basedOn w:val="Normal"/>
    <w:uiPriority w:val="34"/>
    <w:qFormat/>
    <w:rsid w:val="001923DC"/>
    <w:pPr>
      <w:ind w:left="720"/>
      <w:contextualSpacing/>
    </w:pPr>
  </w:style>
  <w:style w:type="character" w:styleId="IntenseEmphasis">
    <w:name w:val="Intense Emphasis"/>
    <w:basedOn w:val="DefaultParagraphFont"/>
    <w:uiPriority w:val="21"/>
    <w:qFormat/>
    <w:rsid w:val="001923DC"/>
    <w:rPr>
      <w:i/>
      <w:iCs/>
      <w:color w:val="2F5496" w:themeColor="accent1" w:themeShade="BF"/>
    </w:rPr>
  </w:style>
  <w:style w:type="paragraph" w:styleId="IntenseQuote">
    <w:name w:val="Intense Quote"/>
    <w:basedOn w:val="Normal"/>
    <w:next w:val="Normal"/>
    <w:link w:val="IntenseQuote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23DC"/>
    <w:rPr>
      <w:i/>
      <w:iCs/>
      <w:color w:val="2F5496" w:themeColor="accent1" w:themeShade="BF"/>
    </w:rPr>
  </w:style>
  <w:style w:type="character" w:styleId="IntenseReference">
    <w:name w:val="Intense Reference"/>
    <w:basedOn w:val="DefaultParagraphFont"/>
    <w:uiPriority w:val="32"/>
    <w:qFormat/>
    <w:rsid w:val="001923DC"/>
    <w:rPr>
      <w:b/>
      <w:bCs/>
      <w:smallCaps/>
      <w:color w:val="2F5496" w:themeColor="accent1" w:themeShade="BF"/>
      <w:spacing w:val="5"/>
    </w:rPr>
  </w:style>
  <w:style w:type="paragraph" w:styleId="Header">
    <w:name w:val="header"/>
    <w:basedOn w:val="Normal"/>
    <w:link w:val="HeaderChar"/>
    <w:uiPriority w:val="99"/>
    <w:unhideWhenUsed/>
    <w:rsid w:val="00C802F5"/>
    <w:pPr>
      <w:tabs>
        <w:tab w:val="center" w:pos="4252"/>
        <w:tab w:val="right" w:pos="8504"/>
      </w:tabs>
      <w:spacing w:after="0" w:line="240" w:lineRule="auto"/>
    </w:pPr>
  </w:style>
  <w:style w:type="character" w:customStyle="1" w:styleId="HeaderChar">
    <w:name w:val="Header Char"/>
    <w:basedOn w:val="DefaultParagraphFont"/>
    <w:link w:val="Header"/>
    <w:uiPriority w:val="99"/>
    <w:rsid w:val="00C802F5"/>
  </w:style>
  <w:style w:type="paragraph" w:styleId="Footer">
    <w:name w:val="footer"/>
    <w:basedOn w:val="Normal"/>
    <w:link w:val="FooterChar"/>
    <w:uiPriority w:val="99"/>
    <w:unhideWhenUsed/>
    <w:rsid w:val="00C802F5"/>
    <w:pPr>
      <w:tabs>
        <w:tab w:val="center" w:pos="4252"/>
        <w:tab w:val="right" w:pos="8504"/>
      </w:tabs>
      <w:spacing w:after="0" w:line="240" w:lineRule="auto"/>
    </w:pPr>
  </w:style>
  <w:style w:type="character" w:customStyle="1" w:styleId="FooterChar">
    <w:name w:val="Footer Char"/>
    <w:basedOn w:val="DefaultParagraphFont"/>
    <w:link w:val="Footer"/>
    <w:uiPriority w:val="99"/>
    <w:rsid w:val="00C802F5"/>
  </w:style>
  <w:style w:type="character" w:styleId="Hyperlink">
    <w:name w:val="Hyperlink"/>
    <w:basedOn w:val="DefaultParagraphFont"/>
    <w:uiPriority w:val="99"/>
    <w:unhideWhenUsed/>
    <w:rsid w:val="00C802F5"/>
    <w:rPr>
      <w:color w:val="0563C1" w:themeColor="hyperlink"/>
      <w:u w:val="single"/>
    </w:rPr>
  </w:style>
  <w:style w:type="character" w:customStyle="1" w:styleId="UnresolvedMention">
    <w:name w:val="Unresolved Mention"/>
    <w:basedOn w:val="DefaultParagraphFont"/>
    <w:uiPriority w:val="99"/>
    <w:semiHidden/>
    <w:unhideWhenUsed/>
    <w:rsid w:val="00C802F5"/>
    <w:rPr>
      <w:color w:val="605E5C"/>
      <w:shd w:val="clear" w:color="auto" w:fill="E1DFDD"/>
    </w:rPr>
  </w:style>
  <w:style w:type="paragraph" w:styleId="BalloonText">
    <w:name w:val="Balloon Text"/>
    <w:basedOn w:val="Normal"/>
    <w:link w:val="BalloonTextChar"/>
    <w:uiPriority w:val="99"/>
    <w:semiHidden/>
    <w:unhideWhenUsed/>
    <w:rsid w:val="00F462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2A8"/>
    <w:rPr>
      <w:rFonts w:ascii="Tahoma" w:hAnsi="Tahoma" w:cs="Tahoma"/>
      <w:sz w:val="16"/>
      <w:szCs w:val="16"/>
      <w:lang w:val="es-419"/>
    </w:rPr>
  </w:style>
  <w:style w:type="paragraph" w:customStyle="1" w:styleId="isselectedend">
    <w:name w:val="isselectedend"/>
    <w:basedOn w:val="Normal"/>
    <w:rsid w:val="00977634"/>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paragraph" w:styleId="NormalWeb">
    <w:name w:val="Normal (Web)"/>
    <w:basedOn w:val="Normal"/>
    <w:uiPriority w:val="99"/>
    <w:semiHidden/>
    <w:unhideWhenUsed/>
    <w:rsid w:val="00977634"/>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character" w:styleId="Strong">
    <w:name w:val="Strong"/>
    <w:basedOn w:val="DefaultParagraphFont"/>
    <w:uiPriority w:val="22"/>
    <w:qFormat/>
    <w:rsid w:val="00977634"/>
    <w:rPr>
      <w:b/>
      <w:bCs/>
    </w:rPr>
  </w:style>
  <w:style w:type="character" w:styleId="Emphasis">
    <w:name w:val="Emphasis"/>
    <w:basedOn w:val="DefaultParagraphFont"/>
    <w:uiPriority w:val="20"/>
    <w:qFormat/>
    <w:rsid w:val="00977634"/>
    <w:rPr>
      <w:i/>
      <w:iCs/>
    </w:rPr>
  </w:style>
  <w:style w:type="character" w:customStyle="1" w:styleId="text-token-text-primary">
    <w:name w:val="text-token-text-primary"/>
    <w:basedOn w:val="DefaultParagraphFont"/>
    <w:rsid w:val="00824A58"/>
  </w:style>
  <w:style w:type="paragraph" w:styleId="BodyText">
    <w:name w:val="Body Text"/>
    <w:basedOn w:val="Normal"/>
    <w:link w:val="BodyTextChar"/>
    <w:uiPriority w:val="99"/>
    <w:unhideWhenUsed/>
    <w:rsid w:val="00214C17"/>
    <w:pPr>
      <w:jc w:val="both"/>
    </w:pPr>
    <w:rPr>
      <w:rFonts w:ascii="Times New Roman" w:eastAsia="Times New Roman" w:hAnsi="Times New Roman"/>
      <w:lang w:val="es-ES"/>
    </w:rPr>
  </w:style>
  <w:style w:type="character" w:customStyle="1" w:styleId="BodyTextChar">
    <w:name w:val="Body Text Char"/>
    <w:basedOn w:val="DefaultParagraphFont"/>
    <w:link w:val="BodyText"/>
    <w:uiPriority w:val="99"/>
    <w:rsid w:val="00214C17"/>
    <w:rPr>
      <w:rFonts w:ascii="Times New Roman" w:eastAsia="Times New Roman" w:hAnsi="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73844">
      <w:bodyDiv w:val="1"/>
      <w:marLeft w:val="0"/>
      <w:marRight w:val="0"/>
      <w:marTop w:val="0"/>
      <w:marBottom w:val="0"/>
      <w:divBdr>
        <w:top w:val="none" w:sz="0" w:space="0" w:color="auto"/>
        <w:left w:val="none" w:sz="0" w:space="0" w:color="auto"/>
        <w:bottom w:val="none" w:sz="0" w:space="0" w:color="auto"/>
        <w:right w:val="none" w:sz="0" w:space="0" w:color="auto"/>
      </w:divBdr>
      <w:divsChild>
        <w:div w:id="1487630637">
          <w:marLeft w:val="0"/>
          <w:marRight w:val="0"/>
          <w:marTop w:val="0"/>
          <w:marBottom w:val="0"/>
          <w:divBdr>
            <w:top w:val="none" w:sz="0" w:space="0" w:color="auto"/>
            <w:left w:val="none" w:sz="0" w:space="0" w:color="auto"/>
            <w:bottom w:val="none" w:sz="0" w:space="0" w:color="auto"/>
            <w:right w:val="none" w:sz="0" w:space="0" w:color="auto"/>
          </w:divBdr>
          <w:divsChild>
            <w:div w:id="1197550310">
              <w:marLeft w:val="0"/>
              <w:marRight w:val="0"/>
              <w:marTop w:val="0"/>
              <w:marBottom w:val="0"/>
              <w:divBdr>
                <w:top w:val="none" w:sz="0" w:space="0" w:color="auto"/>
                <w:left w:val="none" w:sz="0" w:space="0" w:color="auto"/>
                <w:bottom w:val="none" w:sz="0" w:space="0" w:color="auto"/>
                <w:right w:val="none" w:sz="0" w:space="0" w:color="auto"/>
              </w:divBdr>
              <w:divsChild>
                <w:div w:id="840000070">
                  <w:marLeft w:val="0"/>
                  <w:marRight w:val="0"/>
                  <w:marTop w:val="0"/>
                  <w:marBottom w:val="0"/>
                  <w:divBdr>
                    <w:top w:val="none" w:sz="0" w:space="0" w:color="auto"/>
                    <w:left w:val="none" w:sz="0" w:space="0" w:color="auto"/>
                    <w:bottom w:val="none" w:sz="0" w:space="0" w:color="auto"/>
                    <w:right w:val="none" w:sz="0" w:space="0" w:color="auto"/>
                  </w:divBdr>
                  <w:divsChild>
                    <w:div w:id="1270164117">
                      <w:marLeft w:val="0"/>
                      <w:marRight w:val="0"/>
                      <w:marTop w:val="0"/>
                      <w:marBottom w:val="0"/>
                      <w:divBdr>
                        <w:top w:val="none" w:sz="0" w:space="0" w:color="auto"/>
                        <w:left w:val="none" w:sz="0" w:space="0" w:color="auto"/>
                        <w:bottom w:val="none" w:sz="0" w:space="0" w:color="auto"/>
                        <w:right w:val="none" w:sz="0" w:space="0" w:color="auto"/>
                      </w:divBdr>
                      <w:divsChild>
                        <w:div w:id="95560715">
                          <w:marLeft w:val="0"/>
                          <w:marRight w:val="0"/>
                          <w:marTop w:val="0"/>
                          <w:marBottom w:val="0"/>
                          <w:divBdr>
                            <w:top w:val="none" w:sz="0" w:space="0" w:color="auto"/>
                            <w:left w:val="none" w:sz="0" w:space="0" w:color="auto"/>
                            <w:bottom w:val="none" w:sz="0" w:space="0" w:color="auto"/>
                            <w:right w:val="none" w:sz="0" w:space="0" w:color="auto"/>
                          </w:divBdr>
                          <w:divsChild>
                            <w:div w:id="555239596">
                              <w:marLeft w:val="0"/>
                              <w:marRight w:val="0"/>
                              <w:marTop w:val="0"/>
                              <w:marBottom w:val="0"/>
                              <w:divBdr>
                                <w:top w:val="none" w:sz="0" w:space="0" w:color="auto"/>
                                <w:left w:val="none" w:sz="0" w:space="0" w:color="auto"/>
                                <w:bottom w:val="none" w:sz="0" w:space="0" w:color="auto"/>
                                <w:right w:val="none" w:sz="0" w:space="0" w:color="auto"/>
                              </w:divBdr>
                              <w:divsChild>
                                <w:div w:id="1094714993">
                                  <w:marLeft w:val="0"/>
                                  <w:marRight w:val="0"/>
                                  <w:marTop w:val="0"/>
                                  <w:marBottom w:val="0"/>
                                  <w:divBdr>
                                    <w:top w:val="none" w:sz="0" w:space="0" w:color="auto"/>
                                    <w:left w:val="none" w:sz="0" w:space="0" w:color="auto"/>
                                    <w:bottom w:val="none" w:sz="0" w:space="0" w:color="auto"/>
                                    <w:right w:val="none" w:sz="0" w:space="0" w:color="auto"/>
                                  </w:divBdr>
                                  <w:divsChild>
                                    <w:div w:id="1822379022">
                                      <w:marLeft w:val="0"/>
                                      <w:marRight w:val="0"/>
                                      <w:marTop w:val="0"/>
                                      <w:marBottom w:val="0"/>
                                      <w:divBdr>
                                        <w:top w:val="none" w:sz="0" w:space="0" w:color="auto"/>
                                        <w:left w:val="none" w:sz="0" w:space="0" w:color="auto"/>
                                        <w:bottom w:val="none" w:sz="0" w:space="0" w:color="auto"/>
                                        <w:right w:val="none" w:sz="0" w:space="0" w:color="auto"/>
                                      </w:divBdr>
                                      <w:divsChild>
                                        <w:div w:id="1337735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280244">
      <w:bodyDiv w:val="1"/>
      <w:marLeft w:val="0"/>
      <w:marRight w:val="0"/>
      <w:marTop w:val="0"/>
      <w:marBottom w:val="0"/>
      <w:divBdr>
        <w:top w:val="none" w:sz="0" w:space="0" w:color="auto"/>
        <w:left w:val="none" w:sz="0" w:space="0" w:color="auto"/>
        <w:bottom w:val="none" w:sz="0" w:space="0" w:color="auto"/>
        <w:right w:val="none" w:sz="0" w:space="0" w:color="auto"/>
      </w:divBdr>
    </w:div>
    <w:div w:id="406807934">
      <w:bodyDiv w:val="1"/>
      <w:marLeft w:val="0"/>
      <w:marRight w:val="0"/>
      <w:marTop w:val="0"/>
      <w:marBottom w:val="0"/>
      <w:divBdr>
        <w:top w:val="none" w:sz="0" w:space="0" w:color="auto"/>
        <w:left w:val="none" w:sz="0" w:space="0" w:color="auto"/>
        <w:bottom w:val="none" w:sz="0" w:space="0" w:color="auto"/>
        <w:right w:val="none" w:sz="0" w:space="0" w:color="auto"/>
      </w:divBdr>
    </w:div>
    <w:div w:id="508175037">
      <w:bodyDiv w:val="1"/>
      <w:marLeft w:val="0"/>
      <w:marRight w:val="0"/>
      <w:marTop w:val="0"/>
      <w:marBottom w:val="0"/>
      <w:divBdr>
        <w:top w:val="none" w:sz="0" w:space="0" w:color="auto"/>
        <w:left w:val="none" w:sz="0" w:space="0" w:color="auto"/>
        <w:bottom w:val="none" w:sz="0" w:space="0" w:color="auto"/>
        <w:right w:val="none" w:sz="0" w:space="0" w:color="auto"/>
      </w:divBdr>
    </w:div>
    <w:div w:id="714351914">
      <w:bodyDiv w:val="1"/>
      <w:marLeft w:val="0"/>
      <w:marRight w:val="0"/>
      <w:marTop w:val="0"/>
      <w:marBottom w:val="0"/>
      <w:divBdr>
        <w:top w:val="none" w:sz="0" w:space="0" w:color="auto"/>
        <w:left w:val="none" w:sz="0" w:space="0" w:color="auto"/>
        <w:bottom w:val="none" w:sz="0" w:space="0" w:color="auto"/>
        <w:right w:val="none" w:sz="0" w:space="0" w:color="auto"/>
      </w:divBdr>
    </w:div>
    <w:div w:id="769351809">
      <w:bodyDiv w:val="1"/>
      <w:marLeft w:val="0"/>
      <w:marRight w:val="0"/>
      <w:marTop w:val="0"/>
      <w:marBottom w:val="0"/>
      <w:divBdr>
        <w:top w:val="none" w:sz="0" w:space="0" w:color="auto"/>
        <w:left w:val="none" w:sz="0" w:space="0" w:color="auto"/>
        <w:bottom w:val="none" w:sz="0" w:space="0" w:color="auto"/>
        <w:right w:val="none" w:sz="0" w:space="0" w:color="auto"/>
      </w:divBdr>
      <w:divsChild>
        <w:div w:id="1320580052">
          <w:marLeft w:val="0"/>
          <w:marRight w:val="0"/>
          <w:marTop w:val="0"/>
          <w:marBottom w:val="0"/>
          <w:divBdr>
            <w:top w:val="none" w:sz="0" w:space="0" w:color="auto"/>
            <w:left w:val="none" w:sz="0" w:space="0" w:color="auto"/>
            <w:bottom w:val="none" w:sz="0" w:space="0" w:color="auto"/>
            <w:right w:val="none" w:sz="0" w:space="0" w:color="auto"/>
          </w:divBdr>
          <w:divsChild>
            <w:div w:id="2081636415">
              <w:marLeft w:val="0"/>
              <w:marRight w:val="0"/>
              <w:marTop w:val="0"/>
              <w:marBottom w:val="0"/>
              <w:divBdr>
                <w:top w:val="none" w:sz="0" w:space="0" w:color="auto"/>
                <w:left w:val="none" w:sz="0" w:space="0" w:color="auto"/>
                <w:bottom w:val="none" w:sz="0" w:space="0" w:color="auto"/>
                <w:right w:val="none" w:sz="0" w:space="0" w:color="auto"/>
              </w:divBdr>
              <w:divsChild>
                <w:div w:id="2972735">
                  <w:marLeft w:val="0"/>
                  <w:marRight w:val="0"/>
                  <w:marTop w:val="0"/>
                  <w:marBottom w:val="0"/>
                  <w:divBdr>
                    <w:top w:val="none" w:sz="0" w:space="0" w:color="auto"/>
                    <w:left w:val="none" w:sz="0" w:space="0" w:color="auto"/>
                    <w:bottom w:val="none" w:sz="0" w:space="0" w:color="auto"/>
                    <w:right w:val="none" w:sz="0" w:space="0" w:color="auto"/>
                  </w:divBdr>
                  <w:divsChild>
                    <w:div w:id="1515459749">
                      <w:marLeft w:val="0"/>
                      <w:marRight w:val="0"/>
                      <w:marTop w:val="0"/>
                      <w:marBottom w:val="0"/>
                      <w:divBdr>
                        <w:top w:val="none" w:sz="0" w:space="0" w:color="auto"/>
                        <w:left w:val="none" w:sz="0" w:space="0" w:color="auto"/>
                        <w:bottom w:val="none" w:sz="0" w:space="0" w:color="auto"/>
                        <w:right w:val="none" w:sz="0" w:space="0" w:color="auto"/>
                      </w:divBdr>
                      <w:divsChild>
                        <w:div w:id="566495732">
                          <w:marLeft w:val="0"/>
                          <w:marRight w:val="0"/>
                          <w:marTop w:val="0"/>
                          <w:marBottom w:val="0"/>
                          <w:divBdr>
                            <w:top w:val="none" w:sz="0" w:space="0" w:color="auto"/>
                            <w:left w:val="none" w:sz="0" w:space="0" w:color="auto"/>
                            <w:bottom w:val="none" w:sz="0" w:space="0" w:color="auto"/>
                            <w:right w:val="none" w:sz="0" w:space="0" w:color="auto"/>
                          </w:divBdr>
                          <w:divsChild>
                            <w:div w:id="1177840588">
                              <w:marLeft w:val="0"/>
                              <w:marRight w:val="0"/>
                              <w:marTop w:val="0"/>
                              <w:marBottom w:val="0"/>
                              <w:divBdr>
                                <w:top w:val="none" w:sz="0" w:space="0" w:color="auto"/>
                                <w:left w:val="none" w:sz="0" w:space="0" w:color="auto"/>
                                <w:bottom w:val="none" w:sz="0" w:space="0" w:color="auto"/>
                                <w:right w:val="none" w:sz="0" w:space="0" w:color="auto"/>
                              </w:divBdr>
                              <w:divsChild>
                                <w:div w:id="219899266">
                                  <w:marLeft w:val="0"/>
                                  <w:marRight w:val="0"/>
                                  <w:marTop w:val="0"/>
                                  <w:marBottom w:val="0"/>
                                  <w:divBdr>
                                    <w:top w:val="none" w:sz="0" w:space="0" w:color="auto"/>
                                    <w:left w:val="none" w:sz="0" w:space="0" w:color="auto"/>
                                    <w:bottom w:val="none" w:sz="0" w:space="0" w:color="auto"/>
                                    <w:right w:val="none" w:sz="0" w:space="0" w:color="auto"/>
                                  </w:divBdr>
                                  <w:divsChild>
                                    <w:div w:id="1534491210">
                                      <w:marLeft w:val="0"/>
                                      <w:marRight w:val="0"/>
                                      <w:marTop w:val="0"/>
                                      <w:marBottom w:val="0"/>
                                      <w:divBdr>
                                        <w:top w:val="none" w:sz="0" w:space="0" w:color="auto"/>
                                        <w:left w:val="none" w:sz="0" w:space="0" w:color="auto"/>
                                        <w:bottom w:val="none" w:sz="0" w:space="0" w:color="auto"/>
                                        <w:right w:val="none" w:sz="0" w:space="0" w:color="auto"/>
                                      </w:divBdr>
                                      <w:divsChild>
                                        <w:div w:id="1568148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051467">
      <w:bodyDiv w:val="1"/>
      <w:marLeft w:val="0"/>
      <w:marRight w:val="0"/>
      <w:marTop w:val="0"/>
      <w:marBottom w:val="0"/>
      <w:divBdr>
        <w:top w:val="none" w:sz="0" w:space="0" w:color="auto"/>
        <w:left w:val="none" w:sz="0" w:space="0" w:color="auto"/>
        <w:bottom w:val="none" w:sz="0" w:space="0" w:color="auto"/>
        <w:right w:val="none" w:sz="0" w:space="0" w:color="auto"/>
      </w:divBdr>
    </w:div>
    <w:div w:id="973490104">
      <w:bodyDiv w:val="1"/>
      <w:marLeft w:val="0"/>
      <w:marRight w:val="0"/>
      <w:marTop w:val="0"/>
      <w:marBottom w:val="0"/>
      <w:divBdr>
        <w:top w:val="none" w:sz="0" w:space="0" w:color="auto"/>
        <w:left w:val="none" w:sz="0" w:space="0" w:color="auto"/>
        <w:bottom w:val="none" w:sz="0" w:space="0" w:color="auto"/>
        <w:right w:val="none" w:sz="0" w:space="0" w:color="auto"/>
      </w:divBdr>
    </w:div>
    <w:div w:id="1098913160">
      <w:bodyDiv w:val="1"/>
      <w:marLeft w:val="0"/>
      <w:marRight w:val="0"/>
      <w:marTop w:val="0"/>
      <w:marBottom w:val="0"/>
      <w:divBdr>
        <w:top w:val="none" w:sz="0" w:space="0" w:color="auto"/>
        <w:left w:val="none" w:sz="0" w:space="0" w:color="auto"/>
        <w:bottom w:val="none" w:sz="0" w:space="0" w:color="auto"/>
        <w:right w:val="none" w:sz="0" w:space="0" w:color="auto"/>
      </w:divBdr>
    </w:div>
    <w:div w:id="1315647182">
      <w:bodyDiv w:val="1"/>
      <w:marLeft w:val="0"/>
      <w:marRight w:val="0"/>
      <w:marTop w:val="0"/>
      <w:marBottom w:val="0"/>
      <w:divBdr>
        <w:top w:val="none" w:sz="0" w:space="0" w:color="auto"/>
        <w:left w:val="none" w:sz="0" w:space="0" w:color="auto"/>
        <w:bottom w:val="none" w:sz="0" w:space="0" w:color="auto"/>
        <w:right w:val="none" w:sz="0" w:space="0" w:color="auto"/>
      </w:divBdr>
    </w:div>
    <w:div w:id="1344360685">
      <w:bodyDiv w:val="1"/>
      <w:marLeft w:val="0"/>
      <w:marRight w:val="0"/>
      <w:marTop w:val="0"/>
      <w:marBottom w:val="0"/>
      <w:divBdr>
        <w:top w:val="none" w:sz="0" w:space="0" w:color="auto"/>
        <w:left w:val="none" w:sz="0" w:space="0" w:color="auto"/>
        <w:bottom w:val="none" w:sz="0" w:space="0" w:color="auto"/>
        <w:right w:val="none" w:sz="0" w:space="0" w:color="auto"/>
      </w:divBdr>
    </w:div>
    <w:div w:id="1350063802">
      <w:bodyDiv w:val="1"/>
      <w:marLeft w:val="0"/>
      <w:marRight w:val="0"/>
      <w:marTop w:val="0"/>
      <w:marBottom w:val="0"/>
      <w:divBdr>
        <w:top w:val="none" w:sz="0" w:space="0" w:color="auto"/>
        <w:left w:val="none" w:sz="0" w:space="0" w:color="auto"/>
        <w:bottom w:val="none" w:sz="0" w:space="0" w:color="auto"/>
        <w:right w:val="none" w:sz="0" w:space="0" w:color="auto"/>
      </w:divBdr>
    </w:div>
    <w:div w:id="1355883180">
      <w:bodyDiv w:val="1"/>
      <w:marLeft w:val="0"/>
      <w:marRight w:val="0"/>
      <w:marTop w:val="0"/>
      <w:marBottom w:val="0"/>
      <w:divBdr>
        <w:top w:val="none" w:sz="0" w:space="0" w:color="auto"/>
        <w:left w:val="none" w:sz="0" w:space="0" w:color="auto"/>
        <w:bottom w:val="none" w:sz="0" w:space="0" w:color="auto"/>
        <w:right w:val="none" w:sz="0" w:space="0" w:color="auto"/>
      </w:divBdr>
    </w:div>
    <w:div w:id="1385374521">
      <w:bodyDiv w:val="1"/>
      <w:marLeft w:val="0"/>
      <w:marRight w:val="0"/>
      <w:marTop w:val="0"/>
      <w:marBottom w:val="0"/>
      <w:divBdr>
        <w:top w:val="none" w:sz="0" w:space="0" w:color="auto"/>
        <w:left w:val="none" w:sz="0" w:space="0" w:color="auto"/>
        <w:bottom w:val="none" w:sz="0" w:space="0" w:color="auto"/>
        <w:right w:val="none" w:sz="0" w:space="0" w:color="auto"/>
      </w:divBdr>
    </w:div>
    <w:div w:id="1643078657">
      <w:bodyDiv w:val="1"/>
      <w:marLeft w:val="0"/>
      <w:marRight w:val="0"/>
      <w:marTop w:val="0"/>
      <w:marBottom w:val="0"/>
      <w:divBdr>
        <w:top w:val="none" w:sz="0" w:space="0" w:color="auto"/>
        <w:left w:val="none" w:sz="0" w:space="0" w:color="auto"/>
        <w:bottom w:val="none" w:sz="0" w:space="0" w:color="auto"/>
        <w:right w:val="none" w:sz="0" w:space="0" w:color="auto"/>
      </w:divBdr>
    </w:div>
    <w:div w:id="1700813722">
      <w:bodyDiv w:val="1"/>
      <w:marLeft w:val="0"/>
      <w:marRight w:val="0"/>
      <w:marTop w:val="0"/>
      <w:marBottom w:val="0"/>
      <w:divBdr>
        <w:top w:val="none" w:sz="0" w:space="0" w:color="auto"/>
        <w:left w:val="none" w:sz="0" w:space="0" w:color="auto"/>
        <w:bottom w:val="none" w:sz="0" w:space="0" w:color="auto"/>
        <w:right w:val="none" w:sz="0" w:space="0" w:color="auto"/>
      </w:divBdr>
    </w:div>
    <w:div w:id="1756630954">
      <w:bodyDiv w:val="1"/>
      <w:marLeft w:val="0"/>
      <w:marRight w:val="0"/>
      <w:marTop w:val="0"/>
      <w:marBottom w:val="0"/>
      <w:divBdr>
        <w:top w:val="none" w:sz="0" w:space="0" w:color="auto"/>
        <w:left w:val="none" w:sz="0" w:space="0" w:color="auto"/>
        <w:bottom w:val="none" w:sz="0" w:space="0" w:color="auto"/>
        <w:right w:val="none" w:sz="0" w:space="0" w:color="auto"/>
      </w:divBdr>
    </w:div>
    <w:div w:id="197849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B7C90-8493-4005-89A3-2E10271A4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18</Pages>
  <Words>6680</Words>
  <Characters>40282</Characters>
  <Application>Microsoft Office Word</Application>
  <DocSecurity>0</DocSecurity>
  <Lines>619</Lines>
  <Paragraphs>123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geefeufmt@hotmail.com</cp:lastModifiedBy>
  <cp:revision>58</cp:revision>
  <dcterms:created xsi:type="dcterms:W3CDTF">2026-03-14T03:50:00Z</dcterms:created>
  <dcterms:modified xsi:type="dcterms:W3CDTF">2026-06-25T22:06:00Z</dcterms:modified>
</cp:coreProperties>
</file>