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6D213010" w:rsidR="001923DC" w:rsidRPr="00932F08" w:rsidRDefault="00932F08" w:rsidP="001923DC">
      <w:pPr>
        <w:jc w:val="center"/>
        <w:rPr>
          <w:rFonts w:ascii="Times New Roman" w:hAnsi="Times New Roman" w:cs="Times New Roman"/>
          <w:b/>
          <w:bCs/>
          <w:lang w:val="pt-BR"/>
        </w:rPr>
      </w:pPr>
      <w:r w:rsidRPr="00932F08">
        <w:rPr>
          <w:rFonts w:ascii="Times New Roman" w:eastAsia="Times New Roman" w:hAnsi="Times New Roman" w:cs="Times New Roman"/>
          <w:b/>
          <w:bCs/>
          <w:lang w:val="pt-BR"/>
        </w:rPr>
        <w:t>F</w:t>
      </w:r>
      <w:r>
        <w:rPr>
          <w:rFonts w:ascii="Times New Roman" w:eastAsia="Times New Roman" w:hAnsi="Times New Roman" w:cs="Times New Roman"/>
          <w:b/>
          <w:bCs/>
          <w:lang w:val="pt-BR"/>
        </w:rPr>
        <w:t>ormação Docente e</w:t>
      </w:r>
      <w:r w:rsidRPr="00932F08">
        <w:rPr>
          <w:rFonts w:ascii="Times New Roman" w:eastAsia="Times New Roman" w:hAnsi="Times New Roman" w:cs="Times New Roman"/>
          <w:b/>
          <w:bCs/>
          <w:lang w:val="pt-BR"/>
        </w:rPr>
        <w:t xml:space="preserve"> I</w:t>
      </w:r>
      <w:r>
        <w:rPr>
          <w:rFonts w:ascii="Times New Roman" w:eastAsia="Times New Roman" w:hAnsi="Times New Roman" w:cs="Times New Roman"/>
          <w:b/>
          <w:bCs/>
          <w:lang w:val="pt-BR"/>
        </w:rPr>
        <w:t>nvisibilidade Curricular da Educação de Jovens e Adultos (EJA)</w:t>
      </w:r>
    </w:p>
    <w:p w14:paraId="43C49479" w14:textId="77777777" w:rsidR="005F3B2E" w:rsidRPr="00932F08" w:rsidRDefault="005F3B2E" w:rsidP="001923DC">
      <w:pPr>
        <w:jc w:val="center"/>
        <w:rPr>
          <w:rFonts w:ascii="Times New Roman" w:hAnsi="Times New Roman" w:cs="Times New Roman"/>
          <w:lang w:val="pt-BR"/>
        </w:rPr>
      </w:pPr>
    </w:p>
    <w:p w14:paraId="4E738780" w14:textId="69A048A8" w:rsidR="005F3B2E" w:rsidRPr="00932F08" w:rsidRDefault="00932F08" w:rsidP="005F3B2E">
      <w:pPr>
        <w:spacing w:after="0" w:line="240" w:lineRule="auto"/>
        <w:jc w:val="right"/>
        <w:rPr>
          <w:rFonts w:ascii="Times New Roman" w:hAnsi="Times New Roman" w:cs="Times New Roman"/>
          <w:lang w:val="pt-BR"/>
        </w:rPr>
      </w:pPr>
      <w:r w:rsidRPr="00932F08">
        <w:rPr>
          <w:rFonts w:ascii="Times New Roman" w:hAnsi="Times New Roman" w:cs="Times New Roman"/>
          <w:lang w:val="pt-BR"/>
        </w:rPr>
        <w:t>Machado Cristofari Fernanda</w:t>
      </w:r>
    </w:p>
    <w:p w14:paraId="6C2AECCA" w14:textId="71D36A20" w:rsidR="005F3B2E" w:rsidRPr="00932F08" w:rsidRDefault="00932F08" w:rsidP="005F3B2E">
      <w:pPr>
        <w:spacing w:after="0" w:line="240" w:lineRule="auto"/>
        <w:jc w:val="right"/>
        <w:rPr>
          <w:rFonts w:ascii="Times New Roman" w:hAnsi="Times New Roman" w:cs="Times New Roman"/>
          <w:lang w:val="pt-BR"/>
        </w:rPr>
      </w:pPr>
      <w:r w:rsidRPr="00932F08">
        <w:rPr>
          <w:rFonts w:ascii="Times New Roman" w:hAnsi="Times New Roman" w:cs="Times New Roman"/>
          <w:lang w:val="pt-BR"/>
        </w:rPr>
        <w:t>Universidade Fed</w:t>
      </w:r>
      <w:r>
        <w:rPr>
          <w:rFonts w:ascii="Times New Roman" w:hAnsi="Times New Roman" w:cs="Times New Roman"/>
          <w:lang w:val="pt-BR"/>
        </w:rPr>
        <w:t>eral de Santa Maria (UFSM)</w:t>
      </w:r>
    </w:p>
    <w:p w14:paraId="7D0026CD" w14:textId="6DBC8101" w:rsidR="005F3B2E" w:rsidRPr="00932F08" w:rsidRDefault="00932F08" w:rsidP="005F3B2E">
      <w:pPr>
        <w:spacing w:after="0" w:line="240" w:lineRule="auto"/>
        <w:jc w:val="right"/>
        <w:rPr>
          <w:rFonts w:ascii="Times New Roman" w:hAnsi="Times New Roman" w:cs="Times New Roman"/>
          <w:lang w:val="pt-BR"/>
        </w:rPr>
      </w:pPr>
      <w:r w:rsidRPr="00932F08">
        <w:rPr>
          <w:rFonts w:ascii="Times New Roman" w:hAnsi="Times New Roman" w:cs="Times New Roman"/>
          <w:lang w:val="pt-BR"/>
        </w:rPr>
        <w:t>fecristofari@hotmail.com</w:t>
      </w:r>
    </w:p>
    <w:p w14:paraId="1FA0F857" w14:textId="77777777" w:rsidR="005F3B2E" w:rsidRPr="00932F08" w:rsidRDefault="005F3B2E" w:rsidP="005F3B2E">
      <w:pPr>
        <w:rPr>
          <w:rFonts w:ascii="Times New Roman" w:hAnsi="Times New Roman" w:cs="Times New Roman"/>
          <w:lang w:val="pt-BR"/>
        </w:rPr>
      </w:pPr>
    </w:p>
    <w:p w14:paraId="0B876DDB" w14:textId="1D67D912" w:rsidR="00932F08" w:rsidRPr="00932F08" w:rsidRDefault="00BA642E" w:rsidP="00932F08">
      <w:pPr>
        <w:spacing w:line="240" w:lineRule="auto"/>
        <w:jc w:val="both"/>
        <w:rPr>
          <w:rFonts w:ascii="Times New Roman" w:hAnsi="Times New Roman" w:cs="Times New Roman"/>
          <w:lang w:val="pt-BR"/>
        </w:rPr>
      </w:pPr>
      <w:proofErr w:type="spellStart"/>
      <w:r w:rsidRPr="00932F08">
        <w:rPr>
          <w:rFonts w:ascii="Times New Roman" w:hAnsi="Times New Roman" w:cs="Times New Roman"/>
          <w:b/>
          <w:bCs/>
          <w:lang w:val="pt-BR"/>
        </w:rPr>
        <w:t>Resumen</w:t>
      </w:r>
      <w:proofErr w:type="spellEnd"/>
      <w:r w:rsidRPr="00932F08">
        <w:rPr>
          <w:rFonts w:ascii="Times New Roman" w:hAnsi="Times New Roman" w:cs="Times New Roman"/>
          <w:b/>
          <w:bCs/>
          <w:lang w:val="pt-BR"/>
        </w:rPr>
        <w:t>:</w:t>
      </w:r>
      <w:r w:rsidR="007B5B5F" w:rsidRPr="00932F08">
        <w:rPr>
          <w:rFonts w:ascii="Times New Roman" w:hAnsi="Times New Roman" w:cs="Times New Roman"/>
          <w:b/>
          <w:bCs/>
          <w:lang w:val="pt-BR"/>
        </w:rPr>
        <w:t xml:space="preserve"> </w:t>
      </w:r>
      <w:r w:rsidR="00932F08" w:rsidRPr="00932F08">
        <w:rPr>
          <w:rFonts w:ascii="Times New Roman" w:hAnsi="Times New Roman" w:cs="Times New Roman"/>
          <w:lang w:val="pt-BR"/>
        </w:rPr>
        <w:t xml:space="preserve">O presente trabalho está sendo desenvolvido no âmbito do curso de Doutorado em Educação do Programa de Pós-Graduação em Educação (PPGE) da Universidade Federal de Santa Maria (UFSM). A pesquisa está vinculada à linha de pesquisa "Políticas Públicas Educacionais, Práticas Educativas e suas Interfaces" e ao Grupo de Estudos e de Pesquisa Elos, abordando a temática das políticas públicas de formação de professores para a atuação na Educação de Jovens e Adultos (EJA). A formação inicial de professores constitui um espaço central na definição dos saberes, práticas e enfoques pedagógicos que orientam a atuação docente na educação básica, sendo o currículo universitário um dispositivo fundamental na seleção e hierarquização dos conhecimentos considerados legítimos para a docência. Determinadas modalidades de ensino tendem a ocupar posições marginais ou pouco visibilizadas nos processos formativos, evidenciando tensões entre as políticas de democratização do acesso à educação e as formas concretas de organização da formação docente na universidade. O presente trabalho tem como objetivo analisar o lugar ocupado, nos currículos dos cursos de formação de professores (Letras: Português, Inglês e </w:t>
      </w:r>
      <w:proofErr w:type="gramStart"/>
      <w:r w:rsidR="00932F08" w:rsidRPr="00932F08">
        <w:rPr>
          <w:rFonts w:ascii="Times New Roman" w:hAnsi="Times New Roman" w:cs="Times New Roman"/>
          <w:lang w:val="pt-BR"/>
        </w:rPr>
        <w:t>Espanhol</w:t>
      </w:r>
      <w:proofErr w:type="gramEnd"/>
      <w:r w:rsidR="00932F08" w:rsidRPr="00932F08">
        <w:rPr>
          <w:rFonts w:ascii="Times New Roman" w:hAnsi="Times New Roman" w:cs="Times New Roman"/>
          <w:lang w:val="pt-BR"/>
        </w:rPr>
        <w:t xml:space="preserve">) da UFSM, os princípios orientadores para a atuação na Educação de Jovens e Adultos, problematizando sua presença na formação inicial docente. Metodologicamente, a pesquisa caracteriza-se como qualitativa, de natureza exploratória, desenvolvida por meio de análise documental, tomando como corpus os Projetos Pedagógicos de Curso, as matrizes curriculares e as ementas das disciplinas, os quais são examinados a partir de procedimentos de leitura analítica e categorização temática, visando identificar tanto a presença quanto os silenciamentos relativos à EJA. O referencial teórico fundamenta-se nos estudos de currículo, formação docente e políticas educacionais, compreendendo o currículo como construção social e histórica, atravessada por relações de poder e por disputas em torno dos conhecimentos considerados legítimos na formação de professores, conforme problematizado por Tomaz Tadeu da Silva (2000) e Michael Apple (2006). Nessa perspectiva, o currículo é entendido não apenas como um conjunto de conteúdos, mas como um campo de produção de significados e de regulação social, no qual determinados saberes são legitimados em detrimento de outros. No que se refere à formação docente, dialoga-se com José Gimeno </w:t>
      </w:r>
      <w:proofErr w:type="spellStart"/>
      <w:r w:rsidR="00932F08" w:rsidRPr="00932F08">
        <w:rPr>
          <w:rFonts w:ascii="Times New Roman" w:hAnsi="Times New Roman" w:cs="Times New Roman"/>
          <w:lang w:val="pt-BR"/>
        </w:rPr>
        <w:t>Sacristán</w:t>
      </w:r>
      <w:proofErr w:type="spellEnd"/>
      <w:r w:rsidR="00932F08" w:rsidRPr="00932F08">
        <w:rPr>
          <w:rFonts w:ascii="Times New Roman" w:hAnsi="Times New Roman" w:cs="Times New Roman"/>
          <w:lang w:val="pt-BR"/>
        </w:rPr>
        <w:t xml:space="preserve"> (2000), ao compreender o currículo como prática que se materializa nas escolhas institucionais e nas experiências formativas, influenciando diretamente os modos de atuação profissional dos futuros professores. Espera-se que a pesquisa contribua para aprofundar o debate acerca da formação inicial de professores para atuação na EJA, evidenciando os desafios e as possibilidades de articulação entre universidade e </w:t>
      </w:r>
      <w:r w:rsidR="00932F08" w:rsidRPr="00932F08">
        <w:rPr>
          <w:rFonts w:ascii="Times New Roman" w:hAnsi="Times New Roman" w:cs="Times New Roman"/>
          <w:lang w:val="pt-BR"/>
        </w:rPr>
        <w:lastRenderedPageBreak/>
        <w:t>educação básica, bem como problematizando os processos de visibilidade e invisibilidade curricular dessa modalidade de ensino.</w:t>
      </w:r>
    </w:p>
    <w:p w14:paraId="658E1BA2" w14:textId="77777777" w:rsidR="00932F08" w:rsidRPr="00932F08" w:rsidRDefault="00932F08" w:rsidP="00932F08">
      <w:pPr>
        <w:spacing w:line="240" w:lineRule="auto"/>
        <w:jc w:val="both"/>
        <w:rPr>
          <w:rFonts w:ascii="Times New Roman" w:hAnsi="Times New Roman" w:cs="Times New Roman"/>
          <w:lang w:val="pt-BR"/>
        </w:rPr>
      </w:pPr>
    </w:p>
    <w:p w14:paraId="2994BAB3" w14:textId="48559875" w:rsidR="00BA642E" w:rsidRPr="00932F08" w:rsidRDefault="00BA642E" w:rsidP="007B5B5F">
      <w:pPr>
        <w:spacing w:line="240" w:lineRule="auto"/>
        <w:jc w:val="both"/>
        <w:rPr>
          <w:rFonts w:ascii="Times New Roman" w:hAnsi="Times New Roman" w:cs="Times New Roman"/>
          <w:b/>
          <w:bCs/>
          <w:lang w:val="pt-BR"/>
        </w:rPr>
      </w:pPr>
      <w:proofErr w:type="spellStart"/>
      <w:r w:rsidRPr="00932F08">
        <w:rPr>
          <w:rFonts w:ascii="Times New Roman" w:hAnsi="Times New Roman" w:cs="Times New Roman"/>
          <w:b/>
          <w:bCs/>
          <w:lang w:val="pt-BR"/>
        </w:rPr>
        <w:t>Palabras</w:t>
      </w:r>
      <w:proofErr w:type="spellEnd"/>
      <w:r w:rsidRPr="00932F08">
        <w:rPr>
          <w:rFonts w:ascii="Times New Roman" w:hAnsi="Times New Roman" w:cs="Times New Roman"/>
          <w:b/>
          <w:bCs/>
          <w:lang w:val="pt-BR"/>
        </w:rPr>
        <w:t xml:space="preserve"> clave:</w:t>
      </w:r>
      <w:r w:rsidR="00932F08">
        <w:rPr>
          <w:rFonts w:ascii="Times New Roman" w:hAnsi="Times New Roman" w:cs="Times New Roman"/>
          <w:b/>
          <w:bCs/>
          <w:lang w:val="pt-BR"/>
        </w:rPr>
        <w:t xml:space="preserve"> </w:t>
      </w:r>
      <w:r w:rsidR="00932F08" w:rsidRPr="00932F08">
        <w:rPr>
          <w:rFonts w:ascii="Times New Roman" w:hAnsi="Times New Roman" w:cs="Times New Roman"/>
          <w:lang w:val="pt-BR"/>
        </w:rPr>
        <w:t>Educação de Jovens e Adultos</w:t>
      </w:r>
      <w:r w:rsidR="00932F08">
        <w:rPr>
          <w:rFonts w:ascii="Times New Roman" w:hAnsi="Times New Roman" w:cs="Times New Roman"/>
          <w:lang w:val="pt-BR"/>
        </w:rPr>
        <w:t>.</w:t>
      </w:r>
      <w:r w:rsidR="00932F08" w:rsidRPr="00932F08">
        <w:rPr>
          <w:rFonts w:ascii="Times New Roman" w:hAnsi="Times New Roman" w:cs="Times New Roman"/>
          <w:lang w:val="pt-BR"/>
        </w:rPr>
        <w:t xml:space="preserve"> Formação Docente. Currículo. Universidade. Ensino Médio.</w:t>
      </w:r>
    </w:p>
    <w:p w14:paraId="6A5547A1" w14:textId="36B7FAC2" w:rsidR="00BA642E" w:rsidRPr="00277B9C" w:rsidRDefault="00BA642E" w:rsidP="007B5B5F">
      <w:pPr>
        <w:spacing w:line="240" w:lineRule="auto"/>
        <w:rPr>
          <w:rFonts w:ascii="Times New Roman" w:hAnsi="Times New Roman" w:cs="Times New Roman"/>
          <w:b/>
          <w:bCs/>
          <w:lang w:val="pt-BR"/>
        </w:rPr>
      </w:pPr>
      <w:proofErr w:type="spellStart"/>
      <w:r w:rsidRPr="00277B9C">
        <w:rPr>
          <w:rFonts w:ascii="Times New Roman" w:hAnsi="Times New Roman" w:cs="Times New Roman"/>
          <w:b/>
          <w:bCs/>
          <w:lang w:val="pt-BR"/>
        </w:rPr>
        <w:t>Introducción</w:t>
      </w:r>
      <w:proofErr w:type="spellEnd"/>
    </w:p>
    <w:p w14:paraId="78661A9B" w14:textId="77777777" w:rsidR="00277B9C" w:rsidRPr="00277B9C" w:rsidRDefault="00277B9C" w:rsidP="00277B9C">
      <w:pPr>
        <w:spacing w:after="0" w:line="240" w:lineRule="auto"/>
        <w:ind w:firstLine="708"/>
        <w:jc w:val="both"/>
        <w:rPr>
          <w:rFonts w:ascii="Times New Roman" w:hAnsi="Times New Roman" w:cs="Times New Roman"/>
          <w:lang w:val="pt-BR"/>
        </w:rPr>
      </w:pPr>
      <w:r w:rsidRPr="00277B9C">
        <w:rPr>
          <w:rFonts w:ascii="Times New Roman" w:hAnsi="Times New Roman" w:cs="Times New Roman"/>
          <w:lang w:val="pt-BR"/>
        </w:rPr>
        <w:t>A educação básica brasileira organiza-se a partir das disposições da Lei de Diretrizes e Bases da Educação Nacional (Lei n.º 9.394/1996), que reconhece a Educação de Jovens e Adultos (EJA) como uma modalidade integrante desse nível de ensino. Nesse contexto, as modalidades educacionais constituem estratégias voltadas à garantia do direito à educação, buscando responder às especificidades dos diferentes sujeitos que compõem o sistema educacional brasileiro. A EJA, em particular, caracteriza-se por atender jovens, adultos e idosos cujas trajetórias escolares foram marcadas por interrupções, exclusões e desigualdades sociais, demandando propostas pedagógicas que considerem suas experiências de vida e seus processos de aprendizagem (Brasil, 1996; Di Pierro, 2017).</w:t>
      </w:r>
    </w:p>
    <w:p w14:paraId="287E211D" w14:textId="3A89824F" w:rsidR="00277B9C" w:rsidRPr="00277B9C" w:rsidRDefault="00277B9C" w:rsidP="00277B9C">
      <w:pPr>
        <w:spacing w:after="0" w:line="240" w:lineRule="auto"/>
        <w:ind w:firstLine="708"/>
        <w:jc w:val="both"/>
        <w:rPr>
          <w:rFonts w:ascii="Times New Roman" w:hAnsi="Times New Roman" w:cs="Times New Roman"/>
          <w:lang w:val="pt-BR"/>
        </w:rPr>
      </w:pPr>
      <w:r w:rsidRPr="00277B9C">
        <w:rPr>
          <w:rFonts w:ascii="Times New Roman" w:hAnsi="Times New Roman" w:cs="Times New Roman"/>
          <w:lang w:val="pt-BR"/>
        </w:rPr>
        <w:t>A efetivação do direito à educação pressupõe não apenas políticas públicas voltadas ao acesso e à permanência dos estudantes, mas também processos formativos capazes de preparar professores para atuar nos diferentes contextos da educação básica. Nesse sentido, a formação inicial constitui um espaço privilegiado para a construção dos saberes profissionais, das concepções pedagógicas e das referências que orientam a prática docente (</w:t>
      </w:r>
      <w:r w:rsidR="00CF3E65" w:rsidRPr="00AC640C">
        <w:rPr>
          <w:rFonts w:ascii="Times New Roman" w:hAnsi="Times New Roman" w:cs="Times New Roman"/>
          <w:lang w:val="pt-BR"/>
        </w:rPr>
        <w:t xml:space="preserve">Gimeno </w:t>
      </w:r>
      <w:proofErr w:type="spellStart"/>
      <w:r w:rsidRPr="00AC640C">
        <w:rPr>
          <w:rFonts w:ascii="Times New Roman" w:hAnsi="Times New Roman" w:cs="Times New Roman"/>
          <w:lang w:val="pt-BR"/>
        </w:rPr>
        <w:t>Sacristán</w:t>
      </w:r>
      <w:proofErr w:type="spellEnd"/>
      <w:r w:rsidRPr="00AC640C">
        <w:rPr>
          <w:rFonts w:ascii="Times New Roman" w:hAnsi="Times New Roman" w:cs="Times New Roman"/>
          <w:lang w:val="pt-BR"/>
        </w:rPr>
        <w:t xml:space="preserve">, 2000). Como afirma </w:t>
      </w:r>
      <w:proofErr w:type="spellStart"/>
      <w:r w:rsidRPr="00AC640C">
        <w:rPr>
          <w:rFonts w:ascii="Times New Roman" w:hAnsi="Times New Roman" w:cs="Times New Roman"/>
          <w:lang w:val="pt-BR"/>
        </w:rPr>
        <w:t>Nóvoa</w:t>
      </w:r>
      <w:proofErr w:type="spellEnd"/>
      <w:r w:rsidRPr="00AC640C">
        <w:rPr>
          <w:rFonts w:ascii="Times New Roman" w:hAnsi="Times New Roman" w:cs="Times New Roman"/>
          <w:lang w:val="pt-BR"/>
        </w:rPr>
        <w:t xml:space="preserve"> (2019), a formação de professores</w:t>
      </w:r>
      <w:r w:rsidR="00AC640C" w:rsidRPr="00AC640C">
        <w:rPr>
          <w:rFonts w:ascii="Times New Roman" w:hAnsi="Times New Roman" w:cs="Times New Roman"/>
          <w:lang w:val="pt-BR"/>
        </w:rPr>
        <w:t xml:space="preserve"> </w:t>
      </w:r>
      <w:r w:rsidR="00060A68" w:rsidRPr="00AC640C">
        <w:rPr>
          <w:rFonts w:ascii="Times New Roman" w:hAnsi="Times New Roman" w:cs="Times New Roman"/>
          <w:lang w:val="pt-BR"/>
        </w:rPr>
        <w:t xml:space="preserve">precisa </w:t>
      </w:r>
      <w:r w:rsidRPr="00277B9C">
        <w:rPr>
          <w:rFonts w:ascii="Times New Roman" w:hAnsi="Times New Roman" w:cs="Times New Roman"/>
          <w:lang w:val="pt-BR"/>
        </w:rPr>
        <w:t>ser compreendida como um processo de construção profissional articulado às demandas concretas da escola e da sociedade, o que exige currículos capazes de dialogar com a diversidade dos contextos educativos.</w:t>
      </w:r>
    </w:p>
    <w:p w14:paraId="0273DFFF" w14:textId="77777777" w:rsidR="00277B9C" w:rsidRPr="00277B9C" w:rsidRDefault="00277B9C" w:rsidP="00277B9C">
      <w:pPr>
        <w:spacing w:after="0" w:line="240" w:lineRule="auto"/>
        <w:ind w:firstLine="708"/>
        <w:jc w:val="both"/>
        <w:rPr>
          <w:rFonts w:ascii="Times New Roman" w:hAnsi="Times New Roman" w:cs="Times New Roman"/>
          <w:lang w:val="pt-BR"/>
        </w:rPr>
      </w:pPr>
      <w:r w:rsidRPr="00277B9C">
        <w:rPr>
          <w:rFonts w:ascii="Times New Roman" w:hAnsi="Times New Roman" w:cs="Times New Roman"/>
          <w:lang w:val="pt-BR"/>
        </w:rPr>
        <w:t>A universidade assume, portanto, papel estratégico na produção, circulação e legitimação dos conhecimentos considerados necessários à formação docente. Entretanto, os currículos das licenciaturas não constituem estruturas neutras ou meramente técnicas. Conforme argumentam Silva (2000) e Apple (2006), o currículo é uma construção histórica, social e política, atravessada por relações de poder que definem quais conhecimentos são legitimados e quais permanecem em posições periféricas. Desse modo, as escolhas curriculares produzem tanto visibilidades quanto invisibilidades, influenciando a forma como determinados campos de atuação profissional são reconhecidos na formação inicial.</w:t>
      </w:r>
    </w:p>
    <w:p w14:paraId="62A1BD76" w14:textId="77777777" w:rsidR="00277B9C" w:rsidRPr="00277B9C" w:rsidRDefault="00277B9C" w:rsidP="00277B9C">
      <w:pPr>
        <w:spacing w:after="0" w:line="240" w:lineRule="auto"/>
        <w:ind w:firstLine="708"/>
        <w:jc w:val="both"/>
        <w:rPr>
          <w:rFonts w:ascii="Times New Roman" w:hAnsi="Times New Roman" w:cs="Times New Roman"/>
          <w:lang w:val="pt-BR"/>
        </w:rPr>
      </w:pPr>
      <w:r w:rsidRPr="00277B9C">
        <w:rPr>
          <w:rFonts w:ascii="Times New Roman" w:hAnsi="Times New Roman" w:cs="Times New Roman"/>
          <w:lang w:val="pt-BR"/>
        </w:rPr>
        <w:t>Embora a Educação de Jovens e Adultos seja reconhecida pela legislação brasileira como modalidade da educação básica e esteja presente em diferentes sistemas de ensino, diversos estudos têm evidenciado que sua presença nos cursos de licenciatura permanece limitada (Di Pierro, 2017; Soares, 2008). Essa realidade suscita questionamentos acerca do espaço que a modalidade ocupa nos currículos universitários e das condições oferecidas aos futuros professores para compreenderem as especificidades pedagógicas, curriculares e políticas que caracterizam o trabalho educativo com jovens, adultos e idosos.</w:t>
      </w:r>
    </w:p>
    <w:p w14:paraId="5C3A644D" w14:textId="77777777" w:rsidR="00277B9C" w:rsidRPr="00277B9C" w:rsidRDefault="00277B9C" w:rsidP="00277B9C">
      <w:pPr>
        <w:spacing w:after="0" w:line="240" w:lineRule="auto"/>
        <w:ind w:firstLine="708"/>
        <w:jc w:val="both"/>
        <w:rPr>
          <w:rFonts w:ascii="Times New Roman" w:hAnsi="Times New Roman" w:cs="Times New Roman"/>
          <w:lang w:val="pt-BR"/>
        </w:rPr>
      </w:pPr>
      <w:r w:rsidRPr="00277B9C">
        <w:rPr>
          <w:rFonts w:ascii="Times New Roman" w:hAnsi="Times New Roman" w:cs="Times New Roman"/>
          <w:lang w:val="pt-BR"/>
        </w:rPr>
        <w:lastRenderedPageBreak/>
        <w:t>É nesse contexto que se insere a presente investigação, desenvolvida no âmbito do Programa de Pós-Graduação em Educação da Universidade Federal de Santa Maria (UFSM), vinculada à linha de pesquisa *Políticas Públicas Educacionais, Práticas Educativas e suas Interfaces*. O estudo tem por objetivo analisar o lugar ocupado pela Educação de Jovens e Adultos nos currículos dos cursos de Letras – Português e Literaturas de Língua Portuguesa, Letras – Inglês e Literaturas de Língua Inglesa e Letras – Espanhol e Literaturas de Língua Espanhola da UFSM, problematizando sua presença na formação inicial docente.</w:t>
      </w:r>
    </w:p>
    <w:p w14:paraId="350FE518" w14:textId="77777777" w:rsidR="00277B9C" w:rsidRPr="00277B9C" w:rsidRDefault="00277B9C" w:rsidP="00277B9C">
      <w:pPr>
        <w:spacing w:after="0" w:line="240" w:lineRule="auto"/>
        <w:ind w:firstLine="708"/>
        <w:jc w:val="both"/>
        <w:rPr>
          <w:rFonts w:ascii="Times New Roman" w:hAnsi="Times New Roman" w:cs="Times New Roman"/>
          <w:lang w:val="pt-BR"/>
        </w:rPr>
      </w:pPr>
      <w:r w:rsidRPr="00277B9C">
        <w:rPr>
          <w:rFonts w:ascii="Times New Roman" w:hAnsi="Times New Roman" w:cs="Times New Roman"/>
          <w:lang w:val="pt-BR"/>
        </w:rPr>
        <w:t>A escolha desses cursos justifica-se por integrarem a formação de professores que poderão atuar na educação básica, incluindo a EJA, além de compartilharem uma mesma estrutura institucional de formação. A análise concentra-se nos Projetos Pedagógicos de Curso, nas matrizes curriculares e nas ementas das disciplinas, buscando compreender de que modo a modalidade é contemplada, mencionada ou silenciada nesses documentos.</w:t>
      </w:r>
    </w:p>
    <w:p w14:paraId="736C0DC6" w14:textId="71577C18" w:rsidR="00277B9C" w:rsidRDefault="00277B9C" w:rsidP="00277B9C">
      <w:pPr>
        <w:spacing w:after="0" w:line="240" w:lineRule="auto"/>
        <w:ind w:firstLine="708"/>
        <w:jc w:val="both"/>
        <w:rPr>
          <w:rFonts w:ascii="Times New Roman" w:hAnsi="Times New Roman" w:cs="Times New Roman"/>
          <w:lang w:val="pt-BR"/>
        </w:rPr>
      </w:pPr>
      <w:r w:rsidRPr="00277B9C">
        <w:rPr>
          <w:rFonts w:ascii="Times New Roman" w:hAnsi="Times New Roman" w:cs="Times New Roman"/>
          <w:lang w:val="pt-BR"/>
        </w:rPr>
        <w:t>Partindo da compreensão de que o currículo constitui um espaço de produção de significados, de legitimação de conhecimentos e de regulação das práticas formativas (</w:t>
      </w:r>
      <w:r w:rsidR="00AA66C0">
        <w:rPr>
          <w:rFonts w:ascii="Times New Roman" w:hAnsi="Times New Roman" w:cs="Times New Roman"/>
          <w:lang w:val="pt-BR"/>
        </w:rPr>
        <w:t>Gi</w:t>
      </w:r>
      <w:r w:rsidR="00D56962">
        <w:rPr>
          <w:rFonts w:ascii="Times New Roman" w:hAnsi="Times New Roman" w:cs="Times New Roman"/>
          <w:lang w:val="pt-BR"/>
        </w:rPr>
        <w:t>me</w:t>
      </w:r>
      <w:r w:rsidR="00AA66C0">
        <w:rPr>
          <w:rFonts w:ascii="Times New Roman" w:hAnsi="Times New Roman" w:cs="Times New Roman"/>
          <w:lang w:val="pt-BR"/>
        </w:rPr>
        <w:t xml:space="preserve">no </w:t>
      </w:r>
      <w:proofErr w:type="spellStart"/>
      <w:r w:rsidRPr="00277B9C">
        <w:rPr>
          <w:rFonts w:ascii="Times New Roman" w:hAnsi="Times New Roman" w:cs="Times New Roman"/>
          <w:lang w:val="pt-BR"/>
        </w:rPr>
        <w:t>Sacristán</w:t>
      </w:r>
      <w:proofErr w:type="spellEnd"/>
      <w:r w:rsidRPr="00277B9C">
        <w:rPr>
          <w:rFonts w:ascii="Times New Roman" w:hAnsi="Times New Roman" w:cs="Times New Roman"/>
          <w:lang w:val="pt-BR"/>
        </w:rPr>
        <w:t>, 2000; Silva, 2000; Apple, 2006), este artigo procura discutir em que medida a presença ou a ausência da EJA nos currículos universitários contribui para processos de visibilidade ou invisibilidade dessa modalidade na formação inicial de professores. Além desta introdução, o texto apresenta uma discussão sobre currículo e formação docente, analisa os desafios da formação de professores para a EJA, examina os currículos dos cursos investigados e, por fim, apresenta as considerações finais.</w:t>
      </w:r>
    </w:p>
    <w:p w14:paraId="554B0BA1" w14:textId="77777777" w:rsidR="00277B9C" w:rsidRDefault="00277B9C" w:rsidP="00277B9C">
      <w:pPr>
        <w:spacing w:after="0" w:line="240" w:lineRule="auto"/>
        <w:ind w:firstLine="708"/>
        <w:jc w:val="both"/>
        <w:rPr>
          <w:rFonts w:ascii="Times New Roman" w:hAnsi="Times New Roman" w:cs="Times New Roman"/>
          <w:lang w:val="pt-BR"/>
        </w:rPr>
      </w:pPr>
    </w:p>
    <w:p w14:paraId="2FD138AD" w14:textId="20EE5CD5" w:rsidR="005F3B2E" w:rsidRDefault="005F3B2E" w:rsidP="00277B9C">
      <w:pPr>
        <w:spacing w:line="240" w:lineRule="auto"/>
        <w:rPr>
          <w:rFonts w:ascii="Times New Roman" w:hAnsi="Times New Roman" w:cs="Times New Roman"/>
          <w:b/>
          <w:bCs/>
          <w:lang w:val="pt-BR"/>
        </w:rPr>
      </w:pPr>
      <w:proofErr w:type="spellStart"/>
      <w:r w:rsidRPr="00277B9C">
        <w:rPr>
          <w:rFonts w:ascii="Times New Roman" w:hAnsi="Times New Roman" w:cs="Times New Roman"/>
          <w:b/>
          <w:bCs/>
          <w:lang w:val="pt-BR"/>
        </w:rPr>
        <w:t>Desarrollo</w:t>
      </w:r>
      <w:proofErr w:type="spellEnd"/>
    </w:p>
    <w:p w14:paraId="5630E6C5" w14:textId="2E6E78AE" w:rsidR="002967EA" w:rsidRPr="002967EA" w:rsidRDefault="002967EA" w:rsidP="002967EA">
      <w:pPr>
        <w:spacing w:before="240" w:after="120"/>
        <w:jc w:val="both"/>
        <w:rPr>
          <w:lang w:val="pt-BR"/>
        </w:rPr>
      </w:pPr>
      <w:r>
        <w:rPr>
          <w:rFonts w:ascii="Times New Roman" w:eastAsia="Times New Roman" w:hAnsi="Times New Roman" w:cs="Times New Roman"/>
          <w:b/>
          <w:bCs/>
          <w:lang w:val="pt-BR"/>
        </w:rPr>
        <w:t>1</w:t>
      </w:r>
      <w:r w:rsidRPr="002967EA">
        <w:rPr>
          <w:rFonts w:ascii="Times New Roman" w:eastAsia="Times New Roman" w:hAnsi="Times New Roman" w:cs="Times New Roman"/>
          <w:b/>
          <w:bCs/>
          <w:lang w:val="pt-BR"/>
        </w:rPr>
        <w:t>. Currículo, formação docente e produção de invisibilidades</w:t>
      </w:r>
    </w:p>
    <w:p w14:paraId="1A53ABA9" w14:textId="40A7E393" w:rsidR="00380340" w:rsidRPr="00380340" w:rsidRDefault="00380340" w:rsidP="002967EA">
      <w:pPr>
        <w:spacing w:after="0" w:line="240" w:lineRule="auto"/>
        <w:ind w:firstLine="720"/>
        <w:jc w:val="both"/>
        <w:rPr>
          <w:lang w:val="pt-BR"/>
        </w:rPr>
      </w:pPr>
      <w:r w:rsidRPr="00380340">
        <w:rPr>
          <w:rFonts w:ascii="Times New Roman" w:eastAsia="Times New Roman" w:hAnsi="Times New Roman" w:cs="Times New Roman"/>
          <w:lang w:val="pt-BR"/>
        </w:rPr>
        <w:t>A discussão acerca da formação inicial de professores exige compreender o currículo para além de uma perspectiva técnica ou administrativa. Embora frequentemente seja associado a matrizes curriculares, ementas ou à organização de disciplinas, o currículo constitui uma construção social, histórica e política que expressa escolhas acerca dos conhecimentos considerados legítimos para a formação dos sujeitos. Nesse sentido, os currículos universitários não apenas organizam conteúdos, mas produzem visões de mundo, orientam práticas profissionais e definem quais experiências educativas merecem reconhecimento institucional.</w:t>
      </w:r>
    </w:p>
    <w:p w14:paraId="2525B2EA" w14:textId="1830D459" w:rsidR="00380340" w:rsidRPr="00380340" w:rsidRDefault="00380340" w:rsidP="002967EA">
      <w:pPr>
        <w:spacing w:after="0" w:line="240" w:lineRule="auto"/>
        <w:ind w:firstLine="720"/>
        <w:jc w:val="both"/>
        <w:rPr>
          <w:lang w:val="pt-BR"/>
        </w:rPr>
      </w:pPr>
      <w:r w:rsidRPr="00380340">
        <w:rPr>
          <w:rFonts w:ascii="Times New Roman" w:eastAsia="Times New Roman" w:hAnsi="Times New Roman" w:cs="Times New Roman"/>
          <w:lang w:val="pt-BR"/>
        </w:rPr>
        <w:t xml:space="preserve">Para </w:t>
      </w:r>
      <w:r w:rsidR="00B36189">
        <w:rPr>
          <w:rFonts w:ascii="Times New Roman" w:eastAsia="Times New Roman" w:hAnsi="Times New Roman" w:cs="Times New Roman"/>
          <w:lang w:val="pt-BR"/>
        </w:rPr>
        <w:t>Gimeno</w:t>
      </w:r>
      <w:r w:rsidR="00D56962">
        <w:rPr>
          <w:rFonts w:ascii="Times New Roman" w:eastAsia="Times New Roman" w:hAnsi="Times New Roman" w:cs="Times New Roman"/>
          <w:lang w:val="pt-BR"/>
        </w:rPr>
        <w:t xml:space="preserve"> </w:t>
      </w:r>
      <w:proofErr w:type="spellStart"/>
      <w:r w:rsidRPr="00380340">
        <w:rPr>
          <w:rFonts w:ascii="Times New Roman" w:eastAsia="Times New Roman" w:hAnsi="Times New Roman" w:cs="Times New Roman"/>
          <w:lang w:val="pt-BR"/>
        </w:rPr>
        <w:t>Sacristán</w:t>
      </w:r>
      <w:proofErr w:type="spellEnd"/>
      <w:r w:rsidRPr="00380340">
        <w:rPr>
          <w:rFonts w:ascii="Times New Roman" w:eastAsia="Times New Roman" w:hAnsi="Times New Roman" w:cs="Times New Roman"/>
          <w:lang w:val="pt-BR"/>
        </w:rPr>
        <w:t xml:space="preserve"> (2000), o currículo representa um elemento central para compreender a própria função cultural da escola e das instituições educativas. Ao analisar o currículo como seleção particular da cultura, o autor argumenta que ele ultrapassa a mera organização de conteúdos disciplinares, incorporando finalidades formativas, processos de socialização e projetos educativos mais amplos. Nessa perspectiva, os currículos refletem os modos pelos quais uma sociedade organiza e distribui os conhecimentos considerados relevantes para a formação das novas gerações. Conforme destaca o autor, o currículo constitui a seleção cultural estruturada sob chaves psicopedagógicas da cultura que se oferece como projeto para a instituição escolar.</w:t>
      </w:r>
    </w:p>
    <w:p w14:paraId="63E70AED" w14:textId="360EE587" w:rsidR="00380340" w:rsidRPr="00380340" w:rsidRDefault="00380340" w:rsidP="002967EA">
      <w:pPr>
        <w:spacing w:after="0" w:line="240" w:lineRule="auto"/>
        <w:ind w:firstLine="720"/>
        <w:jc w:val="both"/>
        <w:rPr>
          <w:lang w:val="pt-BR"/>
        </w:rPr>
      </w:pPr>
      <w:r w:rsidRPr="00380340">
        <w:rPr>
          <w:rFonts w:ascii="Times New Roman" w:eastAsia="Times New Roman" w:hAnsi="Times New Roman" w:cs="Times New Roman"/>
          <w:lang w:val="pt-BR"/>
        </w:rPr>
        <w:t xml:space="preserve">Essa compreensão aproxima-se das contribuições dos estudos críticos do currículo, particularmente das reflexões desenvolvidas por Silva (2000). Ao questionar as concepções tradicionais de currículo, o autor evidencia que os conhecimentos escolares </w:t>
      </w:r>
      <w:r w:rsidRPr="00380340">
        <w:rPr>
          <w:rFonts w:ascii="Times New Roman" w:eastAsia="Times New Roman" w:hAnsi="Times New Roman" w:cs="Times New Roman"/>
          <w:lang w:val="pt-BR"/>
        </w:rPr>
        <w:lastRenderedPageBreak/>
        <w:t>não são neutros nem universais, mas resultam de processos de seleção atravessados por relações de poder. O currículo passa, então, a ser compreendido como um espaço de disputa simbólica no qual determinados saberes, identidades e experiências são legitimados enquanto outros permanecem marginalizados.</w:t>
      </w:r>
    </w:p>
    <w:p w14:paraId="25F9E217" w14:textId="6BC99CE8" w:rsidR="00380340" w:rsidRPr="00380340" w:rsidRDefault="00380340" w:rsidP="002967EA">
      <w:pPr>
        <w:spacing w:after="0" w:line="240" w:lineRule="auto"/>
        <w:ind w:firstLine="720"/>
        <w:jc w:val="both"/>
        <w:rPr>
          <w:lang w:val="pt-BR"/>
        </w:rPr>
      </w:pPr>
      <w:r w:rsidRPr="00380340">
        <w:rPr>
          <w:rFonts w:ascii="Times New Roman" w:eastAsia="Times New Roman" w:hAnsi="Times New Roman" w:cs="Times New Roman"/>
          <w:lang w:val="pt-BR"/>
        </w:rPr>
        <w:t xml:space="preserve">Ao dialogar com a Nova Sociologia da Educação, </w:t>
      </w:r>
      <w:r w:rsidR="00617E7E">
        <w:rPr>
          <w:rFonts w:ascii="Times New Roman" w:eastAsia="Times New Roman" w:hAnsi="Times New Roman" w:cs="Times New Roman"/>
          <w:lang w:val="pt-BR"/>
        </w:rPr>
        <w:t xml:space="preserve">Gimeno </w:t>
      </w:r>
      <w:proofErr w:type="spellStart"/>
      <w:r w:rsidRPr="00380340">
        <w:rPr>
          <w:rFonts w:ascii="Times New Roman" w:eastAsia="Times New Roman" w:hAnsi="Times New Roman" w:cs="Times New Roman"/>
          <w:lang w:val="pt-BR"/>
        </w:rPr>
        <w:t>Sacristán</w:t>
      </w:r>
      <w:proofErr w:type="spellEnd"/>
      <w:r w:rsidRPr="00380340">
        <w:rPr>
          <w:rFonts w:ascii="Times New Roman" w:eastAsia="Times New Roman" w:hAnsi="Times New Roman" w:cs="Times New Roman"/>
          <w:lang w:val="pt-BR"/>
        </w:rPr>
        <w:t xml:space="preserve"> (2000) destaca que o currículo deve ser entendido como um mecanismo de distribuição social do conhecimento. Nessa direção, recupera as contribuições de Michael Young ao afirmar que os processos de seleção, organização, transmissão e avaliação do conhecimento constituem mecanismos sociais que precisam ser investigados. O currículo torna-se, assim, uma invenção social que reflete escolhas conscientes e inconscientes, articuladas aos valores e interesses presentes em determinado contexto histórico.</w:t>
      </w:r>
    </w:p>
    <w:p w14:paraId="4240ECC8" w14:textId="276169A4" w:rsidR="00380340" w:rsidRPr="00380340" w:rsidRDefault="00380340" w:rsidP="002967EA">
      <w:pPr>
        <w:spacing w:after="0" w:line="240" w:lineRule="auto"/>
        <w:ind w:firstLine="720"/>
        <w:jc w:val="both"/>
        <w:rPr>
          <w:lang w:val="pt-BR"/>
        </w:rPr>
      </w:pPr>
      <w:r w:rsidRPr="00380340">
        <w:rPr>
          <w:rFonts w:ascii="Times New Roman" w:eastAsia="Times New Roman" w:hAnsi="Times New Roman" w:cs="Times New Roman"/>
          <w:lang w:val="pt-BR"/>
        </w:rPr>
        <w:t>Essa discussão encontra ressonância nas análises de Apple (2006), para quem o currículo expressa formas de conhecimento consideradas oficiais e legítimas em uma determinada sociedade. Ao selecionar alguns conteúdos e excluir outros, os currículos participam da produção de consensos culturais e da manutenção de determinadas relações de poder. Mais do que um conjunto de saberes a serem ensinados, o currículo constitui um espaço de legitimação cultural que influencia os modos pelos quais os sujeitos compreendem a realidade social e sua própria inserção nela.</w:t>
      </w:r>
    </w:p>
    <w:p w14:paraId="5BF870D7" w14:textId="34206D8E" w:rsidR="00380340" w:rsidRDefault="00380340" w:rsidP="002967EA">
      <w:pPr>
        <w:spacing w:after="0" w:line="240" w:lineRule="auto"/>
        <w:ind w:firstLine="720"/>
        <w:jc w:val="both"/>
        <w:rPr>
          <w:rFonts w:ascii="Times New Roman" w:eastAsia="Times New Roman" w:hAnsi="Times New Roman" w:cs="Times New Roman"/>
          <w:lang w:val="pt-BR"/>
        </w:rPr>
      </w:pPr>
      <w:r w:rsidRPr="00380340">
        <w:rPr>
          <w:rFonts w:ascii="Times New Roman" w:eastAsia="Times New Roman" w:hAnsi="Times New Roman" w:cs="Times New Roman"/>
          <w:lang w:val="pt-BR"/>
        </w:rPr>
        <w:t xml:space="preserve">A centralidade do currículo nos processos de formação docente torna-se ainda mais evidente quando se considera que as licenciaturas constituem espaços privilegiados de produção de identidades profissionais. Os conhecimentos selecionados para compor os currículos universitários contribuem para definir quais campos de atuação são considerados relevantes, quais sujeitos educacionais merecem atenção e quais desafios pedagógicos serão objeto de estudo durante a formação inicial. Como observa </w:t>
      </w:r>
      <w:r w:rsidR="00B03C65">
        <w:rPr>
          <w:rFonts w:ascii="Times New Roman" w:eastAsia="Times New Roman" w:hAnsi="Times New Roman" w:cs="Times New Roman"/>
          <w:lang w:val="pt-BR"/>
        </w:rPr>
        <w:t xml:space="preserve">Gimeno </w:t>
      </w:r>
      <w:proofErr w:type="spellStart"/>
      <w:r w:rsidR="00B03C65">
        <w:rPr>
          <w:rFonts w:ascii="Times New Roman" w:eastAsia="Times New Roman" w:hAnsi="Times New Roman" w:cs="Times New Roman"/>
          <w:lang w:val="pt-BR"/>
        </w:rPr>
        <w:t>Sacristán</w:t>
      </w:r>
      <w:proofErr w:type="spellEnd"/>
      <w:r w:rsidR="00B03C65">
        <w:rPr>
          <w:rFonts w:ascii="Times New Roman" w:eastAsia="Times New Roman" w:hAnsi="Times New Roman" w:cs="Times New Roman"/>
          <w:lang w:val="pt-BR"/>
        </w:rPr>
        <w:t xml:space="preserve"> </w:t>
      </w:r>
      <w:r w:rsidRPr="00380340">
        <w:rPr>
          <w:rFonts w:ascii="Times New Roman" w:eastAsia="Times New Roman" w:hAnsi="Times New Roman" w:cs="Times New Roman"/>
          <w:lang w:val="pt-BR"/>
        </w:rPr>
        <w:t>(2000), o currículo não pode ser reduzido aos documentos oficiais, pois se materializa nas práticas, nas experiências formativas e nas múltiplas relações estabelecidas entre políticas, instituições e sujeitos.</w:t>
      </w:r>
    </w:p>
    <w:p w14:paraId="600BF12B" w14:textId="6184217F" w:rsidR="002B17AD" w:rsidRPr="002B17AD" w:rsidRDefault="002B17AD" w:rsidP="002967EA">
      <w:pPr>
        <w:spacing w:after="0" w:line="240" w:lineRule="auto"/>
        <w:ind w:firstLine="720"/>
        <w:jc w:val="both"/>
        <w:rPr>
          <w:rFonts w:ascii="Times New Roman" w:hAnsi="Times New Roman" w:cs="Times New Roman"/>
          <w:lang w:val="pt-BR"/>
        </w:rPr>
      </w:pPr>
      <w:r w:rsidRPr="002B17AD">
        <w:rPr>
          <w:rFonts w:ascii="Times New Roman" w:hAnsi="Times New Roman" w:cs="Times New Roman"/>
          <w:lang w:val="pt-BR"/>
        </w:rPr>
        <w:t>Ao compreender o currículo como práxis,</w:t>
      </w:r>
      <w:r w:rsidR="00B03C65">
        <w:rPr>
          <w:rFonts w:ascii="Times New Roman" w:hAnsi="Times New Roman" w:cs="Times New Roman"/>
          <w:lang w:val="pt-BR"/>
        </w:rPr>
        <w:t xml:space="preserve"> Gimeno</w:t>
      </w:r>
      <w:r w:rsidRPr="002B17AD">
        <w:rPr>
          <w:rFonts w:ascii="Times New Roman" w:hAnsi="Times New Roman" w:cs="Times New Roman"/>
          <w:lang w:val="pt-BR"/>
        </w:rPr>
        <w:t xml:space="preserve"> </w:t>
      </w:r>
      <w:proofErr w:type="spellStart"/>
      <w:r w:rsidRPr="002B17AD">
        <w:rPr>
          <w:rFonts w:ascii="Times New Roman" w:hAnsi="Times New Roman" w:cs="Times New Roman"/>
          <w:lang w:val="pt-BR"/>
        </w:rPr>
        <w:t>Sacristán</w:t>
      </w:r>
      <w:proofErr w:type="spellEnd"/>
      <w:r w:rsidRPr="002B17AD">
        <w:rPr>
          <w:rFonts w:ascii="Times New Roman" w:hAnsi="Times New Roman" w:cs="Times New Roman"/>
          <w:lang w:val="pt-BR"/>
        </w:rPr>
        <w:t xml:space="preserve"> (2000</w:t>
      </w:r>
      <w:r w:rsidR="004E1A1A">
        <w:rPr>
          <w:rFonts w:ascii="Times New Roman" w:hAnsi="Times New Roman" w:cs="Times New Roman"/>
          <w:lang w:val="pt-BR"/>
        </w:rPr>
        <w:t>, p. 15-16</w:t>
      </w:r>
      <w:r w:rsidRPr="002B17AD">
        <w:rPr>
          <w:rFonts w:ascii="Times New Roman" w:hAnsi="Times New Roman" w:cs="Times New Roman"/>
          <w:lang w:val="pt-BR"/>
        </w:rPr>
        <w:t>) ressalta que sua configuração resulta da interação entre diferentes instâncias e contextos. O autor afirma que “</w:t>
      </w:r>
      <w:r w:rsidR="00403518">
        <w:rPr>
          <w:rFonts w:ascii="Times New Roman" w:hAnsi="Times New Roman" w:cs="Times New Roman"/>
          <w:lang w:val="pt-BR"/>
        </w:rPr>
        <w:t>[</w:t>
      </w:r>
      <w:r w:rsidR="004E1A1A">
        <w:rPr>
          <w:rFonts w:ascii="Times New Roman" w:hAnsi="Times New Roman" w:cs="Times New Roman"/>
          <w:lang w:val="pt-BR"/>
        </w:rPr>
        <w:t xml:space="preserve">...] </w:t>
      </w:r>
      <w:r w:rsidRPr="002B17AD">
        <w:rPr>
          <w:rFonts w:ascii="Times New Roman" w:hAnsi="Times New Roman" w:cs="Times New Roman"/>
          <w:lang w:val="pt-BR"/>
        </w:rPr>
        <w:t>o currículo é uma práxis antes que um objeto estático emanado de um modelo coerente de pensar a educação ou as aprendizagens necessárias das crianças e dos jovens. É uma prática, expressão da função socializadora e cultural que determinada instituição tem</w:t>
      </w:r>
      <w:r w:rsidR="004E1A1A">
        <w:rPr>
          <w:rFonts w:ascii="Times New Roman" w:hAnsi="Times New Roman" w:cs="Times New Roman"/>
          <w:lang w:val="pt-BR"/>
        </w:rPr>
        <w:t>.</w:t>
      </w:r>
      <w:r w:rsidRPr="002B17AD">
        <w:rPr>
          <w:rFonts w:ascii="Times New Roman" w:hAnsi="Times New Roman" w:cs="Times New Roman"/>
          <w:lang w:val="pt-BR"/>
        </w:rPr>
        <w:t>” Nessa perspectiva, aspectos políticos, administrativos, culturais, institucionais e pedagógicos participam da construção curricular, produzindo significados que ultrapassam a simples definição de conteúdos. Dessa forma, aquilo que aparece ou deixa de aparecer nos currículos não pode ser interpretado como resultado de escolhas exclusivamente pedagógicas, mas como expressão de processos mais amplos de regulação e organização social do conhecimento.</w:t>
      </w:r>
    </w:p>
    <w:p w14:paraId="36BF026E" w14:textId="345CB4F0" w:rsidR="00380340" w:rsidRPr="00380340" w:rsidRDefault="00380340" w:rsidP="00380340">
      <w:pPr>
        <w:spacing w:after="0" w:line="240" w:lineRule="auto"/>
        <w:ind w:firstLine="720"/>
        <w:jc w:val="both"/>
        <w:rPr>
          <w:lang w:val="pt-BR"/>
        </w:rPr>
      </w:pPr>
      <w:r w:rsidRPr="00380340">
        <w:rPr>
          <w:rFonts w:ascii="Times New Roman" w:eastAsia="Times New Roman" w:hAnsi="Times New Roman" w:cs="Times New Roman"/>
          <w:lang w:val="pt-BR"/>
        </w:rPr>
        <w:t xml:space="preserve">É nesse cenário que emerge a discussão sobre a produção de invisibilidades curriculares. Se o currículo opera por meio de processos de seleção e legitimação, torna-se igualmente relevante analisar aquilo que permanece ausente ou pouco visível. Conforme argumenta </w:t>
      </w:r>
      <w:r w:rsidR="00F30ADC">
        <w:rPr>
          <w:rFonts w:ascii="Times New Roman" w:eastAsia="Times New Roman" w:hAnsi="Times New Roman" w:cs="Times New Roman"/>
          <w:lang w:val="pt-BR"/>
        </w:rPr>
        <w:t xml:space="preserve">Gimeno </w:t>
      </w:r>
      <w:proofErr w:type="spellStart"/>
      <w:r w:rsidRPr="00380340">
        <w:rPr>
          <w:rFonts w:ascii="Times New Roman" w:eastAsia="Times New Roman" w:hAnsi="Times New Roman" w:cs="Times New Roman"/>
          <w:lang w:val="pt-BR"/>
        </w:rPr>
        <w:t>Sacristán</w:t>
      </w:r>
      <w:proofErr w:type="spellEnd"/>
      <w:r w:rsidRPr="00380340">
        <w:rPr>
          <w:rFonts w:ascii="Times New Roman" w:eastAsia="Times New Roman" w:hAnsi="Times New Roman" w:cs="Times New Roman"/>
          <w:lang w:val="pt-BR"/>
        </w:rPr>
        <w:t xml:space="preserve"> (2000), a própria ausência de determinados conteúdos produz efeitos formativos, uma vez que a ausência de conteúdos valiosos é também um conteúdo, e as práticas que sustentam tais ausências igualmente integram o currículo. Tal reflexão permite compreender que os silenciamentos curriculares não </w:t>
      </w:r>
      <w:r w:rsidRPr="00380340">
        <w:rPr>
          <w:rFonts w:ascii="Times New Roman" w:eastAsia="Times New Roman" w:hAnsi="Times New Roman" w:cs="Times New Roman"/>
          <w:lang w:val="pt-BR"/>
        </w:rPr>
        <w:lastRenderedPageBreak/>
        <w:t>correspondem simplesmente à falta de determinados temas, mas constituem formas específicas de produção de significados acerca do que é considerado importante ou secundário na formação.</w:t>
      </w:r>
    </w:p>
    <w:p w14:paraId="4D852169" w14:textId="77777777" w:rsidR="00380340" w:rsidRPr="00380340" w:rsidRDefault="00380340" w:rsidP="00380340">
      <w:pPr>
        <w:spacing w:after="0" w:line="240" w:lineRule="auto"/>
        <w:ind w:firstLine="720"/>
        <w:jc w:val="both"/>
        <w:rPr>
          <w:lang w:val="pt-BR"/>
        </w:rPr>
      </w:pPr>
      <w:r w:rsidRPr="00380340">
        <w:rPr>
          <w:rFonts w:ascii="Times New Roman" w:eastAsia="Times New Roman" w:hAnsi="Times New Roman" w:cs="Times New Roman"/>
          <w:lang w:val="pt-BR"/>
        </w:rPr>
        <w:t>Nesse sentido, a noção de invisibilidade curricular adotada neste estudo refere-se aos processos pelos quais determinados conhecimentos, sujeitos ou modalidades educacionais permanecem em posições periféricas nos currículos de formação docente. Trata-se de uma categoria analítica que possibilita deslocar o olhar da simples identificação de ausências para a compreensão das relações de poder que sustentam os processos de seleção curricular.</w:t>
      </w:r>
    </w:p>
    <w:p w14:paraId="7BA75BE9" w14:textId="77777777" w:rsidR="00380340" w:rsidRPr="00380340" w:rsidRDefault="00380340" w:rsidP="00380340">
      <w:pPr>
        <w:spacing w:after="0" w:line="240" w:lineRule="auto"/>
        <w:ind w:firstLine="720"/>
        <w:jc w:val="both"/>
        <w:rPr>
          <w:lang w:val="pt-BR"/>
        </w:rPr>
      </w:pPr>
      <w:r w:rsidRPr="00380340">
        <w:rPr>
          <w:rFonts w:ascii="Times New Roman" w:eastAsia="Times New Roman" w:hAnsi="Times New Roman" w:cs="Times New Roman"/>
          <w:lang w:val="pt-BR"/>
        </w:rPr>
        <w:t>No caso da Educação de Jovens e Adultos, essa discussão assume especial relevância. Embora a modalidade esteja prevista na legislação educacional brasileira e integre a educação básica, sua presença nos currículos de formação inicial de professores nem sempre ocorre de forma explícita ou sistematizada. Investigar o lugar ocupado pela EJA nos cursos de licenciatura significa, portanto, analisar os modos pelos quais a universidade produz visibilidades e invisibilidades curriculares, definindo quais conhecimentos e experiências educativas são reconhecidos como centrais para a formação docente.</w:t>
      </w:r>
    </w:p>
    <w:p w14:paraId="1FF58208" w14:textId="77777777" w:rsidR="00380340" w:rsidRDefault="00380340" w:rsidP="00380340">
      <w:pPr>
        <w:spacing w:after="0" w:line="240" w:lineRule="auto"/>
        <w:ind w:firstLine="720"/>
        <w:jc w:val="both"/>
        <w:rPr>
          <w:rFonts w:ascii="Times New Roman" w:eastAsia="Times New Roman" w:hAnsi="Times New Roman" w:cs="Times New Roman"/>
          <w:lang w:val="pt-BR"/>
        </w:rPr>
      </w:pPr>
      <w:r w:rsidRPr="00380340">
        <w:rPr>
          <w:rFonts w:ascii="Times New Roman" w:eastAsia="Times New Roman" w:hAnsi="Times New Roman" w:cs="Times New Roman"/>
          <w:lang w:val="pt-BR"/>
        </w:rPr>
        <w:t>Ao tomar os currículos dos cursos de Letras da Universidade Federal de Santa Maria como objeto de análise, este estudo parte do entendimento de que a formação inicial constitui um espaço privilegiado de legitimação de saberes e de construção das identidades profissionais docentes. Assim, mais do que identificar a presença ou ausência da EJA nos documentos curriculares, busca-se compreender os sentidos produzidos por essas escolhas e suas implicações para a formação de professores que atuarão nos diferentes contextos da educação básica.</w:t>
      </w:r>
    </w:p>
    <w:p w14:paraId="46D56203" w14:textId="77777777" w:rsidR="002967EA" w:rsidRDefault="002967EA" w:rsidP="00380340">
      <w:pPr>
        <w:spacing w:after="0" w:line="240" w:lineRule="auto"/>
        <w:ind w:firstLine="720"/>
        <w:jc w:val="both"/>
        <w:rPr>
          <w:rFonts w:ascii="Times New Roman" w:eastAsia="Times New Roman" w:hAnsi="Times New Roman" w:cs="Times New Roman"/>
          <w:lang w:val="pt-BR"/>
        </w:rPr>
      </w:pPr>
    </w:p>
    <w:p w14:paraId="3EAE2641"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b/>
          <w:bCs/>
          <w:lang w:val="pt-BR"/>
        </w:rPr>
        <w:t>3. Formação de professores para a EJA: desafios e políticas educacionais</w:t>
      </w:r>
    </w:p>
    <w:p w14:paraId="2D78E6E7" w14:textId="77777777" w:rsidR="002967EA" w:rsidRDefault="002967EA" w:rsidP="002967EA">
      <w:pPr>
        <w:spacing w:after="0" w:line="240" w:lineRule="auto"/>
        <w:ind w:firstLine="720"/>
        <w:jc w:val="both"/>
        <w:rPr>
          <w:rFonts w:ascii="Times New Roman" w:eastAsia="Times New Roman" w:hAnsi="Times New Roman" w:cs="Times New Roman"/>
          <w:lang w:val="pt-BR"/>
        </w:rPr>
      </w:pPr>
    </w:p>
    <w:p w14:paraId="5FC72A5D" w14:textId="031DE8CE"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Ao discutir a formação docente para a Educação de Jovens e Adultos, torna-se necessário compreender quem são os sujeitos que constituem essa modalidade. A EJA não se destina apenas àqueles que não concluíram sua escolarização na idade considerada regular. Trata-se de sujeitos cujas trajetórias educacionais foram marcadas por processos históricos de exclusão e pela insuficiência de políticas públicas capazes de assegurar plenamente o direito à educação.</w:t>
      </w:r>
    </w:p>
    <w:p w14:paraId="0328B301" w14:textId="20A1AF28"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 xml:space="preserve">Nessa perspectiva, Di Pierro (2017) destaca que a Educação de Jovens e Adultos </w:t>
      </w:r>
      <w:r w:rsidR="0027217C">
        <w:rPr>
          <w:rFonts w:ascii="Times New Roman" w:eastAsia="Times New Roman" w:hAnsi="Times New Roman" w:cs="Times New Roman"/>
          <w:lang w:val="pt-BR"/>
        </w:rPr>
        <w:t>precisa</w:t>
      </w:r>
      <w:r w:rsidRPr="002967EA">
        <w:rPr>
          <w:rFonts w:ascii="Times New Roman" w:eastAsia="Times New Roman" w:hAnsi="Times New Roman" w:cs="Times New Roman"/>
          <w:lang w:val="pt-BR"/>
        </w:rPr>
        <w:t xml:space="preserve"> ser compreendida como parte integrante do direito à educação ao longo da vida, destinada a sujeitos que tiveram seus percursos escolares interrompidos por múltiplos fatores sociais, econômicos e culturais. Os estudantes que chegam à modalidade carregam experiências de trabalho, responsabilidades familiares, desigualdades territoriais e trajetórias de escolarização descontínuas que demandam abordagens pedagógicas específicas.</w:t>
      </w:r>
    </w:p>
    <w:p w14:paraId="6C76DAC7" w14:textId="4C28734A"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 xml:space="preserve">A compreensão desses sujeitos aproxima-se das reflexões de Freire (1987), para quem a educação </w:t>
      </w:r>
      <w:r w:rsidR="00150021" w:rsidRPr="00AC640C">
        <w:rPr>
          <w:rFonts w:ascii="Times New Roman" w:eastAsia="Times New Roman" w:hAnsi="Times New Roman" w:cs="Times New Roman"/>
          <w:lang w:val="pt-BR"/>
        </w:rPr>
        <w:t>necessita</w:t>
      </w:r>
      <w:r w:rsidRPr="002967EA">
        <w:rPr>
          <w:rFonts w:ascii="Times New Roman" w:eastAsia="Times New Roman" w:hAnsi="Times New Roman" w:cs="Times New Roman"/>
          <w:lang w:val="pt-BR"/>
        </w:rPr>
        <w:t xml:space="preserve"> partir da realidade concreta dos educandos e do reconhecimento de seus saberes e experiências. Ao criticar práticas educativas baseadas na simples transmissão de conteúdos, o autor defende uma educação comprometida com o diálogo e com a valorização das experiências vividas pelos sujeitos. Tal perspectiva </w:t>
      </w:r>
      <w:r w:rsidRPr="002967EA">
        <w:rPr>
          <w:rFonts w:ascii="Times New Roman" w:eastAsia="Times New Roman" w:hAnsi="Times New Roman" w:cs="Times New Roman"/>
          <w:lang w:val="pt-BR"/>
        </w:rPr>
        <w:lastRenderedPageBreak/>
        <w:t xml:space="preserve">assume especial relevância na EJA, uma vez que seus estudantes </w:t>
      </w:r>
      <w:proofErr w:type="gramStart"/>
      <w:r w:rsidRPr="002967EA">
        <w:rPr>
          <w:rFonts w:ascii="Times New Roman" w:eastAsia="Times New Roman" w:hAnsi="Times New Roman" w:cs="Times New Roman"/>
          <w:lang w:val="pt-BR"/>
        </w:rPr>
        <w:t>constituem-se</w:t>
      </w:r>
      <w:proofErr w:type="gramEnd"/>
      <w:r w:rsidRPr="002967EA">
        <w:rPr>
          <w:rFonts w:ascii="Times New Roman" w:eastAsia="Times New Roman" w:hAnsi="Times New Roman" w:cs="Times New Roman"/>
          <w:lang w:val="pt-BR"/>
        </w:rPr>
        <w:t xml:space="preserve"> como portadores de conhecimentos produzidos em diferentes espaços sociais e culturais.</w:t>
      </w:r>
    </w:p>
    <w:p w14:paraId="5E18679E" w14:textId="15D6EC1A"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Nesse sentido, a atuação docente na modalidade exige uma formação que permita compreender as especificidades dos processos educativos desenvolvidos com jovens, adultos. Conforme argumenta Soares (2008), a formação de professores para a EJA permanece como um dos grandes desafios das políticas educacionais brasileiras, uma vez que a modalidade historicamente ocupou posição marginal nos processos de formação inicial. Como consequência, muitos docentes iniciam sua atuação sem terem tido oportunidades sistemáticas de estudo acerca das características, dos sujeitos e das propostas pedagógicas próprias da modalidade.</w:t>
      </w:r>
    </w:p>
    <w:p w14:paraId="21A17F72" w14:textId="7A90F289"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Essa realidade produz uma contradição significativa. Se, por um lado, a legislação educacional reconhece a EJA como modalidade da educação básica e assegura seu direito à oferta, por outro, a formação dos profissionais responsáveis por sua implementação nem sempre recebe a mesma atenção nos currículos das licenciaturas. Tal cenário reforça o que Paiva (2006) identifica como um histórico processo de secundarização da modalidade no âmbito das políticas educacionais e da formação docente.</w:t>
      </w:r>
    </w:p>
    <w:p w14:paraId="48148F66" w14:textId="4BEA510E"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Essa secundarização não pode ser compreendida de forma isolada. Ela se insere em um contexto mais amplo de constituição histórica da EJA como política educacional no Brasil, marcado por descontinuidades, campanhas emergenciais e pela ausência de uma política de Estado permanente e integrada. Haddad e Di Pierro (2000) analisam como a EJA foi, ao longo do século XX, tratada como ação compensatória voltada à correção de defasagens, e não como um campo pedagógico autônomo com sujeitos, saberes e metodologias específicas. Essa concepção reducionista influenciou diretamente a forma como a modalidade foi</w:t>
      </w:r>
      <w:r>
        <w:rPr>
          <w:rFonts w:ascii="Times New Roman" w:eastAsia="Times New Roman" w:hAnsi="Times New Roman" w:cs="Times New Roman"/>
          <w:lang w:val="pt-BR"/>
        </w:rPr>
        <w:t xml:space="preserve">, </w:t>
      </w:r>
      <w:r w:rsidRPr="002967EA">
        <w:rPr>
          <w:rFonts w:ascii="Times New Roman" w:eastAsia="Times New Roman" w:hAnsi="Times New Roman" w:cs="Times New Roman"/>
          <w:lang w:val="pt-BR"/>
        </w:rPr>
        <w:t xml:space="preserve">ou não </w:t>
      </w:r>
      <w:proofErr w:type="gramStart"/>
      <w:r w:rsidRPr="002967EA">
        <w:rPr>
          <w:rFonts w:ascii="Times New Roman" w:eastAsia="Times New Roman" w:hAnsi="Times New Roman" w:cs="Times New Roman"/>
          <w:lang w:val="pt-BR"/>
        </w:rPr>
        <w:t>foi</w:t>
      </w:r>
      <w:r>
        <w:rPr>
          <w:rFonts w:ascii="Times New Roman" w:eastAsia="Times New Roman" w:hAnsi="Times New Roman" w:cs="Times New Roman"/>
          <w:lang w:val="pt-BR"/>
        </w:rPr>
        <w:t xml:space="preserve">, </w:t>
      </w:r>
      <w:r w:rsidRPr="002967EA">
        <w:rPr>
          <w:rFonts w:ascii="Times New Roman" w:eastAsia="Times New Roman" w:hAnsi="Times New Roman" w:cs="Times New Roman"/>
          <w:lang w:val="pt-BR"/>
        </w:rPr>
        <w:t>incorporada</w:t>
      </w:r>
      <w:proofErr w:type="gramEnd"/>
      <w:r w:rsidRPr="002967EA">
        <w:rPr>
          <w:rFonts w:ascii="Times New Roman" w:eastAsia="Times New Roman" w:hAnsi="Times New Roman" w:cs="Times New Roman"/>
          <w:lang w:val="pt-BR"/>
        </w:rPr>
        <w:t xml:space="preserve"> às políticas de formação de professores.</w:t>
      </w:r>
    </w:p>
    <w:p w14:paraId="1A38CC33" w14:textId="77347221"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As Diretrizes Curriculares Nacionais para a Educação de Jovens e Adultos (Resolução CNE/CEB n.º 1/2000) e o Parecer CNE/CEB n.º 11/2000, elaborado por Carlos Roberto Jamil Cury, representaram avanços significativos ao reconhecer a EJA como direito e ao estabelecer princípios específicos para sua organização, como as funções reparadora, equalizadora e qualificadora. No entanto, a transposição desses marcos normativos para a formação inicial de professores permanece como um campo de tensões. A aprovação das Diretrizes Curriculares Nacionais para a Formação Inicial de Professores para a Educação Básica (Resolução CNE/CP n.º 2/2019) tampouco contemplou, de forma explícita, as especificidades da docência na EJA, o que pode contribuir para a reprodução de sua invisibilidade nos currículos das licenciaturas.</w:t>
      </w:r>
    </w:p>
    <w:p w14:paraId="15B1E367" w14:textId="66C04F9E" w:rsidR="002B17AD" w:rsidRPr="002B17AD" w:rsidRDefault="002B17AD" w:rsidP="002967EA">
      <w:pPr>
        <w:spacing w:after="0" w:line="240" w:lineRule="auto"/>
        <w:ind w:firstLine="720"/>
        <w:jc w:val="both"/>
        <w:rPr>
          <w:rFonts w:ascii="Times New Roman" w:eastAsia="Times New Roman" w:hAnsi="Times New Roman" w:cs="Times New Roman"/>
          <w:lang w:val="pt-BR"/>
        </w:rPr>
      </w:pPr>
      <w:r w:rsidRPr="002B17AD">
        <w:rPr>
          <w:rFonts w:ascii="Times New Roman" w:eastAsia="Times New Roman" w:hAnsi="Times New Roman" w:cs="Times New Roman"/>
          <w:lang w:val="pt-BR"/>
        </w:rPr>
        <w:t>A partir dos estudos críticos do currículo, essa questão pode ser analisada para além da simples ausência de disciplinas específicas. Conforme argumenta Silva (2000, p. 147), “o currículo não é um elemento inocente e neutro de transmissão desinteressada do conhecimento social. O currículo está implicado em relações de poder”. Nessa perspectiva, o currículo constitui um espaço de produção de significados atravessado por disputas e processos de legitimação, no qual determinados conhecimentos são selecionados e reconhecidos enquanto outros permanecem marginalizados. Dessa forma, aquilo que aparece ou deixa de aparecer nos currículos não resulta de escolhas neutras, mas de processos históricos de definição dos saberes considerados relevantes para a formação.</w:t>
      </w:r>
    </w:p>
    <w:p w14:paraId="46FA39E3" w14:textId="786F5A75"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lastRenderedPageBreak/>
        <w:t>Na mesma direção, Apple (2006) compreende o currículo como expressão de formas de conhecimento que adquirem status de legitimidade em determinado contexto social. Ao selecionar alguns conteúdos e excluir outros, os currículos produzem hierarquias de conhecimento e contribuem para definir quais sujeitos e experiências educativas serão reconhecidos como centrais nos processos formativos.</w:t>
      </w:r>
    </w:p>
    <w:p w14:paraId="088B97E1" w14:textId="7CBD440B"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As contribuições de</w:t>
      </w:r>
      <w:r w:rsidR="0027217C">
        <w:rPr>
          <w:rFonts w:ascii="Times New Roman" w:eastAsia="Times New Roman" w:hAnsi="Times New Roman" w:cs="Times New Roman"/>
          <w:lang w:val="pt-BR"/>
        </w:rPr>
        <w:t xml:space="preserve"> Gimeno</w:t>
      </w:r>
      <w:r w:rsidRPr="002967EA">
        <w:rPr>
          <w:rFonts w:ascii="Times New Roman" w:eastAsia="Times New Roman" w:hAnsi="Times New Roman" w:cs="Times New Roman"/>
          <w:lang w:val="pt-BR"/>
        </w:rPr>
        <w:t xml:space="preserve"> </w:t>
      </w:r>
      <w:proofErr w:type="spellStart"/>
      <w:r w:rsidRPr="002967EA">
        <w:rPr>
          <w:rFonts w:ascii="Times New Roman" w:eastAsia="Times New Roman" w:hAnsi="Times New Roman" w:cs="Times New Roman"/>
          <w:lang w:val="pt-BR"/>
        </w:rPr>
        <w:t>Sacristán</w:t>
      </w:r>
      <w:proofErr w:type="spellEnd"/>
      <w:r w:rsidRPr="002967EA">
        <w:rPr>
          <w:rFonts w:ascii="Times New Roman" w:eastAsia="Times New Roman" w:hAnsi="Times New Roman" w:cs="Times New Roman"/>
          <w:lang w:val="pt-BR"/>
        </w:rPr>
        <w:t xml:space="preserve"> (2000) permitem aprofundar essa reflexão ao afirmar que o currículo não se limita àquilo que está explicitamente presente nos documentos institucionais. Para o autor, também produzem significado os conteúdos ausentes e as experiências que deixam de ser contempladas pelos processos formativos. Nessa perspectiva, a ausência de referências sistemáticas à Educação de Jovens e Adultos nos currículos das licenciaturas pode ser compreendida como uma forma de invisibilidade curricular, produzida por mecanismos de seleção que definem quais conhecimentos são considerados indispensáveis para a docência.</w:t>
      </w:r>
    </w:p>
    <w:p w14:paraId="4B250672" w14:textId="77777777"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 xml:space="preserve">Assim, quando a formação inicial </w:t>
      </w:r>
      <w:proofErr w:type="gramStart"/>
      <w:r w:rsidRPr="002967EA">
        <w:rPr>
          <w:rFonts w:ascii="Times New Roman" w:eastAsia="Times New Roman" w:hAnsi="Times New Roman" w:cs="Times New Roman"/>
          <w:lang w:val="pt-BR"/>
        </w:rPr>
        <w:t>negligencia</w:t>
      </w:r>
      <w:proofErr w:type="gramEnd"/>
      <w:r w:rsidRPr="002967EA">
        <w:rPr>
          <w:rFonts w:ascii="Times New Roman" w:eastAsia="Times New Roman" w:hAnsi="Times New Roman" w:cs="Times New Roman"/>
          <w:lang w:val="pt-BR"/>
        </w:rPr>
        <w:t xml:space="preserve"> a EJA, não se trata apenas da ausência de um componente curricular específico. Trata-se da produção de um processo de invisibilização que pode repercutir diretamente na preparação dos futuros professores para atuar com sujeitos cujas trajetórias já foram marcadas, historicamente, pela negação ou fragilização do direito à educação. A invisibilidade curricular da modalidade, portanto, não afeta apenas a organização dos cursos de formação docente, mas também as possibilidades de reconhecimento das especificidades e dos direitos educacionais dos sujeitos da EJA.</w:t>
      </w:r>
    </w:p>
    <w:p w14:paraId="37A504A1" w14:textId="77777777" w:rsidR="002967EA" w:rsidRPr="002967EA" w:rsidRDefault="002967EA" w:rsidP="002967EA">
      <w:pPr>
        <w:spacing w:after="0" w:line="240" w:lineRule="auto"/>
        <w:jc w:val="both"/>
        <w:rPr>
          <w:lang w:val="pt-BR"/>
        </w:rPr>
      </w:pPr>
    </w:p>
    <w:p w14:paraId="50AF614A"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b/>
          <w:bCs/>
          <w:lang w:val="pt-BR"/>
        </w:rPr>
        <w:t>4. A EJA nos currículos dos cursos de Letras da UFSM</w:t>
      </w:r>
    </w:p>
    <w:p w14:paraId="69C1D2BE" w14:textId="77777777" w:rsidR="002967EA" w:rsidRDefault="002967EA" w:rsidP="002967EA">
      <w:pPr>
        <w:spacing w:after="0" w:line="240" w:lineRule="auto"/>
        <w:ind w:firstLine="720"/>
        <w:jc w:val="both"/>
        <w:rPr>
          <w:rFonts w:ascii="Times New Roman" w:eastAsia="Times New Roman" w:hAnsi="Times New Roman" w:cs="Times New Roman"/>
          <w:lang w:val="pt-BR"/>
        </w:rPr>
      </w:pPr>
    </w:p>
    <w:p w14:paraId="34D637DA" w14:textId="5306E631"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 xml:space="preserve">Esta seção apresenta os resultados da análise dos Projetos Pedagógicos de Curso (PPCs) e das matrizes curriculares dos cursos de Letras – Português e Literaturas de Língua Portuguesa, Letras – Inglês e Literaturas de Língua Inglesa e Letras – Espanhol e Literaturas de Língua Espanhola da Universidade Federal de Santa Maria (UFSM). A análise buscou identificar a presença da Educação de Jovens e Adultos nos documentos curriculares, bem como compreender o lugar ocupado pela modalidade na formação inicial dos futuros professores. A partir dos referenciais de Silva (2000), Apple (2006) e </w:t>
      </w:r>
      <w:r w:rsidR="00E45D23">
        <w:rPr>
          <w:rFonts w:ascii="Times New Roman" w:eastAsia="Times New Roman" w:hAnsi="Times New Roman" w:cs="Times New Roman"/>
          <w:lang w:val="pt-BR"/>
        </w:rPr>
        <w:t xml:space="preserve">Gimeno </w:t>
      </w:r>
      <w:proofErr w:type="spellStart"/>
      <w:proofErr w:type="gramStart"/>
      <w:r w:rsidR="00F85AE4">
        <w:rPr>
          <w:rFonts w:ascii="Times New Roman" w:eastAsia="Times New Roman" w:hAnsi="Times New Roman" w:cs="Times New Roman"/>
          <w:lang w:val="pt-BR"/>
        </w:rPr>
        <w:t>Sacristán</w:t>
      </w:r>
      <w:proofErr w:type="spellEnd"/>
      <w:r w:rsidR="00F85AE4">
        <w:rPr>
          <w:rFonts w:ascii="Times New Roman" w:eastAsia="Times New Roman" w:hAnsi="Times New Roman" w:cs="Times New Roman"/>
          <w:lang w:val="pt-BR"/>
        </w:rPr>
        <w:t xml:space="preserve"> </w:t>
      </w:r>
      <w:r w:rsidRPr="002967EA">
        <w:rPr>
          <w:rFonts w:ascii="Times New Roman" w:eastAsia="Times New Roman" w:hAnsi="Times New Roman" w:cs="Times New Roman"/>
          <w:lang w:val="pt-BR"/>
        </w:rPr>
        <w:t xml:space="preserve"> (</w:t>
      </w:r>
      <w:proofErr w:type="gramEnd"/>
      <w:r w:rsidRPr="002967EA">
        <w:rPr>
          <w:rFonts w:ascii="Times New Roman" w:eastAsia="Times New Roman" w:hAnsi="Times New Roman" w:cs="Times New Roman"/>
          <w:lang w:val="pt-BR"/>
        </w:rPr>
        <w:t>2000), os dados são analisados considerando os processos de seleção, legitimação e invisibilização dos conhecimentos presentes nos currículos.</w:t>
      </w:r>
    </w:p>
    <w:p w14:paraId="19298009" w14:textId="77777777" w:rsidR="002967EA" w:rsidRPr="002967EA" w:rsidRDefault="002967EA" w:rsidP="002967EA">
      <w:pPr>
        <w:spacing w:after="0" w:line="240" w:lineRule="auto"/>
        <w:jc w:val="both"/>
        <w:rPr>
          <w:lang w:val="pt-BR"/>
        </w:rPr>
      </w:pPr>
    </w:p>
    <w:p w14:paraId="6821AAF0"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b/>
          <w:bCs/>
          <w:lang w:val="pt-BR"/>
        </w:rPr>
        <w:t>4.1 Presenças e ausências da EJA nos documentos curriculares</w:t>
      </w:r>
    </w:p>
    <w:p w14:paraId="6EA7B8F0" w14:textId="77777777" w:rsidR="002967EA" w:rsidRPr="002967EA" w:rsidRDefault="002967EA" w:rsidP="002967EA">
      <w:pPr>
        <w:spacing w:after="0" w:line="240" w:lineRule="auto"/>
        <w:jc w:val="both"/>
        <w:rPr>
          <w:lang w:val="pt-BR"/>
        </w:rPr>
      </w:pPr>
    </w:p>
    <w:p w14:paraId="336EC3C7" w14:textId="77777777"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A análise dos Projetos Pedagógicos de Curso e das matrizes curriculares dos três cursos investigados evidenciou a ausência de componentes curriculares, objetivos formativos ou experiências de estágio explicitamente vinculados à Educação de Jovens e Adultos. Nos três casos, não foram identificadas disciplinas com denominação ou ementa diretamente relacionada à modalidade, tampouco referências nos objetivos dos cursos que indicassem a atuação na EJA como campo específico de formação. O Quadro 1 sintetiza os aspectos analisados:</w:t>
      </w:r>
    </w:p>
    <w:p w14:paraId="3B59750C" w14:textId="77777777" w:rsidR="002967EA" w:rsidRPr="002967EA" w:rsidRDefault="002967EA" w:rsidP="002967EA">
      <w:pPr>
        <w:spacing w:after="0" w:line="240" w:lineRule="auto"/>
        <w:jc w:val="both"/>
        <w:rPr>
          <w:lang w:val="pt-BR"/>
        </w:rPr>
      </w:pPr>
    </w:p>
    <w:p w14:paraId="71EC1955"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sz w:val="20"/>
          <w:szCs w:val="20"/>
          <w:lang w:val="pt-BR"/>
        </w:rPr>
        <w:t>Quadro 1 – Presença da EJA nos cursos analisados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075"/>
        <w:gridCol w:w="2075"/>
        <w:gridCol w:w="2076"/>
      </w:tblGrid>
      <w:tr w:rsidR="002967EA" w14:paraId="0AD5A9BC" w14:textId="77777777" w:rsidTr="008F67D2">
        <w:tc>
          <w:tcPr>
            <w:tcW w:w="2800" w:type="dxa"/>
            <w:tcBorders>
              <w:top w:val="single" w:sz="1" w:space="0" w:color="999999"/>
              <w:left w:val="single" w:sz="1" w:space="0" w:color="999999"/>
              <w:bottom w:val="single" w:sz="1" w:space="0" w:color="999999"/>
              <w:right w:val="single" w:sz="1" w:space="0" w:color="999999"/>
            </w:tcBorders>
            <w:shd w:val="clear" w:color="auto" w:fill="D9D9D9"/>
            <w:tcMar>
              <w:top w:w="80" w:type="dxa"/>
              <w:left w:w="120" w:type="dxa"/>
              <w:bottom w:w="80" w:type="dxa"/>
              <w:right w:w="120" w:type="dxa"/>
            </w:tcMar>
          </w:tcPr>
          <w:p w14:paraId="0994D921" w14:textId="77777777" w:rsidR="002967EA" w:rsidRDefault="002967EA" w:rsidP="002967EA">
            <w:pPr>
              <w:spacing w:after="0" w:line="240" w:lineRule="auto"/>
              <w:jc w:val="both"/>
            </w:pPr>
            <w:r>
              <w:rPr>
                <w:rFonts w:ascii="Times New Roman" w:eastAsia="Times New Roman" w:hAnsi="Times New Roman" w:cs="Times New Roman"/>
                <w:b/>
                <w:bCs/>
                <w:sz w:val="20"/>
                <w:szCs w:val="20"/>
              </w:rPr>
              <w:lastRenderedPageBreak/>
              <w:t>Aspecto analisado</w:t>
            </w:r>
          </w:p>
        </w:tc>
        <w:tc>
          <w:tcPr>
            <w:tcW w:w="2075" w:type="dxa"/>
            <w:tcBorders>
              <w:top w:val="single" w:sz="1" w:space="0" w:color="999999"/>
              <w:left w:val="single" w:sz="1" w:space="0" w:color="999999"/>
              <w:bottom w:val="single" w:sz="1" w:space="0" w:color="999999"/>
              <w:right w:val="single" w:sz="1" w:space="0" w:color="999999"/>
            </w:tcBorders>
            <w:shd w:val="clear" w:color="auto" w:fill="D9D9D9"/>
            <w:tcMar>
              <w:top w:w="80" w:type="dxa"/>
              <w:left w:w="120" w:type="dxa"/>
              <w:bottom w:w="80" w:type="dxa"/>
              <w:right w:w="120" w:type="dxa"/>
            </w:tcMar>
          </w:tcPr>
          <w:p w14:paraId="2E5A7538" w14:textId="77777777" w:rsidR="002967EA" w:rsidRDefault="002967EA" w:rsidP="002967EA">
            <w:pPr>
              <w:spacing w:after="0" w:line="240" w:lineRule="auto"/>
              <w:jc w:val="both"/>
            </w:pPr>
            <w:r>
              <w:rPr>
                <w:rFonts w:ascii="Times New Roman" w:eastAsia="Times New Roman" w:hAnsi="Times New Roman" w:cs="Times New Roman"/>
                <w:b/>
                <w:bCs/>
                <w:sz w:val="20"/>
                <w:szCs w:val="20"/>
              </w:rPr>
              <w:t>Português</w:t>
            </w:r>
          </w:p>
        </w:tc>
        <w:tc>
          <w:tcPr>
            <w:tcW w:w="2075" w:type="dxa"/>
            <w:tcBorders>
              <w:top w:val="single" w:sz="1" w:space="0" w:color="999999"/>
              <w:left w:val="single" w:sz="1" w:space="0" w:color="999999"/>
              <w:bottom w:val="single" w:sz="1" w:space="0" w:color="999999"/>
              <w:right w:val="single" w:sz="1" w:space="0" w:color="999999"/>
            </w:tcBorders>
            <w:shd w:val="clear" w:color="auto" w:fill="D9D9D9"/>
            <w:tcMar>
              <w:top w:w="80" w:type="dxa"/>
              <w:left w:w="120" w:type="dxa"/>
              <w:bottom w:w="80" w:type="dxa"/>
              <w:right w:w="120" w:type="dxa"/>
            </w:tcMar>
          </w:tcPr>
          <w:p w14:paraId="5F4FC1F4" w14:textId="77777777" w:rsidR="002967EA" w:rsidRDefault="002967EA" w:rsidP="002967EA">
            <w:pPr>
              <w:spacing w:after="0" w:line="240" w:lineRule="auto"/>
              <w:jc w:val="both"/>
            </w:pPr>
            <w:r>
              <w:rPr>
                <w:rFonts w:ascii="Times New Roman" w:eastAsia="Times New Roman" w:hAnsi="Times New Roman" w:cs="Times New Roman"/>
                <w:b/>
                <w:bCs/>
                <w:sz w:val="20"/>
                <w:szCs w:val="20"/>
              </w:rPr>
              <w:t>Inglês</w:t>
            </w:r>
          </w:p>
        </w:tc>
        <w:tc>
          <w:tcPr>
            <w:tcW w:w="2076" w:type="dxa"/>
            <w:tcBorders>
              <w:top w:val="single" w:sz="1" w:space="0" w:color="999999"/>
              <w:left w:val="single" w:sz="1" w:space="0" w:color="999999"/>
              <w:bottom w:val="single" w:sz="1" w:space="0" w:color="999999"/>
              <w:right w:val="single" w:sz="1" w:space="0" w:color="999999"/>
            </w:tcBorders>
            <w:shd w:val="clear" w:color="auto" w:fill="D9D9D9"/>
            <w:tcMar>
              <w:top w:w="80" w:type="dxa"/>
              <w:left w:w="120" w:type="dxa"/>
              <w:bottom w:w="80" w:type="dxa"/>
              <w:right w:w="120" w:type="dxa"/>
            </w:tcMar>
          </w:tcPr>
          <w:p w14:paraId="11D09AF7" w14:textId="77777777" w:rsidR="002967EA" w:rsidRDefault="002967EA" w:rsidP="002967EA">
            <w:pPr>
              <w:spacing w:after="0" w:line="240" w:lineRule="auto"/>
              <w:jc w:val="both"/>
            </w:pPr>
            <w:r>
              <w:rPr>
                <w:rFonts w:ascii="Times New Roman" w:eastAsia="Times New Roman" w:hAnsi="Times New Roman" w:cs="Times New Roman"/>
                <w:b/>
                <w:bCs/>
                <w:sz w:val="20"/>
                <w:szCs w:val="20"/>
              </w:rPr>
              <w:t>Espanhol</w:t>
            </w:r>
          </w:p>
        </w:tc>
      </w:tr>
      <w:tr w:rsidR="002967EA" w14:paraId="3F3E5B6B"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1DD4705" w14:textId="77777777" w:rsidR="002967EA" w:rsidRDefault="002967EA" w:rsidP="002967EA">
            <w:pPr>
              <w:spacing w:after="0" w:line="240" w:lineRule="auto"/>
              <w:jc w:val="both"/>
            </w:pPr>
            <w:r>
              <w:rPr>
                <w:rFonts w:ascii="Times New Roman" w:eastAsia="Times New Roman" w:hAnsi="Times New Roman" w:cs="Times New Roman"/>
                <w:sz w:val="20"/>
                <w:szCs w:val="20"/>
              </w:rPr>
              <w:t>Disciplina específica sobre EJA</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0FA6DB8"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250230F"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75DA98D"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r>
      <w:tr w:rsidR="002967EA" w14:paraId="7DA4B5E5"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645F681"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sz w:val="20"/>
                <w:szCs w:val="20"/>
                <w:lang w:val="pt-BR"/>
              </w:rPr>
              <w:t>Menção explícita à EJA nos objetivos do curso</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50E9C83"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C972BC7"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E773122"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r>
      <w:tr w:rsidR="002967EA" w14:paraId="04A72961"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2E31C83" w14:textId="77777777" w:rsidR="002967EA" w:rsidRDefault="002967EA" w:rsidP="002967EA">
            <w:pPr>
              <w:spacing w:after="0" w:line="240" w:lineRule="auto"/>
              <w:jc w:val="both"/>
            </w:pPr>
            <w:r>
              <w:rPr>
                <w:rFonts w:ascii="Times New Roman" w:eastAsia="Times New Roman" w:hAnsi="Times New Roman" w:cs="Times New Roman"/>
                <w:sz w:val="20"/>
                <w:szCs w:val="20"/>
              </w:rPr>
              <w:t>Estágio voltado à EJA</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DC98D0E"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identificado</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8352628"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identificado</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A059EBA"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identificado</w:t>
            </w:r>
          </w:p>
        </w:tc>
      </w:tr>
      <w:tr w:rsidR="002967EA" w14:paraId="06A3E7C6"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BEB1F9E"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sz w:val="20"/>
                <w:szCs w:val="20"/>
                <w:lang w:val="pt-BR"/>
              </w:rPr>
              <w:t>Referência à modalidade nas matrizes curriculares</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628BEC6"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42B8B9F"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5981680"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r>
    </w:tbl>
    <w:p w14:paraId="58FF3E0B"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sz w:val="20"/>
          <w:szCs w:val="20"/>
          <w:lang w:val="pt-BR"/>
        </w:rPr>
        <w:t>Fonte: Elaboração da autora com base nos PPCs dos cursos (UFSM, 2024).</w:t>
      </w:r>
    </w:p>
    <w:p w14:paraId="52FBFECB" w14:textId="77777777" w:rsidR="002967EA" w:rsidRPr="002967EA" w:rsidRDefault="002967EA" w:rsidP="002967EA">
      <w:pPr>
        <w:spacing w:after="0" w:line="240" w:lineRule="auto"/>
        <w:jc w:val="both"/>
        <w:rPr>
          <w:lang w:val="pt-BR"/>
        </w:rPr>
      </w:pPr>
    </w:p>
    <w:p w14:paraId="18D33E2D" w14:textId="4BBEA1E2"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 xml:space="preserve">A ausência de referências sistemáticas à modalidade constitui um primeiro indicativo de sua reduzida visibilidade nos processos de formação inicial analisados. Embora os </w:t>
      </w:r>
      <w:r w:rsidRPr="00AC640C">
        <w:rPr>
          <w:rFonts w:ascii="Times New Roman" w:eastAsia="Times New Roman" w:hAnsi="Times New Roman" w:cs="Times New Roman"/>
          <w:lang w:val="pt-BR"/>
        </w:rPr>
        <w:t>PPCs</w:t>
      </w:r>
      <w:r w:rsidRPr="002967EA">
        <w:rPr>
          <w:rFonts w:ascii="Times New Roman" w:eastAsia="Times New Roman" w:hAnsi="Times New Roman" w:cs="Times New Roman"/>
          <w:lang w:val="pt-BR"/>
        </w:rPr>
        <w:t xml:space="preserve"> reconheçam a atuação dos licenciados na educação básica, a Educação de Jovens e Adultos não é mencionada como campo específico de atuação docente, o que pode limitar a compreensão dos futuros professores acerca das particularidades pedagógicas, curriculares e políticas dessa modalidade.</w:t>
      </w:r>
    </w:p>
    <w:p w14:paraId="7B0515B7" w14:textId="77777777"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Cabe destacar, ainda, que a ausência da EJA não se restringe às disciplinas obrigatórias. A análise das ementas dos componentes optativos e das atividades complementares previstas nos três cursos também não revelou menções à modalidade, indicando que sua invisibilidade perpassa toda a organização curricular dos cursos investigados.</w:t>
      </w:r>
    </w:p>
    <w:p w14:paraId="0D1F17BA" w14:textId="77777777" w:rsidR="002967EA" w:rsidRPr="002967EA" w:rsidRDefault="002967EA" w:rsidP="002967EA">
      <w:pPr>
        <w:spacing w:after="0" w:line="240" w:lineRule="auto"/>
        <w:jc w:val="both"/>
        <w:rPr>
          <w:lang w:val="pt-BR"/>
        </w:rPr>
      </w:pPr>
    </w:p>
    <w:p w14:paraId="7CDDF2FD"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b/>
          <w:bCs/>
          <w:lang w:val="pt-BR"/>
        </w:rPr>
        <w:t>4.2 O lugar das modalidades educativas na formação inicial</w:t>
      </w:r>
    </w:p>
    <w:p w14:paraId="69BFCB7E" w14:textId="77777777" w:rsidR="002967EA" w:rsidRPr="002967EA" w:rsidRDefault="002967EA" w:rsidP="002967EA">
      <w:pPr>
        <w:spacing w:after="0" w:line="240" w:lineRule="auto"/>
        <w:jc w:val="both"/>
        <w:rPr>
          <w:lang w:val="pt-BR"/>
        </w:rPr>
      </w:pPr>
    </w:p>
    <w:p w14:paraId="7DEE9D13" w14:textId="77777777"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Um dos achados mais relevantes da análise diz respeito ao contraste entre a ausência da EJA e a presença de outras temáticas e modalidades nos currículos investigados. Os três cursos contemplam, em seus PPCs e matrizes curriculares, componentes e discussões relacionados à Educação Especial, à Língua Brasileira de Sinais (Libras), às tecnologias digitais, à Educação a Distância (</w:t>
      </w:r>
      <w:proofErr w:type="spellStart"/>
      <w:r w:rsidRPr="002967EA">
        <w:rPr>
          <w:rFonts w:ascii="Times New Roman" w:eastAsia="Times New Roman" w:hAnsi="Times New Roman" w:cs="Times New Roman"/>
          <w:lang w:val="pt-BR"/>
        </w:rPr>
        <w:t>EaD</w:t>
      </w:r>
      <w:proofErr w:type="spellEnd"/>
      <w:r w:rsidRPr="002967EA">
        <w:rPr>
          <w:rFonts w:ascii="Times New Roman" w:eastAsia="Times New Roman" w:hAnsi="Times New Roman" w:cs="Times New Roman"/>
          <w:lang w:val="pt-BR"/>
        </w:rPr>
        <w:t>) e às políticas educacionais, conforme demonstrado no Quadro 2:</w:t>
      </w:r>
    </w:p>
    <w:p w14:paraId="460CEF38" w14:textId="77777777" w:rsidR="002967EA" w:rsidRPr="002967EA" w:rsidRDefault="002967EA" w:rsidP="002967EA">
      <w:pPr>
        <w:spacing w:after="0" w:line="240" w:lineRule="auto"/>
        <w:jc w:val="both"/>
        <w:rPr>
          <w:lang w:val="pt-BR"/>
        </w:rPr>
      </w:pPr>
    </w:p>
    <w:p w14:paraId="794200FF"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sz w:val="20"/>
          <w:szCs w:val="20"/>
          <w:lang w:val="pt-BR"/>
        </w:rPr>
        <w:t>Quadro 2 – Temáticas e modalidades contempladas nos currículos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075"/>
        <w:gridCol w:w="2075"/>
        <w:gridCol w:w="2076"/>
      </w:tblGrid>
      <w:tr w:rsidR="002967EA" w14:paraId="1FAD0F07" w14:textId="77777777" w:rsidTr="008F67D2">
        <w:tc>
          <w:tcPr>
            <w:tcW w:w="2800" w:type="dxa"/>
            <w:tcBorders>
              <w:top w:val="single" w:sz="1" w:space="0" w:color="999999"/>
              <w:left w:val="single" w:sz="1" w:space="0" w:color="999999"/>
              <w:bottom w:val="single" w:sz="1" w:space="0" w:color="999999"/>
              <w:right w:val="single" w:sz="1" w:space="0" w:color="999999"/>
            </w:tcBorders>
            <w:shd w:val="clear" w:color="auto" w:fill="D9D9D9"/>
            <w:tcMar>
              <w:top w:w="80" w:type="dxa"/>
              <w:left w:w="120" w:type="dxa"/>
              <w:bottom w:w="80" w:type="dxa"/>
              <w:right w:w="120" w:type="dxa"/>
            </w:tcMar>
          </w:tcPr>
          <w:p w14:paraId="742D25AD" w14:textId="77777777" w:rsidR="002967EA" w:rsidRDefault="002967EA" w:rsidP="002967EA">
            <w:pPr>
              <w:spacing w:after="0" w:line="240" w:lineRule="auto"/>
              <w:jc w:val="both"/>
            </w:pPr>
            <w:r>
              <w:rPr>
                <w:rFonts w:ascii="Times New Roman" w:eastAsia="Times New Roman" w:hAnsi="Times New Roman" w:cs="Times New Roman"/>
                <w:b/>
                <w:bCs/>
                <w:sz w:val="20"/>
                <w:szCs w:val="20"/>
              </w:rPr>
              <w:t>Temática/Aspecto</w:t>
            </w:r>
          </w:p>
        </w:tc>
        <w:tc>
          <w:tcPr>
            <w:tcW w:w="2075" w:type="dxa"/>
            <w:tcBorders>
              <w:top w:val="single" w:sz="1" w:space="0" w:color="999999"/>
              <w:left w:val="single" w:sz="1" w:space="0" w:color="999999"/>
              <w:bottom w:val="single" w:sz="1" w:space="0" w:color="999999"/>
              <w:right w:val="single" w:sz="1" w:space="0" w:color="999999"/>
            </w:tcBorders>
            <w:shd w:val="clear" w:color="auto" w:fill="D9D9D9"/>
            <w:tcMar>
              <w:top w:w="80" w:type="dxa"/>
              <w:left w:w="120" w:type="dxa"/>
              <w:bottom w:w="80" w:type="dxa"/>
              <w:right w:w="120" w:type="dxa"/>
            </w:tcMar>
          </w:tcPr>
          <w:p w14:paraId="030B658C" w14:textId="77777777" w:rsidR="002967EA" w:rsidRDefault="002967EA" w:rsidP="002967EA">
            <w:pPr>
              <w:spacing w:after="0" w:line="240" w:lineRule="auto"/>
              <w:jc w:val="both"/>
            </w:pPr>
            <w:r>
              <w:rPr>
                <w:rFonts w:ascii="Times New Roman" w:eastAsia="Times New Roman" w:hAnsi="Times New Roman" w:cs="Times New Roman"/>
                <w:b/>
                <w:bCs/>
                <w:sz w:val="20"/>
                <w:szCs w:val="20"/>
              </w:rPr>
              <w:t>Português</w:t>
            </w:r>
          </w:p>
        </w:tc>
        <w:tc>
          <w:tcPr>
            <w:tcW w:w="2075" w:type="dxa"/>
            <w:tcBorders>
              <w:top w:val="single" w:sz="1" w:space="0" w:color="999999"/>
              <w:left w:val="single" w:sz="1" w:space="0" w:color="999999"/>
              <w:bottom w:val="single" w:sz="1" w:space="0" w:color="999999"/>
              <w:right w:val="single" w:sz="1" w:space="0" w:color="999999"/>
            </w:tcBorders>
            <w:shd w:val="clear" w:color="auto" w:fill="D9D9D9"/>
            <w:tcMar>
              <w:top w:w="80" w:type="dxa"/>
              <w:left w:w="120" w:type="dxa"/>
              <w:bottom w:w="80" w:type="dxa"/>
              <w:right w:w="120" w:type="dxa"/>
            </w:tcMar>
          </w:tcPr>
          <w:p w14:paraId="67435D89" w14:textId="77777777" w:rsidR="002967EA" w:rsidRDefault="002967EA" w:rsidP="002967EA">
            <w:pPr>
              <w:spacing w:after="0" w:line="240" w:lineRule="auto"/>
              <w:jc w:val="both"/>
            </w:pPr>
            <w:r>
              <w:rPr>
                <w:rFonts w:ascii="Times New Roman" w:eastAsia="Times New Roman" w:hAnsi="Times New Roman" w:cs="Times New Roman"/>
                <w:b/>
                <w:bCs/>
                <w:sz w:val="20"/>
                <w:szCs w:val="20"/>
              </w:rPr>
              <w:t>Inglês</w:t>
            </w:r>
          </w:p>
        </w:tc>
        <w:tc>
          <w:tcPr>
            <w:tcW w:w="2076" w:type="dxa"/>
            <w:tcBorders>
              <w:top w:val="single" w:sz="1" w:space="0" w:color="999999"/>
              <w:left w:val="single" w:sz="1" w:space="0" w:color="999999"/>
              <w:bottom w:val="single" w:sz="1" w:space="0" w:color="999999"/>
              <w:right w:val="single" w:sz="1" w:space="0" w:color="999999"/>
            </w:tcBorders>
            <w:shd w:val="clear" w:color="auto" w:fill="D9D9D9"/>
            <w:tcMar>
              <w:top w:w="80" w:type="dxa"/>
              <w:left w:w="120" w:type="dxa"/>
              <w:bottom w:w="80" w:type="dxa"/>
              <w:right w:w="120" w:type="dxa"/>
            </w:tcMar>
          </w:tcPr>
          <w:p w14:paraId="1E683B06" w14:textId="77777777" w:rsidR="002967EA" w:rsidRDefault="002967EA" w:rsidP="002967EA">
            <w:pPr>
              <w:spacing w:after="0" w:line="240" w:lineRule="auto"/>
              <w:jc w:val="both"/>
            </w:pPr>
            <w:r>
              <w:rPr>
                <w:rFonts w:ascii="Times New Roman" w:eastAsia="Times New Roman" w:hAnsi="Times New Roman" w:cs="Times New Roman"/>
                <w:b/>
                <w:bCs/>
                <w:sz w:val="20"/>
                <w:szCs w:val="20"/>
              </w:rPr>
              <w:t>Espanhol</w:t>
            </w:r>
          </w:p>
        </w:tc>
      </w:tr>
      <w:tr w:rsidR="002967EA" w14:paraId="570C8F95"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D263BB6" w14:textId="77777777" w:rsidR="002967EA" w:rsidRDefault="002967EA" w:rsidP="002967EA">
            <w:pPr>
              <w:spacing w:after="0" w:line="240" w:lineRule="auto"/>
              <w:jc w:val="both"/>
            </w:pPr>
            <w:r>
              <w:rPr>
                <w:rFonts w:ascii="Times New Roman" w:eastAsia="Times New Roman" w:hAnsi="Times New Roman" w:cs="Times New Roman"/>
                <w:sz w:val="20"/>
                <w:szCs w:val="20"/>
              </w:rPr>
              <w:t>Educação Especial</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ECD897C"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E20481E"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77B7A37"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r>
      <w:tr w:rsidR="002967EA" w14:paraId="6040C019"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7ED2DDC" w14:textId="77777777" w:rsidR="002967EA" w:rsidRDefault="002967EA" w:rsidP="002967EA">
            <w:pPr>
              <w:spacing w:after="0" w:line="240" w:lineRule="auto"/>
              <w:jc w:val="both"/>
            </w:pPr>
            <w:r>
              <w:rPr>
                <w:rFonts w:ascii="Times New Roman" w:eastAsia="Times New Roman" w:hAnsi="Times New Roman" w:cs="Times New Roman"/>
                <w:sz w:val="20"/>
                <w:szCs w:val="20"/>
              </w:rPr>
              <w:t>Libras</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1050587"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8B1ACCA"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33E8353"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r>
      <w:tr w:rsidR="002967EA" w14:paraId="61EE0C39"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165AB8" w14:textId="77777777" w:rsidR="002967EA" w:rsidRDefault="002967EA" w:rsidP="002967EA">
            <w:pPr>
              <w:spacing w:after="0" w:line="240" w:lineRule="auto"/>
              <w:jc w:val="both"/>
            </w:pPr>
            <w:r>
              <w:rPr>
                <w:rFonts w:ascii="Times New Roman" w:eastAsia="Times New Roman" w:hAnsi="Times New Roman" w:cs="Times New Roman"/>
                <w:sz w:val="20"/>
                <w:szCs w:val="20"/>
              </w:rPr>
              <w:t>Tecnologias Digitais</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7A3244E"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8B4878D"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0C0DD13"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r>
      <w:tr w:rsidR="002967EA" w14:paraId="5C930B52"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457DD3F" w14:textId="77777777" w:rsidR="002967EA" w:rsidRDefault="002967EA" w:rsidP="002967EA">
            <w:pPr>
              <w:spacing w:after="0" w:line="240" w:lineRule="auto"/>
              <w:jc w:val="both"/>
            </w:pPr>
            <w:r>
              <w:rPr>
                <w:rFonts w:ascii="Times New Roman" w:eastAsia="Times New Roman" w:hAnsi="Times New Roman" w:cs="Times New Roman"/>
                <w:sz w:val="20"/>
                <w:szCs w:val="20"/>
              </w:rPr>
              <w:t>Educação a Distância</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9CF7B00"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7AE82EB"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CE15BFF"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r>
      <w:tr w:rsidR="002967EA" w14:paraId="6825631E"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0261FC9" w14:textId="77777777" w:rsidR="002967EA" w:rsidRDefault="002967EA" w:rsidP="002967EA">
            <w:pPr>
              <w:spacing w:after="0" w:line="240" w:lineRule="auto"/>
              <w:jc w:val="both"/>
            </w:pPr>
            <w:r>
              <w:rPr>
                <w:rFonts w:ascii="Times New Roman" w:eastAsia="Times New Roman" w:hAnsi="Times New Roman" w:cs="Times New Roman"/>
                <w:sz w:val="20"/>
                <w:szCs w:val="20"/>
              </w:rPr>
              <w:t>Políticas Educacionais</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19E1114"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801E270"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B58C90B" w14:textId="77777777" w:rsidR="002967EA" w:rsidRDefault="002967EA" w:rsidP="002967EA">
            <w:pPr>
              <w:spacing w:after="0" w:line="240" w:lineRule="auto"/>
              <w:jc w:val="both"/>
            </w:pPr>
            <w:r>
              <w:rPr>
                <w:rFonts w:ascii="Times New Roman" w:eastAsia="Times New Roman" w:hAnsi="Times New Roman" w:cs="Times New Roman"/>
                <w:sz w:val="20"/>
                <w:szCs w:val="20"/>
              </w:rPr>
              <w:t>Sim</w:t>
            </w:r>
          </w:p>
        </w:tc>
      </w:tr>
      <w:tr w:rsidR="002967EA" w14:paraId="1F9DE51E" w14:textId="77777777" w:rsidTr="008F67D2">
        <w:tc>
          <w:tcPr>
            <w:tcW w:w="28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D58519B"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sz w:val="20"/>
                <w:szCs w:val="20"/>
                <w:lang w:val="pt-BR"/>
              </w:rPr>
              <w:t>Educação de Jovens e Adultos (EJA)</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03FB419"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c>
          <w:tcPr>
            <w:tcW w:w="20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6ED089C"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c>
          <w:tcPr>
            <w:tcW w:w="207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E70273C" w14:textId="77777777" w:rsidR="002967EA" w:rsidRDefault="002967EA" w:rsidP="002967EA">
            <w:pPr>
              <w:spacing w:after="0" w:line="240" w:lineRule="auto"/>
              <w:jc w:val="both"/>
            </w:pPr>
            <w:r>
              <w:rPr>
                <w:rFonts w:ascii="Times New Roman" w:eastAsia="Times New Roman" w:hAnsi="Times New Roman" w:cs="Times New Roman"/>
                <w:sz w:val="20"/>
                <w:szCs w:val="20"/>
              </w:rPr>
              <w:t>Não identificada</w:t>
            </w:r>
          </w:p>
        </w:tc>
      </w:tr>
    </w:tbl>
    <w:p w14:paraId="076B6BD8"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sz w:val="20"/>
          <w:szCs w:val="20"/>
          <w:lang w:val="pt-BR"/>
        </w:rPr>
        <w:t>Fonte: Elaboração da autora com base nos PPCs dos cursos (UFSM, 2024).</w:t>
      </w:r>
    </w:p>
    <w:p w14:paraId="3F14FCEF" w14:textId="77777777" w:rsidR="002967EA" w:rsidRPr="002967EA" w:rsidRDefault="002967EA" w:rsidP="002967EA">
      <w:pPr>
        <w:spacing w:after="0" w:line="240" w:lineRule="auto"/>
        <w:jc w:val="both"/>
        <w:rPr>
          <w:lang w:val="pt-BR"/>
        </w:rPr>
      </w:pPr>
    </w:p>
    <w:p w14:paraId="3DB89363" w14:textId="6B55334A"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lastRenderedPageBreak/>
        <w:t xml:space="preserve">Esses dados são particularmente significativos para a análise da invisibilidade curricular da EJA. O fato de os currículos incorporarem discussões acerca da inclusão, da diversidade, das tecnologias digitais e das políticas públicas </w:t>
      </w:r>
      <w:proofErr w:type="gramStart"/>
      <w:r w:rsidRPr="002967EA">
        <w:rPr>
          <w:rFonts w:ascii="Times New Roman" w:eastAsia="Times New Roman" w:hAnsi="Times New Roman" w:cs="Times New Roman"/>
          <w:lang w:val="pt-BR"/>
        </w:rPr>
        <w:t>evidencia</w:t>
      </w:r>
      <w:proofErr w:type="gramEnd"/>
      <w:r w:rsidRPr="002967EA">
        <w:rPr>
          <w:rFonts w:ascii="Times New Roman" w:eastAsia="Times New Roman" w:hAnsi="Times New Roman" w:cs="Times New Roman"/>
          <w:lang w:val="pt-BR"/>
        </w:rPr>
        <w:t xml:space="preserve"> que sua organização não decorre de indiferença às demandas contemporâneas da formação docente. Ao contrário, os PPCs analisados demonstram preocupação com diferentes especificidades da atuação profissional, reconhecendo a pluralidade de contextos e sujeitos que compõem a educação básica.</w:t>
      </w:r>
    </w:p>
    <w:p w14:paraId="6CFB20C4" w14:textId="77777777"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Nesse cenário, a ausência da EJA não pode ser atribuída a uma lacuna geral nos processos de seleção curricular, mas sugere que a modalidade não ocupa, entre os conhecimentos considerados necessários à formação docente, o mesmo reconhecimento atribuído a outras especificidades. Conforme argumentam Silva (2000) e Apple (2006), as hierarquias presentes nos currículos expressam relações de poder que definem quais sujeitos e experiências educativas são legitimados como centrais nos processos formativos. A presença de certas temáticas e a ausência da EJA constituem, portanto, expressões de um mesmo processo de seleção curricular, no qual determinados campos de atuação são priorizados em detrimento de outros.</w:t>
      </w:r>
    </w:p>
    <w:p w14:paraId="7924FD4E" w14:textId="77777777" w:rsidR="002967EA" w:rsidRPr="002967EA" w:rsidRDefault="002967EA" w:rsidP="002967EA">
      <w:pPr>
        <w:spacing w:after="0" w:line="240" w:lineRule="auto"/>
        <w:jc w:val="both"/>
        <w:rPr>
          <w:lang w:val="pt-BR"/>
        </w:rPr>
      </w:pPr>
    </w:p>
    <w:p w14:paraId="1B168E27" w14:textId="77777777" w:rsidR="002967EA" w:rsidRPr="002967EA" w:rsidRDefault="002967EA" w:rsidP="002967EA">
      <w:pPr>
        <w:spacing w:after="0" w:line="240" w:lineRule="auto"/>
        <w:jc w:val="both"/>
        <w:rPr>
          <w:lang w:val="pt-BR"/>
        </w:rPr>
      </w:pPr>
      <w:r w:rsidRPr="002967EA">
        <w:rPr>
          <w:rFonts w:ascii="Times New Roman" w:eastAsia="Times New Roman" w:hAnsi="Times New Roman" w:cs="Times New Roman"/>
          <w:b/>
          <w:bCs/>
          <w:lang w:val="pt-BR"/>
        </w:rPr>
        <w:t>4.3 A invisibilidade curricular da EJA</w:t>
      </w:r>
    </w:p>
    <w:p w14:paraId="4B582889" w14:textId="77777777" w:rsidR="002967EA" w:rsidRPr="002967EA" w:rsidRDefault="002967EA" w:rsidP="002967EA">
      <w:pPr>
        <w:spacing w:after="0" w:line="240" w:lineRule="auto"/>
        <w:jc w:val="both"/>
        <w:rPr>
          <w:lang w:val="pt-BR"/>
        </w:rPr>
      </w:pPr>
    </w:p>
    <w:p w14:paraId="0346D65F" w14:textId="3E9D9611"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A discussão acerca da invisibilidade curricular da Educação de Jovens e Adultos torna-se particularmente relevante quando se considera que a modalidade integra a estrutura da educação básica brasileira, conforme previsto na Lei de Diretrizes e Bases da Educação Nacional (Lei n.º 9.394/1996). Assim, a EJA não constitui um campo periférico ou complementar da educação, mas uma das formas pelas quais o direito à educação se materializa para sujeitos que não tiveram acesso ou permanência na escola em etapas anteriores de sua trajetória.</w:t>
      </w:r>
    </w:p>
    <w:p w14:paraId="79BE8F5A" w14:textId="601EA2B4"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Reconhecer a EJA como modalidade da educação básica implica também reconhecer as especificidades dos sujeitos que a constituem. Diferentemente de uma compreensão que reduz a modalidade à recuperação de conteúdos escolares não aprendidos em etapas anteriores, a EJA atende jovens, adultos e</w:t>
      </w:r>
      <w:r>
        <w:rPr>
          <w:rFonts w:ascii="Times New Roman" w:eastAsia="Times New Roman" w:hAnsi="Times New Roman" w:cs="Times New Roman"/>
          <w:lang w:val="pt-BR"/>
        </w:rPr>
        <w:t xml:space="preserve"> </w:t>
      </w:r>
      <w:r w:rsidRPr="002967EA">
        <w:rPr>
          <w:lang w:val="pt-BR"/>
        </w:rPr>
        <w:t>idosos cujas</w:t>
      </w:r>
      <w:r w:rsidRPr="002967EA">
        <w:rPr>
          <w:rFonts w:ascii="Times New Roman" w:eastAsia="Times New Roman" w:hAnsi="Times New Roman" w:cs="Times New Roman"/>
          <w:lang w:val="pt-BR"/>
        </w:rPr>
        <w:t xml:space="preserve"> trajetórias educacionais foram marcadas por processos de exclusão, interrupções escolares e desigualdades sociais. Conforme argumenta Freire (1987), os educandos não chegam aos espaços educativos vazios de experiências e conhecimentos; ao contrário, trazem consigo saberes produzidos em suas vivências de trabalho, família, participação comunitária e inserção social. Dessa forma, os sujeitos da EJA demandam práticas pedagógicas que reconheçam suas histórias, seus tempos de aprendizagem e suas experiências de vida.</w:t>
      </w:r>
    </w:p>
    <w:p w14:paraId="1E8E6928" w14:textId="77777777"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Todavia, a análise dos PPCs dos cursos de Letras da UFSM evidencia que tais especificidades não aparecem de forma explícita nos currículos investigados. Embora os documentos contemplem discussões relacionadas à educação especial, à Libras, às tecnologias digitais, às políticas educacionais e à diversidade, não foram identificados componentes curriculares, experiências de estágio ou referências sistemáticas voltadas à compreensão da Educação de Jovens e Adultos como modalidade específica da educação básica.</w:t>
      </w:r>
    </w:p>
    <w:p w14:paraId="7E6552BB" w14:textId="42A41EE5" w:rsidR="002967EA" w:rsidRPr="002967EA" w:rsidRDefault="002967EA" w:rsidP="00B8192F">
      <w:pPr>
        <w:spacing w:after="0" w:line="240" w:lineRule="auto"/>
        <w:ind w:firstLine="720"/>
        <w:jc w:val="both"/>
        <w:rPr>
          <w:lang w:val="pt-BR"/>
        </w:rPr>
      </w:pPr>
      <w:r w:rsidRPr="002967EA">
        <w:rPr>
          <w:rFonts w:ascii="Times New Roman" w:eastAsia="Times New Roman" w:hAnsi="Times New Roman" w:cs="Times New Roman"/>
          <w:lang w:val="pt-BR"/>
        </w:rPr>
        <w:t xml:space="preserve">Esse resultado sugere que os conhecimentos relacionados à EJA não ocupam posição de destaque entre aqueles considerados essenciais à formação inicial dos futuros </w:t>
      </w:r>
      <w:r w:rsidRPr="002967EA">
        <w:rPr>
          <w:rFonts w:ascii="Times New Roman" w:eastAsia="Times New Roman" w:hAnsi="Times New Roman" w:cs="Times New Roman"/>
          <w:lang w:val="pt-BR"/>
        </w:rPr>
        <w:lastRenderedPageBreak/>
        <w:t xml:space="preserve">professores. Nessa perspectiva, a invisibilidade curricular da EJA não se manifesta apenas pela ausência de disciplinas específicas, mas pela reduzida visibilidade atribuída aos sujeitos da modalidade e às suas demandas formativas. Como argumentam Silva (2000), Apple (2006) e </w:t>
      </w:r>
      <w:r w:rsidR="00C76F2D">
        <w:rPr>
          <w:rFonts w:ascii="Times New Roman" w:eastAsia="Times New Roman" w:hAnsi="Times New Roman" w:cs="Times New Roman"/>
          <w:lang w:val="pt-BR"/>
        </w:rPr>
        <w:t xml:space="preserve">Gimeno </w:t>
      </w:r>
      <w:proofErr w:type="spellStart"/>
      <w:r w:rsidRPr="002967EA">
        <w:rPr>
          <w:rFonts w:ascii="Times New Roman" w:eastAsia="Times New Roman" w:hAnsi="Times New Roman" w:cs="Times New Roman"/>
          <w:lang w:val="pt-BR"/>
        </w:rPr>
        <w:t>Sacristán</w:t>
      </w:r>
      <w:proofErr w:type="spellEnd"/>
      <w:r w:rsidRPr="002967EA">
        <w:rPr>
          <w:rFonts w:ascii="Times New Roman" w:eastAsia="Times New Roman" w:hAnsi="Times New Roman" w:cs="Times New Roman"/>
          <w:lang w:val="pt-BR"/>
        </w:rPr>
        <w:t xml:space="preserve"> (2000), os currículos produzem significados por meio dos processos de seleção dos conhecimentos considerados legítimos. Assim, quando uma modalidade integrante da educação básica permanece ausente ou pouco visível nos currículos de formação docente, torna-se possível questionar quais sujeitos e experiências educacionais estão sendo reconhecidos como centrais e quais continuam ocupando posições periféricas nos processos formativos.</w:t>
      </w:r>
    </w:p>
    <w:p w14:paraId="1023CC78" w14:textId="77777777" w:rsidR="002967EA" w:rsidRPr="002967EA" w:rsidRDefault="002967EA" w:rsidP="002967EA">
      <w:pPr>
        <w:spacing w:after="0" w:line="240" w:lineRule="auto"/>
        <w:ind w:firstLine="720"/>
        <w:jc w:val="both"/>
        <w:rPr>
          <w:lang w:val="pt-BR"/>
        </w:rPr>
      </w:pPr>
      <w:r w:rsidRPr="002967EA">
        <w:rPr>
          <w:rFonts w:ascii="Times New Roman" w:eastAsia="Times New Roman" w:hAnsi="Times New Roman" w:cs="Times New Roman"/>
          <w:lang w:val="pt-BR"/>
        </w:rPr>
        <w:t>Importa considerar, ainda, que a invisibilidade identificada nos documentos curriculares pode ser parcialmente compensada por iniciativas individuais de professores ou por experiências de extensão e pesquisa que promovam o contato com a modalidade. No entanto, a ausência de referências sistemáticas à EJA nos PPCs indica que tais experiências, quando ocorrem, não decorrem de uma intencionalidade formativa institucionalizada, mas de circunstâncias contingentes da trajetória acadêmica de cada estudante. Isso significa que a preparação para atuar na EJA não constitui, nos cursos analisados, um direito formativo assegurado a todos os futuros professores.</w:t>
      </w:r>
    </w:p>
    <w:p w14:paraId="4867C6E0" w14:textId="77777777" w:rsidR="002967EA" w:rsidRPr="002967EA" w:rsidRDefault="002967EA" w:rsidP="002967EA">
      <w:pPr>
        <w:spacing w:after="0" w:line="240" w:lineRule="auto"/>
        <w:jc w:val="both"/>
        <w:rPr>
          <w:lang w:val="pt-BR"/>
        </w:rPr>
      </w:pPr>
    </w:p>
    <w:p w14:paraId="323537E5" w14:textId="77777777" w:rsidR="002967EA" w:rsidRPr="00380340" w:rsidRDefault="002967EA" w:rsidP="00380340">
      <w:pPr>
        <w:spacing w:after="0" w:line="240" w:lineRule="auto"/>
        <w:ind w:firstLine="720"/>
        <w:jc w:val="both"/>
        <w:rPr>
          <w:lang w:val="pt-BR"/>
        </w:rPr>
      </w:pPr>
    </w:p>
    <w:p w14:paraId="12CE0BCB" w14:textId="6A82741F" w:rsidR="005F3B2E" w:rsidRPr="002967EA" w:rsidRDefault="005F3B2E" w:rsidP="007B5B5F">
      <w:pPr>
        <w:spacing w:line="240" w:lineRule="auto"/>
        <w:rPr>
          <w:rFonts w:ascii="Times New Roman" w:hAnsi="Times New Roman" w:cs="Times New Roman"/>
          <w:b/>
          <w:bCs/>
          <w:lang w:val="pt-BR"/>
        </w:rPr>
      </w:pPr>
      <w:proofErr w:type="spellStart"/>
      <w:r w:rsidRPr="002967EA">
        <w:rPr>
          <w:rFonts w:ascii="Times New Roman" w:hAnsi="Times New Roman" w:cs="Times New Roman"/>
          <w:b/>
          <w:bCs/>
          <w:lang w:val="pt-BR"/>
        </w:rPr>
        <w:t>Conclusiones</w:t>
      </w:r>
      <w:proofErr w:type="spellEnd"/>
    </w:p>
    <w:p w14:paraId="4338F409" w14:textId="77777777" w:rsidR="00B8192F" w:rsidRPr="00B8192F" w:rsidRDefault="00B8192F" w:rsidP="00B8192F">
      <w:pPr>
        <w:spacing w:after="0" w:line="240" w:lineRule="auto"/>
        <w:ind w:firstLine="720"/>
        <w:jc w:val="both"/>
        <w:rPr>
          <w:rFonts w:ascii="Times New Roman" w:eastAsia="Times New Roman" w:hAnsi="Times New Roman" w:cs="Times New Roman"/>
          <w:lang w:val="pt-BR"/>
        </w:rPr>
      </w:pPr>
      <w:r w:rsidRPr="00B8192F">
        <w:rPr>
          <w:rFonts w:ascii="Times New Roman" w:eastAsia="Times New Roman" w:hAnsi="Times New Roman" w:cs="Times New Roman"/>
          <w:lang w:val="pt-BR"/>
        </w:rPr>
        <w:t>O presente trabalho teve como objetivo analisar o lugar ocupado pela Educação de Jovens e Adultos nos currículos dos cursos de Letras da Universidade Federal de Santa Maria, problematizando sua presença na formação inicial docente. Fundamentado em perspectivas que compreendem o currículo como construção social, histórica e política, atravessada por relações de poder e processos de seleção cultural, o estudo permitiu evidenciar que a EJA ocupa uma posição periférica nos documentos curriculares investigados, configurando um processo de invisibilidade curricular que merece atenção no âmbito da formação de professores.</w:t>
      </w:r>
    </w:p>
    <w:p w14:paraId="7AF6D036" w14:textId="77777777" w:rsidR="00B8192F" w:rsidRPr="00B8192F" w:rsidRDefault="00B8192F" w:rsidP="00B8192F">
      <w:pPr>
        <w:spacing w:after="0" w:line="240" w:lineRule="auto"/>
        <w:ind w:firstLine="720"/>
        <w:jc w:val="both"/>
        <w:rPr>
          <w:rFonts w:ascii="Times New Roman" w:eastAsia="Times New Roman" w:hAnsi="Times New Roman" w:cs="Times New Roman"/>
          <w:lang w:val="pt-BR"/>
        </w:rPr>
      </w:pPr>
      <w:r w:rsidRPr="00B8192F">
        <w:rPr>
          <w:rFonts w:ascii="Times New Roman" w:eastAsia="Times New Roman" w:hAnsi="Times New Roman" w:cs="Times New Roman"/>
          <w:lang w:val="pt-BR"/>
        </w:rPr>
        <w:t>Os resultados indicam que a reduzida presença da EJA nos currículos analisados não decorre de uma ausência generalizada de preocupações com as demandas contemporâneas da docência. Os cursos investigados incorporam discussões relacionadas à educação especial, à Libras, às tecnologias digitais, à educação a distância e às políticas educacionais, demonstrando sensibilidade a diferentes dimensões da atuação profissional. Nesse contexto, a invisibilidade da EJA não pode ser compreendida como mera omissão ou ausência casual, mas como resultado de processos de seleção, legitimação e hierarquização dos conhecimentos que definem quais sujeitos, modalidades e experiências educativas são reconhecidos como centrais na formação inicial.</w:t>
      </w:r>
    </w:p>
    <w:p w14:paraId="699EAABD" w14:textId="7BA96C3E" w:rsidR="00B8192F" w:rsidRPr="00B8192F" w:rsidRDefault="00B8192F" w:rsidP="00B8192F">
      <w:pPr>
        <w:spacing w:after="0" w:line="240" w:lineRule="auto"/>
        <w:ind w:firstLine="720"/>
        <w:jc w:val="both"/>
        <w:rPr>
          <w:rFonts w:ascii="Times New Roman" w:eastAsia="Times New Roman" w:hAnsi="Times New Roman" w:cs="Times New Roman"/>
          <w:lang w:val="pt-BR"/>
        </w:rPr>
      </w:pPr>
      <w:r w:rsidRPr="00B8192F">
        <w:rPr>
          <w:rFonts w:ascii="Times New Roman" w:eastAsia="Times New Roman" w:hAnsi="Times New Roman" w:cs="Times New Roman"/>
          <w:lang w:val="pt-BR"/>
        </w:rPr>
        <w:t>A partir das contribuições de</w:t>
      </w:r>
      <w:r w:rsidR="00A90C0F">
        <w:rPr>
          <w:rFonts w:ascii="Times New Roman" w:eastAsia="Times New Roman" w:hAnsi="Times New Roman" w:cs="Times New Roman"/>
          <w:lang w:val="pt-BR"/>
        </w:rPr>
        <w:t xml:space="preserve"> Gimeno</w:t>
      </w:r>
      <w:r w:rsidRPr="00B8192F">
        <w:rPr>
          <w:rFonts w:ascii="Times New Roman" w:eastAsia="Times New Roman" w:hAnsi="Times New Roman" w:cs="Times New Roman"/>
          <w:lang w:val="pt-BR"/>
        </w:rPr>
        <w:t xml:space="preserve"> </w:t>
      </w:r>
      <w:proofErr w:type="spellStart"/>
      <w:r w:rsidRPr="00B8192F">
        <w:rPr>
          <w:rFonts w:ascii="Times New Roman" w:eastAsia="Times New Roman" w:hAnsi="Times New Roman" w:cs="Times New Roman"/>
          <w:lang w:val="pt-BR"/>
        </w:rPr>
        <w:t>Sacristán</w:t>
      </w:r>
      <w:proofErr w:type="spellEnd"/>
      <w:r w:rsidRPr="00B8192F">
        <w:rPr>
          <w:rFonts w:ascii="Times New Roman" w:eastAsia="Times New Roman" w:hAnsi="Times New Roman" w:cs="Times New Roman"/>
          <w:lang w:val="pt-BR"/>
        </w:rPr>
        <w:t xml:space="preserve"> (2000), compreende-se que o currículo constitui uma práxis social e cultural, produzida nas relações entre políticas, instituições e sujeitos. Desse modo, a invisibilidade identificada neste estudo ultrapassa a simples ausência de disciplinas específicas, revelando processos curriculares que atribuem maior centralidade a determinados campos de atuação docente em detrimento de outros. Sob essa perspectiva, os silenciamentos curriculares também produzem </w:t>
      </w:r>
      <w:r w:rsidRPr="00B8192F">
        <w:rPr>
          <w:rFonts w:ascii="Times New Roman" w:eastAsia="Times New Roman" w:hAnsi="Times New Roman" w:cs="Times New Roman"/>
          <w:lang w:val="pt-BR"/>
        </w:rPr>
        <w:lastRenderedPageBreak/>
        <w:t>significados e participam da definição do que é considerado relevante para a formação profissional.</w:t>
      </w:r>
    </w:p>
    <w:p w14:paraId="07091012" w14:textId="77777777" w:rsidR="00B8192F" w:rsidRPr="00B8192F" w:rsidRDefault="00B8192F" w:rsidP="00B8192F">
      <w:pPr>
        <w:spacing w:after="0" w:line="240" w:lineRule="auto"/>
        <w:ind w:firstLine="720"/>
        <w:jc w:val="both"/>
        <w:rPr>
          <w:rFonts w:ascii="Times New Roman" w:eastAsia="Times New Roman" w:hAnsi="Times New Roman" w:cs="Times New Roman"/>
          <w:lang w:val="pt-BR"/>
        </w:rPr>
      </w:pPr>
      <w:r w:rsidRPr="00B8192F">
        <w:rPr>
          <w:rFonts w:ascii="Times New Roman" w:eastAsia="Times New Roman" w:hAnsi="Times New Roman" w:cs="Times New Roman"/>
          <w:lang w:val="pt-BR"/>
        </w:rPr>
        <w:t xml:space="preserve">As contribuições dos estudos críticos do currículo permitem compreender que os processos de seleção curricular são atravessados por relações de poder. Conforme discutem Silva (2000) e Apple (2006), o currículo constitui um espaço de disputas em que determinados conhecimentos são legitimados enquanto outros permanecem em posições periféricas. Nesse sentido, a reduzida visibilidade da EJA nos cursos de formação inicial </w:t>
      </w:r>
      <w:proofErr w:type="gramStart"/>
      <w:r w:rsidRPr="00B8192F">
        <w:rPr>
          <w:rFonts w:ascii="Times New Roman" w:eastAsia="Times New Roman" w:hAnsi="Times New Roman" w:cs="Times New Roman"/>
          <w:lang w:val="pt-BR"/>
        </w:rPr>
        <w:t>evidencia</w:t>
      </w:r>
      <w:proofErr w:type="gramEnd"/>
      <w:r w:rsidRPr="00B8192F">
        <w:rPr>
          <w:rFonts w:ascii="Times New Roman" w:eastAsia="Times New Roman" w:hAnsi="Times New Roman" w:cs="Times New Roman"/>
          <w:lang w:val="pt-BR"/>
        </w:rPr>
        <w:t xml:space="preserve"> não apenas uma ausência temática, mas a produção de determinados lugares para os sujeitos da modalidade no interior das políticas e práticas de formação docente.</w:t>
      </w:r>
    </w:p>
    <w:p w14:paraId="01BA3C3D" w14:textId="77777777" w:rsidR="00B8192F" w:rsidRPr="00B8192F" w:rsidRDefault="00B8192F" w:rsidP="00B8192F">
      <w:pPr>
        <w:spacing w:after="0" w:line="240" w:lineRule="auto"/>
        <w:ind w:firstLine="720"/>
        <w:jc w:val="both"/>
        <w:rPr>
          <w:rFonts w:ascii="Times New Roman" w:eastAsia="Times New Roman" w:hAnsi="Times New Roman" w:cs="Times New Roman"/>
          <w:lang w:val="pt-BR"/>
        </w:rPr>
      </w:pPr>
      <w:r w:rsidRPr="00B8192F">
        <w:rPr>
          <w:rFonts w:ascii="Times New Roman" w:eastAsia="Times New Roman" w:hAnsi="Times New Roman" w:cs="Times New Roman"/>
          <w:lang w:val="pt-BR"/>
        </w:rPr>
        <w:t>Essa constatação assume especial relevância ao se considerar que os estudantes da EJA são sujeitos historicamente marcados por processos de exclusão educacional e negação do direito à escolarização. A permanência da modalidade em posição periférica nos currículos de licenciatura pode contribuir para a reprodução de desigualdades históricas, dificultando o reconhecimento das especificidades desses sujeitos e de suas trajetórias. Como argumentam Freire (1987) e Di Pierro (2017), a construção de uma educação comprometida com a justiça social pressupõe o reconhecimento das experiências, dos saberes e das condições concretas de vida dos educandos, exigindo processos formativos capazes de dialogar com tais especificidades.</w:t>
      </w:r>
    </w:p>
    <w:p w14:paraId="60A59E64" w14:textId="77777777" w:rsidR="00B8192F" w:rsidRPr="00B8192F" w:rsidRDefault="00B8192F" w:rsidP="00B8192F">
      <w:pPr>
        <w:spacing w:after="0" w:line="240" w:lineRule="auto"/>
        <w:ind w:firstLine="720"/>
        <w:jc w:val="both"/>
        <w:rPr>
          <w:rFonts w:ascii="Times New Roman" w:eastAsia="Times New Roman" w:hAnsi="Times New Roman" w:cs="Times New Roman"/>
          <w:lang w:val="pt-BR"/>
        </w:rPr>
      </w:pPr>
      <w:r w:rsidRPr="00B8192F">
        <w:rPr>
          <w:rFonts w:ascii="Times New Roman" w:eastAsia="Times New Roman" w:hAnsi="Times New Roman" w:cs="Times New Roman"/>
          <w:lang w:val="pt-BR"/>
        </w:rPr>
        <w:t>Os resultados também suscitam reflexões acerca das políticas e das diretrizes que orientam a formação inicial de professores. Embora a EJA integre a educação básica brasileira e constitua uma modalidade prevista na legislação educacional, sua presença nos currículos das licenciaturas permanece pouco explicitada. Tal cenário reforça a necessidade de ampliar o debate sobre a formação docente para a modalidade, buscando fortalecer sua inserção nos projetos formativos e reconhecer a especificidade da docência na EJA.</w:t>
      </w:r>
    </w:p>
    <w:p w14:paraId="4CBA3EF1" w14:textId="77777777" w:rsidR="00B8192F" w:rsidRPr="00B8192F" w:rsidRDefault="00B8192F" w:rsidP="00B8192F">
      <w:pPr>
        <w:spacing w:after="0" w:line="240" w:lineRule="auto"/>
        <w:ind w:firstLine="720"/>
        <w:jc w:val="both"/>
        <w:rPr>
          <w:rFonts w:ascii="Times New Roman" w:eastAsia="Times New Roman" w:hAnsi="Times New Roman" w:cs="Times New Roman"/>
          <w:lang w:val="pt-BR"/>
        </w:rPr>
      </w:pPr>
      <w:r w:rsidRPr="00B8192F">
        <w:rPr>
          <w:rFonts w:ascii="Times New Roman" w:eastAsia="Times New Roman" w:hAnsi="Times New Roman" w:cs="Times New Roman"/>
          <w:lang w:val="pt-BR"/>
        </w:rPr>
        <w:t>Por tratar-se de uma pesquisa em desenvolvimento, os resultados apresentados correspondem a uma etapa inicial da investigação. O aprofundamento da análise das ementas, dos estágios, das práticas pedagógicas e das percepções dos sujeitos envolvidos poderá oferecer novos elementos para compreender os processos de invisibilização curricular da EJA na formação inicial. Espera-se, assim, que este estudo contribua para deslocar o debate da simples identificação de ausências curriculares para a compreensão dos processos de seleção, legitimação e invisibilização que produzem determinados lugares para a EJA nos currículos de formação docente. Ao evidenciar essas dinâmicas, a pesquisa busca ampliar a reflexão sobre as relações entre currículo, formação de professores e justiça curricular no contexto da educação básica brasileira.</w:t>
      </w:r>
    </w:p>
    <w:p w14:paraId="62C27D40" w14:textId="77777777" w:rsidR="002967EA" w:rsidRPr="002967EA" w:rsidRDefault="002967EA" w:rsidP="002967EA">
      <w:pPr>
        <w:spacing w:after="0" w:line="240" w:lineRule="auto"/>
        <w:ind w:firstLine="720"/>
        <w:jc w:val="both"/>
        <w:rPr>
          <w:lang w:val="pt-BR"/>
        </w:rPr>
      </w:pPr>
    </w:p>
    <w:p w14:paraId="33CFF1CA" w14:textId="77777777" w:rsidR="002967EA" w:rsidRPr="00AC640C" w:rsidRDefault="002967EA" w:rsidP="002967EA">
      <w:pPr>
        <w:spacing w:line="240" w:lineRule="auto"/>
        <w:rPr>
          <w:rFonts w:ascii="Times New Roman" w:hAnsi="Times New Roman" w:cs="Times New Roman"/>
          <w:b/>
          <w:bCs/>
          <w:lang w:val="pt-BR"/>
        </w:rPr>
      </w:pPr>
      <w:proofErr w:type="spellStart"/>
      <w:r w:rsidRPr="00AC640C">
        <w:rPr>
          <w:rFonts w:ascii="Times New Roman" w:hAnsi="Times New Roman" w:cs="Times New Roman"/>
          <w:b/>
          <w:bCs/>
          <w:lang w:val="pt-BR"/>
        </w:rPr>
        <w:t>Referencias</w:t>
      </w:r>
      <w:proofErr w:type="spellEnd"/>
      <w:r w:rsidRPr="00AC640C">
        <w:rPr>
          <w:rFonts w:ascii="Times New Roman" w:hAnsi="Times New Roman" w:cs="Times New Roman"/>
          <w:b/>
          <w:bCs/>
          <w:lang w:val="pt-BR"/>
        </w:rPr>
        <w:t xml:space="preserve"> Bibliográficas (APA 7)</w:t>
      </w:r>
    </w:p>
    <w:p w14:paraId="29454F0F"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Apple, M. W. (2006). </w:t>
      </w:r>
      <w:r w:rsidRPr="00173849">
        <w:rPr>
          <w:rFonts w:ascii="Times New Roman" w:eastAsia="Times New Roman" w:hAnsi="Times New Roman" w:cs="Times New Roman"/>
          <w:i/>
          <w:iCs/>
          <w:lang w:val="pt-BR"/>
        </w:rPr>
        <w:t>Ideologia e currículo</w:t>
      </w:r>
      <w:r w:rsidRPr="00173849">
        <w:rPr>
          <w:rFonts w:ascii="Times New Roman" w:eastAsia="Times New Roman" w:hAnsi="Times New Roman" w:cs="Times New Roman"/>
          <w:lang w:val="pt-BR"/>
        </w:rPr>
        <w:t xml:space="preserve"> (3. ed.). Artmed.</w:t>
      </w:r>
    </w:p>
    <w:p w14:paraId="62F6CDC9" w14:textId="77777777" w:rsid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Brasil. (1996). </w:t>
      </w:r>
      <w:r w:rsidRPr="00173849">
        <w:rPr>
          <w:rFonts w:ascii="Times New Roman" w:eastAsia="Times New Roman" w:hAnsi="Times New Roman" w:cs="Times New Roman"/>
          <w:i/>
          <w:iCs/>
          <w:lang w:val="pt-BR"/>
        </w:rPr>
        <w:t>Lei n.º 9.394, de 20 de dezembro de 1996. Estabelece as diretrizes e bases da educação nacional</w:t>
      </w:r>
      <w:r w:rsidRPr="00173849">
        <w:rPr>
          <w:rFonts w:ascii="Times New Roman" w:eastAsia="Times New Roman" w:hAnsi="Times New Roman" w:cs="Times New Roman"/>
          <w:lang w:val="pt-BR"/>
        </w:rPr>
        <w:t xml:space="preserve">. </w:t>
      </w:r>
      <w:hyperlink r:id="rId6" w:tgtFrame="_new" w:history="1">
        <w:r w:rsidRPr="00173849">
          <w:rPr>
            <w:rStyle w:val="Hyperlink"/>
            <w:rFonts w:ascii="Times New Roman" w:eastAsia="Times New Roman" w:hAnsi="Times New Roman" w:cs="Times New Roman"/>
            <w:lang w:val="pt-BR"/>
          </w:rPr>
          <w:t>https://www.planalto.gov.br/ccivil_03/leis/l9394.htm</w:t>
        </w:r>
      </w:hyperlink>
      <w:r w:rsidRPr="00173849">
        <w:rPr>
          <w:rFonts w:ascii="Times New Roman" w:eastAsia="Times New Roman" w:hAnsi="Times New Roman" w:cs="Times New Roman"/>
          <w:lang w:val="pt-BR"/>
        </w:rPr>
        <w:t xml:space="preserve"> </w:t>
      </w:r>
    </w:p>
    <w:p w14:paraId="314181F8"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Brasil. Conselho Nacional de Educação. (2000). </w:t>
      </w:r>
      <w:r w:rsidRPr="00173849">
        <w:rPr>
          <w:rFonts w:ascii="Times New Roman" w:eastAsia="Times New Roman" w:hAnsi="Times New Roman" w:cs="Times New Roman"/>
          <w:i/>
          <w:iCs/>
          <w:lang w:val="pt-BR"/>
        </w:rPr>
        <w:t>Parecer CNE/CEB n.º 11/2000: Diretrizes Curriculares Nacionais para a Educação de Jovens e Adultos</w:t>
      </w:r>
      <w:r w:rsidRPr="00173849">
        <w:rPr>
          <w:rFonts w:ascii="Times New Roman" w:eastAsia="Times New Roman" w:hAnsi="Times New Roman" w:cs="Times New Roman"/>
          <w:lang w:val="pt-BR"/>
        </w:rPr>
        <w:t>. http://portal.mec.gov.br/cne/arquivos/pdf/PCB11_2000.pdf</w:t>
      </w:r>
    </w:p>
    <w:p w14:paraId="3923DACA"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lastRenderedPageBreak/>
        <w:t xml:space="preserve">Brasil. Conselho Nacional de Educação. (2000). </w:t>
      </w:r>
      <w:r w:rsidRPr="00173849">
        <w:rPr>
          <w:rFonts w:ascii="Times New Roman" w:eastAsia="Times New Roman" w:hAnsi="Times New Roman" w:cs="Times New Roman"/>
          <w:i/>
          <w:iCs/>
          <w:lang w:val="pt-BR"/>
        </w:rPr>
        <w:t>Resolução CNE/CEB n.º 1, de 5 de julho de 2000. Institui as Diretrizes Curriculares Nacionais para a Educação de Jovens e Adultos</w:t>
      </w:r>
      <w:r w:rsidRPr="00173849">
        <w:rPr>
          <w:rFonts w:ascii="Times New Roman" w:eastAsia="Times New Roman" w:hAnsi="Times New Roman" w:cs="Times New Roman"/>
          <w:lang w:val="pt-BR"/>
        </w:rPr>
        <w:t>. http://portal.mec.gov.br/cne/arquivos/pdf/CEB012000.pdf</w:t>
      </w:r>
    </w:p>
    <w:p w14:paraId="2F8D4D1A"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Brasil. Conselho Nacional de Educação. (2019). </w:t>
      </w:r>
      <w:r w:rsidRPr="00173849">
        <w:rPr>
          <w:rFonts w:ascii="Times New Roman" w:eastAsia="Times New Roman" w:hAnsi="Times New Roman" w:cs="Times New Roman"/>
          <w:i/>
          <w:iCs/>
          <w:lang w:val="pt-BR"/>
        </w:rPr>
        <w:t>Resolução CNE/CP n.º 2, de 20 de dezembro de 2019. Define as Diretrizes Curriculares Nacionais para a Formação Inicial de Professores para a Educação Básica e institui a Base Nacional Comum para a Formação Inicial de Professores da Educação Básica (BNC-Formação)</w:t>
      </w:r>
      <w:r w:rsidRPr="00173849">
        <w:rPr>
          <w:rFonts w:ascii="Times New Roman" w:eastAsia="Times New Roman" w:hAnsi="Times New Roman" w:cs="Times New Roman"/>
          <w:lang w:val="pt-BR"/>
        </w:rPr>
        <w:t>. https://normativasconselhos.mec.gov.br/normativa/view/CNE_RES_CNECPN22019.pdf</w:t>
      </w:r>
    </w:p>
    <w:p w14:paraId="5AD3B07E"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Di Pierro, Maria Clara. (2017). A educação de jovens e adultos no Plano Nacional de Educação: Avaliação, desafios e perspectivas. </w:t>
      </w:r>
      <w:r w:rsidRPr="00173849">
        <w:rPr>
          <w:rFonts w:ascii="Times New Roman" w:eastAsia="Times New Roman" w:hAnsi="Times New Roman" w:cs="Times New Roman"/>
          <w:i/>
          <w:iCs/>
          <w:lang w:val="pt-BR"/>
        </w:rPr>
        <w:t>Educação &amp; Sociedade, 38</w:t>
      </w:r>
      <w:r w:rsidRPr="00173849">
        <w:rPr>
          <w:rFonts w:ascii="Times New Roman" w:eastAsia="Times New Roman" w:hAnsi="Times New Roman" w:cs="Times New Roman"/>
          <w:lang w:val="pt-BR"/>
        </w:rPr>
        <w:t>(138), 27–42. https://doi.org/10.1590/ES0101-73302017167764</w:t>
      </w:r>
    </w:p>
    <w:p w14:paraId="0626A7A5"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Freire, Paulo. (1987). </w:t>
      </w:r>
      <w:r w:rsidRPr="00173849">
        <w:rPr>
          <w:rFonts w:ascii="Times New Roman" w:eastAsia="Times New Roman" w:hAnsi="Times New Roman" w:cs="Times New Roman"/>
          <w:i/>
          <w:iCs/>
          <w:lang w:val="pt-BR"/>
        </w:rPr>
        <w:t>Pedagogia do oprimido</w:t>
      </w:r>
      <w:r w:rsidRPr="00173849">
        <w:rPr>
          <w:rFonts w:ascii="Times New Roman" w:eastAsia="Times New Roman" w:hAnsi="Times New Roman" w:cs="Times New Roman"/>
          <w:lang w:val="pt-BR"/>
        </w:rPr>
        <w:t xml:space="preserve"> (17. ed.). Paz e Terra.</w:t>
      </w:r>
    </w:p>
    <w:p w14:paraId="13FA1E90"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Gimeno </w:t>
      </w:r>
      <w:proofErr w:type="spellStart"/>
      <w:r w:rsidRPr="00173849">
        <w:rPr>
          <w:rFonts w:ascii="Times New Roman" w:eastAsia="Times New Roman" w:hAnsi="Times New Roman" w:cs="Times New Roman"/>
          <w:lang w:val="pt-BR"/>
        </w:rPr>
        <w:t>Sacristán</w:t>
      </w:r>
      <w:proofErr w:type="spellEnd"/>
      <w:r w:rsidRPr="00173849">
        <w:rPr>
          <w:rFonts w:ascii="Times New Roman" w:eastAsia="Times New Roman" w:hAnsi="Times New Roman" w:cs="Times New Roman"/>
          <w:lang w:val="pt-BR"/>
        </w:rPr>
        <w:t xml:space="preserve">, José. (2000). </w:t>
      </w:r>
      <w:r w:rsidRPr="00173849">
        <w:rPr>
          <w:rFonts w:ascii="Times New Roman" w:eastAsia="Times New Roman" w:hAnsi="Times New Roman" w:cs="Times New Roman"/>
          <w:i/>
          <w:iCs/>
          <w:lang w:val="pt-BR"/>
        </w:rPr>
        <w:t>O currículo: Uma reflexão sobre a prática</w:t>
      </w:r>
      <w:r w:rsidRPr="00173849">
        <w:rPr>
          <w:rFonts w:ascii="Times New Roman" w:eastAsia="Times New Roman" w:hAnsi="Times New Roman" w:cs="Times New Roman"/>
          <w:lang w:val="pt-BR"/>
        </w:rPr>
        <w:t xml:space="preserve"> (3. ed.). Artmed.</w:t>
      </w:r>
    </w:p>
    <w:p w14:paraId="7D7347EF"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Haddad, Sérgio., &amp; Di Pierro, Maria Clara. (2000). Escolarização de jovens e adultos. </w:t>
      </w:r>
      <w:r w:rsidRPr="00173849">
        <w:rPr>
          <w:rFonts w:ascii="Times New Roman" w:eastAsia="Times New Roman" w:hAnsi="Times New Roman" w:cs="Times New Roman"/>
          <w:i/>
          <w:iCs/>
          <w:lang w:val="pt-BR"/>
        </w:rPr>
        <w:t>Revista Brasileira de Educação</w:t>
      </w:r>
      <w:r w:rsidRPr="00173849">
        <w:rPr>
          <w:rFonts w:ascii="Times New Roman" w:eastAsia="Times New Roman" w:hAnsi="Times New Roman" w:cs="Times New Roman"/>
          <w:lang w:val="pt-BR"/>
        </w:rPr>
        <w:t>, (14), 108–130.</w:t>
      </w:r>
    </w:p>
    <w:p w14:paraId="4A9BA2EB"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Paiva, Jane. (2006). Tramando concepções e sentidos para redizer o direito à educação de jovens e adultos. </w:t>
      </w:r>
      <w:r w:rsidRPr="00173849">
        <w:rPr>
          <w:rFonts w:ascii="Times New Roman" w:eastAsia="Times New Roman" w:hAnsi="Times New Roman" w:cs="Times New Roman"/>
          <w:i/>
          <w:iCs/>
          <w:lang w:val="pt-BR"/>
        </w:rPr>
        <w:t>Revista Brasileira de Educação, 11</w:t>
      </w:r>
      <w:r w:rsidRPr="00173849">
        <w:rPr>
          <w:rFonts w:ascii="Times New Roman" w:eastAsia="Times New Roman" w:hAnsi="Times New Roman" w:cs="Times New Roman"/>
          <w:lang w:val="pt-BR"/>
        </w:rPr>
        <w:t>(33), 519–539. https://doi.org/10.1590/S1413-24782006000300012</w:t>
      </w:r>
    </w:p>
    <w:p w14:paraId="4FC5FE64"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Silva, Tomaz Tadeu da. (2000). </w:t>
      </w:r>
      <w:r w:rsidRPr="00173849">
        <w:rPr>
          <w:rFonts w:ascii="Times New Roman" w:eastAsia="Times New Roman" w:hAnsi="Times New Roman" w:cs="Times New Roman"/>
          <w:i/>
          <w:iCs/>
          <w:lang w:val="pt-BR"/>
        </w:rPr>
        <w:t>Documentos de identidade: Uma introdução às teorias do currículo</w:t>
      </w:r>
      <w:r w:rsidRPr="00173849">
        <w:rPr>
          <w:rFonts w:ascii="Times New Roman" w:eastAsia="Times New Roman" w:hAnsi="Times New Roman" w:cs="Times New Roman"/>
          <w:lang w:val="pt-BR"/>
        </w:rPr>
        <w:t xml:space="preserve"> (2. ed.). Autêntica.</w:t>
      </w:r>
    </w:p>
    <w:p w14:paraId="79BD272E" w14:textId="77777777" w:rsidR="00173849" w:rsidRPr="00173849" w:rsidRDefault="00173849" w:rsidP="00173849">
      <w:pPr>
        <w:spacing w:after="0" w:line="240" w:lineRule="auto"/>
        <w:ind w:left="720" w:hanging="720"/>
        <w:jc w:val="both"/>
        <w:rPr>
          <w:rFonts w:ascii="Times New Roman" w:eastAsia="Times New Roman" w:hAnsi="Times New Roman" w:cs="Times New Roman"/>
          <w:lang w:val="pt-BR"/>
        </w:rPr>
      </w:pPr>
      <w:r w:rsidRPr="00173849">
        <w:rPr>
          <w:rFonts w:ascii="Times New Roman" w:eastAsia="Times New Roman" w:hAnsi="Times New Roman" w:cs="Times New Roman"/>
          <w:lang w:val="pt-BR"/>
        </w:rPr>
        <w:t xml:space="preserve">Soares, Leôncio. (2008). O educador de jovens e adultos em formação. In </w:t>
      </w:r>
      <w:r w:rsidRPr="00173849">
        <w:rPr>
          <w:rFonts w:ascii="Times New Roman" w:eastAsia="Times New Roman" w:hAnsi="Times New Roman" w:cs="Times New Roman"/>
          <w:i/>
          <w:iCs/>
          <w:lang w:val="pt-BR"/>
        </w:rPr>
        <w:t xml:space="preserve">31ª Reunião Anual da </w:t>
      </w:r>
      <w:proofErr w:type="spellStart"/>
      <w:r w:rsidRPr="00173849">
        <w:rPr>
          <w:rFonts w:ascii="Times New Roman" w:eastAsia="Times New Roman" w:hAnsi="Times New Roman" w:cs="Times New Roman"/>
          <w:i/>
          <w:iCs/>
          <w:lang w:val="pt-BR"/>
        </w:rPr>
        <w:t>ANPEd</w:t>
      </w:r>
      <w:proofErr w:type="spellEnd"/>
      <w:r w:rsidRPr="00173849">
        <w:rPr>
          <w:rFonts w:ascii="Times New Roman" w:eastAsia="Times New Roman" w:hAnsi="Times New Roman" w:cs="Times New Roman"/>
          <w:i/>
          <w:iCs/>
          <w:lang w:val="pt-BR"/>
        </w:rPr>
        <w:t>: Constituição Brasileira, Direitos Humanos e Educação</w:t>
      </w:r>
      <w:r w:rsidRPr="00173849">
        <w:rPr>
          <w:rFonts w:ascii="Times New Roman" w:eastAsia="Times New Roman" w:hAnsi="Times New Roman" w:cs="Times New Roman"/>
          <w:lang w:val="pt-BR"/>
        </w:rPr>
        <w:t xml:space="preserve">. </w:t>
      </w:r>
      <w:proofErr w:type="spellStart"/>
      <w:r w:rsidRPr="00173849">
        <w:rPr>
          <w:rFonts w:ascii="Times New Roman" w:eastAsia="Times New Roman" w:hAnsi="Times New Roman" w:cs="Times New Roman"/>
          <w:lang w:val="pt-BR"/>
        </w:rPr>
        <w:t>ANPEd</w:t>
      </w:r>
      <w:proofErr w:type="spellEnd"/>
      <w:r w:rsidRPr="00173849">
        <w:rPr>
          <w:rFonts w:ascii="Times New Roman" w:eastAsia="Times New Roman" w:hAnsi="Times New Roman" w:cs="Times New Roman"/>
          <w:lang w:val="pt-BR"/>
        </w:rPr>
        <w:t>. https://www.anped.org.br</w:t>
      </w:r>
    </w:p>
    <w:p w14:paraId="02DE4458" w14:textId="79400D25" w:rsidR="002967EA" w:rsidRPr="002967EA" w:rsidRDefault="002967EA" w:rsidP="00173849">
      <w:pPr>
        <w:spacing w:after="0" w:line="240" w:lineRule="auto"/>
        <w:ind w:left="720" w:hanging="720"/>
        <w:jc w:val="both"/>
        <w:rPr>
          <w:lang w:val="pt-BR"/>
        </w:rPr>
      </w:pPr>
    </w:p>
    <w:sectPr w:rsidR="002967EA" w:rsidRPr="002967EA"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D7A2C" w14:textId="77777777" w:rsidR="00DE1E85" w:rsidRPr="00BA642E" w:rsidRDefault="00DE1E85" w:rsidP="00C802F5">
      <w:pPr>
        <w:spacing w:after="0" w:line="240" w:lineRule="auto"/>
      </w:pPr>
      <w:r w:rsidRPr="00BA642E">
        <w:separator/>
      </w:r>
    </w:p>
  </w:endnote>
  <w:endnote w:type="continuationSeparator" w:id="0">
    <w:p w14:paraId="5020C491" w14:textId="77777777" w:rsidR="00DE1E85" w:rsidRPr="00BA642E" w:rsidRDefault="00DE1E8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E222A" w14:textId="77777777" w:rsidR="00DE1E85" w:rsidRPr="00BA642E" w:rsidRDefault="00DE1E85" w:rsidP="00C802F5">
      <w:pPr>
        <w:spacing w:after="0" w:line="240" w:lineRule="auto"/>
      </w:pPr>
      <w:r w:rsidRPr="00BA642E">
        <w:separator/>
      </w:r>
    </w:p>
  </w:footnote>
  <w:footnote w:type="continuationSeparator" w:id="0">
    <w:p w14:paraId="5CD77582" w14:textId="77777777" w:rsidR="00DE1E85" w:rsidRPr="00BA642E" w:rsidRDefault="00DE1E8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4127E"/>
    <w:rsid w:val="00060A68"/>
    <w:rsid w:val="00150021"/>
    <w:rsid w:val="00173849"/>
    <w:rsid w:val="001816D6"/>
    <w:rsid w:val="00185F5E"/>
    <w:rsid w:val="001923DC"/>
    <w:rsid w:val="002327C3"/>
    <w:rsid w:val="0027217C"/>
    <w:rsid w:val="00277B9C"/>
    <w:rsid w:val="002967EA"/>
    <w:rsid w:val="002B17AD"/>
    <w:rsid w:val="002F75BE"/>
    <w:rsid w:val="00312392"/>
    <w:rsid w:val="00380340"/>
    <w:rsid w:val="0038612B"/>
    <w:rsid w:val="00403518"/>
    <w:rsid w:val="004040C0"/>
    <w:rsid w:val="00437E9C"/>
    <w:rsid w:val="004C50B1"/>
    <w:rsid w:val="004E1A1A"/>
    <w:rsid w:val="00550766"/>
    <w:rsid w:val="005E26E3"/>
    <w:rsid w:val="005F3B2E"/>
    <w:rsid w:val="00617E7E"/>
    <w:rsid w:val="00701F64"/>
    <w:rsid w:val="007B5B5F"/>
    <w:rsid w:val="007D233B"/>
    <w:rsid w:val="0085070B"/>
    <w:rsid w:val="00932F08"/>
    <w:rsid w:val="00A17247"/>
    <w:rsid w:val="00A90C0F"/>
    <w:rsid w:val="00AA66C0"/>
    <w:rsid w:val="00AC640C"/>
    <w:rsid w:val="00B03C65"/>
    <w:rsid w:val="00B36189"/>
    <w:rsid w:val="00B8192F"/>
    <w:rsid w:val="00BA642E"/>
    <w:rsid w:val="00BC236F"/>
    <w:rsid w:val="00C76F2D"/>
    <w:rsid w:val="00C802F5"/>
    <w:rsid w:val="00C96B2C"/>
    <w:rsid w:val="00CB1314"/>
    <w:rsid w:val="00CC04C1"/>
    <w:rsid w:val="00CF3E65"/>
    <w:rsid w:val="00D56962"/>
    <w:rsid w:val="00D843EC"/>
    <w:rsid w:val="00DE1E85"/>
    <w:rsid w:val="00DE2EC8"/>
    <w:rsid w:val="00E45D23"/>
    <w:rsid w:val="00F30ADC"/>
    <w:rsid w:val="00F85A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lanalto.gov.br/ccivil_03/leis/l9394.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5731</Words>
  <Characters>30952</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Fernanda Cristofari Machado</cp:lastModifiedBy>
  <cp:revision>2</cp:revision>
  <dcterms:created xsi:type="dcterms:W3CDTF">2026-07-01T12:30:00Z</dcterms:created>
  <dcterms:modified xsi:type="dcterms:W3CDTF">2026-07-01T12:30:00Z</dcterms:modified>
</cp:coreProperties>
</file>