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 interrogante que se renueva en tiempos de cambio epocal: </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Universidades ¿del o en el Conurbano? </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Fracchia Diego 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UNTREF</w:t>
      </w:r>
    </w:p>
    <w:p w:rsidR="00000000" w:rsidDel="00000000" w:rsidP="00000000" w:rsidRDefault="00000000" w:rsidRPr="00000000" w14:paraId="00000007">
      <w:pPr>
        <w:ind w:left="566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hyperlink r:id="rId8">
        <w:r w:rsidDel="00000000" w:rsidR="00000000" w:rsidRPr="00000000">
          <w:rPr>
            <w:rFonts w:ascii="Times New Roman" w:cs="Times New Roman" w:eastAsia="Times New Roman" w:hAnsi="Times New Roman"/>
            <w:color w:val="0563c1"/>
            <w:u w:val="single"/>
            <w:rtl w:val="0"/>
          </w:rPr>
          <w:t xml:space="preserve">dfracchia@untref.edu.ar</w:t>
        </w:r>
      </w:hyperlink>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Gracian Carlos D.</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UNTREF</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cgracian@untref.edu.ar</w:t>
        </w:r>
      </w:hyperlink>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D">
      <w:pPr>
        <w:spacing w:line="240" w:lineRule="auto"/>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Resumen</w:t>
      </w:r>
    </w:p>
    <w:p w:rsidR="00000000" w:rsidDel="00000000" w:rsidP="00000000" w:rsidRDefault="00000000" w:rsidRPr="00000000" w14:paraId="0000000E">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busca indagar de qué manera determinados procesos, ligados a la emergencia de un conjunto de nuevas propuestas de existencia o formas de ser - estar en el mundo (subjetividades), reconfiguran el peso de viejos dilemas que atraviesan a las Universidades; a la vez que contribuyen a la composición de otros nuevos. Para pensar de qué manera la emergencia de nuevas formas de subjetivación (o modos aceptados de devenir sujetos) impactan en la vida institucional partimos de la siguiente premisa: las subjetividades no son el resultado de elecciones individuales autónomas, sino que se configuran en el marco de relaciones de poder que delimitan los horizontes de acción, percepción y experiencia de los sujetos. Donde la concreción de estos procesos implica la puesta en marcha de una serie de dispositivos que, a partir de estimulaciones, oclusiones y canalizaciones dotan a cada individuo de un conjunto de habilidades y aptitudes, así como también de ciertas incapacidades y carencias, en razón de las cuales se insertan en los modos existentes de interacción social, a la par que asumen como naturales-normales esos vínculos. Como pretendemos mostrar, los procesos constitutivos de las subjetividades se nuclean en torno de la disolución de la historia como soporte de las identidades sociales, la desarticulación de lo social como referencia de las experiencias y una descomposición de la imaginación política —del futuro como proyecto compartido— abren un arco de preguntas sobre el lugar de la Universidad y sus funciones. El más urgente es cómo responder al imperativo de la “adaptación”. Si lo que queda por hacer en este contexto es adecuarse —limitándose a ser una institución formadora en el manejo técnico de los contenidos y la información, asumiendo como su único rol ser la transmisora de saberes destinados a cualificar para el proceso productivo; si el proyecto universitario se acota a esta función, su resultado se traduce en la generación de en un profesionalismo acrítico – descontextualizado / desterritorializado, lo que repercute directamente sobre la noción y valoración, no solo del conocimiento, sino de lo público y lo común, y, por tanto, de lo ‘político’. </w:t>
      </w:r>
    </w:p>
    <w:p w:rsidR="00000000" w:rsidDel="00000000" w:rsidP="00000000" w:rsidRDefault="00000000" w:rsidRPr="00000000" w14:paraId="0000000F">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función de este cuadro, se imponen algunas preguntas: por un lado, respecto de las nuevas subjetividades, ¿qué elementos constituyen los límites de la posibilidad de devenir sujeto en la actualidad? ¿Sobre qué fundamentos se elaboran las identificaciones colectivas? ¿De qué modo repercuten las transformaciones en las lógicas sociales de funcionamiento (códigos/valores, prácticas/instituciones e imaginarios) con la concepción de lo común y por tanto, en la esfera pública - política? Estos procesos y tensiones determinan las pautas a partir de las cuales se valora y valida el conocimiento generado en estos espacios académicos, así como los modos de construir las identidades institucionales. Nuestras instituciones se encuentran, se nutren y se vinculan con un público, sus estudiantes, cuyas perspectivas y expectativas sobre la vida académica han variado respecto de las anteriores formas históricas, pero ya no se trata solamente del fenómeno de los “estudiantes de nuevo ingreso”. </w:t>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Nuevas subjetividades, Futuro, participación política</w:t>
      </w: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Introducción</w:t>
      </w:r>
      <w:r w:rsidDel="00000000" w:rsidR="00000000" w:rsidRPr="00000000">
        <w:rPr>
          <w:rtl w:val="0"/>
        </w:rPr>
      </w:r>
    </w:p>
    <w:p w:rsidR="00000000" w:rsidDel="00000000" w:rsidP="00000000" w:rsidRDefault="00000000" w:rsidRPr="00000000" w14:paraId="00000013">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de esta ponencia se enmarca en el trabajo que venimos desarrollando en la cátedra de Introducción a la Problemática del Mundo Contemporáneo. Esta es una de las cuatro materias del Ciclo de Formación General Básica de la UNTREF, por la que pasan todos los estudiantes de las diversas carreras durante sus primeros años de estudio. </w:t>
      </w:r>
    </w:p>
    <w:p w:rsidR="00000000" w:rsidDel="00000000" w:rsidP="00000000" w:rsidRDefault="00000000" w:rsidRPr="00000000" w14:paraId="00000014">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su origen, hace ya dos décadas, este ha sido un espacio donde la producción investigativa y la participación en foros de debates se constituyó en uno de los pilares de su actividad académica. Dada la particularidad de ser una materia transversal a todas las áreas de formación académica-profesional, el volúmen de las comisiones y la heterogeneidad del estudiantado se ha establecido como un singular punto de mira de la vida universitaria. Y desde allí se han enmarcado las producciones destinadas a intervenir en los diversos ámbitos de intercambio, haciendo de nuestra práctica y experiencia docente una parte relevante de nuestros estudios. </w:t>
      </w:r>
    </w:p>
    <w:p w:rsidR="00000000" w:rsidDel="00000000" w:rsidP="00000000" w:rsidRDefault="00000000" w:rsidRPr="00000000" w14:paraId="00000015">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repaso sucinto de este recorrido, es posible dar cuenta de dos momentos en los que el foco de nuestra mirada se posa en un vértice distinto cada vez para analizar el panorama. La nuestra ha sido una experiencia pedagógica atravesada por la singularidad de ser un espacio curricular pensado y puesto en práctica bajo la dinámica de taller. Asumir el proceso educativo desde la apuesta de colocar en el centro de las clases y las formas evaluativas al estudiante como sujeto activo —buscando con ello generar un posicionamiento reflexivo y crítico— ha sido tanto el horizonte propuesto para nuestra labor áulica, como el disparador de nuestras reflexiones (a la búsqueda de una retroalimentación superadora de nuestras prácticas). Por ello, es posible distinguir una primera etapa en nuestras indagaciones (2005 - 2017) donde las producciones estuvieron más centradas en los procesos de enseñanza-aprendizaje, los modos de producir/socializar saberes, las prácticas docentes y el lugar de los estudiantes (“nuevos”) al interior de estas dinámicas institucionales. Mientras que en un segundo momento de nuestras exploraciones e investigaciones (a partir de 2018) donde, sin dejar de lado esa primigenia preocupación que hace a nuestra labor docente, comenzamos a asentar el encuadre de nuestros análisis a partir de la emergencia del quiebre epocal, el cual se vio confirmado en su rumbo y acelerado en su ritmo a partir de la  la pandemia.</w:t>
      </w:r>
    </w:p>
    <w:p w:rsidR="00000000" w:rsidDel="00000000" w:rsidP="00000000" w:rsidRDefault="00000000" w:rsidRPr="00000000" w14:paraId="00000016">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singularidad histórica no produjo un cambio en el sentido de la lógica social, sino que operó como un acelerador de dinámicas que ya estaban en marcha en las últimas décadas: la  consolidación de un campo social en el que somos colocados a componer nuestra existencia, a darles sentido y significación a nuestras experiencias vitales, a partir de los principios de la mercantilización (consumo “sin límites”), la financiarización (endeudamiento permanente), el entretenimiento (espectacularización de la cotidianidad), la virtualización (digitalización de los vínculos e interacciones) y el rendimiento (competencia, maximización y “utilidad”).</w:t>
      </w:r>
    </w:p>
    <w:p w:rsidR="00000000" w:rsidDel="00000000" w:rsidP="00000000" w:rsidRDefault="00000000" w:rsidRPr="00000000" w14:paraId="00000017">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transformaciones no solo impactan en cómo se enmarcan los modos de organizar y ejecutar una gran cantidad de trabajos, o de estructurar los mecanismos de apropiación; sino también en la forma en que se desarrollan los procesos de formación/enseñanza - aprendizaje/estudio, además de la configuración de la comunicación y vinculación entre los sujetos. En tal sentido, el desplazamiento de la producción y legitimación del conocimiento desde las universidades y el Estado hacia grandes corporaciones privadas —deriva de su capacidad de financiamiento y de la autoridad social derivada de su éxito económico— promueve una concepción del saber crecientemente orientada por criterios de utilidad, aplicabilidad técnica y rentabilidad, subordinando los procesos de conocimiento a las lógicas de valorización del capital. En consecuencia, si el proyecto universitario se acota a esta función, su resultado se traduce en la generación de un profesionalismo acrítico, descontextualizado / desterritorializado, lo que impacta sobre la noción y valoración, no solo del conocimiento, sino fundamentalmente de lo público y lo común, y por tanto de lo ‘político’. Como correlato de dichas coordenadas, pueden ser pensadas las transformaciones de las lógicas académicas y formativas que se vienen imprimiendo —o resistiendo—, tanto en las áreas directivas/ministeriales como en las demandas de quienes acceden a las formaciones universitarias. </w:t>
      </w:r>
    </w:p>
    <w:p w:rsidR="00000000" w:rsidDel="00000000" w:rsidP="00000000" w:rsidRDefault="00000000" w:rsidRPr="00000000" w14:paraId="00000018">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apartado posible para rastrear dichos efectos, sostenemos, es la relación que los estudiantes perciben y manifiestan con el ámbito público-político. Resulta innegable que esas formas de experimentar el ejercicio de la ciudadanía y la participación política tienen consecuencias en cómo se posicionan estos sujetos frente a las estructuras de las carreras, los contenidos que éstas ofertan y el tipo de formación que proponen. Si bien el objetivo de fortalecer el ejercicio de la ciudadanía está explicitado en la Ley de Educación Superior (N° 24.521), no deberíamos pasar por alto dichas percepciones, en tanto nos brindan un acercamiento a la realidad de quiénes son, cómo viven y qué sienten nuestros estudiantes cuando deciden acudir a una institución pública con propósitos más amplios que la mera formación profesional. La disposición legal, además, nos ubica frente a la siguiente disyuntiva: elaboramos un dispositivo que funcione “como sí” en el que los estudiantes reciban información básica sobre la “educación democrática”, o bien nos hacemos cargo de la crisis profunda que ellos mismos manifiestan como emergente de problemáticas que afectan a todos los sectores sociales. </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numPr>
          <w:ilvl w:val="0"/>
          <w:numId w:val="1"/>
        </w:numPr>
        <w:spacing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Formas contemporáneas de subjetivación, entre la autorrealización en la singularidad y la erosión de la imaginación política </w:t>
      </w: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1.1 - </w:t>
      </w:r>
      <w:r w:rsidDel="00000000" w:rsidR="00000000" w:rsidRPr="00000000">
        <w:rPr>
          <w:rFonts w:ascii="Times New Roman" w:cs="Times New Roman" w:eastAsia="Times New Roman" w:hAnsi="Times New Roman"/>
          <w:b w:val="1"/>
          <w:bCs w:val="1"/>
          <w:u w:val="single"/>
          <w:rtl w:val="0"/>
        </w:rPr>
        <w:t xml:space="preserve">Una subjetividad al margen de toda estructura:</w:t>
      </w:r>
      <w:r w:rsidDel="00000000" w:rsidR="00000000" w:rsidRPr="00000000">
        <w:rPr>
          <w:rFonts w:ascii="Times New Roman" w:cs="Times New Roman" w:eastAsia="Times New Roman" w:hAnsi="Times New Roman"/>
          <w:b w:val="1"/>
          <w:bCs w:val="1"/>
          <w:i w:val="1"/>
          <w:iCs w:val="1"/>
          <w:u w:val="single"/>
          <w:rtl w:val="0"/>
        </w:rPr>
        <w:t xml:space="preserve"> la autorreferencialidad</w:t>
      </w: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hace medio siglo asistimos a la mutación de una forma social articulada en torno a la obediencia absoluta a los límites o normas, hacia otra organizada sobre el incentivo permanente a una búsqueda ilimitada del placer. Se trata del pasaje de una forma social disciplinaria, estructurada sobre el deber moral, la ley, las instituciones públicas/estatales y el conocimiento científico –que hacía de esos elementos el núcleo de sus nociones trascendentes– hacia una forma de ordenamiento social en la cual los sujetos son interpelados para organizar su cotidianidad en torno a la persecución de “</w:t>
      </w:r>
      <w:r w:rsidDel="00000000" w:rsidR="00000000" w:rsidRPr="00000000">
        <w:rPr>
          <w:rFonts w:ascii="Times New Roman" w:cs="Times New Roman" w:eastAsia="Times New Roman" w:hAnsi="Times New Roman"/>
          <w:i w:val="1"/>
          <w:iCs w:val="1"/>
          <w:rtl w:val="0"/>
        </w:rPr>
        <w:t xml:space="preserve">sus deseos</w:t>
      </w:r>
      <w:r w:rsidDel="00000000" w:rsidR="00000000" w:rsidRPr="00000000">
        <w:rPr>
          <w:rFonts w:ascii="Times New Roman" w:cs="Times New Roman" w:eastAsia="Times New Roman" w:hAnsi="Times New Roman"/>
          <w:rtl w:val="0"/>
        </w:rPr>
        <w:t xml:space="preserve">”, a través de la “</w:t>
      </w:r>
      <w:r w:rsidDel="00000000" w:rsidR="00000000" w:rsidRPr="00000000">
        <w:rPr>
          <w:rFonts w:ascii="Times New Roman" w:cs="Times New Roman" w:eastAsia="Times New Roman" w:hAnsi="Times New Roman"/>
          <w:i w:val="1"/>
          <w:iCs w:val="1"/>
          <w:rtl w:val="0"/>
        </w:rPr>
        <w:t xml:space="preserve">libre elección</w:t>
      </w:r>
      <w:r w:rsidDel="00000000" w:rsidR="00000000" w:rsidRPr="00000000">
        <w:rPr>
          <w:rFonts w:ascii="Times New Roman" w:cs="Times New Roman" w:eastAsia="Times New Roman" w:hAnsi="Times New Roman"/>
          <w:rtl w:val="0"/>
        </w:rPr>
        <w:t xml:space="preserve">” al interior del universo prefijado por la estructura mercantil. Ligada cada vez más nítidamente a la propuesta de una utopía individual de felicidad privada a partir de la adquisición de productos, la libertad ha quedado estrechamente asociada a la elección de objetos: la libertad de acción tiende a ser reducida a la libertad de elección —en el consumo: </w:t>
      </w:r>
      <w:r w:rsidDel="00000000" w:rsidR="00000000" w:rsidRPr="00000000">
        <w:rPr>
          <w:rFonts w:ascii="Times New Roman" w:cs="Times New Roman" w:eastAsia="Times New Roman" w:hAnsi="Times New Roman"/>
          <w:i w:val="1"/>
          <w:iCs w:val="1"/>
          <w:rtl w:val="0"/>
        </w:rPr>
        <w:t xml:space="preserve">importa menos lo que elijo que el hecho de que elija permanentemente</w:t>
      </w:r>
      <w:r w:rsidDel="00000000" w:rsidR="00000000" w:rsidRPr="00000000">
        <w:rPr>
          <w:rFonts w:ascii="Times New Roman" w:cs="Times New Roman" w:eastAsia="Times New Roman" w:hAnsi="Times New Roman"/>
          <w:rtl w:val="0"/>
        </w:rPr>
        <w:t xml:space="preserve">—. Elegir sin límites y asumir que el consumo es un espacio de transgresión individual es el núcleo de la noción de libertad en estos tiempos.</w:t>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En este nuevo escenario, el sujeto contemporáneo ya no tiene como horizonte el “</w:t>
      </w:r>
      <w:r w:rsidDel="00000000" w:rsidR="00000000" w:rsidRPr="00000000">
        <w:rPr>
          <w:rFonts w:ascii="Times New Roman" w:cs="Times New Roman" w:eastAsia="Times New Roman" w:hAnsi="Times New Roman"/>
          <w:i w:val="1"/>
          <w:iCs w:val="1"/>
          <w:rtl w:val="0"/>
        </w:rPr>
        <w:t xml:space="preserve">deber ser normal</w:t>
      </w:r>
      <w:r w:rsidDel="00000000" w:rsidR="00000000" w:rsidRPr="00000000">
        <w:rPr>
          <w:rFonts w:ascii="Times New Roman" w:cs="Times New Roman" w:eastAsia="Times New Roman" w:hAnsi="Times New Roman"/>
          <w:rtl w:val="0"/>
        </w:rPr>
        <w:t xml:space="preserve">”. Dado que importa menos el “</w:t>
      </w:r>
      <w:r w:rsidDel="00000000" w:rsidR="00000000" w:rsidRPr="00000000">
        <w:rPr>
          <w:rFonts w:ascii="Times New Roman" w:cs="Times New Roman" w:eastAsia="Times New Roman" w:hAnsi="Times New Roman"/>
          <w:i w:val="1"/>
          <w:iCs w:val="1"/>
          <w:rtl w:val="0"/>
        </w:rPr>
        <w:t xml:space="preserve">qué dirán</w:t>
      </w:r>
      <w:r w:rsidDel="00000000" w:rsidR="00000000" w:rsidRPr="00000000">
        <w:rPr>
          <w:rFonts w:ascii="Times New Roman" w:cs="Times New Roman" w:eastAsia="Times New Roman" w:hAnsi="Times New Roman"/>
          <w:rtl w:val="0"/>
        </w:rPr>
        <w:t xml:space="preserve">” (siendo lo fundamental comportarse de modo “normal”) que el “</w:t>
      </w:r>
      <w:r w:rsidDel="00000000" w:rsidR="00000000" w:rsidRPr="00000000">
        <w:rPr>
          <w:rFonts w:ascii="Times New Roman" w:cs="Times New Roman" w:eastAsia="Times New Roman" w:hAnsi="Times New Roman"/>
          <w:i w:val="1"/>
          <w:iCs w:val="1"/>
          <w:rtl w:val="0"/>
        </w:rPr>
        <w:t xml:space="preserve">qué verán</w:t>
      </w:r>
      <w:r w:rsidDel="00000000" w:rsidR="00000000" w:rsidRPr="00000000">
        <w:rPr>
          <w:rFonts w:ascii="Times New Roman" w:cs="Times New Roman" w:eastAsia="Times New Roman" w:hAnsi="Times New Roman"/>
          <w:rtl w:val="0"/>
        </w:rPr>
        <w:t xml:space="preserve">” (para lo cual es imprescindible mostrarse como “especial”). Lo que “desea” es realizar su singularidad exclusiva según determinadas pautas de “</w:t>
      </w:r>
      <w:r w:rsidDel="00000000" w:rsidR="00000000" w:rsidRPr="00000000">
        <w:rPr>
          <w:rFonts w:ascii="Times New Roman" w:cs="Times New Roman" w:eastAsia="Times New Roman" w:hAnsi="Times New Roman"/>
          <w:i w:val="1"/>
          <w:iCs w:val="1"/>
          <w:rtl w:val="0"/>
        </w:rPr>
        <w:t xml:space="preserve">curaduría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estética</w:t>
      </w:r>
      <w:r w:rsidDel="00000000" w:rsidR="00000000" w:rsidRPr="00000000">
        <w:rPr>
          <w:rFonts w:ascii="Times New Roman" w:cs="Times New Roman" w:eastAsia="Times New Roman" w:hAnsi="Times New Roman"/>
          <w:rtl w:val="0"/>
        </w:rPr>
        <w:t xml:space="preserve">”. En buena medida esto se sustenta, por un lado, en la elaboración de una asociación entre elección individual (entre opciones comerciales) y libertad: parte fundamental de la cadena de significantes en la que están arraigados los tipos de subjetividades necesarios para sostener el actual orden social. Y por otro, en la disolución del carácter fundante, determinante, de la estructura social: la difuminación de la percepción de la totalidad en tanto conjunto de relaciones intersubjetivas implica reforzar un modo de conocimiento del mundo ligado a la existencia empírica, como si se tratara de una materialidad sin mediaciones. </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Ligados cada vez más por “pantallas antropofágicas” (Radetich Filinich, 2023) que devoran la atención-concentración de manera constante, estos sujetos quedan atravesados por un modo de “saber” organizado en torno a una experiencia donde ni la sociedad ni el capitalismo aparecen de manera autoevidente. Esto es, organizar la codificación de la existencia en clave de una auto-referencialidad personal/individual. “</w:t>
      </w:r>
      <w:r w:rsidDel="00000000" w:rsidR="00000000" w:rsidRPr="00000000">
        <w:rPr>
          <w:rFonts w:ascii="Times New Roman" w:cs="Times New Roman" w:eastAsia="Times New Roman" w:hAnsi="Times New Roman"/>
          <w:i w:val="1"/>
          <w:iCs w:val="1"/>
          <w:rtl w:val="0"/>
        </w:rPr>
        <w:t xml:space="preserve">Si no hay tal cosa como la sociedad, sino sólo individuos y familias regidos por los mercados y la moral, entonces no hay tal cosa como el poder social que genera jerarquías, exclusión y violencia, y ni hablar de subjetividad en la clase, el género o la raza</w:t>
      </w:r>
      <w:r w:rsidDel="00000000" w:rsidR="00000000" w:rsidRPr="00000000">
        <w:rPr>
          <w:rFonts w:ascii="Times New Roman" w:cs="Times New Roman" w:eastAsia="Times New Roman" w:hAnsi="Times New Roman"/>
          <w:rtl w:val="0"/>
        </w:rPr>
        <w:t xml:space="preserve">” (Brown, 2021:77). Al invisibilizar tanto las interdependencias que sostienen las trayectorias de los individuos como las restricciones que las limitan, esta apelación a la libertad sin la sociedad, según Brown, es un puro instrumento de poder, desprovisto de las preocupaciones por los otros, el mundo o incluso el futuro.</w:t>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Sobre una profunda desintegración del tejido social —consecuencia de los cambios en las relaciones laborales—, las formas cada vez más sofisticadas de segmentación del espectro de los consumidores y la saturación por hiperconectividad conducen a una fragmentación de la comprensión del mundo, profundizando la </w:t>
      </w:r>
      <w:r w:rsidDel="00000000" w:rsidR="00000000" w:rsidRPr="00000000">
        <w:rPr>
          <w:rFonts w:ascii="Times New Roman" w:cs="Times New Roman" w:eastAsia="Times New Roman" w:hAnsi="Times New Roman"/>
          <w:i w:val="1"/>
          <w:iCs w:val="1"/>
          <w:rtl w:val="0"/>
        </w:rPr>
        <w:t xml:space="preserve">autorreferencialidad</w:t>
      </w:r>
      <w:r w:rsidDel="00000000" w:rsidR="00000000" w:rsidRPr="00000000">
        <w:rPr>
          <w:rFonts w:ascii="Times New Roman" w:cs="Times New Roman" w:eastAsia="Times New Roman" w:hAnsi="Times New Roman"/>
          <w:rtl w:val="0"/>
        </w:rPr>
        <w:t xml:space="preserve">. Sobre esta combinación de factores emerge un nuevo sentido de lo público: lo común queda dispuesto como una sumatoria de individualidades desagregadas, o a lo sumo articuladas en torno de identidades centradas en singularidades, resultando de ello una noción de lo público caracterizada como la asociación espasmódica de voluntades para objetivos parciales. Se trata de una reconfigura de la idea de </w:t>
      </w:r>
      <w:r w:rsidDel="00000000" w:rsidR="00000000" w:rsidRPr="00000000">
        <w:rPr>
          <w:rFonts w:ascii="Times New Roman" w:cs="Times New Roman" w:eastAsia="Times New Roman" w:hAnsi="Times New Roman"/>
          <w:i w:val="1"/>
          <w:iCs w:val="1"/>
          <w:rtl w:val="0"/>
        </w:rPr>
        <w:t xml:space="preserve">lo común </w:t>
      </w:r>
      <w:r w:rsidDel="00000000" w:rsidR="00000000" w:rsidRPr="00000000">
        <w:rPr>
          <w:rFonts w:ascii="Times New Roman" w:cs="Times New Roman" w:eastAsia="Times New Roman" w:hAnsi="Times New Roman"/>
          <w:rtl w:val="0"/>
        </w:rPr>
        <w:t xml:space="preserve">en relación a la idea de libertad asociada a la elección. En su forma mercantil, el consumo es una actividad ofrecida como capaz de generar un propósito: la integración social. Se trata de un modo de organizar la sociabilidad que comanda los esfuerzos de las mayorías. Bajo estas coordenadas hacen sentido determinadas figuras, imágenes e ideas que colocan al mercado como el espacio en el que proliferan y se realizan los deseos; a la vez que constituye un límite hasta ahora infranqueable a la posibilidad de imaginar y desear una vida más allá del capital. Como señala Ezequiel Gatto: “</w:t>
      </w:r>
      <w:r w:rsidDel="00000000" w:rsidR="00000000" w:rsidRPr="00000000">
        <w:rPr>
          <w:rFonts w:ascii="Times New Roman" w:cs="Times New Roman" w:eastAsia="Times New Roman" w:hAnsi="Times New Roman"/>
          <w:i w:val="1"/>
          <w:iCs w:val="1"/>
          <w:rtl w:val="0"/>
        </w:rPr>
        <w:t xml:space="preserve">(...) la moneda parece decir</w:t>
      </w:r>
      <w:r w:rsidDel="00000000" w:rsidR="00000000" w:rsidRPr="00000000">
        <w:rPr>
          <w:rFonts w:ascii="Times New Roman" w:cs="Times New Roman" w:eastAsia="Times New Roman" w:hAnsi="Times New Roman"/>
          <w:rtl w:val="0"/>
        </w:rPr>
        <w:t xml:space="preserve">: ‘gracias a mí podrás tener lo que quieras... con la condición de que lo que quieras sólo lo puedas tener a través mío’. </w:t>
      </w:r>
      <w:r w:rsidDel="00000000" w:rsidR="00000000" w:rsidRPr="00000000">
        <w:rPr>
          <w:rFonts w:ascii="Times New Roman" w:cs="Times New Roman" w:eastAsia="Times New Roman" w:hAnsi="Times New Roman"/>
          <w:i w:val="1"/>
          <w:iCs w:val="1"/>
          <w:rtl w:val="0"/>
        </w:rPr>
        <w:t xml:space="preserve">La multiplicación de posibilidades tiene su contracara en una determinación absoluta del acceso: el dinero amplía (tendencialmente al infinito) lo existente a condición de reducir (tendencialmente a uno) el modo de acceso</w:t>
      </w:r>
      <w:r w:rsidDel="00000000" w:rsidR="00000000" w:rsidRPr="00000000">
        <w:rPr>
          <w:rFonts w:ascii="Times New Roman" w:cs="Times New Roman" w:eastAsia="Times New Roman" w:hAnsi="Times New Roman"/>
          <w:rtl w:val="0"/>
        </w:rPr>
        <w:t xml:space="preserve">” (Gatto, 2018:47). </w:t>
      </w:r>
    </w:p>
    <w:p w:rsidR="00000000" w:rsidDel="00000000" w:rsidP="00000000" w:rsidRDefault="00000000" w:rsidRPr="00000000" w14:paraId="00000022">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hecho, en el consumo el sujeto encuentra una retórica que le permite sentir que desde allí puede cuestionar determinados códigos normativos </w:t>
      </w:r>
      <w:r w:rsidDel="00000000" w:rsidR="00000000" w:rsidRPr="00000000">
        <w:rPr>
          <w:rFonts w:ascii="Times New Roman" w:cs="Times New Roman" w:eastAsia="Times New Roman" w:hAnsi="Times New Roman"/>
          <w:i w:val="1"/>
          <w:iCs w:val="1"/>
          <w:rtl w:val="0"/>
        </w:rPr>
        <w:t xml:space="preserve">modernos</w:t>
      </w:r>
      <w:r w:rsidDel="00000000" w:rsidR="00000000" w:rsidRPr="00000000">
        <w:rPr>
          <w:rFonts w:ascii="Times New Roman" w:cs="Times New Roman" w:eastAsia="Times New Roman" w:hAnsi="Times New Roman"/>
          <w:rtl w:val="0"/>
        </w:rPr>
        <w:t xml:space="preserve"> (Jappe, 2011). Por medio de estas propuestas, los sujetos no solo experimentan la posibilidad de ensanchar los límites de “su” libertad, sino que también asumen que es por esa mediación mercantil que puede tramitarse el reconocimiento de ciertas diferencias, pero de un modo singular: sin desafiar la lógica social que estructura esos emergentes; es decir, sin poner en el centro del debate las relaciones sociales que producen el sometimiento, la explotación y la desigualdad que configuran esos emergentes. Si en lo que hace a la posibilidad de construcciones identitarias, la conceptualización de lo diverso funge como parte del dispositivo ideológico que torna soportable lo desigual, en esa misma estructura ideológica lo múltiple hace lo propio respecto de la posibilidad de pensar lo colectivo. Dado que cada grupo buscará afirmar su identidad </w:t>
      </w:r>
      <w:r w:rsidDel="00000000" w:rsidR="00000000" w:rsidRPr="00000000">
        <w:rPr>
          <w:rFonts w:ascii="Times New Roman" w:cs="Times New Roman" w:eastAsia="Times New Roman" w:hAnsi="Times New Roman"/>
          <w:i w:val="1"/>
          <w:iCs w:val="1"/>
          <w:rtl w:val="0"/>
        </w:rPr>
        <w:t xml:space="preserve">ajustándose a la norma saliéndose del molde </w:t>
      </w:r>
      <w:r w:rsidDel="00000000" w:rsidR="00000000" w:rsidRPr="00000000">
        <w:rPr>
          <w:rFonts w:ascii="Times New Roman" w:cs="Times New Roman" w:eastAsia="Times New Roman" w:hAnsi="Times New Roman"/>
          <w:rtl w:val="0"/>
        </w:rPr>
        <w:t xml:space="preserve">(transgrediendo, en los términos que el mercado lo permita), y desde allí cimentar su presencia — una parcialidad que solo afirma su singularidad-individualidad—; esa forma de asumir la multiplicidad conlleva ahondar la fragmentación, desplazando la posibilidad de pensar lo colectivo como un elemento abarcador de lo múltiple. De esta manera, diría Hall (2017), las alternativas son colocadas como las formas en que se asumen las opciones de diferenciación aceptadas por los sectores dominantes.</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 a través de la extensión de esta forma de interacción-apropiación-producción que se consuma, en parte, la “disolución epistemológica de la sociedad” exacerbando la </w:t>
      </w:r>
      <w:r w:rsidDel="00000000" w:rsidR="00000000" w:rsidRPr="00000000">
        <w:rPr>
          <w:rFonts w:ascii="Times New Roman" w:cs="Times New Roman" w:eastAsia="Times New Roman" w:hAnsi="Times New Roman"/>
          <w:i w:val="1"/>
          <w:iCs w:val="1"/>
          <w:rtl w:val="0"/>
        </w:rPr>
        <w:t xml:space="preserve">autorreferencialidad </w:t>
      </w:r>
      <w:r w:rsidDel="00000000" w:rsidR="00000000" w:rsidRPr="00000000">
        <w:rPr>
          <w:rFonts w:ascii="Times New Roman" w:cs="Times New Roman" w:eastAsia="Times New Roman" w:hAnsi="Times New Roman"/>
          <w:rtl w:val="0"/>
        </w:rPr>
        <w:t xml:space="preserve">como patrón de medida del mundo.</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1.2 -</w:t>
      </w:r>
      <w:r w:rsidDel="00000000" w:rsidR="00000000" w:rsidRPr="00000000">
        <w:rPr>
          <w:rFonts w:ascii="Times New Roman" w:cs="Times New Roman" w:eastAsia="Times New Roman" w:hAnsi="Times New Roman"/>
          <w:b w:val="1"/>
          <w:bCs w:val="1"/>
          <w:u w:val="single"/>
          <w:rtl w:val="0"/>
        </w:rPr>
        <w:t xml:space="preserve"> El imperativo de</w:t>
      </w:r>
      <w:r w:rsidDel="00000000" w:rsidR="00000000" w:rsidRPr="00000000">
        <w:rPr>
          <w:rFonts w:ascii="Times New Roman" w:cs="Times New Roman" w:eastAsia="Times New Roman" w:hAnsi="Times New Roman"/>
          <w:b w:val="1"/>
          <w:bCs w:val="1"/>
          <w:i w:val="1"/>
          <w:iCs w:val="1"/>
          <w:u w:val="single"/>
          <w:rtl w:val="0"/>
        </w:rPr>
        <w:t xml:space="preserve"> la autopromoción</w:t>
      </w:r>
      <w:r w:rsidDel="00000000" w:rsidR="00000000" w:rsidRPr="00000000">
        <w:rPr>
          <w:rFonts w:ascii="Times New Roman" w:cs="Times New Roman" w:eastAsia="Times New Roman" w:hAnsi="Times New Roman"/>
          <w:b w:val="1"/>
          <w:bCs w:val="1"/>
          <w:u w:val="single"/>
          <w:rtl w:val="0"/>
        </w:rPr>
        <w:t xml:space="preserve">: la fantasía de lo único y singular </w:t>
      </w: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Esto último nos permite introducir el segundo proceso característico de la producción de subjetividad en esta etapa del capitalismo: la consolidación de un modo de socialización cada vez más articulado en torno a la “</w:t>
      </w:r>
      <w:r w:rsidDel="00000000" w:rsidR="00000000" w:rsidRPr="00000000">
        <w:rPr>
          <w:rFonts w:ascii="Times New Roman" w:cs="Times New Roman" w:eastAsia="Times New Roman" w:hAnsi="Times New Roman"/>
          <w:i w:val="1"/>
          <w:iCs w:val="1"/>
          <w:rtl w:val="0"/>
        </w:rPr>
        <w:t xml:space="preserve">autopromoción</w:t>
      </w:r>
      <w:r w:rsidDel="00000000" w:rsidR="00000000" w:rsidRPr="00000000">
        <w:rPr>
          <w:rFonts w:ascii="Times New Roman" w:cs="Times New Roman" w:eastAsia="Times New Roman" w:hAnsi="Times New Roman"/>
          <w:rtl w:val="0"/>
        </w:rPr>
        <w:t xml:space="preserve">” de los individuos en los diversos entornos virtuales.</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Se trata de un proceso que refuerza la idea de que cada individuo se perciba como único y original, tanto como los objetos que consume. Bajo está lógica el sujeto puede elaborar una afirmación de sí mismo, de su individualidad, dentro del espacio mercantil, ya que puede sentir/pensar que consume productos no estandarizados de modo masivo, dado que las series de objetos y servicios aparecen segmentados por gamas de prestaciones y de precios, que incluso se pueden diseñar o </w:t>
      </w:r>
      <w:r w:rsidDel="00000000" w:rsidR="00000000" w:rsidRPr="00000000">
        <w:rPr>
          <w:rFonts w:ascii="Times New Roman" w:cs="Times New Roman" w:eastAsia="Times New Roman" w:hAnsi="Times New Roman"/>
          <w:i w:val="1"/>
          <w:iCs w:val="1"/>
          <w:rtl w:val="0"/>
        </w:rPr>
        <w:t xml:space="preserve">customizar</w:t>
      </w:r>
      <w:r w:rsidDel="00000000" w:rsidR="00000000" w:rsidRPr="00000000">
        <w:rPr>
          <w:rFonts w:ascii="Times New Roman" w:cs="Times New Roman" w:eastAsia="Times New Roman" w:hAnsi="Times New Roman"/>
          <w:rtl w:val="0"/>
        </w:rPr>
        <w:t xml:space="preserve"> de manera personalizada. Si la posibilidad de efectuar variaciones personalizadas en los procesos de apropiación-consumo permiten velar el proceso de homogeneización social de los comportamientos, la exaltación de la exhibición de </w:t>
      </w:r>
      <w:r w:rsidDel="00000000" w:rsidR="00000000" w:rsidRPr="00000000">
        <w:rPr>
          <w:rFonts w:ascii="Times New Roman" w:cs="Times New Roman" w:eastAsia="Times New Roman" w:hAnsi="Times New Roman"/>
          <w:i w:val="1"/>
          <w:iCs w:val="1"/>
          <w:rtl w:val="0"/>
        </w:rPr>
        <w:t xml:space="preserve">vidas únicas </w:t>
      </w:r>
      <w:r w:rsidDel="00000000" w:rsidR="00000000" w:rsidRPr="00000000">
        <w:rPr>
          <w:rFonts w:ascii="Times New Roman" w:cs="Times New Roman" w:eastAsia="Times New Roman" w:hAnsi="Times New Roman"/>
          <w:rtl w:val="0"/>
        </w:rPr>
        <w:t xml:space="preserve">en las plataformas de socialización </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suma en un mismo sentido. Compelidos a destacarse o distinguirse por su originalidad individual exhibida, los individuos buscan validación y, si es posible, su monetización. </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Esta invitación a diferenciarse por medio de la publicación de la </w:t>
      </w:r>
      <w:r w:rsidDel="00000000" w:rsidR="00000000" w:rsidRPr="00000000">
        <w:rPr>
          <w:rFonts w:ascii="Times New Roman" w:cs="Times New Roman" w:eastAsia="Times New Roman" w:hAnsi="Times New Roman"/>
          <w:i w:val="1"/>
          <w:iCs w:val="1"/>
          <w:rtl w:val="0"/>
        </w:rPr>
        <w:t xml:space="preserve">mejor versión de cada quien</w:t>
      </w:r>
      <w:r w:rsidDel="00000000" w:rsidR="00000000" w:rsidRPr="00000000">
        <w:rPr>
          <w:rFonts w:ascii="Times New Roman" w:cs="Times New Roman" w:eastAsia="Times New Roman" w:hAnsi="Times New Roman"/>
          <w:rtl w:val="0"/>
        </w:rPr>
        <w:t xml:space="preserve">, si bien produce una fuerte homogeneización —dado que se funda en el presupuesto de que cada individuo debe cumplir con un determinado conjunto de pasos, rituales y formas para mostrarse, siendo el primero una </w:t>
      </w:r>
      <w:r w:rsidDel="00000000" w:rsidR="00000000" w:rsidRPr="00000000">
        <w:rPr>
          <w:rFonts w:ascii="Times New Roman" w:cs="Times New Roman" w:eastAsia="Times New Roman" w:hAnsi="Times New Roman"/>
          <w:i w:val="1"/>
          <w:iCs w:val="1"/>
          <w:rtl w:val="0"/>
        </w:rPr>
        <w:t xml:space="preserve">sobreactuación de la singularidad</w:t>
      </w:r>
      <w:r w:rsidDel="00000000" w:rsidR="00000000" w:rsidRPr="00000000">
        <w:rPr>
          <w:rFonts w:ascii="Times New Roman" w:cs="Times New Roman" w:eastAsia="Times New Roman" w:hAnsi="Times New Roman"/>
          <w:rtl w:val="0"/>
        </w:rPr>
        <w:t xml:space="preserve">—; también refuerza una determinada noción de libertad. En este caso el sujeto cuenta con un canal personal, individual, de expresión (celular) a través del cual puede mostrar lo que es y lo que hace, procurando cumplir con determinadas pautas de “curaduría estética” (cánones comerciales de cómo retratar-mostrar-narrar las experiencias). Ser visto y “reaccionado” se convierte en una medida del propio valor; y es por ello que en ese formato de socialización las imágenes se han vuelto definitorias a partir de su instalación como el medio por excelencia para la autopromoción por parte de quienes ahora aspiran a hacer de su individualidad una </w:t>
      </w:r>
      <w:r w:rsidDel="00000000" w:rsidR="00000000" w:rsidRPr="00000000">
        <w:rPr>
          <w:rFonts w:ascii="Times New Roman" w:cs="Times New Roman" w:eastAsia="Times New Roman" w:hAnsi="Times New Roman"/>
          <w:i w:val="1"/>
          <w:iCs w:val="1"/>
          <w:rtl w:val="0"/>
        </w:rPr>
        <w:t xml:space="preserve">marca </w:t>
      </w:r>
      <w:r w:rsidDel="00000000" w:rsidR="00000000" w:rsidRPr="00000000">
        <w:rPr>
          <w:rFonts w:ascii="Times New Roman" w:cs="Times New Roman" w:eastAsia="Times New Roman" w:hAnsi="Times New Roman"/>
          <w:rtl w:val="0"/>
        </w:rPr>
        <w:t xml:space="preserve">o un </w:t>
      </w:r>
      <w:r w:rsidDel="00000000" w:rsidR="00000000" w:rsidRPr="00000000">
        <w:rPr>
          <w:rFonts w:ascii="Times New Roman" w:cs="Times New Roman" w:eastAsia="Times New Roman" w:hAnsi="Times New Roman"/>
          <w:i w:val="1"/>
          <w:iCs w:val="1"/>
          <w:rtl w:val="0"/>
        </w:rPr>
        <w:t xml:space="preserve">logo </w:t>
      </w:r>
      <w:r w:rsidDel="00000000" w:rsidR="00000000" w:rsidRPr="00000000">
        <w:rPr>
          <w:rFonts w:ascii="Times New Roman" w:cs="Times New Roman" w:eastAsia="Times New Roman" w:hAnsi="Times New Roman"/>
          <w:rtl w:val="0"/>
        </w:rPr>
        <w:t xml:space="preserve">potencialmente comercializable.</w:t>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De este modo, la “</w:t>
      </w:r>
      <w:r w:rsidDel="00000000" w:rsidR="00000000" w:rsidRPr="00000000">
        <w:rPr>
          <w:rFonts w:ascii="Times New Roman" w:cs="Times New Roman" w:eastAsia="Times New Roman" w:hAnsi="Times New Roman"/>
          <w:i w:val="1"/>
          <w:iCs w:val="1"/>
          <w:rtl w:val="0"/>
        </w:rPr>
        <w:t xml:space="preserve">autopromoción</w:t>
      </w:r>
      <w:r w:rsidDel="00000000" w:rsidR="00000000" w:rsidRPr="00000000">
        <w:rPr>
          <w:rFonts w:ascii="Times New Roman" w:cs="Times New Roman" w:eastAsia="Times New Roman" w:hAnsi="Times New Roman"/>
          <w:rtl w:val="0"/>
        </w:rPr>
        <w:t xml:space="preserve">” funciona como uno de los elementos constitutivos de la nueva subjetividad neoliberal, en tanto que en ella se anuda un refuerzo de la individualidad con una desarticulación del lugar simbólico del pasado. Se trata de un modo de organizar la comunicación que puede pensarse tanto como la contraparte de una dinámica social basada en el “rendimiento” y la “autovaloración de sí” (forma en que se pretenden estructurar las relaciones laborales), así como de la dinámica generalizada de la “financiarización y el endeudamiento” (como medio principal a partir del cual se organizan las formas de consumo). Esta propuesta de una auto-gestión de la vida (proveerse de salud, educación, servicios básicos, etc) basada en "inversiones" (o deudas), se inscribe en una propuesta de existencia en la que cada sujeto es colocado a asumir la organización de su trayectoria de vida en tanto que “empresa”: la maximización de utilidades pasa a ser el principio rector a partir del cual se modulan las conductas y se valoran e interpretan las experiencias. La construcción de ese sujeto en tanto que “capital humano” es el reverso sobre el que se monta la </w:t>
      </w:r>
      <w:r w:rsidDel="00000000" w:rsidR="00000000" w:rsidRPr="00000000">
        <w:rPr>
          <w:rFonts w:ascii="Times New Roman" w:cs="Times New Roman" w:eastAsia="Times New Roman" w:hAnsi="Times New Roman"/>
          <w:i w:val="1"/>
          <w:iCs w:val="1"/>
          <w:rtl w:val="0"/>
        </w:rPr>
        <w:t xml:space="preserve">autopromoción</w:t>
      </w:r>
      <w:r w:rsidDel="00000000" w:rsidR="00000000" w:rsidRPr="00000000">
        <w:rPr>
          <w:rFonts w:ascii="Times New Roman" w:cs="Times New Roman" w:eastAsia="Times New Roman" w:hAnsi="Times New Roman"/>
          <w:rtl w:val="0"/>
        </w:rPr>
        <w:t xml:space="preserve">: organizar la vida en relación al “retorno de la inversión”. </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Estas tres lógicas, la del sujeto que se </w:t>
      </w:r>
      <w:r w:rsidDel="00000000" w:rsidR="00000000" w:rsidRPr="00000000">
        <w:rPr>
          <w:rFonts w:ascii="Times New Roman" w:cs="Times New Roman" w:eastAsia="Times New Roman" w:hAnsi="Times New Roman"/>
          <w:i w:val="1"/>
          <w:iCs w:val="1"/>
          <w:rtl w:val="0"/>
        </w:rPr>
        <w:t xml:space="preserve">auto-promueve</w:t>
      </w:r>
      <w:r w:rsidDel="00000000" w:rsidR="00000000" w:rsidRPr="00000000">
        <w:rPr>
          <w:rFonts w:ascii="Times New Roman" w:cs="Times New Roman" w:eastAsia="Times New Roman" w:hAnsi="Times New Roman"/>
          <w:rtl w:val="0"/>
        </w:rPr>
        <w:t xml:space="preserve">, y para ello se </w:t>
      </w:r>
      <w:r w:rsidDel="00000000" w:rsidR="00000000" w:rsidRPr="00000000">
        <w:rPr>
          <w:rFonts w:ascii="Times New Roman" w:cs="Times New Roman" w:eastAsia="Times New Roman" w:hAnsi="Times New Roman"/>
          <w:i w:val="1"/>
          <w:iCs w:val="1"/>
          <w:rtl w:val="0"/>
        </w:rPr>
        <w:t xml:space="preserve">auto-explota</w:t>
      </w:r>
      <w:r w:rsidDel="00000000" w:rsidR="00000000" w:rsidRPr="00000000">
        <w:rPr>
          <w:rFonts w:ascii="Times New Roman" w:cs="Times New Roman" w:eastAsia="Times New Roman" w:hAnsi="Times New Roman"/>
          <w:rtl w:val="0"/>
        </w:rPr>
        <w:t xml:space="preserve"> a la par que se ve obligado a </w:t>
      </w:r>
      <w:r w:rsidDel="00000000" w:rsidR="00000000" w:rsidRPr="00000000">
        <w:rPr>
          <w:rFonts w:ascii="Times New Roman" w:cs="Times New Roman" w:eastAsia="Times New Roman" w:hAnsi="Times New Roman"/>
          <w:i w:val="1"/>
          <w:iCs w:val="1"/>
          <w:rtl w:val="0"/>
        </w:rPr>
        <w:t xml:space="preserve">endeudarse</w:t>
      </w:r>
      <w:r w:rsidDel="00000000" w:rsidR="00000000" w:rsidRPr="00000000">
        <w:rPr>
          <w:rFonts w:ascii="Times New Roman" w:cs="Times New Roman" w:eastAsia="Times New Roman" w:hAnsi="Times New Roman"/>
          <w:rtl w:val="0"/>
        </w:rPr>
        <w:t xml:space="preserve"> para obtener lo necesario para vivir y sostener su integración simbólica en el todo social, implican un profundo y constante rediseño de la existencia al interior de un nuevo marco social de referencia: el que emerge de la digitalización general de la vida.</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A su vez, la difusión de todas estas prácticas indica no solo el grado de aceptación social de esas estrategias de existencias-subsistencia (asumidas como las únicas o las más lógicas). También muestra de qué modo se han constituido estas prácticas en el espacio de una nueva utopía —individual—, donde se articulan </w:t>
      </w:r>
      <w:r w:rsidDel="00000000" w:rsidR="00000000" w:rsidRPr="00000000">
        <w:rPr>
          <w:rFonts w:ascii="Times New Roman" w:cs="Times New Roman" w:eastAsia="Times New Roman" w:hAnsi="Times New Roman"/>
          <w:i w:val="1"/>
          <w:iCs w:val="1"/>
          <w:rtl w:val="0"/>
        </w:rPr>
        <w:t xml:space="preserve">entretenimiento</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iCs w:val="1"/>
          <w:rtl w:val="0"/>
        </w:rPr>
        <w:t xml:space="preserve">emprendimiento</w:t>
      </w:r>
      <w:r w:rsidDel="00000000" w:rsidR="00000000" w:rsidRPr="00000000">
        <w:rPr>
          <w:rFonts w:ascii="Times New Roman" w:cs="Times New Roman" w:eastAsia="Times New Roman" w:hAnsi="Times New Roman"/>
          <w:rtl w:val="0"/>
        </w:rPr>
        <w:t xml:space="preserve">:  volverse exitoso (ostentando lujos y consumos exóticos) a partir de acumular una porción de la renta generada en los espacios digitales. Esta idea de éxito, desprovista de toda connotación social y procesual; solo está cargada de una significación individual y aleatoria (“</w:t>
      </w:r>
      <w:r w:rsidDel="00000000" w:rsidR="00000000" w:rsidRPr="00000000">
        <w:rPr>
          <w:rFonts w:ascii="Times New Roman" w:cs="Times New Roman" w:eastAsia="Times New Roman" w:hAnsi="Times New Roman"/>
          <w:i w:val="1"/>
          <w:iCs w:val="1"/>
          <w:rtl w:val="0"/>
        </w:rPr>
        <w:t xml:space="preserve">pegarla</w:t>
      </w:r>
      <w:r w:rsidDel="00000000" w:rsidR="00000000" w:rsidRPr="00000000">
        <w:rPr>
          <w:rFonts w:ascii="Times New Roman" w:cs="Times New Roman" w:eastAsia="Times New Roman" w:hAnsi="Times New Roman"/>
          <w:rtl w:val="0"/>
        </w:rPr>
        <w:t xml:space="preserve">”), donde el futuro se pierde como expectativa ante una idea de temporalidad enclavada en el presente.</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 sobre esta escenografía que ocurre la instalación de la exaltación de la originalidad como premisa del proceso de comunicación en los medios digitales. Un llamado a mostrarse y dar cuenta de la singularidad que vuelve vidriosa la percepción social de la existencia de un proceso estructurante en clave de una “diversificación homogeneizante” (Gracian, 2024), a la vez que refuerza una construcción de identidades autocentradas; que, cuanto mucho, propician la emergencia de modos de vinculación que no trascienden las fronteras de lo grupal. Este desplazamiento de una subjetividad centrada en la interioridad-privacidad-intimidad hacia otra constituida en torno de la espectacularización de la intimidad o “</w:t>
      </w:r>
      <w:r w:rsidDel="00000000" w:rsidR="00000000" w:rsidRPr="00000000">
        <w:rPr>
          <w:rFonts w:ascii="Times New Roman" w:cs="Times New Roman" w:eastAsia="Times New Roman" w:hAnsi="Times New Roman"/>
          <w:i w:val="1"/>
          <w:iCs w:val="1"/>
          <w:rtl w:val="0"/>
        </w:rPr>
        <w:t xml:space="preserve">extimidad</w:t>
      </w:r>
      <w:r w:rsidDel="00000000" w:rsidR="00000000" w:rsidRPr="00000000">
        <w:rPr>
          <w:rFonts w:ascii="Times New Roman" w:cs="Times New Roman" w:eastAsia="Times New Roman" w:hAnsi="Times New Roman"/>
          <w:rtl w:val="0"/>
        </w:rPr>
        <w:t xml:space="preserve">” (Sibilia, 2008), ha implicado, también, una torsión en la comprensión de las ideas de lo público que se anuda con una dinámica cultural que hace posible la generación de modos particulares de identificación-pertenencia. Atravesado por una lógica identitaria articulada sobre la fragmentación de la comprensión de lo real en la que desaparece la posibilidad de pensar más allá de los límites de su experiencia cotidiana, inmediata e individual, este sujeto no se reconoce en ningún pasado compartido: “(...) </w:t>
      </w:r>
      <w:r w:rsidDel="00000000" w:rsidR="00000000" w:rsidRPr="00000000">
        <w:rPr>
          <w:rFonts w:ascii="Times New Roman" w:cs="Times New Roman" w:eastAsia="Times New Roman" w:hAnsi="Times New Roman"/>
          <w:i w:val="1"/>
          <w:iCs w:val="1"/>
          <w:rtl w:val="0"/>
        </w:rPr>
        <w:t xml:space="preserve">parece claro que cuando no te queda más que tu presente temporal, se sigue que nada queda más que tu propio cuerpo. Así la reducción al presente se formularía también en términos de una reducción al cuerpo como presente del tiempo</w:t>
      </w:r>
      <w:r w:rsidDel="00000000" w:rsidR="00000000" w:rsidRPr="00000000">
        <w:rPr>
          <w:rFonts w:ascii="Times New Roman" w:cs="Times New Roman" w:eastAsia="Times New Roman" w:hAnsi="Times New Roman"/>
          <w:rtl w:val="0"/>
        </w:rPr>
        <w:t xml:space="preserve">” (Jameson, 2009). Se trata de un proceso que se inscribe en una pérdida de historicidad existencial, pero también colectiva. </w:t>
      </w:r>
    </w:p>
    <w:p w:rsidR="00000000" w:rsidDel="00000000" w:rsidP="00000000" w:rsidRDefault="00000000" w:rsidRPr="00000000" w14:paraId="0000002E">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escenario parece constituirse a partir de dos lógicas que se retroalimentan: por un lado, asistimos a la proliferación de agrupamientos caracterizados por una cada vez mayor sofisticación y especificidad en la demarcación de su singularidad: modos desagregados de “comunidad” —cada vez más preocupadas por reafirmar y resaltar aquello que los diferencia, antes que por encontrar y articular a partir de “lo común”, aquello los liga a los demás grupos—. De allí que, en paralelo, la reivindicación de esas “existencias singulares” —carentes de una identidad comunal más amplia, y a la vez imposibilitados de elaborar una perspectiva de lo social en clave sistémica—, resulte fácilmente reabsorbida tanto por una propuesta de realización personal a través de la espectacularización de la existencia, la autopromoción y el rendimiento laboral; o por la posibilidad de una transgresión sectorizada tramitada a través del consumo (por medio de la deuda) como modo de afirmación “testimonial”. </w:t>
      </w:r>
    </w:p>
    <w:p w:rsidR="00000000" w:rsidDel="00000000" w:rsidP="00000000" w:rsidRDefault="00000000" w:rsidRPr="00000000" w14:paraId="0000002F">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relación a este último punto, Peter Mair (2015) introduce una observación muy atinada: si hasta las décadas finales del siglo pasado los medios de comunicación (principalmente la T.V) “reflejaban” un mundo exterior que la población observaba; hoy —digitalización mediante— la comunicación ofrece mecanismos en los que los individuos pueden “</w:t>
      </w:r>
      <w:r w:rsidDel="00000000" w:rsidR="00000000" w:rsidRPr="00000000">
        <w:rPr>
          <w:rFonts w:ascii="Times New Roman" w:cs="Times New Roman" w:eastAsia="Times New Roman" w:hAnsi="Times New Roman"/>
          <w:i w:val="1"/>
          <w:iCs w:val="1"/>
          <w:rtl w:val="0"/>
        </w:rPr>
        <w:t xml:space="preserve">participar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activamente</w:t>
      </w:r>
      <w:r w:rsidDel="00000000" w:rsidR="00000000" w:rsidRPr="00000000">
        <w:rPr>
          <w:rFonts w:ascii="Times New Roman" w:cs="Times New Roman" w:eastAsia="Times New Roman" w:hAnsi="Times New Roman"/>
          <w:rtl w:val="0"/>
        </w:rPr>
        <w:t xml:space="preserve">” en la gestión de su representación. Paralelamente a estos cambios se profundizó la profesionalización de la gestión de la cosa pública (a manos de los “expertos”), lo que separó de la vida política a la ciudadanía más que en los tiempos precedentes. Por lo tanto, la política fue progresivamente reorganizada bajo el formato de entretenimiento para los espectadores “</w:t>
      </w:r>
      <w:r w:rsidDel="00000000" w:rsidR="00000000" w:rsidRPr="00000000">
        <w:rPr>
          <w:rFonts w:ascii="Times New Roman" w:cs="Times New Roman" w:eastAsia="Times New Roman" w:hAnsi="Times New Roman"/>
          <w:i w:val="1"/>
          <w:iCs w:val="1"/>
          <w:rtl w:val="0"/>
        </w:rPr>
        <w:t xml:space="preserve">de un mundo exterior que se observa desde fuera”</w:t>
      </w:r>
      <w:r w:rsidDel="00000000" w:rsidR="00000000" w:rsidRPr="00000000">
        <w:rPr>
          <w:rFonts w:ascii="Times New Roman" w:cs="Times New Roman" w:eastAsia="Times New Roman" w:hAnsi="Times New Roman"/>
          <w:rtl w:val="0"/>
        </w:rPr>
        <w:t xml:space="preserve">. Una consecuencia de este proceso, señala Mair, es la retirada ciudadana del espacio público, signada por el desinterés o la indiferencia hacia la política en general.    </w:t>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1.3 - </w:t>
      </w:r>
      <w:r w:rsidDel="00000000" w:rsidR="00000000" w:rsidRPr="00000000">
        <w:rPr>
          <w:rFonts w:ascii="Times New Roman" w:cs="Times New Roman" w:eastAsia="Times New Roman" w:hAnsi="Times New Roman"/>
          <w:b w:val="1"/>
          <w:bCs w:val="1"/>
          <w:u w:val="single"/>
          <w:rtl w:val="0"/>
        </w:rPr>
        <w:t xml:space="preserve">Priorizarse frente a cualquier responsabilidad comunitaria: </w:t>
      </w:r>
      <w:r w:rsidDel="00000000" w:rsidR="00000000" w:rsidRPr="00000000">
        <w:rPr>
          <w:rFonts w:ascii="Times New Roman" w:cs="Times New Roman" w:eastAsia="Times New Roman" w:hAnsi="Times New Roman"/>
          <w:b w:val="1"/>
          <w:bCs w:val="1"/>
          <w:i w:val="1"/>
          <w:iCs w:val="1"/>
          <w:u w:val="single"/>
          <w:rtl w:val="0"/>
        </w:rPr>
        <w:t xml:space="preserve"> la autorrealización asumida como una libertad sin límites </w:t>
      </w: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Llegados a este punto, nos queda por analizar la constitución de las formas de filiación identitaria y sus vínculos con los modos que asume la vida pública-política. Pensar de qué modo la </w:t>
      </w:r>
      <w:r w:rsidDel="00000000" w:rsidR="00000000" w:rsidRPr="00000000">
        <w:rPr>
          <w:rFonts w:ascii="Times New Roman" w:cs="Times New Roman" w:eastAsia="Times New Roman" w:hAnsi="Times New Roman"/>
          <w:i w:val="1"/>
          <w:iCs w:val="1"/>
          <w:rtl w:val="0"/>
        </w:rPr>
        <w:t xml:space="preserve">autorreferencialidad</w:t>
      </w:r>
      <w:r w:rsidDel="00000000" w:rsidR="00000000" w:rsidRPr="00000000">
        <w:rPr>
          <w:rFonts w:ascii="Times New Roman" w:cs="Times New Roman" w:eastAsia="Times New Roman" w:hAnsi="Times New Roman"/>
          <w:rtl w:val="0"/>
        </w:rPr>
        <w:t xml:space="preserve"> (como patrón de medida - comprensión del mundo) y la </w:t>
      </w:r>
      <w:r w:rsidDel="00000000" w:rsidR="00000000" w:rsidRPr="00000000">
        <w:rPr>
          <w:rFonts w:ascii="Times New Roman" w:cs="Times New Roman" w:eastAsia="Times New Roman" w:hAnsi="Times New Roman"/>
          <w:i w:val="1"/>
          <w:iCs w:val="1"/>
          <w:rtl w:val="0"/>
        </w:rPr>
        <w:t xml:space="preserve">autopromoción </w:t>
      </w:r>
      <w:r w:rsidDel="00000000" w:rsidR="00000000" w:rsidRPr="00000000">
        <w:rPr>
          <w:rFonts w:ascii="Times New Roman" w:cs="Times New Roman" w:eastAsia="Times New Roman" w:hAnsi="Times New Roman"/>
          <w:rtl w:val="0"/>
        </w:rPr>
        <w:t xml:space="preserve">(como esquema de socialización) se articulan con un desacople del sujeto respecto de su entorno social; y donde el desinterés por la vida política se liga a una acentuación del rencor (incluso, del odio) como combustible de la vida pública para amplias porciones de la sociedad.</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Si pensamos en procesos sociales profundos que determinan la emergencia de estas formas de existencia se vuelve ineludible la necesidad de pensar un conjunto de rasgos psicológicos generalizados que se vienen visibilizando en las sociedades occidentales desde las décadas finales del siglo pasado, aquello que se ha dado en llamar como una constitución social narcisista. Si bien tienen enfoques distintos para explicar su origen, tanto Orsina (2018) como Jappe (2017), realizan una caracterización similar respecto del fenómeno: se trata de una obsesión por el 'yo' producto de una incapacidad de percibir la propia persona y la realidad como dos entidades separadas y autónomas entre sí, tanto como por la imposibilidad de distinguir el interior del exterior, lo objetivo de lo subjetivo. Sobre esto Orsina señala: “</w:t>
      </w:r>
      <w:r w:rsidDel="00000000" w:rsidR="00000000" w:rsidRPr="00000000">
        <w:rPr>
          <w:rFonts w:ascii="Times New Roman" w:cs="Times New Roman" w:eastAsia="Times New Roman" w:hAnsi="Times New Roman"/>
          <w:i w:val="1"/>
          <w:iCs w:val="1"/>
          <w:rtl w:val="0"/>
        </w:rPr>
        <w:t xml:space="preserve">Privado de consistencia y sentido autónomos, el mundo sólo puede entonces juzgarse en la medida en que obstaculiza o favorece el bienestar psicológico individual de quienes lo habitan. Es decir, por su valor psicoterapéutico</w:t>
      </w:r>
      <w:r w:rsidDel="00000000" w:rsidR="00000000" w:rsidRPr="00000000">
        <w:rPr>
          <w:rFonts w:ascii="Times New Roman" w:cs="Times New Roman" w:eastAsia="Times New Roman" w:hAnsi="Times New Roman"/>
          <w:rtl w:val="0"/>
        </w:rPr>
        <w:t xml:space="preserve">”. Por lo tanto, ese sujeto narcisista se caracteriza por ser alguien a quien “(…) </w:t>
      </w:r>
      <w:r w:rsidDel="00000000" w:rsidR="00000000" w:rsidRPr="00000000">
        <w:rPr>
          <w:rFonts w:ascii="Times New Roman" w:cs="Times New Roman" w:eastAsia="Times New Roman" w:hAnsi="Times New Roman"/>
          <w:i w:val="1"/>
          <w:iCs w:val="1"/>
          <w:rtl w:val="0"/>
        </w:rPr>
        <w:t xml:space="preserve">satisfacer sus urgencias psicológicas inmediatas es lo único que le interesa, por lo que vive exclusivamente en el presente: ha perdido todo sentido del pasado y, en consecuencia, ya no es capaz de imaginar siquiera el futuro</w:t>
      </w:r>
      <w:r w:rsidDel="00000000" w:rsidR="00000000" w:rsidRPr="00000000">
        <w:rPr>
          <w:rFonts w:ascii="Times New Roman" w:cs="Times New Roman" w:eastAsia="Times New Roman" w:hAnsi="Times New Roman"/>
          <w:rtl w:val="0"/>
        </w:rPr>
        <w:t xml:space="preserve">” (Orsina, 2018:38).  Por otra parte, Jappe argumenta que, situados en un momento en el que la subsunción de las diversas esferas de la existencia a la lógica mercantil conduce a una expansión del </w:t>
      </w:r>
      <w:r w:rsidDel="00000000" w:rsidR="00000000" w:rsidRPr="00000000">
        <w:rPr>
          <w:rFonts w:ascii="Times New Roman" w:cs="Times New Roman" w:eastAsia="Times New Roman" w:hAnsi="Times New Roman"/>
          <w:i w:val="1"/>
          <w:iCs w:val="1"/>
          <w:rtl w:val="0"/>
        </w:rPr>
        <w:t xml:space="preserve">valor</w:t>
      </w:r>
      <w:r w:rsidDel="00000000" w:rsidR="00000000" w:rsidRPr="00000000">
        <w:rPr>
          <w:rFonts w:ascii="Times New Roman" w:cs="Times New Roman" w:eastAsia="Times New Roman" w:hAnsi="Times New Roman"/>
          <w:rtl w:val="0"/>
        </w:rPr>
        <w:t xml:space="preserve"> que reduce toda cualidad a las cantidades tiempo-dinero. Esto significa que la multiplicidad del mundo desaparece frente a la noción de valor de las mercancías producido por la faceta abstracta del trabajo —lo que implica la eliminación de toda particularidad propia de los trabajos concretos, reducidos a un simple gasto de energía humana medido en tiempo y despojados de sus diferencias específicas—. Según Jappe, el sujeto narcisista reproduce una lógica semejante en su relación con el mundo. La única realidad es su </w:t>
      </w:r>
      <w:r w:rsidDel="00000000" w:rsidR="00000000" w:rsidRPr="00000000">
        <w:rPr>
          <w:rFonts w:ascii="Times New Roman" w:cs="Times New Roman" w:eastAsia="Times New Roman" w:hAnsi="Times New Roman"/>
          <w:i w:val="1"/>
          <w:iCs w:val="1"/>
          <w:rtl w:val="0"/>
        </w:rPr>
        <w:t xml:space="preserve">yo</w:t>
      </w:r>
      <w:r w:rsidDel="00000000" w:rsidR="00000000" w:rsidRPr="00000000">
        <w:rPr>
          <w:rFonts w:ascii="Times New Roman" w:cs="Times New Roman" w:eastAsia="Times New Roman" w:hAnsi="Times New Roman"/>
          <w:rtl w:val="0"/>
        </w:rPr>
        <w:t xml:space="preserve">, un </w:t>
      </w:r>
      <w:r w:rsidDel="00000000" w:rsidR="00000000" w:rsidRPr="00000000">
        <w:rPr>
          <w:rFonts w:ascii="Times New Roman" w:cs="Times New Roman" w:eastAsia="Times New Roman" w:hAnsi="Times New Roman"/>
          <w:i w:val="1"/>
          <w:iCs w:val="1"/>
          <w:rtl w:val="0"/>
        </w:rPr>
        <w:t xml:space="preserve">yo</w:t>
      </w:r>
      <w:r w:rsidDel="00000000" w:rsidR="00000000" w:rsidRPr="00000000">
        <w:rPr>
          <w:rFonts w:ascii="Times New Roman" w:cs="Times New Roman" w:eastAsia="Times New Roman" w:hAnsi="Times New Roman"/>
          <w:rtl w:val="0"/>
        </w:rPr>
        <w:t xml:space="preserve"> que (casi) no tiene cualidades propias, porque no se ha enriquecido a través de las relaciones objetuales: las relaciones con el otro. Al mismo tiempo, ese </w:t>
      </w:r>
      <w:r w:rsidDel="00000000" w:rsidR="00000000" w:rsidRPr="00000000">
        <w:rPr>
          <w:rFonts w:ascii="Times New Roman" w:cs="Times New Roman" w:eastAsia="Times New Roman" w:hAnsi="Times New Roman"/>
          <w:i w:val="1"/>
          <w:iCs w:val="1"/>
          <w:rtl w:val="0"/>
        </w:rPr>
        <w:t xml:space="preserve">yo</w:t>
      </w:r>
      <w:r w:rsidDel="00000000" w:rsidR="00000000" w:rsidRPr="00000000">
        <w:rPr>
          <w:rFonts w:ascii="Times New Roman" w:cs="Times New Roman" w:eastAsia="Times New Roman" w:hAnsi="Times New Roman"/>
          <w:rtl w:val="0"/>
        </w:rPr>
        <w:t xml:space="preserve"> trata de extenderse al mundo entero, de englobarlo y reducirlo a una simple representación de sí mismo, una representación cuyas figuras son pasajeras e intercambiables. </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 partir de esta sintética caracterización es posible plantear algunos interrogantes: en un escenario signado por la exigencia de una sobreadecuación de los individuos que les permita sostener los imperativos del rendimiento, la autopromoción digital y el consumo; y donde, tanto producto de la precarización de la vida, como de una digitalización de la existencia (en la que los parámetros de estímulos/recompensas ya no se miden en el corto plazo, sino en la inmediatez) las probabilidades de prever/proyectar nunca superan lo inmediato, ¿está en el registro de este sujeto la posibilidad de posponer sus demandas en razón de un objetivo general que sea asumido como superior?; ¿qué ocurre cuando la “exterioridad” limita la concreción de “sus” deseos o cuando la gratificación pretendida no es instantánea? Por último, siguiendo la caracterización de Orsina, según la cual estos sujetos narcisistas desanclados simbólicamente del pasado elaboran biografías que no se reconocen necesariamente como parte de una tradición o un legado ¿sobre qué elementos construyen sus referencias identitarias? Estás identidades, ¿logran dar estabilidad a las formas de filiación política emergidas en esta escena? Y, por lo tanto, a partir de lo que explica Jappe,  ¿en qué lugar queda la política en tanto que espacio y herramienta para pensar/actuar en el presente e imaginar y construir futuros colectivos si todo se reduce a limitar el mundo a una representación de sí mismo? </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En esa atmósfera cultural-ideológica los procesos productivo-comunicacional y de apropiación/consumo consiguen complementarse muy bien con una forma de vida que genera individuos ubicados en la más pura y simple supervivencia. Atomizados, recluidos en estados mínimos de socialización, atravesados por una “melancolía individualizada”, pero hiperconectados en un estado de “alegre éxtasis colectivo”; mirando a todo el mundo a través de las pantallas y preocupados por las apariencias; puestos a vivir en una precariedad tal que las posibilidades de subsistencia se escurren (dado el estancamiento y disminución de los salarios), mientras que la integración simbólica (delimitada a partir los objetos consumidos, así como por los logos-marcas portados) amenaza con disolverse a cada paso, producto de los giros de las modas y tendencias. Por lo tanto, la identificación y la pertenencia pasan a ser procesos estructurados por la mediación mercantil, donde la compulsa de ideas y puntos de vista en relación a un proyecto que abarque lo colectivo es reemplazada por la compulsión por ser aprobado individualmente a partir de la espectacularización.</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La proliferación del rencor-resentimiento se presenta como una consecuencia lógica dentro de este cuadro. Si la empatía, entendida como la habilidad para sentir el placer y el dolor del otro como parte del propio placer y del dolor de uno, no es una emoción natural sino una condición psicológica susceptible de ser cultivada y refinada (Berardi, 2016); la proliferación del odio —y la naturalización de la crueldad— como una forma de antisolidaridad entre los oprimidos —o como un modo de  “anticonciencia” en los términos de Fisher (2024)—, deben entenderse como parte de los mecanismos a través de los cuales hoy día se modulan la sensibilidad de los individuos, epicentro de las formas de solidaridad - filiación, y por lo tanto, determinación fundamental de la proyección de las acciones políticas. </w:t>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En su último trabajo acerca de las nuevas condiciones del capitalismo, Varoufakis (2024) argumenta que la vida cotidiana ha sido volatilizada, producto de las necesidades de las corporaciones tecnológicas. Mientras que, por un lado, se ha vuelto un imperativo constituir la vida y mostrarla como si se tratara de una marca, un producto, siempre exitosa; por otro, todos espacios digitales compiten por la captura del tiempo de atención (y su concomitante sustracción de la concentración). Toda esa sobrecarga tiene en la expansión de la intolerancia la compensación emocional por las frustraciones y las ansiedades que todo este proceso genera. Con ello parece coincidir da Empoli quien explica que la ira es el “</w:t>
      </w:r>
      <w:r w:rsidDel="00000000" w:rsidR="00000000" w:rsidRPr="00000000">
        <w:rPr>
          <w:rFonts w:ascii="Times New Roman" w:cs="Times New Roman" w:eastAsia="Times New Roman" w:hAnsi="Times New Roman"/>
          <w:i w:val="1"/>
          <w:iCs w:val="1"/>
          <w:rtl w:val="0"/>
        </w:rPr>
        <w:t xml:space="preserve">afecto narcisista por excelencia</w:t>
      </w:r>
      <w:r w:rsidDel="00000000" w:rsidR="00000000" w:rsidRPr="00000000">
        <w:rPr>
          <w:rFonts w:ascii="Times New Roman" w:cs="Times New Roman" w:eastAsia="Times New Roman" w:hAnsi="Times New Roman"/>
          <w:rtl w:val="0"/>
        </w:rPr>
        <w:t xml:space="preserve">” y tiene su origen en un sentimiento de soledad e impotencia, muy típico de nuestro tiempo, y  característico de la figura adolescente, un individuo ansioso, que siempre busca la aprobación de sus pares y que está permanentemente aterrorizado con la idea de ser inadecuado. Y si hay algo que ha contribuido a aumentar estructuralmente el nivel de ira ya presente en nuestra sociedad, eso han sido las redes sociales, remarca da Empoli. “</w:t>
      </w:r>
      <w:r w:rsidDel="00000000" w:rsidR="00000000" w:rsidRPr="00000000">
        <w:rPr>
          <w:rFonts w:ascii="Times New Roman" w:cs="Times New Roman" w:eastAsia="Times New Roman" w:hAnsi="Times New Roman"/>
          <w:i w:val="1"/>
          <w:iCs w:val="1"/>
          <w:rtl w:val="0"/>
        </w:rPr>
        <w:t xml:space="preserve">Por primera vez en mucho tiempo, la vulgaridad y los insultos ya no son tabú. Los prejuicios, el racismo y la discriminación de género salen a la luz. Las mentiras y el conspiracionismo se convierten en claves para interpretar la realidad. Y todo esto presentado como una guerra sacrosanta por la liberación de la voz del pueblo, finalmente liberada de los códigos opresivos de las elites globalizadas y políticamente correctas</w:t>
      </w:r>
      <w:r w:rsidDel="00000000" w:rsidR="00000000" w:rsidRPr="00000000">
        <w:rPr>
          <w:rFonts w:ascii="Times New Roman" w:cs="Times New Roman" w:eastAsia="Times New Roman" w:hAnsi="Times New Roman"/>
          <w:rtl w:val="0"/>
        </w:rPr>
        <w:t xml:space="preserve">”. (da Empoli, 2019: 40)</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Sin embargo, esta proliferación de la ira, de expresiones impulsivas y violentas, no es un fenómeno que se desarrolle en el vacío; ocurre en un tiempo en el que el “</w:t>
      </w:r>
      <w:r w:rsidDel="00000000" w:rsidR="00000000" w:rsidRPr="00000000">
        <w:rPr>
          <w:rFonts w:ascii="Times New Roman" w:cs="Times New Roman" w:eastAsia="Times New Roman" w:hAnsi="Times New Roman"/>
          <w:i w:val="1"/>
          <w:iCs w:val="1"/>
          <w:rtl w:val="0"/>
        </w:rPr>
        <w:t xml:space="preserve">problema no es ya la liberación colectiva del deseo, sino la afirmación cínica de uno mismo</w:t>
      </w:r>
      <w:r w:rsidDel="00000000" w:rsidR="00000000" w:rsidRPr="00000000">
        <w:rPr>
          <w:rFonts w:ascii="Times New Roman" w:cs="Times New Roman" w:eastAsia="Times New Roman" w:hAnsi="Times New Roman"/>
          <w:rtl w:val="0"/>
        </w:rPr>
        <w:t xml:space="preserve">” (Recalcati, 2016: 34). Dicho de otro modo: la libertad asumida y vivida como el llamado a desligarse de todo compromiso con la sociedad, de toda obligación con lo colectivo, de lo común y con ello, de la política. Tras haber sido obturada de la imaginación política la necesidad de transformar la realidad social, de darle cauce a la potencia creativa en un sentido emancipatorio, lo que parece quedar es la adaptación acrítica, la adecuación para el rendimiento como estrategia de subsistencia. Así, el deterioro de la vida es vivido como una responsabilidad –culpa– individual, y por ello debe sobrellevarse en privado, y con vergüenza, el costo de “su” fracaso, conviviendo con depresiones, ansiedades o incluso ideaciones suicidas (Fisher, 2016; Exposto, 2023). Pero también aparece otro modo de canalizar la violencia: el </w:t>
      </w:r>
      <w:r w:rsidDel="00000000" w:rsidR="00000000" w:rsidRPr="00000000">
        <w:rPr>
          <w:rFonts w:ascii="Times New Roman" w:cs="Times New Roman" w:eastAsia="Times New Roman" w:hAnsi="Times New Roman"/>
          <w:i w:val="1"/>
          <w:iCs w:val="1"/>
          <w:rtl w:val="0"/>
        </w:rPr>
        <w:t xml:space="preserve">resentimiento</w:t>
      </w:r>
      <w:r w:rsidDel="00000000" w:rsidR="00000000" w:rsidRPr="00000000">
        <w:rPr>
          <w:rFonts w:ascii="Times New Roman" w:cs="Times New Roman" w:eastAsia="Times New Roman" w:hAnsi="Times New Roman"/>
          <w:rtl w:val="0"/>
        </w:rPr>
        <w:t xml:space="preserve"> (el odio que surge de la experiencia de no obtener lo que se imagina que se merece) y la </w:t>
      </w:r>
      <w:r w:rsidDel="00000000" w:rsidR="00000000" w:rsidRPr="00000000">
        <w:rPr>
          <w:rFonts w:ascii="Times New Roman" w:cs="Times New Roman" w:eastAsia="Times New Roman" w:hAnsi="Times New Roman"/>
          <w:i w:val="1"/>
          <w:iCs w:val="1"/>
          <w:rtl w:val="0"/>
        </w:rPr>
        <w:t xml:space="preserve">solidaridad negativa</w:t>
      </w:r>
      <w:r w:rsidDel="00000000" w:rsidR="00000000" w:rsidRPr="00000000">
        <w:rPr>
          <w:rFonts w:ascii="Times New Roman" w:cs="Times New Roman" w:eastAsia="Times New Roman" w:hAnsi="Times New Roman"/>
          <w:rtl w:val="0"/>
        </w:rPr>
        <w:t xml:space="preserve"> (sintetizada en la expresión de “si yo debo pasar por esto, que todos pasen también”), que empujan a descargar su ira sobre aquellos “otros” que “indebidamente” se apropian de los bienes escasos —migrantes, minorías o disidencias, mujeres, adherentes a una ideología y hasta el propio Estado— (Nunes, 2024). Ambas formas de violencia, la que el individuo introyecta como parte de expiación de su inferioridad y deficiencia, o aquella que proyecta sobre un “otro inmediato” que le impide, forman parte del repertorio propuesto para canalizar los malestares en un orden social estructurado sobre un formato de subjetividad</w:t>
      </w:r>
      <w:r w:rsidDel="00000000" w:rsidR="00000000" w:rsidRPr="00000000">
        <w:rPr>
          <w:rFonts w:ascii="Times New Roman" w:cs="Times New Roman" w:eastAsia="Times New Roman" w:hAnsi="Times New Roman"/>
          <w:i w:val="1"/>
          <w:iCs w:val="1"/>
          <w:rtl w:val="0"/>
        </w:rPr>
        <w:t xml:space="preserve"> reducida al sujeto</w:t>
      </w:r>
      <w:r w:rsidDel="00000000" w:rsidR="00000000" w:rsidRPr="00000000">
        <w:rPr>
          <w:rFonts w:ascii="Times New Roman" w:cs="Times New Roman" w:eastAsia="Times New Roman" w:hAnsi="Times New Roman"/>
          <w:rtl w:val="0"/>
        </w:rPr>
        <w:t xml:space="preserve">. En buena medida esto es posible dado que ha quedado habilitado un escenario en el que lentamente se institucionaliza una serie de prácticas (públicas -estatales y privadas - empresariales / domésticas) regidas por la violencia, asumidas como un recurso legítimo; donde la crueldad pasa a ser parámetro moral aceptado, y la desigualdad es admitida como forma la natural de equilibrio, de justicia, en razón del esfuerzo/astucia que muestre cada individuo. </w:t>
        <w:tab/>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w:t>
      </w:r>
      <w:r w:rsidDel="00000000" w:rsidR="00000000" w:rsidRPr="00000000">
        <w:rPr>
          <w:rFonts w:ascii="Times New Roman" w:cs="Times New Roman" w:eastAsia="Times New Roman" w:hAnsi="Times New Roman"/>
          <w:b w:val="1"/>
          <w:bCs w:val="1"/>
          <w:u w:val="single"/>
          <w:rtl w:val="0"/>
        </w:rPr>
        <w:t xml:space="preserve">Las nuevas subjetividades frente al espejo de la representación</w:t>
      </w: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2.1 Universidad y reflexión sobre el presente </w:t>
      </w: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Si los procesos descritos hasta aquí ofrecen indicios acerca de las formas de subjetivación predominantes en la contemporaneidad, resulta pertinente preguntarse por las posibilidades de construir, en el ámbito universitario, prácticas pedagógicas que no se limiten a reproducirlas.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En este sentido, la incorporación de discusiones orientadas a problematizar las características propias de la época abre interrogantes acerca del papel que puede desempeñar la formación profesional más allá de la adquisición de competencias técnicas o de las prescripciones normativas que regulan la educación superior.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En particular, invita a reflexionar sobre la vigencia de una formación que contribuya al desarrollo de una comprensión crítica de las transformaciones sociales, culturales y políticas del presente.</w:t>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Desde una perspectiva contextual, la experiencia áulica introduce una interrupción parcial de algunas de las dinámicas que caracterizan la racionalidad contemporánea. La lógica del consumo permanente y de la satisfacción inmediata de deseos individuales encuentra allí ciertos límites temporales y espaciales. Durante un tiempo determinado, quienes participan de una clase comparten un mismo espacio institucional y se encuentran convocados por un objeto de reflexión común, aun cuando sus intereses y trayectorias sean diversos. En este sentido, la temporalidad compartida y las condiciones institucionales de la enseñanza pueden operar como un contrapeso, aunque sea momentáneo, a las dinámicas que promueven la individualización de la experiencia y la permanente producción del sujeto consumidor.</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Sin embargo, la mera existencia de este marco institucional no garantiza por sí misma una ruptura con las tendencias dominantes. Las posibilidades que se abren dependen, en buena medida, de las propuestas pedagógicas que se despliegan en su interior. La enseñanza puede contribuir tanto a reforzar las disposiciones subjetivas promovidas por la época como a problematizarlas y someterlas a examen. En cualquier caso, el aula constituye un espacio privilegiado para suspender, aunque sea transitoriamente, ciertas coordenadas que organizan la vida cotidiana. Junto con otros ámbitos de socialización y reflexión colectiva, ofrece la posibilidad de tomar distancia respecto de las exigencias de inmediatez, adaptación y rendimiento que atraviesan la experiencia contemporánea.</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Desde esta perspectiva, la alternativa no parece reducirse a una elección entre adaptación y resistencia. Tal formulación supone la existencia de una exterioridad desde la cual sería posible oponerse a procesos que, en realidad, también nos constituyen. Más que adoptar una posición de adhesión o rechazo frente a las tendencias de la época, el desafío consiste en preservar y fortalecer aquellos espacios y tiempos que permitan comprender sus condiciones de emergencia, sus mecanismos de funcionamiento y sus efectos sobre las formas de vida. En ese sentido, la universidad conserva una función insustituible: la de cultivar una disposición crítica capaz de interrogar el presente. En un contexto signado por la aceleración permanente y la exigencia constante de adaptación, dicha capacidad constituye no solo una herramienta intelectual, sino también una condición para el ejercicio reflexivo de la ciudadanía y la vida democrática.</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2.2 Estudiantes, ciudadanos y emergentes de la época</w:t>
      </w: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El mundo contemporáneo, nuestra época, exhibe una vinculación problemática entre las sociedades, sus gobiernos y las instituciones de la democracia. Basta echar una rápida mirada a las encuestas de satisfacción democrática que se realizan periódicamente en todo occidente desde hace casi medio siglo o rastrear los datos sobre formas diversas de participación política en las últimas décadas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Como señala Peter Mair (2015), los indicadores clásicos de integración política —participación electoral, identificación partidaria, afiliación, movilización y militancia— muestran una tendencia sostenida al declive en las democracias occidentales, fenómeno que expresa un proceso más amplio de alejamiento mutuo entre ciudadanía y élites políticas. El rótulo “crisis de representación” suele ser el más utilizado para dar cuenta de la marcada y creciente insatisfacción de los ciudadanos de todos los países. Esta expresión funciona como un significante que condensa diagnósticos, procesos y problemáticas heterogéneas, muchas veces difíciles de reducir a una única realidad empírica. Sin embargo, permite apreciar un proceso de caída abrupta en las expectativas que las personas depositan en la política representativa. ¿Cómo enmarcar este fenómeno en las transformaciones de la época?, ¿cómo y por qué abordarlo desde las aulas universitarias?</w:t>
      </w:r>
    </w:p>
    <w:p w:rsidR="00000000" w:rsidDel="00000000" w:rsidP="00000000" w:rsidRDefault="00000000" w:rsidRPr="00000000" w14:paraId="0000004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La política (en su sentido más amplio), al igual que el aula, es otro de los ámbitos cuya capacidad para constituirse como espacio de construcción de lo común se ve debilitada por las coordenadas contemporáneas. Como se señaló más arriba, las prácticas orientadas a la producción de un mundo compartido y articuladas institucionalmente a través de la democracia encuentran crecientes dificultades para sostenerse en una sociedad concebida como una agregación de individuos. La racionalidad neoliberal no sólo redefine a los sujetos como agentes responsables de gestionar su propio capital humano, sino que también desplaza las formas colectivas de identificación y acción política. La esfera pública, en este contexto, se debilita y la dimensión conflictiva de lo político —aquella vinculada a la deliberación, la disputa y la construcción de proyectos comunes— tiende a diluirse en asociaciones contingentes de intereses particulares. De este modo, la ciudadanía pierde espesor como práctica democrática y queda progresivamente subordinada a una lógica que privilegia la competencia individual por sobre la participación en asuntos comunes. Como sostiene Wendy Brown (2016), la extensión de la racionalidad neoliberal a todos los ámbitos de la vida termina por erosionar las bases de la ciudadanía democrática al transformar al ciudadano en capital humano y redefinir la acción política según criterios de mercado. </w:t>
      </w:r>
    </w:p>
    <w:p w:rsidR="00000000" w:rsidDel="00000000" w:rsidP="00000000" w:rsidRDefault="00000000" w:rsidRPr="00000000" w14:paraId="000000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Enfocada de este modo, la problemática deja de estar enmarcada en las opiniones sobre los entramados partidarios e institucionales de los gobiernos para transformarse en un dispositivo de intervención didáctica. Para abordar esta cuestión, pusimos en marcha una encuesta que buscó relevar las percepciones de los estudiantes sobre el funcionamiento de la democracia representativa en nuestro país.  Los resultados de este sondeo, que ya cuenta con más de mil trescientas respuestas a lo largo de cinco años, son utilizados para el debate en el aula. Comparadas con las de cualquier relevamiento de este tipo, las opiniones recogidas no muestran grandes disonancias. Lo que se observa en diversas regiones del "mundo democrático" es un distanciamiento profundo y creciente entre representantes y representados, así como una progresiva desvinculación de amplios sectores de la ciudadanía respecto de las formas tradicionales de participación política y acción colectiva, tales como organizaciones sociales, movimientos reivindicatorios, espacios de deliberación pública y movilizaciones ciudadanas. </w:t>
      </w:r>
    </w:p>
    <w:p w:rsidR="00000000" w:rsidDel="00000000" w:rsidP="00000000" w:rsidRDefault="00000000" w:rsidRPr="00000000" w14:paraId="000000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Al contrastar los resultados obtenidos con los de relevamientos similares realizados en distintas regiones del mundo y advertir significativas convergencias, se vuelve posible una indagación más profunda acerca de las transformaciones contemporáneas de la subjetividad política y de las crecientes dificultades que enfrenta toda pretensión de representación satisfactoria. Es decir, el trabajo que se propone enmarca esta problemática en una crisis más amplia de las instituciones modernas, entendida no como un proceso de simple deterioro institucional sino como el efecto de una creciente desarticulación entre las formas institucionales heredadas de la modernidad y las modalidades de subjetivación predominantes en el presente. La democracia representativa -¿y la Universidad? - fue concebida para sujetos formados en torno a horizontes de pertenencia relativamente estables, dispuestos a sostener vínculos duraderos de identificación y a diferir la satisfacción inmediata de sus demandas en función de proyectos colectivos de largo plazo. Como explicamos más arriba, estas disposiciones conviven hoy con formas de subjetividad crecientemente atravesadas por la lógica del consumo, la personalización de la experiencia y la expectativa de respuestas inmediatas. </w:t>
      </w:r>
    </w:p>
    <w:p w:rsidR="00000000" w:rsidDel="00000000" w:rsidP="00000000" w:rsidRDefault="00000000" w:rsidRPr="00000000" w14:paraId="0000004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Desde esta perspectiva, la denominada crisis de representación no expresa únicamente una evaluación negativa del desempeño de dirigentes o partidos políticos, sino también las dificultades que enfrentan instituciones construidas para interpelar ciudadanos cuando son experimentadas cada vez más desde la posición del usuario o del consumidor. La distancia entre representantes y representados aparece así como una manifestación particular de una transformación más profunda: aquella que afecta las formas en que los individuos se vinculan con las instituciones, con la autoridad, con el tiempo y con la vida colectiva. </w:t>
      </w:r>
    </w:p>
    <w:p w:rsidR="00000000" w:rsidDel="00000000" w:rsidP="00000000" w:rsidRDefault="00000000" w:rsidRPr="00000000" w14:paraId="0000004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Esta exploración ofrece una triple potencialidad. Por un lado, permite utilizar la problemática de la representación como un prisma a través del cual observar con mayor nitidez algunos de los rasgos característicos de las subjetividades contemporáneas, sus expectativas, formas de vinculación con lo público y modalidades de construcción de sentido político. Por otro lado, habilita un abordaje específico de la propia crisis de representación mediante el diálogo crítico con bibliografía especializada proveniente de las ciencias políticas, la sociología y la historia. Finalmente, los resultados obtenidos constituyen un valioso insumo para la investigación en curso sobre las transformaciones contemporáneas de la representación política y los vínculos entre ciudadanía y vida pública. De este modo, la problemática funciona simultáneamente como objeto de enseñanza, como herramienta de interpretación de la contemporaneidad y como insumo para la investigación</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3832860"/>
            <wp:effectExtent b="0" l="0" r="0" t="0"/>
            <wp:docPr id="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400040" cy="383286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204460" cy="2598420"/>
            <wp:effectExtent b="0" l="0" r="0" t="0"/>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204460" cy="259842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326380" cy="2659380"/>
            <wp:effectExtent b="0" l="0" r="0" t="0"/>
            <wp:docPr id="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326380" cy="265938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Estos datos, que ilustran algunos de los aspectos sobre los que son encuestados los estudiantes, constituyen el insumo principal a partir del cual se organiza el debate áulico. Ello ocurre una vez que los resultados son contrastados con relevamientos realizados en otras regiones del mundo mediante preguntas iguales o similares. De este modo, la denominada “crisis de representación” se instala como eje de reflexión y análisis colectivo. Sin embargo, el propósito de este ejercicio no es únicamente describir un fenómeno político contemporáneo, sino propiciar una comprensión más profunda de los procesos de transformación subjetiva que fueron desarrollados en apartados anteriores. En este sentido, la crisis de representación es abordada como un emergente de cambios más amplios en las formas de construcción de identidades, de vinculación con las instituciones y de participación en la vida pública. </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A modo de cierre</w:t>
      </w:r>
      <w:r w:rsidDel="00000000" w:rsidR="00000000" w:rsidRPr="00000000">
        <w:rPr>
          <w:rtl w:val="0"/>
        </w:rPr>
      </w:r>
    </w:p>
    <w:p w:rsidR="00000000" w:rsidDel="00000000" w:rsidP="00000000" w:rsidRDefault="00000000" w:rsidRPr="00000000" w14:paraId="00000050">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expone una serie de reflexiones que no apuntan a explicar exhaustivamente la denominada “crisis de representación” ni tampoco formular una serie de diagnósticos definitivos sobre el presente y los sujetos que lo habitamos. Quizás desde una perspectiva más moderada, procuran mostrar que ciertos malestares políticos contemporáneos pueden ser comprendidos de manera más profunda cuando son puestos en relación con las transformaciones de las formas de subjetivación que caracterizan a nuestra época.</w:t>
      </w:r>
    </w:p>
    <w:p w:rsidR="00000000" w:rsidDel="00000000" w:rsidP="00000000" w:rsidRDefault="00000000" w:rsidRPr="00000000" w14:paraId="00000051">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mirada, el interés de la experiencia pedagógica que presentamos no reside exclusivamente en que permite abordar una problemática relevante para la formación ciudadana, sino especialmente en que habilita un ejercicio de extrañamiento sobre el propio presente. La encuesta y el trabajo posterior de análisis en el aula organizan una oportunidad para que los estudiantes se reconozcan simultáneamente como observadores y protagonistas de procesos históricos que exceden sus trayectorias individuales. En ese movimiento, la crisis de representación deja de presentarse meramente como un problema de los sistemas políticos y sus dirigentes y pasa a convertirse en una vía de acceso para reflexionar sobre las transformaciones de los vínculos sociales, las expectativas respecto de las instituciones, las formas de construir identidad y los modos de imaginar el futuro.</w:t>
      </w:r>
    </w:p>
    <w:p w:rsidR="00000000" w:rsidDel="00000000" w:rsidP="00000000" w:rsidRDefault="00000000" w:rsidRPr="00000000" w14:paraId="00000052">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mismo tiempo, esta experiencia invita a reconsiderar algunas preguntas acerca de la función de la universidad en el contexto actual. Si una parte significativa de las dificultades que atraviesan las democracias contemporáneas remite a la erosión de los espacios de construcción de lo común, ¿qué papel pueden desempeñar las instituciones universitarias frente a ese escenario? ¿En qué medida el aula puede constituirse como un ámbito donde se suspendan, aunque sea transitoriamente, las exigencias de la inmediatez, la lógica del rendimiento y la fragmentación de la experiencia? ¿Qué posibilidades existen de producir instancias de reflexión colectiva en un contexto que tiende a privilegiar la personalización de las trayectorias y la interpretación individualizada de los problemas sociales?</w:t>
      </w:r>
    </w:p>
    <w:p w:rsidR="00000000" w:rsidDel="00000000" w:rsidP="00000000" w:rsidRDefault="00000000" w:rsidRPr="00000000" w14:paraId="00000053">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además, nos permiten continuar la indagación sobre las formas contemporáneas de la acción política. Si las instituciones representativas fueron concebidas para sujetos capaces de proyectarse en horizontes temporales amplios y de inscribir sus demandas en marcos colectivos de pertenencia, ¿qué ocurre cuando predominan experiencias sociales organizadas en torno a la inmediatez, la singularización y la satisfacción individual? ¿Estamos asistiendo a una crisis coyuntural de legitimidad política o a la transformación de las condiciones subjetivas que hicieron posible la representación moderna? ¿Qué formas de participación, identificación y construcción de lo común emergen en este nuevo escenario?</w:t>
      </w:r>
    </w:p>
    <w:p w:rsidR="00000000" w:rsidDel="00000000" w:rsidP="00000000" w:rsidRDefault="00000000" w:rsidRPr="00000000" w14:paraId="00000054">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estas preguntas nos devuelven al problema que dio origen a esta reflexión. Tal vez uno de los desafíos más relevantes para la enseñanza universitaria contemporánea consista en generar las condiciones para que los estudiantes puedan interrogar críticamente las formas históricas de experiencia que estructuran la propia relación con su época, con los otros y con el mundo común. Más que ofrecer respuestas cerradas, la experiencia presentada pretende contribuir a la construcción del espacio de clase como circunstancia de interrogación colectiva. En torno a estas y otras preguntas aún abiertas, sostenemos, puede desarrollarse un diálogo fértil con los estudiantes si es que pretendemos formarlos como sujetos capaces de pensarse a sí mismos en relación con los problemas de su tiempo, de reconocer su pertenencia a un mundo compartido y de intervenir en él de manera reflexiva, y no únicamente como portadores de competencias destinadas a incrementar su valor en el mercado profesional. </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Bibliografía</w:t>
      </w: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Berardi, F. (2016). </w:t>
      </w:r>
      <w:r w:rsidDel="00000000" w:rsidR="00000000" w:rsidRPr="00000000">
        <w:rPr>
          <w:rFonts w:ascii="Times New Roman" w:cs="Times New Roman" w:eastAsia="Times New Roman" w:hAnsi="Times New Roman"/>
          <w:i w:val="1"/>
          <w:iCs w:val="1"/>
          <w:rtl w:val="0"/>
        </w:rPr>
        <w:t xml:space="preserve">Héroes. Asesinato masivo y suicidio</w:t>
      </w:r>
      <w:r w:rsidDel="00000000" w:rsidR="00000000" w:rsidRPr="00000000">
        <w:rPr>
          <w:rFonts w:ascii="Times New Roman" w:cs="Times New Roman" w:eastAsia="Times New Roman" w:hAnsi="Times New Roman"/>
          <w:rtl w:val="0"/>
        </w:rPr>
        <w:t xml:space="preserve">. Akal.</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Brown, W. (2016). </w:t>
      </w:r>
      <w:r w:rsidDel="00000000" w:rsidR="00000000" w:rsidRPr="00000000">
        <w:rPr>
          <w:rFonts w:ascii="Times New Roman" w:cs="Times New Roman" w:eastAsia="Times New Roman" w:hAnsi="Times New Roman"/>
          <w:i w:val="1"/>
          <w:iCs w:val="1"/>
          <w:rtl w:val="0"/>
        </w:rPr>
        <w:t xml:space="preserve">El pueblo sin atributos. La secreta revolución del neoliberalismo</w:t>
      </w:r>
      <w:r w:rsidDel="00000000" w:rsidR="00000000" w:rsidRPr="00000000">
        <w:rPr>
          <w:rFonts w:ascii="Times New Roman" w:cs="Times New Roman" w:eastAsia="Times New Roman" w:hAnsi="Times New Roman"/>
          <w:rtl w:val="0"/>
        </w:rPr>
        <w:t xml:space="preserve">. Malpaso.</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Brown, W. (2021). </w:t>
      </w:r>
      <w:r w:rsidDel="00000000" w:rsidR="00000000" w:rsidRPr="00000000">
        <w:rPr>
          <w:rFonts w:ascii="Times New Roman" w:cs="Times New Roman" w:eastAsia="Times New Roman" w:hAnsi="Times New Roman"/>
          <w:i w:val="1"/>
          <w:iCs w:val="1"/>
          <w:rtl w:val="0"/>
        </w:rPr>
        <w:t xml:space="preserve">En las ruinas del neoliberalismo. El ascenso de las políticas antidemocráticas en Occidente</w:t>
      </w:r>
      <w:r w:rsidDel="00000000" w:rsidR="00000000" w:rsidRPr="00000000">
        <w:rPr>
          <w:rFonts w:ascii="Times New Roman" w:cs="Times New Roman" w:eastAsia="Times New Roman" w:hAnsi="Times New Roman"/>
          <w:rtl w:val="0"/>
        </w:rPr>
        <w:t xml:space="preserve">. Traficantes de Sueños.</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 Empoli, G. (2019). </w:t>
      </w:r>
      <w:r w:rsidDel="00000000" w:rsidR="00000000" w:rsidRPr="00000000">
        <w:rPr>
          <w:rFonts w:ascii="Times New Roman" w:cs="Times New Roman" w:eastAsia="Times New Roman" w:hAnsi="Times New Roman"/>
          <w:i w:val="1"/>
          <w:iCs w:val="1"/>
          <w:rtl w:val="0"/>
        </w:rPr>
        <w:t xml:space="preserve">Los ingenieros del caos</w:t>
      </w:r>
      <w:r w:rsidDel="00000000" w:rsidR="00000000" w:rsidRPr="00000000">
        <w:rPr>
          <w:rFonts w:ascii="Times New Roman" w:cs="Times New Roman" w:eastAsia="Times New Roman" w:hAnsi="Times New Roman"/>
          <w:rtl w:val="0"/>
        </w:rPr>
        <w:t xml:space="preserve">. Editora Vestigio.</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Exposto, E. (2023). </w:t>
      </w:r>
      <w:r w:rsidDel="00000000" w:rsidR="00000000" w:rsidRPr="00000000">
        <w:rPr>
          <w:rFonts w:ascii="Times New Roman" w:cs="Times New Roman" w:eastAsia="Times New Roman" w:hAnsi="Times New Roman"/>
          <w:i w:val="1"/>
          <w:iCs w:val="1"/>
          <w:rtl w:val="0"/>
        </w:rPr>
        <w:t xml:space="preserve">Las máquinas psíquicas. ¿Qué hacer con la crisis de la salud mental?</w:t>
      </w:r>
      <w:r w:rsidDel="00000000" w:rsidR="00000000" w:rsidRPr="00000000">
        <w:rPr>
          <w:rFonts w:ascii="Times New Roman" w:cs="Times New Roman" w:eastAsia="Times New Roman" w:hAnsi="Times New Roman"/>
          <w:rtl w:val="0"/>
        </w:rPr>
        <w:t xml:space="preserve"> Nido de Vacas.</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 M. (2016). </w:t>
      </w:r>
      <w:r w:rsidDel="00000000" w:rsidR="00000000" w:rsidRPr="00000000">
        <w:rPr>
          <w:rFonts w:ascii="Times New Roman" w:cs="Times New Roman" w:eastAsia="Times New Roman" w:hAnsi="Times New Roman"/>
          <w:i w:val="1"/>
          <w:iCs w:val="1"/>
          <w:rtl w:val="0"/>
        </w:rPr>
        <w:t xml:space="preserve">Realismo capitalista. ¿No hay alternativa?</w:t>
      </w:r>
      <w:r w:rsidDel="00000000" w:rsidR="00000000" w:rsidRPr="00000000">
        <w:rPr>
          <w:rFonts w:ascii="Times New Roman" w:cs="Times New Roman" w:eastAsia="Times New Roman" w:hAnsi="Times New Roman"/>
          <w:rtl w:val="0"/>
        </w:rPr>
        <w:t xml:space="preserve"> Caja Negra.</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 M. (2024). </w:t>
      </w:r>
      <w:r w:rsidDel="00000000" w:rsidR="00000000" w:rsidRPr="00000000">
        <w:rPr>
          <w:rFonts w:ascii="Times New Roman" w:cs="Times New Roman" w:eastAsia="Times New Roman" w:hAnsi="Times New Roman"/>
          <w:i w:val="1"/>
          <w:iCs w:val="1"/>
          <w:rtl w:val="0"/>
        </w:rPr>
        <w:t xml:space="preserve">Deseo postcapitalista. Las últimas clases</w:t>
      </w:r>
      <w:r w:rsidDel="00000000" w:rsidR="00000000" w:rsidRPr="00000000">
        <w:rPr>
          <w:rFonts w:ascii="Times New Roman" w:cs="Times New Roman" w:eastAsia="Times New Roman" w:hAnsi="Times New Roman"/>
          <w:rtl w:val="0"/>
        </w:rPr>
        <w:t xml:space="preserve">. Caja Negra.</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Gatto, E. (2018). </w:t>
      </w:r>
      <w:r w:rsidDel="00000000" w:rsidR="00000000" w:rsidRPr="00000000">
        <w:rPr>
          <w:rFonts w:ascii="Times New Roman" w:cs="Times New Roman" w:eastAsia="Times New Roman" w:hAnsi="Times New Roman"/>
          <w:i w:val="1"/>
          <w:iCs w:val="1"/>
          <w:rtl w:val="0"/>
        </w:rPr>
        <w:t xml:space="preserve">Futurabilidades. Ensayos sobre política posutópica</w:t>
      </w:r>
      <w:r w:rsidDel="00000000" w:rsidR="00000000" w:rsidRPr="00000000">
        <w:rPr>
          <w:rFonts w:ascii="Times New Roman" w:cs="Times New Roman" w:eastAsia="Times New Roman" w:hAnsi="Times New Roman"/>
          <w:rtl w:val="0"/>
        </w:rPr>
        <w:t xml:space="preserve">. Casagrande.</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Hall, S. (2017). </w:t>
      </w:r>
      <w:r w:rsidDel="00000000" w:rsidR="00000000" w:rsidRPr="00000000">
        <w:rPr>
          <w:rFonts w:ascii="Times New Roman" w:cs="Times New Roman" w:eastAsia="Times New Roman" w:hAnsi="Times New Roman"/>
          <w:i w:val="1"/>
          <w:iCs w:val="1"/>
          <w:rtl w:val="0"/>
        </w:rPr>
        <w:t xml:space="preserve">Estudios culturales 1983. Una historia teorética</w:t>
      </w:r>
      <w:r w:rsidDel="00000000" w:rsidR="00000000" w:rsidRPr="00000000">
        <w:rPr>
          <w:rFonts w:ascii="Times New Roman" w:cs="Times New Roman" w:eastAsia="Times New Roman" w:hAnsi="Times New Roman"/>
          <w:rtl w:val="0"/>
        </w:rPr>
        <w:t xml:space="preserve">. Paidós.</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Jameson, F. (2009). El fin de la temporalidad. En N. Golubov y R. Parrini Roses (Eds.), </w:t>
      </w:r>
      <w:r w:rsidDel="00000000" w:rsidR="00000000" w:rsidRPr="00000000">
        <w:rPr>
          <w:rFonts w:ascii="Times New Roman" w:cs="Times New Roman" w:eastAsia="Times New Roman" w:hAnsi="Times New Roman"/>
          <w:i w:val="1"/>
          <w:iCs w:val="1"/>
          <w:rtl w:val="0"/>
        </w:rPr>
        <w:t xml:space="preserve">Los contornos del mundo: globalización, subjetividad y cultura</w:t>
      </w:r>
      <w:r w:rsidDel="00000000" w:rsidR="00000000" w:rsidRPr="00000000">
        <w:rPr>
          <w:rFonts w:ascii="Times New Roman" w:cs="Times New Roman" w:eastAsia="Times New Roman" w:hAnsi="Times New Roman"/>
          <w:rtl w:val="0"/>
        </w:rPr>
        <w:t xml:space="preserve"> (pp. xx-xx). Universidad Nacional Autónoma de México.</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Jappe, A. (2011). </w:t>
      </w:r>
      <w:r w:rsidDel="00000000" w:rsidR="00000000" w:rsidRPr="00000000">
        <w:rPr>
          <w:rFonts w:ascii="Times New Roman" w:cs="Times New Roman" w:eastAsia="Times New Roman" w:hAnsi="Times New Roman"/>
          <w:i w:val="1"/>
          <w:iCs w:val="1"/>
          <w:rtl w:val="0"/>
        </w:rPr>
        <w:t xml:space="preserve">Crédito a muerte. La descomposición del capitalismo y sus críticos</w:t>
      </w:r>
      <w:r w:rsidDel="00000000" w:rsidR="00000000" w:rsidRPr="00000000">
        <w:rPr>
          <w:rFonts w:ascii="Times New Roman" w:cs="Times New Roman" w:eastAsia="Times New Roman" w:hAnsi="Times New Roman"/>
          <w:rtl w:val="0"/>
        </w:rPr>
        <w:t xml:space="preserve">. Epublibre.</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Jappe, A. (2017). </w:t>
      </w:r>
      <w:r w:rsidDel="00000000" w:rsidR="00000000" w:rsidRPr="00000000">
        <w:rPr>
          <w:rFonts w:ascii="Times New Roman" w:cs="Times New Roman" w:eastAsia="Times New Roman" w:hAnsi="Times New Roman"/>
          <w:i w:val="1"/>
          <w:iCs w:val="1"/>
          <w:rtl w:val="0"/>
        </w:rPr>
        <w:t xml:space="preserve">La sociedad autófaga. Capitalismo, desmesura y autodestrucción</w:t>
      </w:r>
      <w:r w:rsidDel="00000000" w:rsidR="00000000" w:rsidRPr="00000000">
        <w:rPr>
          <w:rFonts w:ascii="Times New Roman" w:cs="Times New Roman" w:eastAsia="Times New Roman" w:hAnsi="Times New Roman"/>
          <w:rtl w:val="0"/>
        </w:rPr>
        <w:t xml:space="preserve">. Pepitas de Calabaza.</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Mair, P (2015). </w:t>
      </w:r>
      <w:r w:rsidDel="00000000" w:rsidR="00000000" w:rsidRPr="00000000">
        <w:rPr>
          <w:rFonts w:ascii="Times New Roman" w:cs="Times New Roman" w:eastAsia="Times New Roman" w:hAnsi="Times New Roman"/>
          <w:i w:val="1"/>
          <w:iCs w:val="1"/>
          <w:rtl w:val="0"/>
        </w:rPr>
        <w:t xml:space="preserve">Gobernando el vacío. La banalización de la democracia occidental. </w:t>
      </w:r>
      <w:r w:rsidDel="00000000" w:rsidR="00000000" w:rsidRPr="00000000">
        <w:rPr>
          <w:rFonts w:ascii="Times New Roman" w:cs="Times New Roman" w:eastAsia="Times New Roman" w:hAnsi="Times New Roman"/>
          <w:rtl w:val="0"/>
        </w:rPr>
        <w:t xml:space="preserve">Alianza Editorial.</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Nunes, R. (2024). </w:t>
      </w:r>
      <w:r w:rsidDel="00000000" w:rsidR="00000000" w:rsidRPr="00000000">
        <w:rPr>
          <w:rFonts w:ascii="Times New Roman" w:cs="Times New Roman" w:eastAsia="Times New Roman" w:hAnsi="Times New Roman"/>
          <w:i w:val="1"/>
          <w:iCs w:val="1"/>
          <w:rtl w:val="0"/>
        </w:rPr>
        <w:t xml:space="preserve">Bolsonarismo y extrema derecha global. Una gramática de la desintegración</w:t>
      </w:r>
      <w:r w:rsidDel="00000000" w:rsidR="00000000" w:rsidRPr="00000000">
        <w:rPr>
          <w:rFonts w:ascii="Times New Roman" w:cs="Times New Roman" w:eastAsia="Times New Roman" w:hAnsi="Times New Roman"/>
          <w:rtl w:val="0"/>
        </w:rPr>
        <w:t xml:space="preserve">. Tinta Limón.</w:t>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Orsina, G. (2018). </w:t>
      </w:r>
      <w:r w:rsidDel="00000000" w:rsidR="00000000" w:rsidRPr="00000000">
        <w:rPr>
          <w:rFonts w:ascii="Times New Roman" w:cs="Times New Roman" w:eastAsia="Times New Roman" w:hAnsi="Times New Roman"/>
          <w:i w:val="1"/>
          <w:iCs w:val="1"/>
          <w:rtl w:val="0"/>
        </w:rPr>
        <w:t xml:space="preserve">La democracia del narcisismo. Breve historia de la antipolítica</w:t>
      </w:r>
      <w:r w:rsidDel="00000000" w:rsidR="00000000" w:rsidRPr="00000000">
        <w:rPr>
          <w:rFonts w:ascii="Times New Roman" w:cs="Times New Roman" w:eastAsia="Times New Roman" w:hAnsi="Times New Roman"/>
          <w:rtl w:val="0"/>
        </w:rPr>
        <w:t xml:space="preserve">. Marsilio Editori.</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Radetich Filinich, N. (2023). La smartphonización de la vida social. </w:t>
      </w:r>
      <w:r w:rsidDel="00000000" w:rsidR="00000000" w:rsidRPr="00000000">
        <w:rPr>
          <w:rFonts w:ascii="Times New Roman" w:cs="Times New Roman" w:eastAsia="Times New Roman" w:hAnsi="Times New Roman"/>
          <w:i w:val="1"/>
          <w:iCs w:val="1"/>
          <w:rtl w:val="0"/>
        </w:rPr>
        <w:t xml:space="preserve">Cuestiones de Sociología</w:t>
      </w:r>
      <w:r w:rsidDel="00000000" w:rsidR="00000000" w:rsidRPr="00000000">
        <w:rPr>
          <w:rFonts w:ascii="Times New Roman" w:cs="Times New Roman" w:eastAsia="Times New Roman" w:hAnsi="Times New Roman"/>
          <w:rtl w:val="0"/>
        </w:rPr>
        <w:t xml:space="preserve">, (27), e148.</w:t>
      </w:r>
      <w:hyperlink r:id="rId13">
        <w:r w:rsidDel="00000000" w:rsidR="00000000" w:rsidRPr="00000000">
          <w:rPr>
            <w:rFonts w:ascii="Times New Roman" w:cs="Times New Roman" w:eastAsia="Times New Roman" w:hAnsi="Times New Roman"/>
            <w:color w:val="0563c1"/>
            <w:u w:val="single"/>
            <w:rtl w:val="0"/>
          </w:rPr>
          <w:t xml:space="preserve"> https://doi.org/10.24215/23468904e148</w:t>
        </w:r>
      </w:hyperlink>
      <w:r w:rsidDel="00000000" w:rsidR="00000000" w:rsidRPr="00000000">
        <w:rPr>
          <w:rtl w:val="0"/>
        </w:rPr>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Recalcati, M. (2016). </w:t>
      </w:r>
      <w:r w:rsidDel="00000000" w:rsidR="00000000" w:rsidRPr="00000000">
        <w:rPr>
          <w:rFonts w:ascii="Times New Roman" w:cs="Times New Roman" w:eastAsia="Times New Roman" w:hAnsi="Times New Roman"/>
          <w:i w:val="1"/>
          <w:iCs w:val="1"/>
          <w:rtl w:val="0"/>
        </w:rPr>
        <w:t xml:space="preserve">La hora de clase. Por una erótica de la enseñanza</w:t>
      </w:r>
      <w:r w:rsidDel="00000000" w:rsidR="00000000" w:rsidRPr="00000000">
        <w:rPr>
          <w:rFonts w:ascii="Times New Roman" w:cs="Times New Roman" w:eastAsia="Times New Roman" w:hAnsi="Times New Roman"/>
          <w:rtl w:val="0"/>
        </w:rPr>
        <w:t xml:space="preserve">. Anagrama.</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Sibilia, P. (2008). </w:t>
      </w:r>
      <w:r w:rsidDel="00000000" w:rsidR="00000000" w:rsidRPr="00000000">
        <w:rPr>
          <w:rFonts w:ascii="Times New Roman" w:cs="Times New Roman" w:eastAsia="Times New Roman" w:hAnsi="Times New Roman"/>
          <w:i w:val="1"/>
          <w:iCs w:val="1"/>
          <w:rtl w:val="0"/>
        </w:rPr>
        <w:t xml:space="preserve">La intimidad como espectáculo</w:t>
      </w:r>
      <w:r w:rsidDel="00000000" w:rsidR="00000000" w:rsidRPr="00000000">
        <w:rPr>
          <w:rFonts w:ascii="Times New Roman" w:cs="Times New Roman" w:eastAsia="Times New Roman" w:hAnsi="Times New Roman"/>
          <w:rtl w:val="0"/>
        </w:rPr>
        <w:t xml:space="preserve">. Fondo de Cultura Económica.</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Therborn, G. (1995). </w:t>
      </w:r>
      <w:r w:rsidDel="00000000" w:rsidR="00000000" w:rsidRPr="00000000">
        <w:rPr>
          <w:rFonts w:ascii="Times New Roman" w:cs="Times New Roman" w:eastAsia="Times New Roman" w:hAnsi="Times New Roman"/>
          <w:i w:val="1"/>
          <w:iCs w:val="1"/>
          <w:rtl w:val="0"/>
        </w:rPr>
        <w:t xml:space="preserve">Ideología del poder y el poder de la ideología</w:t>
      </w:r>
      <w:r w:rsidDel="00000000" w:rsidR="00000000" w:rsidRPr="00000000">
        <w:rPr>
          <w:rFonts w:ascii="Times New Roman" w:cs="Times New Roman" w:eastAsia="Times New Roman" w:hAnsi="Times New Roman"/>
          <w:rtl w:val="0"/>
        </w:rPr>
        <w:t xml:space="preserve">. Siglo XXI Editores. (Trabajo original publicado en 1987).</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Varoufakis, Y. (2024). </w:t>
      </w:r>
      <w:r w:rsidDel="00000000" w:rsidR="00000000" w:rsidRPr="00000000">
        <w:rPr>
          <w:rFonts w:ascii="Times New Roman" w:cs="Times New Roman" w:eastAsia="Times New Roman" w:hAnsi="Times New Roman"/>
          <w:i w:val="1"/>
          <w:iCs w:val="1"/>
          <w:rtl w:val="0"/>
        </w:rPr>
        <w:t xml:space="preserve">Tecnofeudalismo. El sigiloso sucesor del capitalismo</w:t>
      </w:r>
      <w:r w:rsidDel="00000000" w:rsidR="00000000" w:rsidRPr="00000000">
        <w:rPr>
          <w:rFonts w:ascii="Times New Roman" w:cs="Times New Roman" w:eastAsia="Times New Roman" w:hAnsi="Times New Roman"/>
          <w:rtl w:val="0"/>
        </w:rPr>
        <w:t xml:space="preserve">. Ariel.</w:t>
      </w:r>
    </w:p>
    <w:sectPr>
      <w:headerReference r:id="rId14" w:type="default"/>
      <w:footerReference r:id="rId1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 ejemplo muy citado por los analistas es Eurobarómetro; una serie de encuestas periódicas realizadas por la Comisión Europea desde 1974. Durante los ‘80 y ‘90 surgieron proyectos de investigación a gran escala como el World Values Survey (</w:t>
      </w:r>
      <w:hyperlink r:id="rId1">
        <w:r w:rsidDel="00000000" w:rsidR="00000000" w:rsidRPr="00000000">
          <w:rPr>
            <w:rFonts w:ascii="Times New Roman" w:cs="Times New Roman" w:eastAsia="Times New Roman" w:hAnsi="Times New Roman"/>
            <w:b w:val="0"/>
            <w:bCs w:val="0"/>
            <w:i w:val="0"/>
            <w:iCs w:val="0"/>
            <w:smallCaps w:val="0"/>
            <w:strike w:val="0"/>
            <w:color w:val="0563c1"/>
            <w:sz w:val="20"/>
            <w:szCs w:val="20"/>
            <w:u w:val="single"/>
            <w:shd w:fill="auto" w:val="clear"/>
            <w:vertAlign w:val="baseline"/>
            <w:rtl w:val="0"/>
          </w:rPr>
          <w:t xml:space="preserve">https://www.worldvaluessurvey.org/wvs.jsp</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Latinobarómetro (https://www.latinobarometro.org/lat.jsp), el Barómetro Árabe (https://www.arabbarometer.org/) y organizaciones como el Bennet Institute de la Universidad de Cambridge (https://www.bennettinstitute.cam.ac.uk/) y la O.E.A. Todos han realizado encuestas exhaustivas sobre la satisfacción democrática en sus respectivas regiones. Estas mediciones periódicas son retomadas luego por investigadores especializados y medios de comunicación.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La encuesta fue aplicada a estudiantes que, en su gran mayoría, cursan el primer año de distintas carreras de la UNTREF. Si bien las cohortes corresponden a años diferentes, el instrumento utilizado se mantuvo sin modificaciones sustantivas, lo que permite la comparación de los resultados. Los datos con los que contamos hasta la fecha son: para el período 2020-2024, 866 respuestas; para el año 2025, 335 respuestas y para el corriente año, 160 respuestas.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hyperlink" Target="https://doi.org/10.24215/23468904e148"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gracian@untref.edu.ar"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fracchia@untref.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worldvaluessurvey.org/wvs.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rgsGvNA7g82U8gl6+np/evAqCg==">CgMxLjA4AHIhMWN0UU81ZjR0X3pmR0FmZ0F2aFBHWXJBbVdUTW50NEdG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