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A2E02" w14:textId="77777777" w:rsidR="00210914" w:rsidRP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p>
    <w:p w14:paraId="1383DB85" w14:textId="77777777" w:rsidR="00210914" w:rsidRP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p>
    <w:p w14:paraId="44893A29" w14:textId="77777777" w:rsidR="00210914" w:rsidRPr="00210914" w:rsidRDefault="00210914" w:rsidP="00210914">
      <w:pPr>
        <w:spacing w:after="0" w:line="240" w:lineRule="auto"/>
        <w:jc w:val="center"/>
        <w:rPr>
          <w:rFonts w:ascii="Times New Roman" w:eastAsia="Times New Roman" w:hAnsi="Times New Roman" w:cs="Times New Roman"/>
          <w:b/>
          <w:bCs/>
          <w:kern w:val="0"/>
          <w:lang w:val="es" w:eastAsia="es-ES"/>
          <w14:ligatures w14:val="none"/>
        </w:rPr>
      </w:pPr>
      <w:r w:rsidRPr="00210914">
        <w:rPr>
          <w:rFonts w:ascii="Times New Roman" w:eastAsia="Times New Roman" w:hAnsi="Times New Roman" w:cs="Times New Roman"/>
          <w:b/>
          <w:bCs/>
          <w:kern w:val="0"/>
          <w:lang w:val="es" w:eastAsia="es-ES"/>
          <w14:ligatures w14:val="none"/>
        </w:rPr>
        <w:t>La enseñanza de las Ciencias en la universidad: un abordaje colaborativo entre pedagogos y docentes</w:t>
      </w:r>
    </w:p>
    <w:p w14:paraId="5F88FD40" w14:textId="77777777" w:rsidR="00210914" w:rsidRPr="00210914" w:rsidRDefault="00210914" w:rsidP="00210914">
      <w:pPr>
        <w:spacing w:after="0" w:line="240" w:lineRule="auto"/>
        <w:jc w:val="both"/>
        <w:rPr>
          <w:rFonts w:ascii="Times New Roman" w:eastAsia="Times New Roman" w:hAnsi="Times New Roman" w:cs="Times New Roman"/>
          <w:b/>
          <w:bCs/>
          <w:kern w:val="0"/>
          <w:lang w:val="es" w:eastAsia="es-ES"/>
          <w14:ligatures w14:val="none"/>
        </w:rPr>
      </w:pPr>
    </w:p>
    <w:p w14:paraId="3A2DA3B3" w14:textId="7754AA4F" w:rsidR="00210914" w:rsidRDefault="00210914" w:rsidP="00210914">
      <w:pPr>
        <w:spacing w:after="0" w:line="240" w:lineRule="auto"/>
        <w:jc w:val="right"/>
        <w:rPr>
          <w:rFonts w:ascii="Times New Roman" w:eastAsia="Times New Roman" w:hAnsi="Times New Roman" w:cs="Times New Roman"/>
          <w:kern w:val="0"/>
          <w:lang w:val="es" w:eastAsia="es-ES"/>
          <w14:ligatures w14:val="none"/>
        </w:rPr>
      </w:pPr>
      <w:r>
        <w:rPr>
          <w:rFonts w:ascii="Times New Roman" w:eastAsia="Times New Roman" w:hAnsi="Times New Roman" w:cs="Times New Roman"/>
          <w:kern w:val="0"/>
          <w:lang w:val="es" w:eastAsia="es-ES"/>
          <w14:ligatures w14:val="none"/>
        </w:rPr>
        <w:t xml:space="preserve">                                                                                                            </w:t>
      </w:r>
      <w:r w:rsidRPr="00210914">
        <w:rPr>
          <w:rFonts w:ascii="Times New Roman" w:eastAsia="Times New Roman" w:hAnsi="Times New Roman" w:cs="Times New Roman"/>
          <w:kern w:val="0"/>
          <w:lang w:val="es" w:eastAsia="es-ES"/>
          <w14:ligatures w14:val="none"/>
        </w:rPr>
        <w:t xml:space="preserve">Cecilia Acevedo </w:t>
      </w:r>
    </w:p>
    <w:p w14:paraId="25686F98" w14:textId="4FE21BE3" w:rsidR="00210914" w:rsidRPr="00210914" w:rsidRDefault="00210914" w:rsidP="00210914">
      <w:pPr>
        <w:spacing w:after="0" w:line="240" w:lineRule="auto"/>
        <w:jc w:val="right"/>
        <w:rPr>
          <w:rFonts w:ascii="Times New Roman" w:eastAsia="Times New Roman" w:hAnsi="Times New Roman" w:cs="Times New Roman"/>
          <w:kern w:val="0"/>
          <w:lang w:val="es" w:eastAsia="es-ES"/>
          <w14:ligatures w14:val="none"/>
        </w:rPr>
      </w:pPr>
      <w:r>
        <w:rPr>
          <w:rFonts w:ascii="Times New Roman" w:eastAsia="Times New Roman" w:hAnsi="Times New Roman" w:cs="Times New Roman"/>
          <w:kern w:val="0"/>
          <w:lang w:val="es" w:eastAsia="es-ES"/>
          <w14:ligatures w14:val="none"/>
        </w:rPr>
        <w:t xml:space="preserve">                                                                  </w:t>
      </w:r>
      <w:r w:rsidRPr="00210914">
        <w:rPr>
          <w:rFonts w:ascii="Times New Roman" w:eastAsia="Times New Roman" w:hAnsi="Times New Roman" w:cs="Times New Roman"/>
          <w:kern w:val="0"/>
          <w:lang w:val="es" w:eastAsia="es-ES"/>
          <w14:ligatures w14:val="none"/>
        </w:rPr>
        <w:t>lceciliaacevedo@gmail.com</w:t>
      </w:r>
    </w:p>
    <w:p w14:paraId="2A592529" w14:textId="77777777" w:rsidR="00210914" w:rsidRPr="00210914" w:rsidRDefault="00210914" w:rsidP="00210914">
      <w:pPr>
        <w:spacing w:after="0" w:line="240" w:lineRule="auto"/>
        <w:jc w:val="right"/>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Universidad Nacional de Luján </w:t>
      </w:r>
    </w:p>
    <w:p w14:paraId="2A1D3CE0" w14:textId="77777777" w:rsidR="00210914" w:rsidRDefault="00210914" w:rsidP="00210914">
      <w:pPr>
        <w:spacing w:after="0" w:line="240" w:lineRule="auto"/>
        <w:jc w:val="right"/>
        <w:rPr>
          <w:rFonts w:ascii="Times New Roman" w:eastAsia="Times New Roman" w:hAnsi="Times New Roman" w:cs="Times New Roman"/>
          <w:kern w:val="0"/>
          <w:lang w:val="es" w:eastAsia="es-ES"/>
          <w14:ligatures w14:val="none"/>
        </w:rPr>
      </w:pPr>
    </w:p>
    <w:p w14:paraId="47DAB8C0" w14:textId="77777777" w:rsidR="00210914" w:rsidRDefault="00210914" w:rsidP="00210914">
      <w:pPr>
        <w:spacing w:after="0" w:line="240" w:lineRule="auto"/>
        <w:jc w:val="right"/>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Silvina Muzzanti </w:t>
      </w:r>
    </w:p>
    <w:p w14:paraId="328DF0E9" w14:textId="3EB52F0C" w:rsidR="00210914" w:rsidRPr="00210914" w:rsidRDefault="00210914" w:rsidP="00210914">
      <w:pPr>
        <w:spacing w:after="0" w:line="240" w:lineRule="auto"/>
        <w:jc w:val="right"/>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silvinamuzzanti@gmail.com</w:t>
      </w:r>
    </w:p>
    <w:p w14:paraId="0A5FFA8E" w14:textId="77777777" w:rsidR="00210914" w:rsidRPr="00210914" w:rsidRDefault="00210914" w:rsidP="00210914">
      <w:pPr>
        <w:spacing w:after="0" w:line="240" w:lineRule="auto"/>
        <w:jc w:val="right"/>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Universidad Nacional de Luján </w:t>
      </w:r>
    </w:p>
    <w:p w14:paraId="1F1BE03F" w14:textId="77777777" w:rsid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p>
    <w:p w14:paraId="3E5CD4B2" w14:textId="77777777" w:rsidR="00210914" w:rsidRP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p>
    <w:p w14:paraId="0B768F61" w14:textId="77777777" w:rsidR="00210914" w:rsidRPr="00210914" w:rsidRDefault="00210914" w:rsidP="00210914">
      <w:pPr>
        <w:spacing w:after="0" w:line="240" w:lineRule="auto"/>
        <w:jc w:val="both"/>
        <w:rPr>
          <w:rFonts w:ascii="Times New Roman" w:eastAsia="Times New Roman" w:hAnsi="Times New Roman" w:cs="Times New Roman"/>
          <w:b/>
          <w:bCs/>
          <w:kern w:val="0"/>
          <w:lang w:val="es" w:eastAsia="es-ES"/>
          <w14:ligatures w14:val="none"/>
        </w:rPr>
      </w:pPr>
      <w:r w:rsidRPr="00210914">
        <w:rPr>
          <w:rFonts w:ascii="Times New Roman" w:eastAsia="Times New Roman" w:hAnsi="Times New Roman" w:cs="Times New Roman"/>
          <w:b/>
          <w:bCs/>
          <w:kern w:val="0"/>
          <w:lang w:val="es" w:eastAsia="es-ES"/>
          <w14:ligatures w14:val="none"/>
        </w:rPr>
        <w:t>Resumen</w:t>
      </w:r>
    </w:p>
    <w:p w14:paraId="5E674272" w14:textId="77777777" w:rsidR="00210914" w:rsidRP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p>
    <w:p w14:paraId="3A6CF0D2" w14:textId="77777777" w:rsidR="00210914" w:rsidRP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Nos interesa compartir reflexiones acerca de una modalidad formativa en la universidad que busca problematizar la enseñanza y el aprendizaje en el nivel a partir de la conformación de grupos de trabajo colaborativo (GTC) integrados por docentes e investigadores con formación pedagógica, y docentes y profesionales con formación en Ingeniería Agronómica. El propósito reside en revisar críticamente contenidos y problemas del campo disciplinar y profesional, diseñar situaciones de enseñanza, implementarlas y analizarlas conjuntamente. Hace ya más de dos décadas se produjo un giro en las didácticas específicas en el que se cuestionaba el lugar de los docentes en la producción de conocimiento didáctico, lo que motorizó la inclusión de modalidades colaborativas entre docentes e investigadores en la producción didáctica, principalmente orientada a otros niveles de la escolaridad. Desde el equipo de Pedagogía Universitaria de la Universidad Nacional de Luján, concomitante con este movimiento, incorporamos una modalidad de trabajo con -no para- los docentes que trabajan en el nivel superior. Los docentes de asignaturas de Ciencias Básicas o de Ingeniería -usualmente- se acercan a nuestro equipo de Pedagogía Universitaria planteando diferentes necesidades. Advertimos que el análisis sobre la relación entre el objeto de conocimiento de una disciplina y el objeto de enseñanza es uno de los problemas que más tiempo requiere en el diseño de una propuesta, con la intención de preservar el sentido del conocimiento con el que fue elaborado originalmente en su contexto de producción y con su funcionamiento en el desarrollo de la profesión. Problematizar los conocimientos nos ha llevado en estos espacios de trabajo colaborativo, a estudiar los temas, a reponer las preguntas y las discusiones en el contexto de producción de los saberes, a reparar en los aspectos anti intuitivos para quien se está acercando a este campo de conocimientos, a caracterizar su enseñanza usual, a reponer la potencia explicativa de los saberes, a realizar anticipaciones respecto de las ideas con las que los estudiantes suelen abordar estos saberes disciplinares. La construcción de un espacio colaborativo de paridad requiere de un tiempo no siempre compatible con las urgencias de la enseñanza. Hay una búsqueda de respuestas que configura una asimetría peculiar en este nivel educativo donde se espera que los pedagogos brinden soluciones efectivas. A partir del trabajo realizado con el equipo </w:t>
      </w:r>
      <w:r w:rsidRPr="00210914">
        <w:rPr>
          <w:rFonts w:ascii="Times New Roman" w:eastAsia="Times New Roman" w:hAnsi="Times New Roman" w:cs="Times New Roman"/>
          <w:kern w:val="0"/>
          <w:lang w:val="es" w:eastAsia="es-ES"/>
          <w14:ligatures w14:val="none"/>
        </w:rPr>
        <w:lastRenderedPageBreak/>
        <w:t xml:space="preserve">docente de una asignatura vinculada al estudio de los </w:t>
      </w:r>
      <w:proofErr w:type="spellStart"/>
      <w:r w:rsidRPr="00210914">
        <w:rPr>
          <w:rFonts w:ascii="Times New Roman" w:eastAsia="Times New Roman" w:hAnsi="Times New Roman" w:cs="Times New Roman"/>
          <w:kern w:val="0"/>
          <w:lang w:val="es" w:eastAsia="es-ES"/>
          <w14:ligatures w14:val="none"/>
        </w:rPr>
        <w:t>agrosistemas</w:t>
      </w:r>
      <w:proofErr w:type="spellEnd"/>
      <w:r w:rsidRPr="00210914">
        <w:rPr>
          <w:rFonts w:ascii="Times New Roman" w:eastAsia="Times New Roman" w:hAnsi="Times New Roman" w:cs="Times New Roman"/>
          <w:kern w:val="0"/>
          <w:lang w:val="es" w:eastAsia="es-ES"/>
          <w14:ligatures w14:val="none"/>
        </w:rPr>
        <w:t xml:space="preserve"> (2023-2024) identificamos dos tensiones: a) partir de revisar abordajes descriptivos de los contenidos con los que se prevé el desarrollo temático del programa hasta culminar en un abordaje explicativo -lógica gradualista y ascendente- vs. la presencia de un enfoque sistémico desde el inicio de la cursada -como punto de partida, no de llegada; b) partir de las demandas formuladas por los docentes, problematizarlas hasta plantear un problema compartido a ser abordado en términos de la enseñanza y el aprendizaje vs. diseñar una situación de lectura o escritura para ser puesta en aula con la que problematizar la enseñanza y el aprendizaje de contenidos específicos. Establecer estas diferencias posibilitó conceptualizar condiciones de colaboración en el grupo, tomar como objeto de su actividad reflexiva los aprendizajes en el nivel superior y propiciar su mejora.</w:t>
      </w:r>
    </w:p>
    <w:p w14:paraId="005F873A" w14:textId="77777777" w:rsidR="00210914" w:rsidRP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p>
    <w:p w14:paraId="6BD374DD" w14:textId="77777777" w:rsidR="00210914" w:rsidRPr="00210914" w:rsidRDefault="00210914" w:rsidP="00210914">
      <w:pPr>
        <w:spacing w:after="0" w:line="240" w:lineRule="auto"/>
        <w:jc w:val="both"/>
        <w:rPr>
          <w:rFonts w:ascii="Times New Roman" w:eastAsia="Times New Roman" w:hAnsi="Times New Roman" w:cs="Times New Roman"/>
          <w:b/>
          <w:bCs/>
          <w:kern w:val="0"/>
          <w:lang w:val="es" w:eastAsia="es-ES"/>
          <w14:ligatures w14:val="none"/>
        </w:rPr>
      </w:pPr>
      <w:r w:rsidRPr="00210914">
        <w:rPr>
          <w:rFonts w:ascii="Times New Roman" w:eastAsia="Times New Roman" w:hAnsi="Times New Roman" w:cs="Times New Roman"/>
          <w:b/>
          <w:bCs/>
          <w:kern w:val="0"/>
          <w:lang w:val="es" w:eastAsia="es-ES"/>
          <w14:ligatures w14:val="none"/>
        </w:rPr>
        <w:t xml:space="preserve">Palabras claves: </w:t>
      </w:r>
    </w:p>
    <w:p w14:paraId="2A37365A" w14:textId="77777777" w:rsidR="00210914" w:rsidRP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p>
    <w:p w14:paraId="232CEA7F" w14:textId="77777777" w:rsidR="00210914" w:rsidRP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PEDAGOGÍA UNIVERSITARIA, ENSEÑANZA DE LAS CIENCIAS NATURALES, TRABAJO COLABORATIVO</w:t>
      </w:r>
    </w:p>
    <w:p w14:paraId="0D2CCEC6" w14:textId="77777777" w:rsidR="00210914" w:rsidRP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p>
    <w:p w14:paraId="0B054418" w14:textId="77777777" w:rsidR="00210914" w:rsidRP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p>
    <w:p w14:paraId="64120F1A" w14:textId="77777777" w:rsidR="00210914" w:rsidRPr="00210914" w:rsidRDefault="00210914" w:rsidP="00210914">
      <w:pPr>
        <w:spacing w:after="0" w:line="240" w:lineRule="auto"/>
        <w:jc w:val="both"/>
        <w:rPr>
          <w:rFonts w:ascii="Times New Roman" w:eastAsia="Times New Roman" w:hAnsi="Times New Roman" w:cs="Times New Roman"/>
          <w:b/>
          <w:bCs/>
          <w:kern w:val="0"/>
          <w:lang w:val="es" w:eastAsia="es-ES"/>
          <w14:ligatures w14:val="none"/>
        </w:rPr>
      </w:pPr>
      <w:r w:rsidRPr="00210914">
        <w:rPr>
          <w:rFonts w:ascii="Times New Roman" w:eastAsia="Times New Roman" w:hAnsi="Times New Roman" w:cs="Times New Roman"/>
          <w:b/>
          <w:bCs/>
          <w:kern w:val="0"/>
          <w:lang w:val="es" w:eastAsia="es-ES"/>
          <w14:ligatures w14:val="none"/>
        </w:rPr>
        <w:t xml:space="preserve">Presentación </w:t>
      </w:r>
    </w:p>
    <w:p w14:paraId="23DA561A" w14:textId="77777777" w:rsidR="00210914" w:rsidRPr="00210914" w:rsidRDefault="00210914" w:rsidP="00210914">
      <w:pPr>
        <w:spacing w:after="0" w:line="240" w:lineRule="auto"/>
        <w:jc w:val="both"/>
        <w:rPr>
          <w:rFonts w:ascii="Times New Roman" w:eastAsia="Times New Roman" w:hAnsi="Times New Roman" w:cs="Times New Roman"/>
          <w:b/>
          <w:bCs/>
          <w:kern w:val="0"/>
          <w:lang w:val="es" w:eastAsia="es-ES"/>
          <w14:ligatures w14:val="none"/>
        </w:rPr>
      </w:pPr>
    </w:p>
    <w:p w14:paraId="0A25EE61" w14:textId="77777777" w:rsidR="00210914" w:rsidRP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Nos interesa compartir reflexiones acerca de una modalidad formativa en la universidad que busca problematizar la enseñanza y el aprendizaje en el nivel a partir de la conformación de grupos de trabajo colaborativo (en adelante GTC) integrados por docentes e investigadores con formación pedagógica, y docentes y profesionales con formación en Ingeniería Agronómica. La modalidad de trabajo involucra revisar críticamente contenidos y problemas del campo disciplinar y profesional, diseñar situaciones de enseñanza, implementarlas y analizarlas conjuntamente, con el propósito de producir conocimiento didáctico situado en el nivel que atienda el ingreso y el sostenimiento de las trayectorias educativas de los estudiantes prestigiando la calidad académica y profesional de su formación. Esta modalidad de intervención busca conmover cierta externalidad en los aportes de los pedagogos en relación con el desarrollo de las asignaturas, distinguiéndose de la capacitación. </w:t>
      </w:r>
    </w:p>
    <w:p w14:paraId="6C36A4ED" w14:textId="77777777" w:rsidR="00210914" w:rsidRP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Concebimos que la modalidad de trabajo colaborativo involucra partir de un </w:t>
      </w:r>
      <w:r w:rsidRPr="00210914">
        <w:rPr>
          <w:rFonts w:ascii="Times New Roman" w:eastAsia="Times New Roman" w:hAnsi="Times New Roman" w:cs="Times New Roman"/>
          <w:i/>
          <w:iCs/>
          <w:kern w:val="0"/>
          <w:lang w:val="es" w:eastAsia="es-ES"/>
          <w14:ligatures w14:val="none"/>
        </w:rPr>
        <w:t>principio de simetría</w:t>
      </w:r>
      <w:r w:rsidRPr="00210914">
        <w:rPr>
          <w:rFonts w:ascii="Times New Roman" w:eastAsia="Times New Roman" w:hAnsi="Times New Roman" w:cs="Times New Roman"/>
          <w:kern w:val="0"/>
          <w:lang w:val="es" w:eastAsia="es-ES"/>
          <w14:ligatures w14:val="none"/>
        </w:rPr>
        <w:t xml:space="preserve"> como también de </w:t>
      </w:r>
      <w:r w:rsidRPr="00210914">
        <w:rPr>
          <w:rFonts w:ascii="Times New Roman" w:eastAsia="Times New Roman" w:hAnsi="Times New Roman" w:cs="Times New Roman"/>
          <w:i/>
          <w:iCs/>
          <w:kern w:val="0"/>
          <w:lang w:val="es" w:eastAsia="es-ES"/>
          <w14:ligatures w14:val="none"/>
        </w:rPr>
        <w:t>reconocimiento de las diferencias</w:t>
      </w:r>
      <w:r w:rsidRPr="00210914">
        <w:rPr>
          <w:rFonts w:ascii="Times New Roman" w:eastAsia="Times New Roman" w:hAnsi="Times New Roman" w:cs="Times New Roman"/>
          <w:kern w:val="0"/>
          <w:lang w:val="es" w:eastAsia="es-ES"/>
          <w14:ligatures w14:val="none"/>
        </w:rPr>
        <w:t xml:space="preserve"> en los saberes y las argumentaciones que se movilizan en la actividad reflexiva del grupo (Joffredo-Le Brun </w:t>
      </w:r>
      <w:r w:rsidRPr="00210914">
        <w:rPr>
          <w:rFonts w:ascii="Times New Roman" w:eastAsia="Times New Roman" w:hAnsi="Times New Roman" w:cs="Times New Roman"/>
          <w:i/>
          <w:iCs/>
          <w:kern w:val="0"/>
          <w:lang w:val="es" w:eastAsia="es-ES"/>
          <w14:ligatures w14:val="none"/>
        </w:rPr>
        <w:t>et al</w:t>
      </w:r>
      <w:r w:rsidRPr="00210914">
        <w:rPr>
          <w:rFonts w:ascii="Times New Roman" w:eastAsia="Times New Roman" w:hAnsi="Times New Roman" w:cs="Times New Roman"/>
          <w:kern w:val="0"/>
          <w:lang w:val="es" w:eastAsia="es-ES"/>
          <w14:ligatures w14:val="none"/>
        </w:rPr>
        <w:t xml:space="preserve">., 2018, Sensevy, 2011), lo que necesariamente requiere de unos tiempos de construcción que no vienen dados. En este trabajo nos preguntamos por las singularidades que adopta la construcción de simetría en el nivel y por las condiciones de funcionamiento del grupo que posibilitan la construcción de un problema común a ser asumido por todos sus integrantes como propio.  </w:t>
      </w:r>
    </w:p>
    <w:p w14:paraId="0761FFF4" w14:textId="77777777" w:rsidR="00210914" w:rsidRP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Nos centraremos en un GTC conformado por integrantes del equipo de Pedagogía Universitaria y de una asignatura de la carrera de Ingeniería Agronómica de la Universidad Nacional de Luján, en el período 2022-2024. Identificamos que la propuesta de centrar la actividad reflexiva del grupo en una situación de enseñanza puntual -como lo es el diseño de un caso de estudio que es leído en clase en el inicio de la cursada- </w:t>
      </w:r>
      <w:r w:rsidRPr="00210914">
        <w:rPr>
          <w:rFonts w:ascii="Times New Roman" w:eastAsia="Times New Roman" w:hAnsi="Times New Roman" w:cs="Times New Roman"/>
          <w:kern w:val="0"/>
          <w:lang w:val="es" w:eastAsia="es-ES"/>
          <w14:ligatures w14:val="none"/>
        </w:rPr>
        <w:lastRenderedPageBreak/>
        <w:t xml:space="preserve">favorece el ingreso en un territorio común vinculado a la problematización de la enseñanza y el aprendizaje de contenidos específicos. Prestigiamos esta condición por sobre una propuesta más general en la que se comienza por compartir lineamientos y decisiones disciplinares en el diseño y desarrollo del programa de la asignatura. </w:t>
      </w:r>
    </w:p>
    <w:p w14:paraId="55A4DDD3" w14:textId="77777777" w:rsidR="00210914" w:rsidRP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p>
    <w:p w14:paraId="30DECB9C" w14:textId="77777777" w:rsidR="00210914" w:rsidRP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p>
    <w:p w14:paraId="6E35DEFC" w14:textId="77777777" w:rsidR="00210914" w:rsidRPr="00210914" w:rsidRDefault="00210914" w:rsidP="00210914">
      <w:pPr>
        <w:spacing w:after="0" w:line="240" w:lineRule="auto"/>
        <w:jc w:val="both"/>
        <w:rPr>
          <w:rFonts w:ascii="Times New Roman" w:eastAsia="Times New Roman" w:hAnsi="Times New Roman" w:cs="Times New Roman"/>
          <w:b/>
          <w:bCs/>
          <w:kern w:val="0"/>
          <w:lang w:val="es" w:eastAsia="es-ES"/>
          <w14:ligatures w14:val="none"/>
        </w:rPr>
      </w:pPr>
      <w:r w:rsidRPr="00210914">
        <w:rPr>
          <w:rFonts w:ascii="Times New Roman" w:eastAsia="Times New Roman" w:hAnsi="Times New Roman" w:cs="Times New Roman"/>
          <w:b/>
          <w:bCs/>
          <w:kern w:val="0"/>
          <w:lang w:val="es" w:eastAsia="es-ES"/>
          <w14:ligatures w14:val="none"/>
        </w:rPr>
        <w:t>La pedagogía universitaria, las didácticas específicas y la modalidad colaborativa</w:t>
      </w:r>
    </w:p>
    <w:p w14:paraId="23B8560C" w14:textId="77777777" w:rsidR="00210914" w:rsidRPr="00210914" w:rsidRDefault="00210914" w:rsidP="00210914">
      <w:pPr>
        <w:widowControl w:val="0"/>
        <w:spacing w:before="127" w:after="0" w:line="240" w:lineRule="auto"/>
        <w:ind w:right="138"/>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En las dos últimas décadas, las didácticas específicas de orientación constructivista y con un enfoque teórico metodológico basado en lineamientos de la Ingeniería Didáctica (Artigue, 2002; Artigue, Douady y Moreno, 1995) han asumido una modalidad de investigación que involucra la conformación de grupos de trabajo colaborativo integrados por docentes e investigadores.</w:t>
      </w:r>
    </w:p>
    <w:p w14:paraId="71C9BE6F" w14:textId="77777777" w:rsidR="00210914" w:rsidRPr="00210914" w:rsidRDefault="00210914" w:rsidP="00210914">
      <w:pPr>
        <w:widowControl w:val="0"/>
        <w:spacing w:after="0" w:line="240" w:lineRule="auto"/>
        <w:ind w:right="136"/>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Se trata de una tradición de investigación oriunda de la Didáctica de la Matemática francesa de los años ochenta, y luego recuperada por las didácticas de otras áreas disciplinares, que se centra en los criterios de la enseñanza que pueden propiciar aprendizajes de contenidos específicos y que, para ello, se ocupa de estudiar los sucesos del aula</w:t>
      </w:r>
      <w:r w:rsidRPr="00210914">
        <w:rPr>
          <w:rFonts w:ascii="Times New Roman" w:eastAsia="Times New Roman" w:hAnsi="Times New Roman" w:cs="Times New Roman"/>
          <w:i/>
          <w:iCs/>
          <w:kern w:val="0"/>
          <w:lang w:val="es" w:eastAsia="es-ES"/>
          <w14:ligatures w14:val="none"/>
        </w:rPr>
        <w:t xml:space="preserve">, </w:t>
      </w:r>
      <w:r w:rsidRPr="00210914">
        <w:rPr>
          <w:rFonts w:ascii="Times New Roman" w:eastAsia="Times New Roman" w:hAnsi="Times New Roman" w:cs="Times New Roman"/>
          <w:kern w:val="0"/>
          <w:lang w:val="es" w:eastAsia="es-ES"/>
          <w14:ligatures w14:val="none"/>
        </w:rPr>
        <w:t xml:space="preserve">a partir de un conjunto de fases que incluyen el diseño de una propuesta de enseñanza, su implementación y análisis. Su marco teórico se constituye por un conjunto de teorías nucleares entre las que se incluye la </w:t>
      </w:r>
      <w:r w:rsidRPr="00210914">
        <w:rPr>
          <w:rFonts w:ascii="Times New Roman" w:eastAsia="Times New Roman" w:hAnsi="Times New Roman" w:cs="Times New Roman"/>
          <w:i/>
          <w:iCs/>
          <w:kern w:val="0"/>
          <w:lang w:val="es" w:eastAsia="es-ES"/>
          <w14:ligatures w14:val="none"/>
        </w:rPr>
        <w:t xml:space="preserve">de las situaciones </w:t>
      </w:r>
      <w:r w:rsidRPr="00210914">
        <w:rPr>
          <w:rFonts w:ascii="Times New Roman" w:eastAsia="Times New Roman" w:hAnsi="Times New Roman" w:cs="Times New Roman"/>
          <w:kern w:val="0"/>
          <w:lang w:val="es" w:eastAsia="es-ES"/>
          <w14:ligatures w14:val="none"/>
        </w:rPr>
        <w:t xml:space="preserve">(Brousseau, 2007) y la </w:t>
      </w:r>
      <w:r w:rsidRPr="00210914">
        <w:rPr>
          <w:rFonts w:ascii="Times New Roman" w:eastAsia="Times New Roman" w:hAnsi="Times New Roman" w:cs="Times New Roman"/>
          <w:i/>
          <w:iCs/>
          <w:kern w:val="0"/>
          <w:lang w:val="es" w:eastAsia="es-ES"/>
          <w14:ligatures w14:val="none"/>
        </w:rPr>
        <w:t xml:space="preserve">transposición didáctica </w:t>
      </w:r>
      <w:r w:rsidRPr="00210914">
        <w:rPr>
          <w:rFonts w:ascii="Times New Roman" w:eastAsia="Times New Roman" w:hAnsi="Times New Roman" w:cs="Times New Roman"/>
          <w:kern w:val="0"/>
          <w:lang w:val="es" w:eastAsia="es-ES"/>
          <w14:ligatures w14:val="none"/>
        </w:rPr>
        <w:t>(Chevallard, 2005). Con estas orientaciones conceptuales el diseño y análisis de una propuesta de enseñanza involucra siempre una problematización de los conocimientos disciplinares en juego, y la inclusión de diferentes situaciones que tienen la intención de convocar intelectualmente a los estudiantes, y de que asuman una genuina responsabilidad en la resolución de los problemas que se les formulan.</w:t>
      </w:r>
    </w:p>
    <w:p w14:paraId="639B8B61" w14:textId="77777777" w:rsidR="00210914" w:rsidRPr="00210914" w:rsidRDefault="00210914" w:rsidP="00210914">
      <w:pPr>
        <w:widowControl w:val="0"/>
        <w:spacing w:before="1" w:after="0" w:line="240" w:lineRule="auto"/>
        <w:ind w:right="138"/>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La modalidad de trabajo colaborativo surgió como una respuesta a la dificultad de comunicar los conocimientos elaborados en el seno de los equipos de investigación a la escuela y la necesidad de contar con la interpretación de los propios docentes en la lectura de los datos de los trabajos de campo. Aline Robert (2003) señala que dicha dificultad debe ser conceptualizada como un problema teórico que también requiere ser concebido como una </w:t>
      </w:r>
      <w:r w:rsidRPr="00210914">
        <w:rPr>
          <w:rFonts w:ascii="Times New Roman" w:eastAsia="Times New Roman" w:hAnsi="Times New Roman" w:cs="Times New Roman"/>
          <w:i/>
          <w:iCs/>
          <w:kern w:val="0"/>
          <w:lang w:val="es" w:eastAsia="es-ES"/>
          <w14:ligatures w14:val="none"/>
        </w:rPr>
        <w:t xml:space="preserve">transposición </w:t>
      </w:r>
      <w:r w:rsidRPr="00210914">
        <w:rPr>
          <w:rFonts w:ascii="Times New Roman" w:eastAsia="Times New Roman" w:hAnsi="Times New Roman" w:cs="Times New Roman"/>
          <w:kern w:val="0"/>
          <w:lang w:val="es" w:eastAsia="es-ES"/>
          <w14:ligatures w14:val="none"/>
        </w:rPr>
        <w:t>-lo que siempre supone una transformación de los saberes. Con el desarrollo de estas modalidades de trabajo, se comenzó a situar como problema la dualidad entre teoría-práctica y producción-ejecución presente cuando en las investigaciones los docentes eran principalmente convocados para la realización de las puestas en aula (Espinoza, 2021; Espinoza, Acevedo y Casamajor, 2020), mientras que el diseño y análisis de las propuestas de enseñanza quedaba a cargo de los investigadores.</w:t>
      </w:r>
    </w:p>
    <w:p w14:paraId="613EE72C" w14:textId="77777777" w:rsidR="00210914" w:rsidRPr="00210914" w:rsidRDefault="00210914" w:rsidP="00210914">
      <w:pPr>
        <w:widowControl w:val="0"/>
        <w:spacing w:before="2" w:after="0" w:line="240" w:lineRule="auto"/>
        <w:ind w:right="146"/>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La caracterización anterior es consonante con un conjunto de investigaciones del campo pedagógico que desde hace tiempo vienen señalando la brecha existente entre la academia y la escuela (Serra, 2010, Zeichner, 1998, Terigi, 2012) y que señalan la necesidad de que los docentes y los centros educativos asuman un lugar de mayor protagonismo cuando se persigue transformar las prácticas de enseñanza (Bolívar, 2005 y 2007, Caballero y Bolívar, 2015; Fullan, 1993, 2014; Pérez Gómez, Gómez y Servan Nuñez, 2015; Tardif, 2004).</w:t>
      </w:r>
    </w:p>
    <w:p w14:paraId="45376225" w14:textId="77777777" w:rsidR="00210914" w:rsidRPr="00210914" w:rsidRDefault="00210914" w:rsidP="00210914">
      <w:pPr>
        <w:widowControl w:val="0"/>
        <w:spacing w:after="0" w:line="240" w:lineRule="auto"/>
        <w:ind w:right="137"/>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Las modalidades colaborativas entre docentes e investigadores con diferentes formaciones disciplinares, inscripciones académicas y trayectorias profesionales fueron </w:t>
      </w:r>
      <w:r w:rsidRPr="00210914">
        <w:rPr>
          <w:rFonts w:ascii="Times New Roman" w:eastAsia="Times New Roman" w:hAnsi="Times New Roman" w:cs="Times New Roman"/>
          <w:kern w:val="0"/>
          <w:lang w:val="es" w:eastAsia="es-ES"/>
          <w14:ligatures w14:val="none"/>
        </w:rPr>
        <w:lastRenderedPageBreak/>
        <w:t xml:space="preserve">asumidas en la didáctica específica de la tradición de investigación referida anteriormente como lo que Sensevy </w:t>
      </w:r>
      <w:r w:rsidRPr="00210914">
        <w:rPr>
          <w:rFonts w:ascii="Times New Roman" w:eastAsia="Times New Roman" w:hAnsi="Times New Roman" w:cs="Times New Roman"/>
          <w:i/>
          <w:iCs/>
          <w:kern w:val="0"/>
          <w:lang w:val="es" w:eastAsia="es-ES"/>
          <w14:ligatures w14:val="none"/>
        </w:rPr>
        <w:t>et al.</w:t>
      </w:r>
      <w:r w:rsidRPr="00210914">
        <w:rPr>
          <w:rFonts w:ascii="Times New Roman" w:eastAsia="Times New Roman" w:hAnsi="Times New Roman" w:cs="Times New Roman"/>
          <w:color w:val="333333"/>
          <w:kern w:val="0"/>
          <w:lang w:val="es" w:eastAsia="es-ES"/>
          <w14:ligatures w14:val="none"/>
        </w:rPr>
        <w:t xml:space="preserve"> (2013) </w:t>
      </w:r>
      <w:r w:rsidRPr="00210914">
        <w:rPr>
          <w:rFonts w:ascii="Times New Roman" w:eastAsia="Times New Roman" w:hAnsi="Times New Roman" w:cs="Times New Roman"/>
          <w:kern w:val="0"/>
          <w:lang w:val="es" w:eastAsia="es-ES"/>
          <w14:ligatures w14:val="none"/>
        </w:rPr>
        <w:t xml:space="preserve">denominan en la actualidad </w:t>
      </w:r>
      <w:r w:rsidRPr="00210914">
        <w:rPr>
          <w:rFonts w:ascii="Times New Roman" w:eastAsia="Times New Roman" w:hAnsi="Times New Roman" w:cs="Times New Roman"/>
          <w:i/>
          <w:iCs/>
          <w:kern w:val="0"/>
          <w:lang w:val="es" w:eastAsia="es-ES"/>
          <w14:ligatures w14:val="none"/>
        </w:rPr>
        <w:t>Ingeniería Cooperativa</w:t>
      </w:r>
      <w:r w:rsidRPr="00210914">
        <w:rPr>
          <w:rFonts w:ascii="Times New Roman" w:eastAsia="Times New Roman" w:hAnsi="Times New Roman" w:cs="Times New Roman"/>
          <w:kern w:val="0"/>
          <w:lang w:val="es" w:eastAsia="es-ES"/>
          <w14:ligatures w14:val="none"/>
        </w:rPr>
        <w:t xml:space="preserve">, </w:t>
      </w:r>
      <w:r w:rsidRPr="00210914">
        <w:rPr>
          <w:rFonts w:ascii="Times New Roman" w:eastAsia="Times New Roman" w:hAnsi="Times New Roman" w:cs="Times New Roman"/>
          <w:color w:val="212121"/>
          <w:kern w:val="0"/>
          <w:lang w:val="es" w:eastAsia="es-ES"/>
          <w14:ligatures w14:val="none"/>
        </w:rPr>
        <w:t xml:space="preserve">Savoie-Zajc y Descamps-Bednarz (2007) </w:t>
      </w:r>
      <w:r w:rsidRPr="00210914">
        <w:rPr>
          <w:rFonts w:ascii="Times New Roman" w:eastAsia="Times New Roman" w:hAnsi="Times New Roman" w:cs="Times New Roman"/>
          <w:kern w:val="0"/>
          <w:lang w:val="es" w:eastAsia="es-ES"/>
          <w14:ligatures w14:val="none"/>
        </w:rPr>
        <w:t xml:space="preserve">como </w:t>
      </w:r>
      <w:r w:rsidRPr="00210914">
        <w:rPr>
          <w:rFonts w:ascii="Times New Roman" w:eastAsia="Times New Roman" w:hAnsi="Times New Roman" w:cs="Times New Roman"/>
          <w:i/>
          <w:iCs/>
          <w:kern w:val="0"/>
          <w:lang w:val="es" w:eastAsia="es-ES"/>
          <w14:ligatures w14:val="none"/>
        </w:rPr>
        <w:t xml:space="preserve">Investigación Colaborativa </w:t>
      </w:r>
      <w:r w:rsidRPr="00210914">
        <w:rPr>
          <w:rFonts w:ascii="Times New Roman" w:eastAsia="Times New Roman" w:hAnsi="Times New Roman" w:cs="Times New Roman"/>
          <w:kern w:val="0"/>
          <w:lang w:val="es" w:eastAsia="es-ES"/>
          <w14:ligatures w14:val="none"/>
        </w:rPr>
        <w:t xml:space="preserve">y otros como </w:t>
      </w:r>
      <w:r w:rsidRPr="00210914">
        <w:rPr>
          <w:rFonts w:ascii="Times New Roman" w:eastAsia="Times New Roman" w:hAnsi="Times New Roman" w:cs="Times New Roman"/>
          <w:i/>
          <w:iCs/>
          <w:kern w:val="0"/>
          <w:lang w:val="es" w:eastAsia="es-ES"/>
          <w14:ligatures w14:val="none"/>
        </w:rPr>
        <w:t xml:space="preserve">Trabajo Colaborativo </w:t>
      </w:r>
      <w:r w:rsidRPr="00210914">
        <w:rPr>
          <w:rFonts w:ascii="Times New Roman" w:eastAsia="Times New Roman" w:hAnsi="Times New Roman" w:cs="Times New Roman"/>
          <w:kern w:val="0"/>
          <w:lang w:val="es" w:eastAsia="es-ES"/>
          <w14:ligatures w14:val="none"/>
        </w:rPr>
        <w:t>(Sadovsky</w:t>
      </w:r>
      <w:r w:rsidRPr="00210914">
        <w:rPr>
          <w:rFonts w:ascii="Times New Roman" w:eastAsia="Times New Roman" w:hAnsi="Times New Roman" w:cs="Times New Roman"/>
          <w:i/>
          <w:iCs/>
          <w:kern w:val="0"/>
          <w:lang w:val="es" w:eastAsia="es-ES"/>
          <w14:ligatures w14:val="none"/>
        </w:rPr>
        <w:t xml:space="preserve"> et al</w:t>
      </w:r>
      <w:r w:rsidRPr="00210914">
        <w:rPr>
          <w:rFonts w:ascii="Times New Roman" w:eastAsia="Times New Roman" w:hAnsi="Times New Roman" w:cs="Times New Roman"/>
          <w:kern w:val="0"/>
          <w:lang w:val="es" w:eastAsia="es-ES"/>
          <w14:ligatures w14:val="none"/>
        </w:rPr>
        <w:t>., 2015, 2016), o investigación con Grupos de Trabajo Colaborativo (Espinoza, Casamajor y Acevedo, 2025). Dicho abordaje fue incursionado también en la universidad.</w:t>
      </w:r>
    </w:p>
    <w:p w14:paraId="78BCF324" w14:textId="77777777" w:rsidR="00210914" w:rsidRPr="00210914" w:rsidRDefault="00210914" w:rsidP="00210914">
      <w:pPr>
        <w:widowControl w:val="0"/>
        <w:spacing w:after="0" w:line="240" w:lineRule="auto"/>
        <w:ind w:right="137"/>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El área de Formación y Actualización pedagógica en Ciencias Naturales y Exactas de la División de Pedagogía Universitaria perteneciente al Departamento de Educación de la Universidad Nacional de Luján, del que las autoras formamos parte, tradicionalmente venía recibiendo inquietudes de otros docentes de la universidad relativas al desarrollo de sus clases que ayudaba a resolver con una modalidad de intervención externa al funcionamiento de las asignaturas. El reconocimiento de la potencia de la producción colaborativa en otros niveles educativos motivó un cambio de propuesta. Por esta razón desde el año 2011 la tarea de acompañamiento es asumida con una modalidad de trabajo colaborativo con la que se busca tematizar y abordar problemas de la enseñanza y del aprendizaje considerando la especificidad disciplinar </w:t>
      </w:r>
      <w:r w:rsidRPr="00210914">
        <w:rPr>
          <w:rFonts w:ascii="Times New Roman" w:eastAsia="Times New Roman" w:hAnsi="Times New Roman" w:cs="Times New Roman"/>
          <w:i/>
          <w:iCs/>
          <w:kern w:val="0"/>
          <w:lang w:val="es" w:eastAsia="es-ES"/>
          <w14:ligatures w14:val="none"/>
        </w:rPr>
        <w:t xml:space="preserve">desde </w:t>
      </w:r>
      <w:r w:rsidRPr="00210914">
        <w:rPr>
          <w:rFonts w:ascii="Times New Roman" w:eastAsia="Times New Roman" w:hAnsi="Times New Roman" w:cs="Times New Roman"/>
          <w:kern w:val="0"/>
          <w:lang w:val="es" w:eastAsia="es-ES"/>
          <w14:ligatures w14:val="none"/>
        </w:rPr>
        <w:t xml:space="preserve">las asignaturas y </w:t>
      </w:r>
      <w:r w:rsidRPr="00210914">
        <w:rPr>
          <w:rFonts w:ascii="Times New Roman" w:eastAsia="Times New Roman" w:hAnsi="Times New Roman" w:cs="Times New Roman"/>
          <w:i/>
          <w:iCs/>
          <w:kern w:val="0"/>
          <w:lang w:val="es" w:eastAsia="es-ES"/>
          <w14:ligatures w14:val="none"/>
        </w:rPr>
        <w:t xml:space="preserve">con </w:t>
      </w:r>
      <w:r w:rsidRPr="00210914">
        <w:rPr>
          <w:rFonts w:ascii="Times New Roman" w:eastAsia="Times New Roman" w:hAnsi="Times New Roman" w:cs="Times New Roman"/>
          <w:kern w:val="0"/>
          <w:lang w:val="es" w:eastAsia="es-ES"/>
          <w14:ligatures w14:val="none"/>
        </w:rPr>
        <w:t>sus integrantes. Ello requiere instalar espacios de trabajo con vínculos horizontales entre los participantes, en los cuales se produzca un reconocimiento mutuo de los saberes de cada uno (Sensevy, 2011). Se parte de concebir que el conocimiento que los docentes tienen acerca de su campo disciplinar involucra la posibilidad de realizar análisis epistemológicos del contenido específico, propiciados a su vez, por el diálogo con herramientas teóricas provenientes de las didácticas específicas que funcionan de manera implícita y no como categorías de análisis.</w:t>
      </w:r>
    </w:p>
    <w:p w14:paraId="03C893C8" w14:textId="77777777" w:rsidR="00210914" w:rsidRPr="00210914" w:rsidRDefault="00210914" w:rsidP="00210914">
      <w:pPr>
        <w:widowControl w:val="0"/>
        <w:spacing w:before="1" w:after="0" w:line="240" w:lineRule="auto"/>
        <w:ind w:right="134"/>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Asumimos un enfoque descriptivo interpretativo que procede por estudio de casos (Stake, 1998) y recupera lineamientos de las ingenierías de diseño (Sensevy et al., 2013). Se persigue una mirada en profundidad y multidimensional de los procesos que se analizan por sobre una </w:t>
      </w:r>
      <w:proofErr w:type="spellStart"/>
      <w:r w:rsidRPr="00210914">
        <w:rPr>
          <w:rFonts w:ascii="Times New Roman" w:eastAsia="Times New Roman" w:hAnsi="Times New Roman" w:cs="Times New Roman"/>
          <w:kern w:val="0"/>
          <w:lang w:val="es" w:eastAsia="es-ES"/>
          <w14:ligatures w14:val="none"/>
        </w:rPr>
        <w:t>abarcativa</w:t>
      </w:r>
      <w:proofErr w:type="spellEnd"/>
      <w:r w:rsidRPr="00210914">
        <w:rPr>
          <w:rFonts w:ascii="Times New Roman" w:eastAsia="Times New Roman" w:hAnsi="Times New Roman" w:cs="Times New Roman"/>
          <w:kern w:val="0"/>
          <w:lang w:val="es" w:eastAsia="es-ES"/>
          <w14:ligatures w14:val="none"/>
        </w:rPr>
        <w:t xml:space="preserve"> que trabaja con muchos casos y con muestras extensas.</w:t>
      </w:r>
    </w:p>
    <w:p w14:paraId="40DA221E" w14:textId="77777777" w:rsidR="00210914" w:rsidRPr="00210914" w:rsidRDefault="00210914" w:rsidP="00210914">
      <w:pPr>
        <w:widowControl w:val="0"/>
        <w:spacing w:before="3" w:after="0" w:line="240" w:lineRule="auto"/>
        <w:ind w:right="139"/>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El trabajo con los docentes de las disciplinas se desarrolla seleccionando un contenido específico y acordando situaciones de enseñanza con las que estudiar los criterios que pueden favorecer aprendizajes genuinos en los estudiantes. Esta situación de enseñanza puede ser elegida por el propio equipo docente por ya constituir parte de la propuesta formativa de la asignatura o una consensuada entre el equipo docente y el de Pedagogía Universitaria. Cada una de estas situaciones de enseñanza es estudiada en aula, se registra su desarrollo en clase, se </w:t>
      </w:r>
      <w:proofErr w:type="spellStart"/>
      <w:r w:rsidRPr="00210914">
        <w:rPr>
          <w:rFonts w:ascii="Times New Roman" w:eastAsia="Times New Roman" w:hAnsi="Times New Roman" w:cs="Times New Roman"/>
          <w:kern w:val="0"/>
          <w:lang w:val="es" w:eastAsia="es-ES"/>
          <w14:ligatures w14:val="none"/>
        </w:rPr>
        <w:t>desgraba</w:t>
      </w:r>
      <w:proofErr w:type="spellEnd"/>
      <w:r w:rsidRPr="00210914">
        <w:rPr>
          <w:rFonts w:ascii="Times New Roman" w:eastAsia="Times New Roman" w:hAnsi="Times New Roman" w:cs="Times New Roman"/>
          <w:kern w:val="0"/>
          <w:lang w:val="es" w:eastAsia="es-ES"/>
          <w14:ligatures w14:val="none"/>
        </w:rPr>
        <w:t xml:space="preserve"> y se toma como insumo para el análisis conjunto.</w:t>
      </w:r>
    </w:p>
    <w:p w14:paraId="0B5BB729" w14:textId="77777777" w:rsidR="00210914" w:rsidRPr="00210914" w:rsidRDefault="00210914" w:rsidP="00210914">
      <w:pPr>
        <w:spacing w:after="0" w:line="240" w:lineRule="auto"/>
        <w:jc w:val="both"/>
        <w:rPr>
          <w:rFonts w:ascii="Times New Roman" w:eastAsia="Times New Roman" w:hAnsi="Times New Roman" w:cs="Times New Roman"/>
          <w:b/>
          <w:bCs/>
          <w:kern w:val="0"/>
          <w:lang w:val="es" w:eastAsia="es-ES"/>
          <w14:ligatures w14:val="none"/>
        </w:rPr>
      </w:pPr>
    </w:p>
    <w:p w14:paraId="588E66B3" w14:textId="77777777" w:rsidR="00210914" w:rsidRPr="00210914" w:rsidRDefault="00210914" w:rsidP="00210914">
      <w:pPr>
        <w:spacing w:after="0" w:line="240" w:lineRule="auto"/>
        <w:jc w:val="both"/>
        <w:rPr>
          <w:rFonts w:ascii="Times New Roman" w:eastAsia="Times New Roman" w:hAnsi="Times New Roman" w:cs="Times New Roman"/>
          <w:b/>
          <w:bCs/>
          <w:kern w:val="0"/>
          <w:lang w:val="es" w:eastAsia="es-ES"/>
          <w14:ligatures w14:val="none"/>
        </w:rPr>
      </w:pPr>
      <w:r w:rsidRPr="00210914">
        <w:rPr>
          <w:rFonts w:ascii="Times New Roman" w:eastAsia="Times New Roman" w:hAnsi="Times New Roman" w:cs="Times New Roman"/>
          <w:b/>
          <w:bCs/>
          <w:kern w:val="0"/>
          <w:lang w:val="es" w:eastAsia="es-ES"/>
          <w14:ligatures w14:val="none"/>
        </w:rPr>
        <w:t>El GTC conformado por pedagogas e ingenieros agrónomos</w:t>
      </w:r>
    </w:p>
    <w:p w14:paraId="6A06D3D1" w14:textId="77777777" w:rsidR="00210914" w:rsidRPr="00210914" w:rsidRDefault="00210914" w:rsidP="00210914">
      <w:pPr>
        <w:spacing w:after="0" w:line="240" w:lineRule="auto"/>
        <w:jc w:val="both"/>
        <w:rPr>
          <w:rFonts w:ascii="Times New Roman" w:eastAsia="Times New Roman" w:hAnsi="Times New Roman" w:cs="Times New Roman"/>
          <w:b/>
          <w:bCs/>
          <w:color w:val="FF0000"/>
          <w:kern w:val="0"/>
          <w:lang w:val="es" w:eastAsia="es-ES"/>
          <w14:ligatures w14:val="none"/>
        </w:rPr>
      </w:pPr>
    </w:p>
    <w:p w14:paraId="22F8DD42" w14:textId="77777777" w:rsidR="00210914" w:rsidRP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El GTC referido en la presentación se conforma a partir de la preocupación de un equipo docente de la carrera de Ingeniería Agronómica por las dificultades que observan entre sus estudiantes: “no leen”, “no estudian”, “hay muchos que abandonan o desaprueban”. Se acerca al equipo de Pedagogía Universitaria con la intención de resolver este problema. </w:t>
      </w:r>
    </w:p>
    <w:p w14:paraId="404CE8C5" w14:textId="77777777" w:rsidR="00210914" w:rsidRPr="00210914" w:rsidRDefault="00210914" w:rsidP="00210914">
      <w:pPr>
        <w:spacing w:after="0" w:line="240" w:lineRule="auto"/>
        <w:jc w:val="both"/>
        <w:rPr>
          <w:rFonts w:ascii="Times New Roman" w:eastAsia="Times New Roman" w:hAnsi="Times New Roman" w:cs="Times New Roman"/>
          <w:kern w:val="0"/>
          <w:highlight w:val="yellow"/>
          <w:lang w:val="es" w:eastAsia="es-ES"/>
          <w14:ligatures w14:val="none"/>
        </w:rPr>
      </w:pPr>
      <w:r w:rsidRPr="00210914">
        <w:rPr>
          <w:rFonts w:ascii="Times New Roman" w:eastAsia="Times New Roman" w:hAnsi="Times New Roman" w:cs="Times New Roman"/>
          <w:kern w:val="0"/>
          <w:lang w:val="es" w:eastAsia="es-ES"/>
          <w14:ligatures w14:val="none"/>
        </w:rPr>
        <w:t xml:space="preserve">Durante 2022, se organizaron reuniones con la intención de conocer las propuestas de trabajo, los contenidos de la asignatura, la estructuración del programa, las </w:t>
      </w:r>
      <w:r w:rsidRPr="00210914">
        <w:rPr>
          <w:rFonts w:ascii="Times New Roman" w:eastAsia="Times New Roman" w:hAnsi="Times New Roman" w:cs="Times New Roman"/>
          <w:kern w:val="0"/>
          <w:lang w:val="es" w:eastAsia="es-ES"/>
          <w14:ligatures w14:val="none"/>
        </w:rPr>
        <w:lastRenderedPageBreak/>
        <w:t xml:space="preserve">preocupaciones que los docentes comparten en relación con el sostenimiento de las cursadas por parte de los estudiantes. </w:t>
      </w:r>
    </w:p>
    <w:p w14:paraId="618AA575" w14:textId="77777777" w:rsidR="00210914" w:rsidRP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El equipo docente de Agronomía refiere -de modo genuino- al desconocimiento de los estudiantes sobre contenidos anteriores de la escolaridad, a la dificultad por sostener la concentración en una clase teórica, la ausencia de una revisión autónoma de material bibliográfico subido al campus virtual, o de técnicas de estudio sistemáticas, de revisión de las devoluciones del equipo docente sobre producciones escritas, etc. Por otra parte, las pedagogas -también de manera genuina- intervienen con la intención de conocer las relaciones conceptuales entre contenidos de diferentes unidades del programa y el enfoque con el que se los aborda. Unos y otros integrantes de los equipos -de Pedagogía y Agronomía- comparten sus miradas, interrogan, explicitan sus posturas. </w:t>
      </w:r>
    </w:p>
    <w:p w14:paraId="1EFA55D1" w14:textId="77777777" w:rsidR="00210914" w:rsidRP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La propuesta de enseñanza de los ingenieros agrónomos persigue una mirada holística de la producción agropecuaria explicitada en la fundamentación del programa de la asignatura. Incluye la complejidad de la práctica profesional y de las difíciles decisiones e intervenciones que se deben asumir en la producción restringida por condicionantes físicos de tipo geológico, </w:t>
      </w:r>
      <w:proofErr w:type="spellStart"/>
      <w:r w:rsidRPr="00210914">
        <w:rPr>
          <w:rFonts w:ascii="Times New Roman" w:eastAsia="Times New Roman" w:hAnsi="Times New Roman" w:cs="Times New Roman"/>
          <w:kern w:val="0"/>
          <w:lang w:val="es" w:eastAsia="es-ES"/>
          <w14:ligatures w14:val="none"/>
        </w:rPr>
        <w:t>metereológico</w:t>
      </w:r>
      <w:proofErr w:type="spellEnd"/>
      <w:r w:rsidRPr="00210914">
        <w:rPr>
          <w:rFonts w:ascii="Times New Roman" w:eastAsia="Times New Roman" w:hAnsi="Times New Roman" w:cs="Times New Roman"/>
          <w:kern w:val="0"/>
          <w:lang w:val="es" w:eastAsia="es-ES"/>
          <w14:ligatures w14:val="none"/>
        </w:rPr>
        <w:t>, geomorfológico, hidrológico, pedológico; y las vinculaciones que se establecen entre los subsistemas vegetal, animal y humano. Esta intencionalidad y experticia de los profesionales es muy valorada por el equipo de Pedagogía Universitaria, en cuanto le otorga sentido al estudio de la asignatura al inicio de la carrera, es una de las “cartas de presentación”. Con los contenidos incluidos en el programa se busca introducir a los estudiantes en todos los condicionantes referidos, lo que involucra un despliegue con carácter más descriptivo y clasificatorio en el inicio, y la búsqueda de una integración con carácter sistémico vinculada a la práctica profesional del Ingeniero Agrónomo hacia el final de la cursada. El equipo de la asignatura lo plantea en estos términos “primero es necesario entender todo eso, aunque sea un bodrio, para luego poder resolver problemas propios del Ingeniero”. Así, el estudio de los contenidos se constituye en pasos necesarios indispensables para luego aplicarlos a la práctica profesional.</w:t>
      </w:r>
    </w:p>
    <w:p w14:paraId="04BB0460" w14:textId="77777777" w:rsidR="00210914" w:rsidRP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Desde el equipo de Pedagogía Universitaria reconocemos que todos estos intercambios posibilitaron explicitar el hilo conductor de los contenidos del programa y el enfoque con el que se los desarrolla. Pusimos a consideración si la apatía de los estudiantes registrada por el equipo docente puede conmoverse al adelantar “lo sustancioso” de la práctica profesional desde el inicio y sostenerlo durante el desarrollo de los contenidos, sorteando el riesgo de que esta integración quede al final y a cargo de los estudiantes sin el acompañamiento del equipo docente. Esta postura ofrece resistencia por temor a tener que cambiar “toda la propuesta”, y también interés porque el mismo equipo docente considera que es donde más tiene para aportar dado su ejercicio profesional.</w:t>
      </w:r>
    </w:p>
    <w:p w14:paraId="15A39B5D" w14:textId="77777777" w:rsidR="00210914" w:rsidRP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p>
    <w:p w14:paraId="408BF303" w14:textId="77777777" w:rsidR="00210914" w:rsidRPr="00210914" w:rsidRDefault="00210914" w:rsidP="00210914">
      <w:pPr>
        <w:spacing w:before="80" w:after="0" w:line="240" w:lineRule="auto"/>
        <w:ind w:right="140"/>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b/>
          <w:bCs/>
          <w:kern w:val="0"/>
          <w:lang w:val="es" w:eastAsia="es-ES"/>
          <w14:ligatures w14:val="none"/>
        </w:rPr>
        <w:t>La construcción de un problema común</w:t>
      </w:r>
    </w:p>
    <w:p w14:paraId="53F684B8" w14:textId="77777777" w:rsidR="00210914" w:rsidRPr="00210914" w:rsidRDefault="00210914" w:rsidP="00210914">
      <w:pPr>
        <w:pBdr>
          <w:top w:val="nil"/>
          <w:left w:val="nil"/>
          <w:bottom w:val="nil"/>
          <w:right w:val="nil"/>
          <w:between w:val="nil"/>
        </w:pBdr>
        <w:spacing w:after="0" w:line="240" w:lineRule="auto"/>
        <w:jc w:val="both"/>
        <w:rPr>
          <w:rFonts w:ascii="Times New Roman" w:eastAsia="Times New Roman" w:hAnsi="Times New Roman" w:cs="Times New Roman"/>
          <w:kern w:val="0"/>
          <w:lang w:val="es" w:eastAsia="es-ES"/>
          <w14:ligatures w14:val="none"/>
        </w:rPr>
      </w:pPr>
    </w:p>
    <w:p w14:paraId="334E5D63" w14:textId="77777777" w:rsidR="00210914" w:rsidRPr="00210914" w:rsidRDefault="00210914" w:rsidP="00210914">
      <w:pPr>
        <w:pBdr>
          <w:top w:val="nil"/>
          <w:left w:val="nil"/>
          <w:bottom w:val="nil"/>
          <w:right w:val="nil"/>
          <w:between w:val="nil"/>
        </w:pBdr>
        <w:spacing w:after="0" w:line="240" w:lineRule="auto"/>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A partir de 2023, a diferencia del año anterior, el equipo de Pedagogía Universitaria buscó introducir una modificación en el objeto de la actividad reflexiva del grupo. Ponderó que las valiosas discusiones e intercambios sobre la lógica que organiza el programa y la propuesta de enseñanza no alcanzan para delinear un problema pedagógico-didáctico </w:t>
      </w:r>
      <w:r w:rsidRPr="00210914">
        <w:rPr>
          <w:rFonts w:ascii="Times New Roman" w:eastAsia="Times New Roman" w:hAnsi="Times New Roman" w:cs="Times New Roman"/>
          <w:kern w:val="0"/>
          <w:lang w:val="es" w:eastAsia="es-ES"/>
          <w14:ligatures w14:val="none"/>
        </w:rPr>
        <w:lastRenderedPageBreak/>
        <w:t xml:space="preserve">común que el grupo decida abordar, ni para concretizar una alternativa que favorezca la visualización de la práctica profesional desde el inicio de la cursada. </w:t>
      </w:r>
    </w:p>
    <w:p w14:paraId="606170EF" w14:textId="77777777" w:rsidR="00210914" w:rsidRP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El grupo colaborativo se centró así en cómo enseñar sobre </w:t>
      </w:r>
      <w:proofErr w:type="spellStart"/>
      <w:r w:rsidRPr="00210914">
        <w:rPr>
          <w:rFonts w:ascii="Times New Roman" w:eastAsia="Times New Roman" w:hAnsi="Times New Roman" w:cs="Times New Roman"/>
          <w:kern w:val="0"/>
          <w:lang w:val="es" w:eastAsia="es-ES"/>
          <w14:ligatures w14:val="none"/>
        </w:rPr>
        <w:t>agrosistemas</w:t>
      </w:r>
      <w:proofErr w:type="spellEnd"/>
      <w:r w:rsidRPr="00210914">
        <w:rPr>
          <w:rFonts w:ascii="Times New Roman" w:eastAsia="Times New Roman" w:hAnsi="Times New Roman" w:cs="Times New Roman"/>
          <w:kern w:val="0"/>
          <w:lang w:val="es" w:eastAsia="es-ES"/>
          <w14:ligatures w14:val="none"/>
        </w:rPr>
        <w:t xml:space="preserve"> desde un enfoque sistémico, sin perder de vista los contenidos descriptivos necesarios para la comprensión técnica. Se discutió la conveniencia de partir de casos o problemas concretos para convocar a los estudiantes. </w:t>
      </w:r>
    </w:p>
    <w:p w14:paraId="15367617" w14:textId="77777777" w:rsidR="00210914" w:rsidRP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A partir de materiales bibliográficos publicados por el INTA y otros textos de divulgación se problematizaron temas como la intensificación de la producción, expansión de la frontera agrícola, rotaciones de cultivos, relación carbono/nitrógeno, erosión y conservación de suelos. Los docentes de la asignatura señalaban que esos debates técnicos no pueden separarse de aspectos estructurales como los modelos productivos, la lógica del agronegocio, la agricultura familiar, la renta, la tenencia de la tierra, el arrendamiento, la tercerización del riesgo y las relaciones de poder que condicionan la producción. Se acordó avanzar en la construcción colectiva de un caso inicial (reelaborado a partir de Andrade, 2016). Se tomaron decisiones acerca de qué discusiones conviene introducir y promover al comienzo de la cursada y cuáles retomar hacia el final, especialmente las referidas a los modelos productivos.</w:t>
      </w:r>
    </w:p>
    <w:p w14:paraId="655D0E18" w14:textId="1B582C18" w:rsidR="00210914" w:rsidRP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A </w:t>
      </w:r>
      <w:r w:rsidRPr="00210914">
        <w:rPr>
          <w:rFonts w:ascii="Times New Roman" w:eastAsia="Times New Roman" w:hAnsi="Times New Roman" w:cs="Times New Roman"/>
          <w:kern w:val="0"/>
          <w:lang w:val="es" w:eastAsia="es-ES"/>
          <w14:ligatures w14:val="none"/>
        </w:rPr>
        <w:t>continuación,</w:t>
      </w:r>
      <w:r w:rsidRPr="00210914">
        <w:rPr>
          <w:rFonts w:ascii="Times New Roman" w:eastAsia="Times New Roman" w:hAnsi="Times New Roman" w:cs="Times New Roman"/>
          <w:kern w:val="0"/>
          <w:lang w:val="es" w:eastAsia="es-ES"/>
          <w14:ligatures w14:val="none"/>
        </w:rPr>
        <w:t xml:space="preserve"> compartimos fragmentos del caso construido colectivamente en el que pueden apreciarse dos grandes posturas de los profesionales en agronomía:</w:t>
      </w:r>
    </w:p>
    <w:p w14:paraId="3DF2A255" w14:textId="77777777" w:rsidR="00210914" w:rsidRPr="00210914" w:rsidRDefault="00210914" w:rsidP="00210914">
      <w:pPr>
        <w:spacing w:before="80" w:after="0" w:line="240" w:lineRule="auto"/>
        <w:ind w:right="140"/>
        <w:jc w:val="both"/>
        <w:rPr>
          <w:rFonts w:ascii="Times New Roman" w:eastAsia="Times New Roman" w:hAnsi="Times New Roman" w:cs="Times New Roman"/>
          <w:kern w:val="0"/>
          <w:lang w:val="es" w:eastAsia="es-ES"/>
          <w14:ligatures w14:val="none"/>
        </w:rPr>
      </w:pPr>
    </w:p>
    <w:p w14:paraId="204A7B23" w14:textId="77777777" w:rsidR="00210914" w:rsidRPr="00210914" w:rsidRDefault="00210914" w:rsidP="00210914">
      <w:pPr>
        <w:spacing w:before="80" w:after="0" w:line="240" w:lineRule="auto"/>
        <w:ind w:left="720" w:right="140"/>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La agricultura y el </w:t>
      </w:r>
      <w:r w:rsidRPr="00210914">
        <w:rPr>
          <w:rFonts w:ascii="Times New Roman" w:eastAsia="Times New Roman" w:hAnsi="Times New Roman" w:cs="Times New Roman"/>
          <w:i/>
          <w:iCs/>
          <w:kern w:val="0"/>
          <w:lang w:val="es" w:eastAsia="es-ES"/>
          <w14:ligatures w14:val="none"/>
        </w:rPr>
        <w:t>manejo</w:t>
      </w:r>
      <w:r w:rsidRPr="00210914">
        <w:rPr>
          <w:rFonts w:ascii="Times New Roman" w:eastAsia="Times New Roman" w:hAnsi="Times New Roman" w:cs="Times New Roman"/>
          <w:kern w:val="0"/>
          <w:lang w:val="es" w:eastAsia="es-ES"/>
          <w14:ligatures w14:val="none"/>
        </w:rPr>
        <w:t xml:space="preserve"> de la producción</w:t>
      </w:r>
    </w:p>
    <w:p w14:paraId="6462A28A" w14:textId="77777777" w:rsidR="00210914" w:rsidRPr="00210914" w:rsidRDefault="00210914" w:rsidP="00210914">
      <w:pPr>
        <w:spacing w:before="80" w:after="0" w:line="240" w:lineRule="auto"/>
        <w:ind w:left="720" w:right="140"/>
        <w:jc w:val="both"/>
        <w:rPr>
          <w:rFonts w:ascii="Times New Roman" w:eastAsia="Times New Roman" w:hAnsi="Times New Roman" w:cs="Times New Roman"/>
          <w:kern w:val="0"/>
          <w:lang w:val="es" w:eastAsia="es-ES"/>
          <w14:ligatures w14:val="none"/>
        </w:rPr>
      </w:pPr>
    </w:p>
    <w:p w14:paraId="37026425" w14:textId="77777777" w:rsidR="00210914" w:rsidRPr="00210914" w:rsidRDefault="00210914" w:rsidP="00210914">
      <w:pPr>
        <w:spacing w:before="80" w:after="0" w:line="240" w:lineRule="auto"/>
        <w:ind w:left="720" w:right="140"/>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El modelo de desarrollo agropecuario de nuestro país es vulnerable a impactos socioambientales ya que se basa en el uso de paquetes tecnológicos -herbicidas, insecticidas, fertilizantes, combustibles fósiles, etc. Su rentabilidad se basa en la maximización de beneficios de corto plazo y en el uso intensivo de los recursos naturales Este modelo de producción se viene implementando por igual en todo el mundo …</w:t>
      </w:r>
    </w:p>
    <w:p w14:paraId="71C8BB60" w14:textId="77777777" w:rsidR="00210914" w:rsidRPr="00210914" w:rsidRDefault="00210914" w:rsidP="00210914">
      <w:pPr>
        <w:spacing w:before="80" w:after="0" w:line="240" w:lineRule="auto"/>
        <w:ind w:left="720" w:right="140"/>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Entre los agrónomos existen diferentes posturas. Para algunos, los aumentos de la producción no pueden basarse principalmente en la expansión de la superficie cultivada, ya que resulta en pérdida de biodiversidad, emisiones de gases de efecto invernadero, excesos hídricos y exposición de tierras frágiles a procesos de degradación. En consecuencia, les resulta imperioso en primer lugar frenar y revertir los actuales procesos de degradación de los suelos, principalmente, a través de la agricultura conservacionista. … Para otros agrónomos, la postura de los “conservacionistas” es cuestionable ya que se requiere un manejo con una planificación sostenida en el tiempo que dificulta el rendimiento a corto plazo [y] la rentabilidad de las unidades productivas.</w:t>
      </w:r>
    </w:p>
    <w:p w14:paraId="3CC94D35" w14:textId="77777777" w:rsidR="00210914" w:rsidRPr="00210914" w:rsidRDefault="00210914" w:rsidP="00210914">
      <w:pPr>
        <w:spacing w:before="80" w:after="0" w:line="240" w:lineRule="auto"/>
        <w:ind w:right="140"/>
        <w:jc w:val="both"/>
        <w:rPr>
          <w:rFonts w:ascii="Times New Roman" w:eastAsia="Times New Roman" w:hAnsi="Times New Roman" w:cs="Times New Roman"/>
          <w:kern w:val="0"/>
          <w:lang w:val="es" w:eastAsia="es-ES"/>
          <w14:ligatures w14:val="none"/>
        </w:rPr>
      </w:pPr>
    </w:p>
    <w:p w14:paraId="11A3C37F" w14:textId="77777777" w:rsidR="00210914" w:rsidRPr="00210914" w:rsidRDefault="00210914" w:rsidP="00210914">
      <w:pPr>
        <w:spacing w:before="80" w:after="0" w:line="240" w:lineRule="auto"/>
        <w:ind w:right="140"/>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Estas diferentes posiciones generan interés en los estudiantes dado que son propias de la práctica profesional y son introducidas con argumentaciones y contraargumentaciones sin que ninguna de las dos sea banalizada ni que prevalezca una sobre la otra. Ello posibilita instalar en la clase un escenario en el que los estudiantes </w:t>
      </w:r>
      <w:r w:rsidRPr="00210914">
        <w:rPr>
          <w:rFonts w:ascii="Times New Roman" w:eastAsia="Times New Roman" w:hAnsi="Times New Roman" w:cs="Times New Roman"/>
          <w:kern w:val="0"/>
          <w:lang w:val="es" w:eastAsia="es-ES"/>
          <w14:ligatures w14:val="none"/>
        </w:rPr>
        <w:lastRenderedPageBreak/>
        <w:t xml:space="preserve">identifican argumentos, agregan, discuten, y necesitan seguir estudiando para fundamentar sus posturas. </w:t>
      </w:r>
    </w:p>
    <w:p w14:paraId="528F9F6D" w14:textId="77777777" w:rsidR="00210914" w:rsidRPr="00210914" w:rsidRDefault="00210914" w:rsidP="00210914">
      <w:pPr>
        <w:spacing w:before="80" w:after="0" w:line="240" w:lineRule="auto"/>
        <w:ind w:right="140"/>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El caso finaliza planteando diferencias de rendimiento entre dos cultivos de zonas muy cercanas entre sí:</w:t>
      </w:r>
    </w:p>
    <w:p w14:paraId="6AE3EC97" w14:textId="77777777" w:rsidR="00210914" w:rsidRPr="00210914" w:rsidRDefault="00210914" w:rsidP="00210914">
      <w:pPr>
        <w:spacing w:before="80" w:after="0" w:line="240" w:lineRule="auto"/>
        <w:ind w:right="140"/>
        <w:jc w:val="both"/>
        <w:rPr>
          <w:rFonts w:ascii="Times New Roman" w:eastAsia="Times New Roman" w:hAnsi="Times New Roman" w:cs="Times New Roman"/>
          <w:kern w:val="0"/>
          <w:lang w:val="es" w:eastAsia="es-ES"/>
          <w14:ligatures w14:val="none"/>
        </w:rPr>
      </w:pPr>
    </w:p>
    <w:p w14:paraId="44F84E72" w14:textId="77777777" w:rsidR="00210914" w:rsidRPr="00210914" w:rsidRDefault="00210914" w:rsidP="00210914">
      <w:pPr>
        <w:spacing w:before="80" w:after="0" w:line="240" w:lineRule="auto"/>
        <w:ind w:left="720" w:right="140"/>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En Balcarce, bajo siembra directa, la presencia de soja en la rotación provocó mayores disminuciones en el carbono orgánico, mientras que la de maíz, menores, debido al mayor volumen y mayor relación C/N de los residuos de este último cultivo … En Pergamino, bajo el mismo sistema, la rotación monocultivo de soja redujo las reservas de carbono orgánico del suelo, mientras que las rotaciones Maíz-Trigo-Soja y Trigo-Soja permitieron incrementarlas. ¿Cómo es posible explicar estas diferencias en dos territorios pertenecientes a la misma provincia y con el mismo tipo de siembra? </w:t>
      </w:r>
    </w:p>
    <w:p w14:paraId="04E65358" w14:textId="77777777" w:rsidR="00210914" w:rsidRPr="00210914" w:rsidRDefault="00210914" w:rsidP="00210914">
      <w:pPr>
        <w:spacing w:before="80" w:after="0" w:line="240" w:lineRule="auto"/>
        <w:ind w:right="140"/>
        <w:jc w:val="both"/>
        <w:rPr>
          <w:rFonts w:ascii="Times New Roman" w:eastAsia="Times New Roman" w:hAnsi="Times New Roman" w:cs="Times New Roman"/>
          <w:kern w:val="0"/>
          <w:lang w:val="es" w:eastAsia="es-ES"/>
          <w14:ligatures w14:val="none"/>
        </w:rPr>
      </w:pPr>
    </w:p>
    <w:p w14:paraId="131807FA" w14:textId="77777777" w:rsidR="00210914" w:rsidRPr="00210914" w:rsidRDefault="00210914" w:rsidP="00210914">
      <w:pPr>
        <w:spacing w:before="80" w:after="0" w:line="240" w:lineRule="auto"/>
        <w:ind w:right="140"/>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Para explicar estas diferencias no alcanza con entender las diferentes posturas en el manejo de la producción, sino que hay que recurrir al estudio de las características de los suelos, el clima, entre otras, que se abordarán a lo largo de la cursada de la asignatura. Además de instalar que </w:t>
      </w:r>
      <w:proofErr w:type="gramStart"/>
      <w:r w:rsidRPr="00210914">
        <w:rPr>
          <w:rFonts w:ascii="Times New Roman" w:eastAsia="Times New Roman" w:hAnsi="Times New Roman" w:cs="Times New Roman"/>
          <w:kern w:val="0"/>
          <w:lang w:val="es" w:eastAsia="es-ES"/>
          <w14:ligatures w14:val="none"/>
        </w:rPr>
        <w:t>la toma de decisiones de un profesional son</w:t>
      </w:r>
      <w:proofErr w:type="gramEnd"/>
      <w:r w:rsidRPr="00210914">
        <w:rPr>
          <w:rFonts w:ascii="Times New Roman" w:eastAsia="Times New Roman" w:hAnsi="Times New Roman" w:cs="Times New Roman"/>
          <w:kern w:val="0"/>
          <w:lang w:val="es" w:eastAsia="es-ES"/>
          <w14:ligatures w14:val="none"/>
        </w:rPr>
        <w:t xml:space="preserve"> contextualizadas y ajustadas a las características de determinado </w:t>
      </w:r>
      <w:proofErr w:type="spellStart"/>
      <w:r w:rsidRPr="00210914">
        <w:rPr>
          <w:rFonts w:ascii="Times New Roman" w:eastAsia="Times New Roman" w:hAnsi="Times New Roman" w:cs="Times New Roman"/>
          <w:kern w:val="0"/>
          <w:lang w:val="es" w:eastAsia="es-ES"/>
          <w14:ligatures w14:val="none"/>
        </w:rPr>
        <w:t>agrosistema</w:t>
      </w:r>
      <w:proofErr w:type="spellEnd"/>
      <w:r w:rsidRPr="00210914">
        <w:rPr>
          <w:rFonts w:ascii="Times New Roman" w:eastAsia="Times New Roman" w:hAnsi="Times New Roman" w:cs="Times New Roman"/>
          <w:kern w:val="0"/>
          <w:lang w:val="es" w:eastAsia="es-ES"/>
          <w14:ligatures w14:val="none"/>
        </w:rPr>
        <w:t>.</w:t>
      </w:r>
    </w:p>
    <w:p w14:paraId="1BF6AD5B" w14:textId="77777777" w:rsidR="00210914" w:rsidRP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Sostenemos que con el diseño del caso de estudio los intercambios en el GTC ingresan en una zona de entendimiento común en la que se argumenta respecto de empezar por la lectura del caso, cuando todavía no han estudiado los contenidos de dónde podrían los estudiantes asirse, o si empezar por los componentes edáficos necesarios para resolver los problemas que el caso plantea. Los argumentos no se presentan como una oposición cerrada entre una cosa y la otra, sino como una búsqueda por ver cómo se relacionan ambos enfoques y en dónde conviene hacer pie para poder vincular al otro.</w:t>
      </w:r>
    </w:p>
    <w:p w14:paraId="616543FD" w14:textId="4423339E" w:rsidR="00210914" w:rsidRP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El diseño del caso también posibilitó un desplazamiento entre caracterizaciones centradas exclusivamente en los estudiantes y su desempeño, hacia otra -entendemos más fértil- que considera su situación de ingresante a la universidad. En el grupo colaborativo se acuerda en cubrir una necesidad de contención, de lograr que los estudiantes se queden, que aprendan una buena parte de lo que necesitan aprender y que al mismo tiempo puedan sentirse convocados por la asignatura. En ese marco, la presentación de un caso de estudio al inicio de una cursada cumple la función de instalar la necesidad de estudiar los temas que se despliegan a lo largo del programa, de presentar un universo profesional, y promover un contrato didáctico (Brousseau, 1980</w:t>
      </w:r>
      <w:r w:rsidRPr="00210914">
        <w:rPr>
          <w:rFonts w:ascii="Times New Roman" w:eastAsia="Times New Roman" w:hAnsi="Times New Roman" w:cs="Times New Roman"/>
          <w:kern w:val="0"/>
          <w:lang w:val="es" w:eastAsia="es-ES"/>
          <w14:ligatures w14:val="none"/>
        </w:rPr>
        <w:t>) en</w:t>
      </w:r>
      <w:r w:rsidRPr="00210914">
        <w:rPr>
          <w:rFonts w:ascii="Times New Roman" w:eastAsia="Times New Roman" w:hAnsi="Times New Roman" w:cs="Times New Roman"/>
          <w:kern w:val="0"/>
          <w:lang w:val="es" w:eastAsia="es-ES"/>
          <w14:ligatures w14:val="none"/>
        </w:rPr>
        <w:t xml:space="preserve"> el que se espera que puedan desplegar ideas y establecer relaciones.</w:t>
      </w:r>
    </w:p>
    <w:p w14:paraId="04EE2924" w14:textId="77777777" w:rsidR="00210914" w:rsidRP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Luego de la primera implementación del caso de estudio en el inicio de la cursada, la actividad reflexiva en el GTC se ciñó a promover la participación de los estudiantes: volver al texto para localizar las diferentes posiciones de los ingenieros y para identificar cuál es el problema a resolver; trabajar en pequeños grupos para intercambiar ideas antes de compartirlas con el grupo clase; devolver el problema (en términos de Brousseau, 2007) de cómo es posible que en zonas tan cercanas geográficamente haya tanta diferencia en las producciones agrícolas, evitando que el docente sea quien ofrezca las respuestas.</w:t>
      </w:r>
    </w:p>
    <w:p w14:paraId="3FACF097" w14:textId="77777777" w:rsidR="00210914" w:rsidRP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lastRenderedPageBreak/>
        <w:t>El diseño de esta situación de enseñanza, su puesta en aula, y el análisis conjunto motorizó que las discusiones en el grupo colaborativo se ubiquen dentro del territorio de la enseñanza y el aprendizaje, lo que promovió un interjuego de argumentaciones acerca de las intenciones y criterios didácticos con los que proponer esta situación de enseñanza.</w:t>
      </w:r>
    </w:p>
    <w:p w14:paraId="6896B8A1" w14:textId="77777777" w:rsidR="00210914" w:rsidRPr="00210914" w:rsidRDefault="00210914" w:rsidP="00210914">
      <w:pPr>
        <w:spacing w:before="80" w:after="0" w:line="240" w:lineRule="auto"/>
        <w:ind w:right="140"/>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El camino transitado nos permitió al equipo de Pedagogía Universitaria identificar y conceptualizar dos lógicas desplegadas en el objeto de la actividad reflexiva del GTC que formulamos con carácter de tensiones:</w:t>
      </w:r>
    </w:p>
    <w:p w14:paraId="7935E847" w14:textId="77777777" w:rsidR="00210914" w:rsidRPr="00210914" w:rsidRDefault="00210914" w:rsidP="00210914">
      <w:pPr>
        <w:spacing w:before="80" w:after="0" w:line="240" w:lineRule="auto"/>
        <w:ind w:right="140"/>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 </w:t>
      </w:r>
    </w:p>
    <w:p w14:paraId="241CEC4C" w14:textId="77777777" w:rsidR="00210914" w:rsidRPr="00210914" w:rsidRDefault="00210914" w:rsidP="00210914">
      <w:pPr>
        <w:numPr>
          <w:ilvl w:val="0"/>
          <w:numId w:val="1"/>
        </w:numPr>
        <w:spacing w:before="80" w:after="0" w:line="240" w:lineRule="auto"/>
        <w:ind w:right="140"/>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Partir de revisar abordajes descriptivos de los contenidos con los que se prevé el desarrollo temático del programa hasta culminar en un abordaje explicativo -lógica gradualista y ascendente- vs. la presencia de un enfoque sistémico desde el inicio de la cursada -como punto de partida, no de llegada.</w:t>
      </w:r>
    </w:p>
    <w:p w14:paraId="04A1E6DF" w14:textId="77777777" w:rsidR="00210914" w:rsidRPr="00210914" w:rsidRDefault="00210914" w:rsidP="00210914">
      <w:pPr>
        <w:numPr>
          <w:ilvl w:val="0"/>
          <w:numId w:val="1"/>
        </w:numPr>
        <w:spacing w:after="0" w:line="240" w:lineRule="auto"/>
        <w:ind w:right="140"/>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Partir de las demandas formuladas por los docentes, problematizarlas hasta plantear un problema compartido a ser abordado en términos de la enseñanza y el aprendizaje vs. diseñar una situación de lectura o escritura para ser puesta en aula con la que problematizar la enseñanza y el aprendizaje de contenidos específicos.</w:t>
      </w:r>
    </w:p>
    <w:p w14:paraId="5222A285" w14:textId="77777777" w:rsidR="00210914" w:rsidRPr="00210914" w:rsidRDefault="00210914" w:rsidP="00210914">
      <w:pPr>
        <w:spacing w:before="80" w:after="0" w:line="240" w:lineRule="auto"/>
        <w:ind w:right="140"/>
        <w:jc w:val="both"/>
        <w:rPr>
          <w:rFonts w:ascii="Times New Roman" w:eastAsia="Times New Roman" w:hAnsi="Times New Roman" w:cs="Times New Roman"/>
          <w:kern w:val="0"/>
          <w:lang w:val="es" w:eastAsia="es-ES"/>
          <w14:ligatures w14:val="none"/>
        </w:rPr>
      </w:pPr>
    </w:p>
    <w:p w14:paraId="15C1BA49" w14:textId="77777777" w:rsidR="00210914" w:rsidRPr="00210914" w:rsidRDefault="00210914" w:rsidP="00210914">
      <w:pPr>
        <w:spacing w:after="0" w:line="240" w:lineRule="auto"/>
        <w:jc w:val="both"/>
        <w:rPr>
          <w:rFonts w:ascii="Times New Roman" w:eastAsia="Times New Roman" w:hAnsi="Times New Roman" w:cs="Times New Roman"/>
          <w:b/>
          <w:bCs/>
          <w:kern w:val="0"/>
          <w:lang w:val="es" w:eastAsia="es-ES"/>
          <w14:ligatures w14:val="none"/>
        </w:rPr>
      </w:pPr>
      <w:r w:rsidRPr="00210914">
        <w:rPr>
          <w:rFonts w:ascii="Times New Roman" w:eastAsia="Times New Roman" w:hAnsi="Times New Roman" w:cs="Times New Roman"/>
          <w:b/>
          <w:bCs/>
          <w:kern w:val="0"/>
          <w:lang w:val="es" w:eastAsia="es-ES"/>
          <w14:ligatures w14:val="none"/>
        </w:rPr>
        <w:t>La construcción de simetría en la universidad</w:t>
      </w:r>
    </w:p>
    <w:p w14:paraId="4414408F" w14:textId="77777777" w:rsidR="00210914" w:rsidRPr="00210914" w:rsidRDefault="00210914" w:rsidP="00210914">
      <w:pPr>
        <w:spacing w:after="0" w:line="240" w:lineRule="auto"/>
        <w:jc w:val="both"/>
        <w:rPr>
          <w:rFonts w:ascii="Times New Roman" w:eastAsia="Times New Roman" w:hAnsi="Times New Roman" w:cs="Times New Roman"/>
          <w:b/>
          <w:bCs/>
          <w:kern w:val="0"/>
          <w:lang w:val="es" w:eastAsia="es-ES"/>
          <w14:ligatures w14:val="none"/>
        </w:rPr>
      </w:pPr>
    </w:p>
    <w:p w14:paraId="57FD9713" w14:textId="31C50BD3" w:rsidR="00210914" w:rsidRP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Las tensiones</w:t>
      </w:r>
      <w:r w:rsidRPr="00210914">
        <w:rPr>
          <w:rFonts w:ascii="Times New Roman" w:eastAsia="Times New Roman" w:hAnsi="Times New Roman" w:cs="Times New Roman"/>
          <w:kern w:val="0"/>
          <w:lang w:val="es" w:eastAsia="es-ES"/>
          <w14:ligatures w14:val="none"/>
        </w:rPr>
        <w:t xml:space="preserve"> que se producen en el GTC nos </w:t>
      </w:r>
      <w:proofErr w:type="gramStart"/>
      <w:r w:rsidRPr="00210914">
        <w:rPr>
          <w:rFonts w:ascii="Times New Roman" w:eastAsia="Times New Roman" w:hAnsi="Times New Roman" w:cs="Times New Roman"/>
          <w:kern w:val="0"/>
          <w:lang w:val="es" w:eastAsia="es-ES"/>
          <w14:ligatures w14:val="none"/>
        </w:rPr>
        <w:t>llevó</w:t>
      </w:r>
      <w:proofErr w:type="gramEnd"/>
      <w:r w:rsidRPr="00210914">
        <w:rPr>
          <w:rFonts w:ascii="Times New Roman" w:eastAsia="Times New Roman" w:hAnsi="Times New Roman" w:cs="Times New Roman"/>
          <w:kern w:val="0"/>
          <w:lang w:val="es" w:eastAsia="es-ES"/>
          <w14:ligatures w14:val="none"/>
        </w:rPr>
        <w:t xml:space="preserve"> a interrogarnos sobre </w:t>
      </w:r>
      <w:r w:rsidRPr="00210914">
        <w:rPr>
          <w:rFonts w:ascii="Times New Roman" w:eastAsia="Times New Roman" w:hAnsi="Times New Roman" w:cs="Times New Roman"/>
          <w:kern w:val="0"/>
          <w:lang w:val="es" w:eastAsia="es-ES"/>
          <w14:ligatures w14:val="none"/>
        </w:rPr>
        <w:t>la construcción</w:t>
      </w:r>
      <w:r w:rsidRPr="00210914">
        <w:rPr>
          <w:rFonts w:ascii="Times New Roman" w:eastAsia="Times New Roman" w:hAnsi="Times New Roman" w:cs="Times New Roman"/>
          <w:kern w:val="0"/>
          <w:lang w:val="es" w:eastAsia="es-ES"/>
          <w14:ligatures w14:val="none"/>
        </w:rPr>
        <w:t xml:space="preserve"> de simetría en las voces, posturas, argumentos de los integrantes, que reconozca también sus diferencias (Morales, Sensevy y Forest, 2017). Quienes integramos el grupo de trabajo colaborativo, fuimos formados y tenemos inscripción laboral en la universidad, reconocemos diferentes experticias, en lo pedagógico y en lo disciplinar. Esto nos ubica inicialmente en una situación de paridad, lo que marca una peculiaridad del nivel. En otras investigaciones acerca de la producción didáctica con grupos de trabajo colaborativo en el nivel primario y secundario se parte de problematizar la histórica división del trabajo entre investigadores y docentes, entre quienes son socialmente valorados por producir el conocimiento para ser aplicado por otros, desde fuera de la escuela para la escuela (Espinoza, 2021). En cambio, en la universidad, todos los integrantes, tanto los de Pedagogía Universitaria como quienes integran el equipo de la asignatura se reconocen como docentes, profesionales e investigadores. Interpretamos que esto, que entendemos como un reconocimiento mutuo como punto de partida, presenta fisuras cuando, durante el primer año el grupo de trabajo colaborativo no lograba asumir un problema común. </w:t>
      </w:r>
    </w:p>
    <w:p w14:paraId="369987AC" w14:textId="77777777" w:rsidR="00210914" w:rsidRP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Venimos advirtiendo que el análisis sobre la relación entre el objeto de conocimiento de una disciplina y el objeto de enseñanza es uno de los problemas que más tiempo requiere en el diseño de una propuesta, con la intención de preservar el sentido del conocimiento con el que fue elaborado originalmente en su contexto de producción y con su funcionamiento en el desarrollo de la profesión -en ocasiones desplazado hacia cuestiones mecánicas u operativas para la resolución de problemas. Problematizar los conocimientos nos ha llevado en </w:t>
      </w:r>
      <w:proofErr w:type="gramStart"/>
      <w:r w:rsidRPr="00210914">
        <w:rPr>
          <w:rFonts w:ascii="Times New Roman" w:eastAsia="Times New Roman" w:hAnsi="Times New Roman" w:cs="Times New Roman"/>
          <w:kern w:val="0"/>
          <w:lang w:val="es" w:eastAsia="es-ES"/>
          <w14:ligatures w14:val="none"/>
        </w:rPr>
        <w:t>este espacios</w:t>
      </w:r>
      <w:proofErr w:type="gramEnd"/>
      <w:r w:rsidRPr="00210914">
        <w:rPr>
          <w:rFonts w:ascii="Times New Roman" w:eastAsia="Times New Roman" w:hAnsi="Times New Roman" w:cs="Times New Roman"/>
          <w:kern w:val="0"/>
          <w:lang w:val="es" w:eastAsia="es-ES"/>
          <w14:ligatures w14:val="none"/>
        </w:rPr>
        <w:t xml:space="preserve"> de trabajo colaborativo, a estudiar los temas, a reponer las preguntas y las discusiones en el contexto de producción de los saberes, a reparar en los aspectos anti intuitivos para quien está aprendiendo, a caracterizar su enseñanza usual, a </w:t>
      </w:r>
      <w:r w:rsidRPr="00210914">
        <w:rPr>
          <w:rFonts w:ascii="Times New Roman" w:eastAsia="Times New Roman" w:hAnsi="Times New Roman" w:cs="Times New Roman"/>
          <w:kern w:val="0"/>
          <w:lang w:val="es" w:eastAsia="es-ES"/>
          <w14:ligatures w14:val="none"/>
        </w:rPr>
        <w:lastRenderedPageBreak/>
        <w:t xml:space="preserve">reponer la potencia explicativa de los saberes, a realizar anticipaciones respecto de las ideas con las que los estudiantes suelen abordar estos saberes disciplinares. La construcción de un espacio colaborativo con las referidas características de paridad requiere de un tiempo no siempre compatible con las urgencias de la enseñanza. </w:t>
      </w:r>
    </w:p>
    <w:p w14:paraId="3AF6AE2C" w14:textId="2873E20B" w:rsidR="00210914" w:rsidRP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En este trabajo reflexionamos sobre ciertas condiciones de singularidad que asume la construcción de lo colaborativo en la universidad. La situación inicial en la que se busca conocer aspectos de la propuesta de la enseñanza, los enfoques en el tratamiento de los contenidos, los criterios en su organización y las relaciones conceptuales que subyacen, se presenta con cierta incomodidad tanto para los docentes -que se sienten observados o evaluados y lo perciben como una indagatoria- como para nosotras ya que resulta difícil comunicar los sentidos en juego vinculados a construir un problema pedagógico didáctico común. En los primeros intercambios en el GTC se van desplegando interpretaciones diferentes que buscan correr el foco en los estudiantes como únicos responsables de las dificultades en torno a los aprendizajes, pero esto puede generar que los docentes pasen a considerarse los causantes de una propuesta desajustada.  Lejos de favorecer esto, la modalidad colaborativa parte de problematizar estos lugares o posiciones, de desvestir de naturalidad algunas ideas instaladas, reflexionar de modo nuevo </w:t>
      </w:r>
      <w:r w:rsidRPr="00210914">
        <w:rPr>
          <w:rFonts w:ascii="Times New Roman" w:eastAsia="Times New Roman" w:hAnsi="Times New Roman" w:cs="Times New Roman"/>
          <w:kern w:val="0"/>
          <w:lang w:val="es" w:eastAsia="es-ES"/>
          <w14:ligatures w14:val="none"/>
        </w:rPr>
        <w:t>sobre el</w:t>
      </w:r>
      <w:r w:rsidRPr="00210914">
        <w:rPr>
          <w:rFonts w:ascii="Times New Roman" w:eastAsia="Times New Roman" w:hAnsi="Times New Roman" w:cs="Times New Roman"/>
          <w:kern w:val="0"/>
          <w:lang w:val="es" w:eastAsia="es-ES"/>
          <w14:ligatures w14:val="none"/>
        </w:rPr>
        <w:t xml:space="preserve"> conocimiento en juego -en este caso, los contenidos específicos, la propuesta de enseñanza- y reformular los problemas de manera que puedan ser abordados desde la complejidad que le es propia y no desde una lógica del error. </w:t>
      </w:r>
    </w:p>
    <w:p w14:paraId="24849BE9" w14:textId="01DCFE0D" w:rsidR="00210914" w:rsidRP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Así en el GTC la problematización se desplegó, no a partir de la propuesta de enseñanza que se asume en la asignatura en su totalidad, sino en pensar de modo conjunto el diseño e implementación en la clase de un caso de estudio. Esto se constituyó como escenario fructífero para poner en diálogo las razones de unos y de otros en orden a pensar de qué modo los estudiantes pueden avanzar en sus aprendizajes, ser </w:t>
      </w:r>
      <w:r w:rsidRPr="00210914">
        <w:rPr>
          <w:rFonts w:ascii="Times New Roman" w:eastAsia="Times New Roman" w:hAnsi="Times New Roman" w:cs="Times New Roman"/>
          <w:kern w:val="0"/>
          <w:lang w:val="es" w:eastAsia="es-ES"/>
          <w14:ligatures w14:val="none"/>
        </w:rPr>
        <w:t>convocados desde</w:t>
      </w:r>
      <w:r w:rsidRPr="00210914">
        <w:rPr>
          <w:rFonts w:ascii="Times New Roman" w:eastAsia="Times New Roman" w:hAnsi="Times New Roman" w:cs="Times New Roman"/>
          <w:kern w:val="0"/>
          <w:lang w:val="es" w:eastAsia="es-ES"/>
          <w14:ligatures w14:val="none"/>
        </w:rPr>
        <w:t xml:space="preserve"> el inicio de la asignatura en términos de su práctica profesional y a establecer las relaciones conceptuales que subyacen en el caso de estudio y que involucran distintas temáticas de la materia. </w:t>
      </w:r>
    </w:p>
    <w:p w14:paraId="0E5E0FE4" w14:textId="77777777" w:rsidR="00210914" w:rsidRP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Los significados que adquiere la construcción de simetría en este trabajo de docentes e investigadores en la universidad están sostenidos por nuevas comprensiones, por aprendizajes que unos y otros pueden elaborar. En el caso de los docentes de ingeniería agronómica se aproximan a nuevas formas y abordajes para desplegar una mirada sistémica de la asignatura e incluyen un modo de problematizar los contenidos a partir de un caso que se sostiene en el desarrollo de las clases, apuntando así a que los estudiantes puedan realizar reelaboraciones conceptuales de mayor profundidad y relevancia.  En cuanto al equipo de pedagogía, pudimos ahondar sobre diferentes aristas que adquiere el principio de simetría en grupos interdisciplinarios en la universidad. Unos y otros participantes del GTC asumen por igual desde un momento inicial lugares de </w:t>
      </w:r>
      <w:r w:rsidRPr="00210914">
        <w:rPr>
          <w:rFonts w:ascii="Times New Roman" w:eastAsia="Times New Roman" w:hAnsi="Times New Roman" w:cs="Times New Roman"/>
          <w:i/>
          <w:iCs/>
          <w:kern w:val="0"/>
          <w:lang w:val="es" w:eastAsia="es-ES"/>
          <w14:ligatures w14:val="none"/>
        </w:rPr>
        <w:t>saber</w:t>
      </w:r>
      <w:r w:rsidRPr="00210914">
        <w:rPr>
          <w:rFonts w:ascii="Times New Roman" w:eastAsia="Times New Roman" w:hAnsi="Times New Roman" w:cs="Times New Roman"/>
          <w:kern w:val="0"/>
          <w:lang w:val="es" w:eastAsia="es-ES"/>
          <w14:ligatures w14:val="none"/>
        </w:rPr>
        <w:t xml:space="preserve"> en cuanto a los conocimientos específicos que portan, por lo que el espacio que permite hacer jugar los </w:t>
      </w:r>
      <w:r w:rsidRPr="00210914">
        <w:rPr>
          <w:rFonts w:ascii="Times New Roman" w:eastAsia="Times New Roman" w:hAnsi="Times New Roman" w:cs="Times New Roman"/>
          <w:i/>
          <w:iCs/>
          <w:kern w:val="0"/>
          <w:lang w:val="es" w:eastAsia="es-ES"/>
          <w14:ligatures w14:val="none"/>
        </w:rPr>
        <w:t>no saberes</w:t>
      </w:r>
      <w:r w:rsidRPr="00210914">
        <w:rPr>
          <w:rFonts w:ascii="Times New Roman" w:eastAsia="Times New Roman" w:hAnsi="Times New Roman" w:cs="Times New Roman"/>
          <w:kern w:val="0"/>
          <w:lang w:val="es" w:eastAsia="es-ES"/>
          <w14:ligatures w14:val="none"/>
        </w:rPr>
        <w:t xml:space="preserve"> de cada uno en una actividad reflexiva para avanzar un proceso de comprensión y de reconocimiento genuino de las diferencias requiere un tiempo sostenido de diálogo, de construcción de confianza recíproca. Este se alcanza desde una situación concreta, recortada de todo el universo de posibles entradas a la propuesta: es el diseño conjunto de un caso, el que pasa a configurarse como foco permitiendo analizar todas las demás cuestiones que atraviesan la enseñanza. </w:t>
      </w:r>
    </w:p>
    <w:p w14:paraId="499453ED" w14:textId="77777777" w:rsidR="00210914" w:rsidRPr="00210914" w:rsidRDefault="00210914" w:rsidP="00210914">
      <w:pPr>
        <w:spacing w:after="0" w:line="240" w:lineRule="auto"/>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lastRenderedPageBreak/>
        <w:t>Como cierre, confirmamos en este trabajo la potencia que adquiere la modalidad colaborativa para conmover posiciones y abordar la complejidad de los aprendizajes en la universidad, por lo cual nos proponemos continuar en la investigación respectiva de otros GTC para construir nuevos repertorios y ampliar el alcance de cada uno.</w:t>
      </w:r>
    </w:p>
    <w:p w14:paraId="5A648A7B" w14:textId="77777777" w:rsidR="00210914" w:rsidRPr="00210914" w:rsidRDefault="00210914" w:rsidP="00210914">
      <w:pPr>
        <w:spacing w:after="0" w:line="240" w:lineRule="auto"/>
        <w:jc w:val="both"/>
        <w:rPr>
          <w:rFonts w:ascii="Times New Roman" w:eastAsia="Times New Roman" w:hAnsi="Times New Roman" w:cs="Times New Roman"/>
          <w:b/>
          <w:bCs/>
          <w:kern w:val="0"/>
          <w:lang w:val="es" w:eastAsia="es-ES"/>
          <w14:ligatures w14:val="none"/>
        </w:rPr>
      </w:pPr>
    </w:p>
    <w:p w14:paraId="5E21734A" w14:textId="77777777" w:rsidR="00210914" w:rsidRPr="00210914" w:rsidRDefault="00210914" w:rsidP="00210914">
      <w:pPr>
        <w:spacing w:after="0" w:line="240" w:lineRule="auto"/>
        <w:jc w:val="both"/>
        <w:rPr>
          <w:rFonts w:ascii="Times New Roman" w:eastAsia="Times New Roman" w:hAnsi="Times New Roman" w:cs="Times New Roman"/>
          <w:b/>
          <w:bCs/>
          <w:kern w:val="0"/>
          <w:lang w:val="es" w:eastAsia="es-ES"/>
          <w14:ligatures w14:val="none"/>
        </w:rPr>
      </w:pPr>
    </w:p>
    <w:p w14:paraId="4450B938" w14:textId="77777777" w:rsidR="00210914" w:rsidRPr="00210914" w:rsidRDefault="00210914" w:rsidP="00210914">
      <w:pPr>
        <w:spacing w:after="0" w:line="240" w:lineRule="auto"/>
        <w:jc w:val="both"/>
        <w:rPr>
          <w:rFonts w:ascii="Times New Roman" w:eastAsia="Times New Roman" w:hAnsi="Times New Roman" w:cs="Times New Roman"/>
          <w:b/>
          <w:bCs/>
          <w:kern w:val="0"/>
          <w:lang w:val="es" w:eastAsia="es-ES"/>
          <w14:ligatures w14:val="none"/>
        </w:rPr>
      </w:pPr>
      <w:r w:rsidRPr="00210914">
        <w:rPr>
          <w:rFonts w:ascii="Times New Roman" w:eastAsia="Times New Roman" w:hAnsi="Times New Roman" w:cs="Times New Roman"/>
          <w:b/>
          <w:bCs/>
          <w:kern w:val="0"/>
          <w:lang w:val="es" w:eastAsia="es-ES"/>
          <w14:ligatures w14:val="none"/>
        </w:rPr>
        <w:t>Referencias bibliográficas</w:t>
      </w:r>
    </w:p>
    <w:p w14:paraId="67DE834A" w14:textId="77777777" w:rsidR="00210914" w:rsidRPr="00210914" w:rsidRDefault="00210914" w:rsidP="00210914">
      <w:pPr>
        <w:widowControl w:val="0"/>
        <w:spacing w:after="0" w:line="240" w:lineRule="auto"/>
        <w:ind w:right="137"/>
        <w:jc w:val="both"/>
        <w:rPr>
          <w:rFonts w:ascii="Times New Roman" w:eastAsia="Times New Roman" w:hAnsi="Times New Roman" w:cs="Times New Roman"/>
          <w:kern w:val="0"/>
          <w:lang w:val="es" w:eastAsia="es-ES"/>
          <w14:ligatures w14:val="none"/>
        </w:rPr>
      </w:pPr>
    </w:p>
    <w:p w14:paraId="5E5FA7F1" w14:textId="77777777" w:rsidR="00210914" w:rsidRPr="00210914" w:rsidRDefault="00210914" w:rsidP="00210914">
      <w:pPr>
        <w:spacing w:after="0" w:line="240" w:lineRule="auto"/>
        <w:ind w:left="850" w:hanging="850"/>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Andrade, F. (2016). Los desafíos de la agricultura. Acassuso: International Plant </w:t>
      </w:r>
      <w:proofErr w:type="spellStart"/>
      <w:r w:rsidRPr="00210914">
        <w:rPr>
          <w:rFonts w:ascii="Times New Roman" w:eastAsia="Times New Roman" w:hAnsi="Times New Roman" w:cs="Times New Roman"/>
          <w:kern w:val="0"/>
          <w:lang w:val="es" w:eastAsia="es-ES"/>
          <w14:ligatures w14:val="none"/>
        </w:rPr>
        <w:t>Nutrition</w:t>
      </w:r>
      <w:proofErr w:type="spellEnd"/>
      <w:r w:rsidRPr="00210914">
        <w:rPr>
          <w:rFonts w:ascii="Times New Roman" w:eastAsia="Times New Roman" w:hAnsi="Times New Roman" w:cs="Times New Roman"/>
          <w:kern w:val="0"/>
          <w:lang w:val="es" w:eastAsia="es-ES"/>
          <w14:ligatures w14:val="none"/>
        </w:rPr>
        <w:t xml:space="preserve"> </w:t>
      </w:r>
      <w:proofErr w:type="spellStart"/>
      <w:r w:rsidRPr="00210914">
        <w:rPr>
          <w:rFonts w:ascii="Times New Roman" w:eastAsia="Times New Roman" w:hAnsi="Times New Roman" w:cs="Times New Roman"/>
          <w:kern w:val="0"/>
          <w:lang w:val="es" w:eastAsia="es-ES"/>
          <w14:ligatures w14:val="none"/>
        </w:rPr>
        <w:t>Institute</w:t>
      </w:r>
      <w:proofErr w:type="spellEnd"/>
      <w:r w:rsidRPr="00210914">
        <w:rPr>
          <w:rFonts w:ascii="Times New Roman" w:eastAsia="Times New Roman" w:hAnsi="Times New Roman" w:cs="Times New Roman"/>
          <w:kern w:val="0"/>
          <w:lang w:val="es" w:eastAsia="es-ES"/>
          <w14:ligatures w14:val="none"/>
        </w:rPr>
        <w:t>.</w:t>
      </w:r>
    </w:p>
    <w:p w14:paraId="16BA9E46" w14:textId="77777777" w:rsidR="00210914" w:rsidRPr="00210914" w:rsidRDefault="00210914" w:rsidP="00210914">
      <w:pPr>
        <w:widowControl w:val="0"/>
        <w:spacing w:after="0" w:line="240" w:lineRule="auto"/>
        <w:ind w:left="850" w:hanging="850"/>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highlight w:val="white"/>
          <w:lang w:val="es" w:eastAsia="es-ES"/>
          <w14:ligatures w14:val="none"/>
        </w:rPr>
        <w:t xml:space="preserve">Brousseau, G. (1980). Les </w:t>
      </w:r>
      <w:proofErr w:type="spellStart"/>
      <w:r w:rsidRPr="00210914">
        <w:rPr>
          <w:rFonts w:ascii="Times New Roman" w:eastAsia="Times New Roman" w:hAnsi="Times New Roman" w:cs="Times New Roman"/>
          <w:kern w:val="0"/>
          <w:highlight w:val="white"/>
          <w:lang w:val="es" w:eastAsia="es-ES"/>
          <w14:ligatures w14:val="none"/>
        </w:rPr>
        <w:t>échecs</w:t>
      </w:r>
      <w:proofErr w:type="spellEnd"/>
      <w:r w:rsidRPr="00210914">
        <w:rPr>
          <w:rFonts w:ascii="Times New Roman" w:eastAsia="Times New Roman" w:hAnsi="Times New Roman" w:cs="Times New Roman"/>
          <w:kern w:val="0"/>
          <w:highlight w:val="white"/>
          <w:lang w:val="es" w:eastAsia="es-ES"/>
          <w14:ligatures w14:val="none"/>
        </w:rPr>
        <w:t xml:space="preserve"> </w:t>
      </w:r>
      <w:proofErr w:type="spellStart"/>
      <w:r w:rsidRPr="00210914">
        <w:rPr>
          <w:rFonts w:ascii="Times New Roman" w:eastAsia="Times New Roman" w:hAnsi="Times New Roman" w:cs="Times New Roman"/>
          <w:kern w:val="0"/>
          <w:highlight w:val="white"/>
          <w:lang w:val="es" w:eastAsia="es-ES"/>
          <w14:ligatures w14:val="none"/>
        </w:rPr>
        <w:t>électifs</w:t>
      </w:r>
      <w:proofErr w:type="spellEnd"/>
      <w:r w:rsidRPr="00210914">
        <w:rPr>
          <w:rFonts w:ascii="Times New Roman" w:eastAsia="Times New Roman" w:hAnsi="Times New Roman" w:cs="Times New Roman"/>
          <w:kern w:val="0"/>
          <w:highlight w:val="white"/>
          <w:lang w:val="es" w:eastAsia="es-ES"/>
          <w14:ligatures w14:val="none"/>
        </w:rPr>
        <w:t xml:space="preserve"> dans l'enseignement des mathématiques à </w:t>
      </w:r>
      <w:proofErr w:type="spellStart"/>
      <w:r w:rsidRPr="00210914">
        <w:rPr>
          <w:rFonts w:ascii="Times New Roman" w:eastAsia="Times New Roman" w:hAnsi="Times New Roman" w:cs="Times New Roman"/>
          <w:kern w:val="0"/>
          <w:highlight w:val="white"/>
          <w:lang w:val="es" w:eastAsia="es-ES"/>
          <w14:ligatures w14:val="none"/>
        </w:rPr>
        <w:t>l'école</w:t>
      </w:r>
      <w:proofErr w:type="spellEnd"/>
      <w:r w:rsidRPr="00210914">
        <w:rPr>
          <w:rFonts w:ascii="Times New Roman" w:eastAsia="Times New Roman" w:hAnsi="Times New Roman" w:cs="Times New Roman"/>
          <w:kern w:val="0"/>
          <w:highlight w:val="white"/>
          <w:lang w:val="es" w:eastAsia="es-ES"/>
          <w14:ligatures w14:val="none"/>
        </w:rPr>
        <w:t xml:space="preserve"> </w:t>
      </w:r>
      <w:proofErr w:type="spellStart"/>
      <w:r w:rsidRPr="00210914">
        <w:rPr>
          <w:rFonts w:ascii="Times New Roman" w:eastAsia="Times New Roman" w:hAnsi="Times New Roman" w:cs="Times New Roman"/>
          <w:kern w:val="0"/>
          <w:highlight w:val="white"/>
          <w:lang w:val="es" w:eastAsia="es-ES"/>
          <w14:ligatures w14:val="none"/>
        </w:rPr>
        <w:t>élémentaire</w:t>
      </w:r>
      <w:proofErr w:type="spellEnd"/>
      <w:r w:rsidRPr="00210914">
        <w:rPr>
          <w:rFonts w:ascii="Times New Roman" w:eastAsia="Times New Roman" w:hAnsi="Times New Roman" w:cs="Times New Roman"/>
          <w:kern w:val="0"/>
          <w:highlight w:val="white"/>
          <w:lang w:val="es" w:eastAsia="es-ES"/>
          <w14:ligatures w14:val="none"/>
        </w:rPr>
        <w:t xml:space="preserve">. </w:t>
      </w:r>
      <w:r w:rsidRPr="00210914">
        <w:rPr>
          <w:rFonts w:ascii="Times New Roman" w:eastAsia="Times New Roman" w:hAnsi="Times New Roman" w:cs="Times New Roman"/>
          <w:i/>
          <w:iCs/>
          <w:kern w:val="0"/>
          <w:highlight w:val="white"/>
          <w:lang w:val="es" w:eastAsia="es-ES"/>
          <w14:ligatures w14:val="none"/>
        </w:rPr>
        <w:t xml:space="preserve">Revue de </w:t>
      </w:r>
      <w:proofErr w:type="spellStart"/>
      <w:r w:rsidRPr="00210914">
        <w:rPr>
          <w:rFonts w:ascii="Times New Roman" w:eastAsia="Times New Roman" w:hAnsi="Times New Roman" w:cs="Times New Roman"/>
          <w:i/>
          <w:iCs/>
          <w:kern w:val="0"/>
          <w:highlight w:val="white"/>
          <w:lang w:val="es" w:eastAsia="es-ES"/>
          <w14:ligatures w14:val="none"/>
        </w:rPr>
        <w:t>Laryngologie</w:t>
      </w:r>
      <w:proofErr w:type="spellEnd"/>
      <w:r w:rsidRPr="00210914">
        <w:rPr>
          <w:rFonts w:ascii="Times New Roman" w:eastAsia="Times New Roman" w:hAnsi="Times New Roman" w:cs="Times New Roman"/>
          <w:i/>
          <w:iCs/>
          <w:kern w:val="0"/>
          <w:highlight w:val="white"/>
          <w:lang w:val="es" w:eastAsia="es-ES"/>
          <w14:ligatures w14:val="none"/>
        </w:rPr>
        <w:t xml:space="preserve"> Otologie Rhinologie</w:t>
      </w:r>
      <w:r w:rsidRPr="00210914">
        <w:rPr>
          <w:rFonts w:ascii="Times New Roman" w:eastAsia="Times New Roman" w:hAnsi="Times New Roman" w:cs="Times New Roman"/>
          <w:kern w:val="0"/>
          <w:highlight w:val="white"/>
          <w:lang w:val="es" w:eastAsia="es-ES"/>
          <w14:ligatures w14:val="none"/>
        </w:rPr>
        <w:t>, 101(3-4), 107-131.</w:t>
      </w:r>
    </w:p>
    <w:p w14:paraId="10568F1E" w14:textId="77777777" w:rsidR="00210914" w:rsidRPr="00210914" w:rsidRDefault="00210914" w:rsidP="00210914">
      <w:pPr>
        <w:widowControl w:val="0"/>
        <w:spacing w:after="0" w:line="240" w:lineRule="auto"/>
        <w:ind w:left="850" w:hanging="850"/>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Artigue, M. (2002). Ingeniére didactique: que rôle dans la recherche didactique </w:t>
      </w:r>
      <w:proofErr w:type="spellStart"/>
      <w:r w:rsidRPr="00210914">
        <w:rPr>
          <w:rFonts w:ascii="Times New Roman" w:eastAsia="Times New Roman" w:hAnsi="Times New Roman" w:cs="Times New Roman"/>
          <w:kern w:val="0"/>
          <w:lang w:val="es" w:eastAsia="es-ES"/>
          <w14:ligatures w14:val="none"/>
        </w:rPr>
        <w:t>ujourd´hui</w:t>
      </w:r>
      <w:proofErr w:type="spellEnd"/>
      <w:r w:rsidRPr="00210914">
        <w:rPr>
          <w:rFonts w:ascii="Times New Roman" w:eastAsia="Times New Roman" w:hAnsi="Times New Roman" w:cs="Times New Roman"/>
          <w:kern w:val="0"/>
          <w:lang w:val="es" w:eastAsia="es-ES"/>
          <w14:ligatures w14:val="none"/>
        </w:rPr>
        <w:t xml:space="preserve">. Les dossiers des Sciences de l´Education. Didactique des disciplines </w:t>
      </w:r>
      <w:proofErr w:type="spellStart"/>
      <w:r w:rsidRPr="00210914">
        <w:rPr>
          <w:rFonts w:ascii="Times New Roman" w:eastAsia="Times New Roman" w:hAnsi="Times New Roman" w:cs="Times New Roman"/>
          <w:kern w:val="0"/>
          <w:lang w:val="es" w:eastAsia="es-ES"/>
          <w14:ligatures w14:val="none"/>
        </w:rPr>
        <w:t>dientifiques</w:t>
      </w:r>
      <w:proofErr w:type="spellEnd"/>
      <w:r w:rsidRPr="00210914">
        <w:rPr>
          <w:rFonts w:ascii="Times New Roman" w:eastAsia="Times New Roman" w:hAnsi="Times New Roman" w:cs="Times New Roman"/>
          <w:kern w:val="0"/>
          <w:lang w:val="es" w:eastAsia="es-ES"/>
          <w14:ligatures w14:val="none"/>
        </w:rPr>
        <w:t xml:space="preserve"> et technologiques: concepts et méthodes. </w:t>
      </w:r>
      <w:r w:rsidRPr="00210914">
        <w:rPr>
          <w:rFonts w:ascii="Times New Roman" w:eastAsia="Times New Roman" w:hAnsi="Times New Roman" w:cs="Times New Roman"/>
          <w:i/>
          <w:iCs/>
          <w:kern w:val="0"/>
          <w:lang w:val="es" w:eastAsia="es-ES"/>
          <w14:ligatures w14:val="none"/>
        </w:rPr>
        <w:t>Revue Internationale des Sciences de l´Education</w:t>
      </w:r>
      <w:r w:rsidRPr="00210914">
        <w:rPr>
          <w:rFonts w:ascii="Times New Roman" w:eastAsia="Times New Roman" w:hAnsi="Times New Roman" w:cs="Times New Roman"/>
          <w:kern w:val="0"/>
          <w:lang w:val="es" w:eastAsia="es-ES"/>
          <w14:ligatures w14:val="none"/>
        </w:rPr>
        <w:t>, 8(1), 59-72.</w:t>
      </w:r>
    </w:p>
    <w:p w14:paraId="63BD2167" w14:textId="77777777" w:rsidR="00210914" w:rsidRPr="00210914" w:rsidRDefault="00210914" w:rsidP="00210914">
      <w:pPr>
        <w:widowControl w:val="0"/>
        <w:spacing w:after="0" w:line="240" w:lineRule="auto"/>
        <w:ind w:left="850" w:hanging="850"/>
        <w:jc w:val="both"/>
        <w:rPr>
          <w:rFonts w:ascii="Times New Roman" w:eastAsia="Times New Roman" w:hAnsi="Times New Roman" w:cs="Times New Roman"/>
          <w:kern w:val="0"/>
          <w:highlight w:val="green"/>
          <w:lang w:val="es" w:eastAsia="es-ES"/>
          <w14:ligatures w14:val="none"/>
        </w:rPr>
      </w:pPr>
      <w:r w:rsidRPr="00210914">
        <w:rPr>
          <w:rFonts w:ascii="Times New Roman" w:eastAsia="Times New Roman" w:hAnsi="Times New Roman" w:cs="Times New Roman"/>
          <w:kern w:val="0"/>
          <w:lang w:val="es" w:eastAsia="es-ES"/>
          <w14:ligatures w14:val="none"/>
        </w:rPr>
        <w:t xml:space="preserve">Artigue, M., Douady, R., y Moreno, L. (1995). </w:t>
      </w:r>
      <w:r w:rsidRPr="00210914">
        <w:rPr>
          <w:rFonts w:ascii="Times New Roman" w:eastAsia="Times New Roman" w:hAnsi="Times New Roman" w:cs="Times New Roman"/>
          <w:i/>
          <w:iCs/>
          <w:kern w:val="0"/>
          <w:lang w:val="es" w:eastAsia="es-ES"/>
          <w14:ligatures w14:val="none"/>
        </w:rPr>
        <w:t>Un esquema para la investigación y la innovación en la enseñanza y el aprendizaje de las matemáticas</w:t>
      </w:r>
      <w:r w:rsidRPr="00210914">
        <w:rPr>
          <w:rFonts w:ascii="Times New Roman" w:eastAsia="Times New Roman" w:hAnsi="Times New Roman" w:cs="Times New Roman"/>
          <w:kern w:val="0"/>
          <w:lang w:val="es" w:eastAsia="es-ES"/>
          <w14:ligatures w14:val="none"/>
        </w:rPr>
        <w:t>. Grupo Editorial Iberoamérica.</w:t>
      </w:r>
    </w:p>
    <w:p w14:paraId="69B74C66" w14:textId="3D814D46" w:rsidR="00210914" w:rsidRPr="00210914" w:rsidRDefault="00210914" w:rsidP="00210914">
      <w:pPr>
        <w:widowControl w:val="0"/>
        <w:pBdr>
          <w:top w:val="nil"/>
          <w:left w:val="nil"/>
          <w:bottom w:val="nil"/>
          <w:right w:val="nil"/>
          <w:between w:val="nil"/>
        </w:pBdr>
        <w:spacing w:after="0" w:line="240" w:lineRule="auto"/>
        <w:ind w:left="850" w:hanging="850"/>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Bolívar, A. (2005). </w:t>
      </w:r>
      <w:r w:rsidRPr="00210914">
        <w:rPr>
          <w:rFonts w:ascii="Times New Roman" w:eastAsia="Times New Roman" w:hAnsi="Times New Roman" w:cs="Times New Roman"/>
          <w:kern w:val="0"/>
          <w:lang w:val="es" w:eastAsia="es-ES"/>
          <w14:ligatures w14:val="none"/>
        </w:rPr>
        <w:t>¿Dónde</w:t>
      </w:r>
      <w:r w:rsidRPr="00210914">
        <w:rPr>
          <w:rFonts w:ascii="Times New Roman" w:eastAsia="Times New Roman" w:hAnsi="Times New Roman" w:cs="Times New Roman"/>
          <w:kern w:val="0"/>
          <w:lang w:val="es" w:eastAsia="es-ES"/>
          <w14:ligatures w14:val="none"/>
        </w:rPr>
        <w:t xml:space="preserve"> situar los esfuerzos de mejora?: política educativa, escuela y aula. </w:t>
      </w:r>
      <w:proofErr w:type="spellStart"/>
      <w:r w:rsidRPr="00210914">
        <w:rPr>
          <w:rFonts w:ascii="Times New Roman" w:eastAsia="Times New Roman" w:hAnsi="Times New Roman" w:cs="Times New Roman"/>
          <w:i/>
          <w:iCs/>
          <w:kern w:val="0"/>
          <w:lang w:val="es" w:eastAsia="es-ES"/>
          <w14:ligatures w14:val="none"/>
        </w:rPr>
        <w:t>Educacao</w:t>
      </w:r>
      <w:proofErr w:type="spellEnd"/>
      <w:r w:rsidRPr="00210914">
        <w:rPr>
          <w:rFonts w:ascii="Times New Roman" w:eastAsia="Times New Roman" w:hAnsi="Times New Roman" w:cs="Times New Roman"/>
          <w:i/>
          <w:iCs/>
          <w:kern w:val="0"/>
          <w:lang w:val="es" w:eastAsia="es-ES"/>
          <w14:ligatures w14:val="none"/>
        </w:rPr>
        <w:t xml:space="preserve"> &amp; </w:t>
      </w:r>
      <w:proofErr w:type="spellStart"/>
      <w:r w:rsidRPr="00210914">
        <w:rPr>
          <w:rFonts w:ascii="Times New Roman" w:eastAsia="Times New Roman" w:hAnsi="Times New Roman" w:cs="Times New Roman"/>
          <w:i/>
          <w:iCs/>
          <w:kern w:val="0"/>
          <w:lang w:val="es" w:eastAsia="es-ES"/>
          <w14:ligatures w14:val="none"/>
        </w:rPr>
        <w:t>sociedade</w:t>
      </w:r>
      <w:proofErr w:type="spellEnd"/>
      <w:r w:rsidRPr="00210914">
        <w:rPr>
          <w:rFonts w:ascii="Times New Roman" w:eastAsia="Times New Roman" w:hAnsi="Times New Roman" w:cs="Times New Roman"/>
          <w:kern w:val="0"/>
          <w:lang w:val="es" w:eastAsia="es-ES"/>
          <w14:ligatures w14:val="none"/>
        </w:rPr>
        <w:t>, 26(92), 859-888.</w:t>
      </w:r>
    </w:p>
    <w:p w14:paraId="37FAD90B" w14:textId="77777777" w:rsidR="00210914" w:rsidRPr="00210914" w:rsidRDefault="00210914" w:rsidP="00210914">
      <w:pPr>
        <w:widowControl w:val="0"/>
        <w:spacing w:after="0" w:line="240" w:lineRule="auto"/>
        <w:ind w:left="850" w:hanging="850"/>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Bolívar, A. (2007/2000). </w:t>
      </w:r>
      <w:r w:rsidRPr="00210914">
        <w:rPr>
          <w:rFonts w:ascii="Times New Roman" w:eastAsia="Times New Roman" w:hAnsi="Times New Roman" w:cs="Times New Roman"/>
          <w:i/>
          <w:iCs/>
          <w:kern w:val="0"/>
          <w:lang w:val="es" w:eastAsia="es-ES"/>
          <w14:ligatures w14:val="none"/>
        </w:rPr>
        <w:t>Los centros educativos como organizaciones que aprenden: promesas y realidades</w:t>
      </w:r>
      <w:r w:rsidRPr="00210914">
        <w:rPr>
          <w:rFonts w:ascii="Times New Roman" w:eastAsia="Times New Roman" w:hAnsi="Times New Roman" w:cs="Times New Roman"/>
          <w:kern w:val="0"/>
          <w:lang w:val="es" w:eastAsia="es-ES"/>
          <w14:ligatures w14:val="none"/>
        </w:rPr>
        <w:t xml:space="preserve">. La Muralla. </w:t>
      </w:r>
    </w:p>
    <w:p w14:paraId="2D655BBB" w14:textId="77777777" w:rsidR="00210914" w:rsidRPr="00210914" w:rsidRDefault="00210914" w:rsidP="00210914">
      <w:pPr>
        <w:widowControl w:val="0"/>
        <w:spacing w:after="0" w:line="240" w:lineRule="auto"/>
        <w:ind w:left="850" w:hanging="850"/>
        <w:jc w:val="both"/>
        <w:rPr>
          <w:rFonts w:ascii="Times New Roman" w:eastAsia="Times New Roman" w:hAnsi="Times New Roman" w:cs="Times New Roman"/>
          <w:color w:val="212121"/>
          <w:kern w:val="0"/>
          <w:lang w:val="es" w:eastAsia="es-ES"/>
          <w14:ligatures w14:val="none"/>
        </w:rPr>
      </w:pPr>
      <w:r w:rsidRPr="00210914">
        <w:rPr>
          <w:rFonts w:ascii="Times New Roman" w:eastAsia="Times New Roman" w:hAnsi="Times New Roman" w:cs="Times New Roman"/>
          <w:color w:val="212121"/>
          <w:kern w:val="0"/>
          <w:lang w:val="es" w:eastAsia="es-ES"/>
          <w14:ligatures w14:val="none"/>
        </w:rPr>
        <w:t xml:space="preserve">Brousseau, G. (2007). </w:t>
      </w:r>
      <w:r w:rsidRPr="00210914">
        <w:rPr>
          <w:rFonts w:ascii="Times New Roman" w:eastAsia="Times New Roman" w:hAnsi="Times New Roman" w:cs="Times New Roman"/>
          <w:i/>
          <w:iCs/>
          <w:color w:val="212121"/>
          <w:kern w:val="0"/>
          <w:lang w:val="es" w:eastAsia="es-ES"/>
          <w14:ligatures w14:val="none"/>
        </w:rPr>
        <w:t xml:space="preserve">Iniciación al estudio de la teoría de las situaciones didácticas. </w:t>
      </w:r>
      <w:r w:rsidRPr="00210914">
        <w:rPr>
          <w:rFonts w:ascii="Times New Roman" w:eastAsia="Times New Roman" w:hAnsi="Times New Roman" w:cs="Times New Roman"/>
          <w:color w:val="212121"/>
          <w:kern w:val="0"/>
          <w:lang w:val="es" w:eastAsia="es-ES"/>
          <w14:ligatures w14:val="none"/>
        </w:rPr>
        <w:t>Libros del Zorzal.</w:t>
      </w:r>
    </w:p>
    <w:p w14:paraId="247CDB85" w14:textId="77777777" w:rsidR="00210914" w:rsidRPr="00210914" w:rsidRDefault="00210914" w:rsidP="00210914">
      <w:pPr>
        <w:widowControl w:val="0"/>
        <w:spacing w:after="0" w:line="240" w:lineRule="auto"/>
        <w:ind w:left="850" w:hanging="850"/>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Caballero, K., y Bolívar, A. (2015). El profesorado universitario como docente: hacia una identidad profesional que integre docencia e investigación. </w:t>
      </w:r>
      <w:r w:rsidRPr="00210914">
        <w:rPr>
          <w:rFonts w:ascii="Times New Roman" w:eastAsia="Times New Roman" w:hAnsi="Times New Roman" w:cs="Times New Roman"/>
          <w:i/>
          <w:iCs/>
          <w:kern w:val="0"/>
          <w:lang w:val="es" w:eastAsia="es-ES"/>
          <w14:ligatures w14:val="none"/>
        </w:rPr>
        <w:t>REDU. Revista de Docencia Universitaria</w:t>
      </w:r>
      <w:r w:rsidRPr="00210914">
        <w:rPr>
          <w:rFonts w:ascii="Times New Roman" w:eastAsia="Times New Roman" w:hAnsi="Times New Roman" w:cs="Times New Roman"/>
          <w:kern w:val="0"/>
          <w:lang w:val="es" w:eastAsia="es-ES"/>
          <w14:ligatures w14:val="none"/>
        </w:rPr>
        <w:t>, 13(1), 57-77.</w:t>
      </w:r>
    </w:p>
    <w:p w14:paraId="64FE34D6" w14:textId="77777777" w:rsidR="00210914" w:rsidRPr="00210914" w:rsidRDefault="00210914" w:rsidP="00210914">
      <w:pPr>
        <w:widowControl w:val="0"/>
        <w:spacing w:after="0" w:line="240" w:lineRule="auto"/>
        <w:ind w:left="850" w:hanging="850"/>
        <w:jc w:val="both"/>
        <w:rPr>
          <w:rFonts w:ascii="Times New Roman" w:eastAsia="Times New Roman" w:hAnsi="Times New Roman" w:cs="Times New Roman"/>
          <w:color w:val="1154CC"/>
          <w:kern w:val="0"/>
          <w:highlight w:val="green"/>
          <w:u w:val="single"/>
          <w:lang w:val="es" w:eastAsia="es-ES"/>
          <w14:ligatures w14:val="none"/>
        </w:rPr>
      </w:pPr>
      <w:r w:rsidRPr="00210914">
        <w:rPr>
          <w:rFonts w:ascii="Times New Roman" w:eastAsia="Times New Roman" w:hAnsi="Times New Roman" w:cs="Times New Roman"/>
          <w:color w:val="212121"/>
          <w:kern w:val="0"/>
          <w:lang w:val="es" w:eastAsia="es-ES"/>
          <w14:ligatures w14:val="none"/>
        </w:rPr>
        <w:t xml:space="preserve">Chevallard, Y. (2005/1994). </w:t>
      </w:r>
      <w:r w:rsidRPr="00210914">
        <w:rPr>
          <w:rFonts w:ascii="Times New Roman" w:eastAsia="Times New Roman" w:hAnsi="Times New Roman" w:cs="Times New Roman"/>
          <w:i/>
          <w:iCs/>
          <w:color w:val="212121"/>
          <w:kern w:val="0"/>
          <w:lang w:val="es" w:eastAsia="es-ES"/>
          <w14:ligatures w14:val="none"/>
        </w:rPr>
        <w:t xml:space="preserve">La transposición didáctica. Del saber sabio al saber enseñado. </w:t>
      </w:r>
      <w:proofErr w:type="spellStart"/>
      <w:r w:rsidRPr="00210914">
        <w:rPr>
          <w:rFonts w:ascii="Times New Roman" w:eastAsia="Times New Roman" w:hAnsi="Times New Roman" w:cs="Times New Roman"/>
          <w:color w:val="212121"/>
          <w:kern w:val="0"/>
          <w:lang w:val="es" w:eastAsia="es-ES"/>
          <w14:ligatures w14:val="none"/>
        </w:rPr>
        <w:t>Aique</w:t>
      </w:r>
      <w:proofErr w:type="spellEnd"/>
      <w:r w:rsidRPr="00210914">
        <w:rPr>
          <w:rFonts w:ascii="Times New Roman" w:eastAsia="Times New Roman" w:hAnsi="Times New Roman" w:cs="Times New Roman"/>
          <w:color w:val="212121"/>
          <w:kern w:val="0"/>
          <w:lang w:val="es" w:eastAsia="es-ES"/>
          <w14:ligatures w14:val="none"/>
        </w:rPr>
        <w:t>.</w:t>
      </w:r>
    </w:p>
    <w:p w14:paraId="073DE670" w14:textId="77777777" w:rsidR="00210914" w:rsidRPr="00210914" w:rsidRDefault="00210914" w:rsidP="00210914">
      <w:pPr>
        <w:widowControl w:val="0"/>
        <w:spacing w:after="0" w:line="240" w:lineRule="auto"/>
        <w:ind w:left="850" w:hanging="850"/>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Espinoza, A. (2021). Una reflexión sobre el trabajo colaborativo para la producción de conocimiento didáctico en Ciencias Naturales. J. A. Castorina y P. Sadovsky (Comps.). </w:t>
      </w:r>
      <w:r w:rsidRPr="00210914">
        <w:rPr>
          <w:rFonts w:ascii="Times New Roman" w:eastAsia="Times New Roman" w:hAnsi="Times New Roman" w:cs="Times New Roman"/>
          <w:i/>
          <w:iCs/>
          <w:kern w:val="0"/>
          <w:lang w:val="es" w:eastAsia="es-ES"/>
          <w14:ligatures w14:val="none"/>
        </w:rPr>
        <w:t xml:space="preserve">El significado de los conocimientos en los procesos de enseñanza y aprendizaje </w:t>
      </w:r>
      <w:r w:rsidRPr="00210914">
        <w:rPr>
          <w:rFonts w:ascii="Times New Roman" w:eastAsia="Times New Roman" w:hAnsi="Times New Roman" w:cs="Times New Roman"/>
          <w:kern w:val="0"/>
          <w:lang w:val="es" w:eastAsia="es-ES"/>
          <w14:ligatures w14:val="none"/>
        </w:rPr>
        <w:t xml:space="preserve">(pp. 119-139). Buenos Aires: </w:t>
      </w:r>
      <w:proofErr w:type="spellStart"/>
      <w:r w:rsidRPr="00210914">
        <w:rPr>
          <w:rFonts w:ascii="Times New Roman" w:eastAsia="Times New Roman" w:hAnsi="Times New Roman" w:cs="Times New Roman"/>
          <w:kern w:val="0"/>
          <w:lang w:val="es" w:eastAsia="es-ES"/>
          <w14:ligatures w14:val="none"/>
        </w:rPr>
        <w:t>Unipe</w:t>
      </w:r>
      <w:proofErr w:type="spellEnd"/>
      <w:r w:rsidRPr="00210914">
        <w:rPr>
          <w:rFonts w:ascii="Times New Roman" w:eastAsia="Times New Roman" w:hAnsi="Times New Roman" w:cs="Times New Roman"/>
          <w:kern w:val="0"/>
          <w:lang w:val="es" w:eastAsia="es-ES"/>
          <w14:ligatures w14:val="none"/>
        </w:rPr>
        <w:t xml:space="preserve"> Editorial Universitaria.</w:t>
      </w:r>
    </w:p>
    <w:p w14:paraId="6CBE115B" w14:textId="77777777" w:rsidR="00210914" w:rsidRPr="00210914" w:rsidRDefault="00210914" w:rsidP="00210914">
      <w:pPr>
        <w:widowControl w:val="0"/>
        <w:spacing w:after="0" w:line="240" w:lineRule="auto"/>
        <w:ind w:left="850" w:hanging="850"/>
        <w:jc w:val="both"/>
        <w:rPr>
          <w:rFonts w:ascii="Times New Roman" w:eastAsia="Times New Roman" w:hAnsi="Times New Roman" w:cs="Times New Roman"/>
          <w:kern w:val="0"/>
          <w:highlight w:val="green"/>
          <w:lang w:val="es" w:eastAsia="es-ES"/>
          <w14:ligatures w14:val="none"/>
        </w:rPr>
      </w:pPr>
      <w:r w:rsidRPr="00210914">
        <w:rPr>
          <w:rFonts w:ascii="Times New Roman" w:eastAsia="Times New Roman" w:hAnsi="Times New Roman" w:cs="Times New Roman"/>
          <w:kern w:val="0"/>
          <w:lang w:val="es" w:eastAsia="es-ES"/>
          <w14:ligatures w14:val="none"/>
        </w:rPr>
        <w:t>Espinoza, A., Acevedo, C. y Casamajor, A. (2020, septiembre). La lectura en el primer ciclo de la escuela primaria: el caso de la nutrición humana. Confluencia de saberes, (100-124).</w:t>
      </w:r>
      <w:hyperlink r:id="rId7">
        <w:r w:rsidRPr="00210914">
          <w:rPr>
            <w:rFonts w:ascii="Times New Roman" w:eastAsia="Times New Roman" w:hAnsi="Times New Roman" w:cs="Times New Roman"/>
            <w:kern w:val="0"/>
            <w:lang w:val="es" w:eastAsia="es-ES"/>
            <w14:ligatures w14:val="none"/>
          </w:rPr>
          <w:t xml:space="preserve"> </w:t>
        </w:r>
      </w:hyperlink>
      <w:hyperlink r:id="rId8">
        <w:r w:rsidRPr="00210914">
          <w:rPr>
            <w:rFonts w:ascii="Times New Roman" w:eastAsia="Times New Roman" w:hAnsi="Times New Roman" w:cs="Times New Roman"/>
            <w:color w:val="1154CC"/>
            <w:kern w:val="0"/>
            <w:u w:val="single"/>
            <w:lang w:val="es" w:eastAsia="es-ES"/>
            <w14:ligatures w14:val="none"/>
          </w:rPr>
          <w:t>http://revele.uncoma.edu.ar/htdoc/revele/index.php/confluenciadesaberes/article/view/2</w:t>
        </w:r>
      </w:hyperlink>
      <w:hyperlink r:id="rId9">
        <w:r w:rsidRPr="00210914">
          <w:rPr>
            <w:rFonts w:ascii="Times New Roman" w:eastAsia="Times New Roman" w:hAnsi="Times New Roman" w:cs="Times New Roman"/>
            <w:color w:val="1154CC"/>
            <w:kern w:val="0"/>
            <w:lang w:val="es" w:eastAsia="es-ES"/>
            <w14:ligatures w14:val="none"/>
          </w:rPr>
          <w:t xml:space="preserve"> </w:t>
        </w:r>
      </w:hyperlink>
      <w:hyperlink r:id="rId10">
        <w:r w:rsidRPr="00210914">
          <w:rPr>
            <w:rFonts w:ascii="Times New Roman" w:eastAsia="Times New Roman" w:hAnsi="Times New Roman" w:cs="Times New Roman"/>
            <w:color w:val="1154CC"/>
            <w:kern w:val="0"/>
            <w:u w:val="single"/>
            <w:lang w:val="es" w:eastAsia="es-ES"/>
            <w14:ligatures w14:val="none"/>
          </w:rPr>
          <w:t>795</w:t>
        </w:r>
      </w:hyperlink>
    </w:p>
    <w:p w14:paraId="52ACB283" w14:textId="77777777" w:rsidR="00210914" w:rsidRPr="00210914" w:rsidRDefault="00210914" w:rsidP="00210914">
      <w:pPr>
        <w:widowControl w:val="0"/>
        <w:spacing w:after="0" w:line="240" w:lineRule="auto"/>
        <w:ind w:left="850" w:hanging="850"/>
        <w:jc w:val="both"/>
        <w:rPr>
          <w:rFonts w:ascii="Times New Roman" w:eastAsia="Times New Roman" w:hAnsi="Times New Roman" w:cs="Times New Roman"/>
          <w:color w:val="1154CC"/>
          <w:kern w:val="0"/>
          <w:u w:val="single"/>
          <w:lang w:val="es" w:eastAsia="es-ES"/>
          <w14:ligatures w14:val="none"/>
        </w:rPr>
      </w:pPr>
      <w:r w:rsidRPr="00210914">
        <w:rPr>
          <w:rFonts w:ascii="Times New Roman" w:eastAsia="Times New Roman" w:hAnsi="Times New Roman" w:cs="Times New Roman"/>
          <w:kern w:val="0"/>
          <w:lang w:val="es" w:eastAsia="es-ES"/>
          <w14:ligatures w14:val="none"/>
        </w:rPr>
        <w:t xml:space="preserve">Espinoza, A., Casamajor, A.  y Acevedo, C. (2025) Continuidades y rupturas entre la Ingeniería Didáctica y el trabajo colaborativo. Una investigación sobre la enseñanza de la lectura y la escritura en </w:t>
      </w:r>
      <w:r w:rsidRPr="00210914">
        <w:rPr>
          <w:rFonts w:ascii="Times New Roman" w:eastAsia="Times New Roman" w:hAnsi="Times New Roman" w:cs="Times New Roman"/>
          <w:i/>
          <w:iCs/>
          <w:kern w:val="0"/>
          <w:lang w:val="es" w:eastAsia="es-ES"/>
          <w14:ligatures w14:val="none"/>
        </w:rPr>
        <w:t>Ciencias Naturales en Revista Argentina de Investigación Educativa</w:t>
      </w:r>
      <w:r w:rsidRPr="00210914">
        <w:rPr>
          <w:rFonts w:ascii="Times New Roman" w:eastAsia="Times New Roman" w:hAnsi="Times New Roman" w:cs="Times New Roman"/>
          <w:kern w:val="0"/>
          <w:lang w:val="es" w:eastAsia="es-ES"/>
          <w14:ligatures w14:val="none"/>
        </w:rPr>
        <w:t xml:space="preserve"> Vol V. N° 10, diciembre de </w:t>
      </w:r>
      <w:proofErr w:type="gramStart"/>
      <w:r w:rsidRPr="00210914">
        <w:rPr>
          <w:rFonts w:ascii="Times New Roman" w:eastAsia="Times New Roman" w:hAnsi="Times New Roman" w:cs="Times New Roman"/>
          <w:kern w:val="0"/>
          <w:lang w:val="es" w:eastAsia="es-ES"/>
          <w14:ligatures w14:val="none"/>
        </w:rPr>
        <w:t>2025 ,</w:t>
      </w:r>
      <w:proofErr w:type="gramEnd"/>
      <w:r w:rsidRPr="00210914">
        <w:rPr>
          <w:rFonts w:ascii="Times New Roman" w:eastAsia="Times New Roman" w:hAnsi="Times New Roman" w:cs="Times New Roman"/>
          <w:kern w:val="0"/>
          <w:lang w:val="es" w:eastAsia="es-ES"/>
          <w14:ligatures w14:val="none"/>
        </w:rPr>
        <w:t xml:space="preserve"> pp.143-162.</w:t>
      </w:r>
    </w:p>
    <w:p w14:paraId="46493F81" w14:textId="77777777" w:rsidR="00210914" w:rsidRPr="00210914" w:rsidRDefault="00210914" w:rsidP="00210914">
      <w:pPr>
        <w:widowControl w:val="0"/>
        <w:spacing w:after="0" w:line="240" w:lineRule="auto"/>
        <w:ind w:left="850" w:hanging="850"/>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Fullan, M. (Ed.). (2014). </w:t>
      </w:r>
      <w:r w:rsidRPr="00210914">
        <w:rPr>
          <w:rFonts w:ascii="Times New Roman" w:eastAsia="Times New Roman" w:hAnsi="Times New Roman" w:cs="Times New Roman"/>
          <w:i/>
          <w:iCs/>
          <w:kern w:val="0"/>
          <w:lang w:val="es" w:eastAsia="es-ES"/>
          <w14:ligatures w14:val="none"/>
        </w:rPr>
        <w:t xml:space="preserve">Teacher development and educational </w:t>
      </w:r>
      <w:proofErr w:type="spellStart"/>
      <w:r w:rsidRPr="00210914">
        <w:rPr>
          <w:rFonts w:ascii="Times New Roman" w:eastAsia="Times New Roman" w:hAnsi="Times New Roman" w:cs="Times New Roman"/>
          <w:i/>
          <w:iCs/>
          <w:kern w:val="0"/>
          <w:lang w:val="es" w:eastAsia="es-ES"/>
          <w14:ligatures w14:val="none"/>
        </w:rPr>
        <w:t>change</w:t>
      </w:r>
      <w:proofErr w:type="spellEnd"/>
      <w:r w:rsidRPr="00210914">
        <w:rPr>
          <w:rFonts w:ascii="Times New Roman" w:eastAsia="Times New Roman" w:hAnsi="Times New Roman" w:cs="Times New Roman"/>
          <w:kern w:val="0"/>
          <w:lang w:val="es" w:eastAsia="es-ES"/>
          <w14:ligatures w14:val="none"/>
        </w:rPr>
        <w:t>. Routledge.</w:t>
      </w:r>
    </w:p>
    <w:p w14:paraId="031611A2" w14:textId="77777777" w:rsidR="00210914" w:rsidRPr="00210914" w:rsidRDefault="00210914" w:rsidP="00210914">
      <w:pPr>
        <w:widowControl w:val="0"/>
        <w:spacing w:after="0" w:line="240" w:lineRule="auto"/>
        <w:ind w:left="850" w:hanging="850"/>
        <w:jc w:val="both"/>
        <w:rPr>
          <w:rFonts w:ascii="Times New Roman" w:eastAsia="Times New Roman" w:hAnsi="Times New Roman" w:cs="Times New Roman"/>
          <w:kern w:val="0"/>
          <w:highlight w:val="green"/>
          <w:lang w:val="es" w:eastAsia="es-ES"/>
          <w14:ligatures w14:val="none"/>
        </w:rPr>
      </w:pPr>
      <w:r w:rsidRPr="00210914">
        <w:rPr>
          <w:rFonts w:ascii="Times New Roman" w:eastAsia="Times New Roman" w:hAnsi="Times New Roman" w:cs="Times New Roman"/>
          <w:kern w:val="0"/>
          <w:lang w:val="es" w:eastAsia="es-ES"/>
          <w14:ligatures w14:val="none"/>
        </w:rPr>
        <w:lastRenderedPageBreak/>
        <w:t xml:space="preserve">Fullan, M. G. (1993). Why </w:t>
      </w:r>
      <w:proofErr w:type="spellStart"/>
      <w:r w:rsidRPr="00210914">
        <w:rPr>
          <w:rFonts w:ascii="Times New Roman" w:eastAsia="Times New Roman" w:hAnsi="Times New Roman" w:cs="Times New Roman"/>
          <w:kern w:val="0"/>
          <w:lang w:val="es" w:eastAsia="es-ES"/>
          <w14:ligatures w14:val="none"/>
        </w:rPr>
        <w:t>teachers</w:t>
      </w:r>
      <w:proofErr w:type="spellEnd"/>
      <w:r w:rsidRPr="00210914">
        <w:rPr>
          <w:rFonts w:ascii="Times New Roman" w:eastAsia="Times New Roman" w:hAnsi="Times New Roman" w:cs="Times New Roman"/>
          <w:kern w:val="0"/>
          <w:lang w:val="es" w:eastAsia="es-ES"/>
          <w14:ligatures w14:val="none"/>
        </w:rPr>
        <w:t xml:space="preserve"> </w:t>
      </w:r>
      <w:proofErr w:type="spellStart"/>
      <w:r w:rsidRPr="00210914">
        <w:rPr>
          <w:rFonts w:ascii="Times New Roman" w:eastAsia="Times New Roman" w:hAnsi="Times New Roman" w:cs="Times New Roman"/>
          <w:kern w:val="0"/>
          <w:lang w:val="es" w:eastAsia="es-ES"/>
          <w14:ligatures w14:val="none"/>
        </w:rPr>
        <w:t>must</w:t>
      </w:r>
      <w:proofErr w:type="spellEnd"/>
      <w:r w:rsidRPr="00210914">
        <w:rPr>
          <w:rFonts w:ascii="Times New Roman" w:eastAsia="Times New Roman" w:hAnsi="Times New Roman" w:cs="Times New Roman"/>
          <w:kern w:val="0"/>
          <w:lang w:val="es" w:eastAsia="es-ES"/>
          <w14:ligatures w14:val="none"/>
        </w:rPr>
        <w:t xml:space="preserve"> </w:t>
      </w:r>
      <w:proofErr w:type="spellStart"/>
      <w:r w:rsidRPr="00210914">
        <w:rPr>
          <w:rFonts w:ascii="Times New Roman" w:eastAsia="Times New Roman" w:hAnsi="Times New Roman" w:cs="Times New Roman"/>
          <w:kern w:val="0"/>
          <w:lang w:val="es" w:eastAsia="es-ES"/>
          <w14:ligatures w14:val="none"/>
        </w:rPr>
        <w:t>become</w:t>
      </w:r>
      <w:proofErr w:type="spellEnd"/>
      <w:r w:rsidRPr="00210914">
        <w:rPr>
          <w:rFonts w:ascii="Times New Roman" w:eastAsia="Times New Roman" w:hAnsi="Times New Roman" w:cs="Times New Roman"/>
          <w:kern w:val="0"/>
          <w:lang w:val="es" w:eastAsia="es-ES"/>
          <w14:ligatures w14:val="none"/>
        </w:rPr>
        <w:t xml:space="preserve"> </w:t>
      </w:r>
      <w:proofErr w:type="spellStart"/>
      <w:r w:rsidRPr="00210914">
        <w:rPr>
          <w:rFonts w:ascii="Times New Roman" w:eastAsia="Times New Roman" w:hAnsi="Times New Roman" w:cs="Times New Roman"/>
          <w:kern w:val="0"/>
          <w:lang w:val="es" w:eastAsia="es-ES"/>
          <w14:ligatures w14:val="none"/>
        </w:rPr>
        <w:t>change</w:t>
      </w:r>
      <w:proofErr w:type="spellEnd"/>
      <w:r w:rsidRPr="00210914">
        <w:rPr>
          <w:rFonts w:ascii="Times New Roman" w:eastAsia="Times New Roman" w:hAnsi="Times New Roman" w:cs="Times New Roman"/>
          <w:kern w:val="0"/>
          <w:lang w:val="es" w:eastAsia="es-ES"/>
          <w14:ligatures w14:val="none"/>
        </w:rPr>
        <w:t xml:space="preserve"> </w:t>
      </w:r>
      <w:proofErr w:type="spellStart"/>
      <w:r w:rsidRPr="00210914">
        <w:rPr>
          <w:rFonts w:ascii="Times New Roman" w:eastAsia="Times New Roman" w:hAnsi="Times New Roman" w:cs="Times New Roman"/>
          <w:kern w:val="0"/>
          <w:lang w:val="es" w:eastAsia="es-ES"/>
          <w14:ligatures w14:val="none"/>
        </w:rPr>
        <w:t>agents</w:t>
      </w:r>
      <w:proofErr w:type="spellEnd"/>
      <w:r w:rsidRPr="00210914">
        <w:rPr>
          <w:rFonts w:ascii="Times New Roman" w:eastAsia="Times New Roman" w:hAnsi="Times New Roman" w:cs="Times New Roman"/>
          <w:kern w:val="0"/>
          <w:lang w:val="es" w:eastAsia="es-ES"/>
          <w14:ligatures w14:val="none"/>
        </w:rPr>
        <w:t>. E</w:t>
      </w:r>
      <w:r w:rsidRPr="00210914">
        <w:rPr>
          <w:rFonts w:ascii="Times New Roman" w:eastAsia="Times New Roman" w:hAnsi="Times New Roman" w:cs="Times New Roman"/>
          <w:i/>
          <w:iCs/>
          <w:kern w:val="0"/>
          <w:lang w:val="es" w:eastAsia="es-ES"/>
          <w14:ligatures w14:val="none"/>
        </w:rPr>
        <w:t xml:space="preserve">ducational </w:t>
      </w:r>
      <w:proofErr w:type="spellStart"/>
      <w:r w:rsidRPr="00210914">
        <w:rPr>
          <w:rFonts w:ascii="Times New Roman" w:eastAsia="Times New Roman" w:hAnsi="Times New Roman" w:cs="Times New Roman"/>
          <w:i/>
          <w:iCs/>
          <w:kern w:val="0"/>
          <w:lang w:val="es" w:eastAsia="es-ES"/>
          <w14:ligatures w14:val="none"/>
        </w:rPr>
        <w:t>leadership</w:t>
      </w:r>
      <w:proofErr w:type="spellEnd"/>
      <w:r w:rsidRPr="00210914">
        <w:rPr>
          <w:rFonts w:ascii="Times New Roman" w:eastAsia="Times New Roman" w:hAnsi="Times New Roman" w:cs="Times New Roman"/>
          <w:kern w:val="0"/>
          <w:lang w:val="es" w:eastAsia="es-ES"/>
          <w14:ligatures w14:val="none"/>
        </w:rPr>
        <w:t>, 50, 12-12.</w:t>
      </w:r>
    </w:p>
    <w:p w14:paraId="00AF1832" w14:textId="77777777" w:rsidR="00210914" w:rsidRPr="00210914" w:rsidRDefault="00210914" w:rsidP="00210914">
      <w:pPr>
        <w:widowControl w:val="0"/>
        <w:spacing w:after="0" w:line="240" w:lineRule="auto"/>
        <w:ind w:left="850" w:hanging="850"/>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Joffredo-Le Brun, S., Morellato, M., Sensevy, G. y Quilio, S. (2018). Cooperative engineering as a joint action. </w:t>
      </w:r>
      <w:proofErr w:type="spellStart"/>
      <w:r w:rsidRPr="00210914">
        <w:rPr>
          <w:rFonts w:ascii="Times New Roman" w:eastAsia="Times New Roman" w:hAnsi="Times New Roman" w:cs="Times New Roman"/>
          <w:i/>
          <w:iCs/>
          <w:kern w:val="0"/>
          <w:lang w:val="es" w:eastAsia="es-ES"/>
          <w14:ligatures w14:val="none"/>
        </w:rPr>
        <w:t>European</w:t>
      </w:r>
      <w:proofErr w:type="spellEnd"/>
      <w:r w:rsidRPr="00210914">
        <w:rPr>
          <w:rFonts w:ascii="Times New Roman" w:eastAsia="Times New Roman" w:hAnsi="Times New Roman" w:cs="Times New Roman"/>
          <w:i/>
          <w:iCs/>
          <w:kern w:val="0"/>
          <w:lang w:val="es" w:eastAsia="es-ES"/>
          <w14:ligatures w14:val="none"/>
        </w:rPr>
        <w:t xml:space="preserve"> Educational Research Journal</w:t>
      </w:r>
      <w:r w:rsidRPr="00210914">
        <w:rPr>
          <w:rFonts w:ascii="Times New Roman" w:eastAsia="Times New Roman" w:hAnsi="Times New Roman" w:cs="Times New Roman"/>
          <w:kern w:val="0"/>
          <w:lang w:val="es" w:eastAsia="es-ES"/>
          <w14:ligatures w14:val="none"/>
        </w:rPr>
        <w:t>, 17 (1) 188-208.</w:t>
      </w:r>
    </w:p>
    <w:p w14:paraId="583FED50" w14:textId="77777777" w:rsidR="00210914" w:rsidRPr="00210914" w:rsidRDefault="00210914" w:rsidP="00210914">
      <w:pPr>
        <w:widowControl w:val="0"/>
        <w:spacing w:after="0" w:line="240" w:lineRule="auto"/>
        <w:ind w:left="850" w:hanging="850"/>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Morales, G. Sensevy, G y Forest, D., (2017) </w:t>
      </w:r>
      <w:proofErr w:type="spellStart"/>
      <w:r w:rsidRPr="00210914">
        <w:rPr>
          <w:rFonts w:ascii="Times New Roman" w:eastAsia="Times New Roman" w:hAnsi="Times New Roman" w:cs="Times New Roman"/>
          <w:kern w:val="0"/>
          <w:lang w:val="es" w:eastAsia="es-ES"/>
          <w14:ligatures w14:val="none"/>
        </w:rPr>
        <w:t>About</w:t>
      </w:r>
      <w:proofErr w:type="spellEnd"/>
      <w:r w:rsidRPr="00210914">
        <w:rPr>
          <w:rFonts w:ascii="Times New Roman" w:eastAsia="Times New Roman" w:hAnsi="Times New Roman" w:cs="Times New Roman"/>
          <w:kern w:val="0"/>
          <w:lang w:val="es" w:eastAsia="es-ES"/>
          <w14:ligatures w14:val="none"/>
        </w:rPr>
        <w:t xml:space="preserve"> cooperative engineering: </w:t>
      </w:r>
      <w:proofErr w:type="spellStart"/>
      <w:r w:rsidRPr="00210914">
        <w:rPr>
          <w:rFonts w:ascii="Times New Roman" w:eastAsia="Times New Roman" w:hAnsi="Times New Roman" w:cs="Times New Roman"/>
          <w:kern w:val="0"/>
          <w:lang w:val="es" w:eastAsia="es-ES"/>
          <w14:ligatures w14:val="none"/>
        </w:rPr>
        <w:t>theory</w:t>
      </w:r>
      <w:proofErr w:type="spellEnd"/>
      <w:r w:rsidRPr="00210914">
        <w:rPr>
          <w:rFonts w:ascii="Times New Roman" w:eastAsia="Times New Roman" w:hAnsi="Times New Roman" w:cs="Times New Roman"/>
          <w:kern w:val="0"/>
          <w:lang w:val="es" w:eastAsia="es-ES"/>
          <w14:ligatures w14:val="none"/>
        </w:rPr>
        <w:t xml:space="preserve"> and </w:t>
      </w:r>
      <w:proofErr w:type="spellStart"/>
      <w:r w:rsidRPr="00210914">
        <w:rPr>
          <w:rFonts w:ascii="Times New Roman" w:eastAsia="Times New Roman" w:hAnsi="Times New Roman" w:cs="Times New Roman"/>
          <w:kern w:val="0"/>
          <w:lang w:val="es" w:eastAsia="es-ES"/>
          <w14:ligatures w14:val="none"/>
        </w:rPr>
        <w:t>emblematic</w:t>
      </w:r>
      <w:proofErr w:type="spellEnd"/>
      <w:r w:rsidRPr="00210914">
        <w:rPr>
          <w:rFonts w:ascii="Times New Roman" w:eastAsia="Times New Roman" w:hAnsi="Times New Roman" w:cs="Times New Roman"/>
          <w:kern w:val="0"/>
          <w:lang w:val="es" w:eastAsia="es-ES"/>
          <w14:ligatures w14:val="none"/>
        </w:rPr>
        <w:t xml:space="preserve"> </w:t>
      </w:r>
      <w:proofErr w:type="spellStart"/>
      <w:r w:rsidRPr="00210914">
        <w:rPr>
          <w:rFonts w:ascii="Times New Roman" w:eastAsia="Times New Roman" w:hAnsi="Times New Roman" w:cs="Times New Roman"/>
          <w:kern w:val="0"/>
          <w:lang w:val="es" w:eastAsia="es-ES"/>
          <w14:ligatures w14:val="none"/>
        </w:rPr>
        <w:t>examples</w:t>
      </w:r>
      <w:proofErr w:type="spellEnd"/>
      <w:r w:rsidRPr="00210914">
        <w:rPr>
          <w:rFonts w:ascii="Times New Roman" w:eastAsia="Times New Roman" w:hAnsi="Times New Roman" w:cs="Times New Roman"/>
          <w:kern w:val="0"/>
          <w:lang w:val="es" w:eastAsia="es-ES"/>
          <w14:ligatures w14:val="none"/>
        </w:rPr>
        <w:t xml:space="preserve">. </w:t>
      </w:r>
      <w:r w:rsidRPr="00210914">
        <w:rPr>
          <w:rFonts w:ascii="Times New Roman" w:eastAsia="Times New Roman" w:hAnsi="Times New Roman" w:cs="Times New Roman"/>
          <w:i/>
          <w:iCs/>
          <w:kern w:val="0"/>
          <w:lang w:val="es" w:eastAsia="es-ES"/>
          <w14:ligatures w14:val="none"/>
        </w:rPr>
        <w:t xml:space="preserve">Educational Action Research </w:t>
      </w:r>
      <w:r w:rsidRPr="00210914">
        <w:rPr>
          <w:rFonts w:ascii="Times New Roman" w:eastAsia="Times New Roman" w:hAnsi="Times New Roman" w:cs="Times New Roman"/>
          <w:kern w:val="0"/>
          <w:lang w:val="es" w:eastAsia="es-ES"/>
          <w14:ligatures w14:val="none"/>
        </w:rPr>
        <w:t>25(1), 128-139.</w:t>
      </w:r>
    </w:p>
    <w:p w14:paraId="277FFAE9" w14:textId="77777777" w:rsidR="00210914" w:rsidRPr="00210914" w:rsidRDefault="00210914" w:rsidP="00210914">
      <w:pPr>
        <w:widowControl w:val="0"/>
        <w:spacing w:after="0" w:line="240" w:lineRule="auto"/>
        <w:ind w:left="850" w:hanging="850"/>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Pérez Gómez, Á. I., Soto Gómez, E. y Serván Núñez, M. (2015). Lesson Studies: </w:t>
      </w:r>
      <w:proofErr w:type="spellStart"/>
      <w:r w:rsidRPr="00210914">
        <w:rPr>
          <w:rFonts w:ascii="Times New Roman" w:eastAsia="Times New Roman" w:hAnsi="Times New Roman" w:cs="Times New Roman"/>
          <w:kern w:val="0"/>
          <w:lang w:val="es" w:eastAsia="es-ES"/>
          <w14:ligatures w14:val="none"/>
        </w:rPr>
        <w:t>re-pensar</w:t>
      </w:r>
      <w:proofErr w:type="spellEnd"/>
      <w:r w:rsidRPr="00210914">
        <w:rPr>
          <w:rFonts w:ascii="Times New Roman" w:eastAsia="Times New Roman" w:hAnsi="Times New Roman" w:cs="Times New Roman"/>
          <w:kern w:val="0"/>
          <w:lang w:val="es" w:eastAsia="es-ES"/>
          <w14:ligatures w14:val="none"/>
        </w:rPr>
        <w:t xml:space="preserve"> y </w:t>
      </w:r>
      <w:proofErr w:type="spellStart"/>
      <w:r w:rsidRPr="00210914">
        <w:rPr>
          <w:rFonts w:ascii="Times New Roman" w:eastAsia="Times New Roman" w:hAnsi="Times New Roman" w:cs="Times New Roman"/>
          <w:kern w:val="0"/>
          <w:lang w:val="es" w:eastAsia="es-ES"/>
          <w14:ligatures w14:val="none"/>
        </w:rPr>
        <w:t>re-crear</w:t>
      </w:r>
      <w:proofErr w:type="spellEnd"/>
      <w:r w:rsidRPr="00210914">
        <w:rPr>
          <w:rFonts w:ascii="Times New Roman" w:eastAsia="Times New Roman" w:hAnsi="Times New Roman" w:cs="Times New Roman"/>
          <w:kern w:val="0"/>
          <w:lang w:val="es" w:eastAsia="es-ES"/>
          <w14:ligatures w14:val="none"/>
        </w:rPr>
        <w:t xml:space="preserve"> el conocimiento práctico en cooperación. </w:t>
      </w:r>
      <w:r w:rsidRPr="00210914">
        <w:rPr>
          <w:rFonts w:ascii="Times New Roman" w:eastAsia="Times New Roman" w:hAnsi="Times New Roman" w:cs="Times New Roman"/>
          <w:i/>
          <w:iCs/>
          <w:kern w:val="0"/>
          <w:lang w:val="es" w:eastAsia="es-ES"/>
          <w14:ligatures w14:val="none"/>
        </w:rPr>
        <w:t>Revista Interuniversitaria de Formación del Profesorado</w:t>
      </w:r>
      <w:r w:rsidRPr="00210914">
        <w:rPr>
          <w:rFonts w:ascii="Times New Roman" w:eastAsia="Times New Roman" w:hAnsi="Times New Roman" w:cs="Times New Roman"/>
          <w:kern w:val="0"/>
          <w:lang w:val="es" w:eastAsia="es-ES"/>
          <w14:ligatures w14:val="none"/>
        </w:rPr>
        <w:t>, 29 (3), 81-101.</w:t>
      </w:r>
    </w:p>
    <w:p w14:paraId="73C9961B" w14:textId="77777777" w:rsidR="00210914" w:rsidRPr="00210914" w:rsidRDefault="00210914" w:rsidP="00210914">
      <w:pPr>
        <w:widowControl w:val="0"/>
        <w:spacing w:after="0" w:line="240" w:lineRule="auto"/>
        <w:ind w:left="850" w:hanging="850"/>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Robert, A. (2003). De </w:t>
      </w:r>
      <w:proofErr w:type="spellStart"/>
      <w:r w:rsidRPr="00210914">
        <w:rPr>
          <w:rFonts w:ascii="Times New Roman" w:eastAsia="Times New Roman" w:hAnsi="Times New Roman" w:cs="Times New Roman"/>
          <w:kern w:val="0"/>
          <w:lang w:val="es" w:eastAsia="es-ES"/>
          <w14:ligatures w14:val="none"/>
        </w:rPr>
        <w:t>l'idéal</w:t>
      </w:r>
      <w:proofErr w:type="spellEnd"/>
      <w:r w:rsidRPr="00210914">
        <w:rPr>
          <w:rFonts w:ascii="Times New Roman" w:eastAsia="Times New Roman" w:hAnsi="Times New Roman" w:cs="Times New Roman"/>
          <w:kern w:val="0"/>
          <w:lang w:val="es" w:eastAsia="es-ES"/>
          <w14:ligatures w14:val="none"/>
        </w:rPr>
        <w:t xml:space="preserve"> </w:t>
      </w:r>
      <w:proofErr w:type="spellStart"/>
      <w:r w:rsidRPr="00210914">
        <w:rPr>
          <w:rFonts w:ascii="Times New Roman" w:eastAsia="Times New Roman" w:hAnsi="Times New Roman" w:cs="Times New Roman"/>
          <w:kern w:val="0"/>
          <w:lang w:val="es" w:eastAsia="es-ES"/>
          <w14:ligatures w14:val="none"/>
        </w:rPr>
        <w:t>didactiqueaux</w:t>
      </w:r>
      <w:proofErr w:type="spellEnd"/>
      <w:r w:rsidRPr="00210914">
        <w:rPr>
          <w:rFonts w:ascii="Times New Roman" w:eastAsia="Times New Roman" w:hAnsi="Times New Roman" w:cs="Times New Roman"/>
          <w:kern w:val="0"/>
          <w:lang w:val="es" w:eastAsia="es-ES"/>
          <w14:ligatures w14:val="none"/>
        </w:rPr>
        <w:t xml:space="preserve"> </w:t>
      </w:r>
      <w:proofErr w:type="spellStart"/>
      <w:r w:rsidRPr="00210914">
        <w:rPr>
          <w:rFonts w:ascii="Times New Roman" w:eastAsia="Times New Roman" w:hAnsi="Times New Roman" w:cs="Times New Roman"/>
          <w:kern w:val="0"/>
          <w:lang w:val="es" w:eastAsia="es-ES"/>
          <w14:ligatures w14:val="none"/>
        </w:rPr>
        <w:t>déroulements</w:t>
      </w:r>
      <w:proofErr w:type="spellEnd"/>
      <w:r w:rsidRPr="00210914">
        <w:rPr>
          <w:rFonts w:ascii="Times New Roman" w:eastAsia="Times New Roman" w:hAnsi="Times New Roman" w:cs="Times New Roman"/>
          <w:kern w:val="0"/>
          <w:lang w:val="es" w:eastAsia="es-ES"/>
          <w14:ligatures w14:val="none"/>
        </w:rPr>
        <w:t xml:space="preserve"> </w:t>
      </w:r>
      <w:proofErr w:type="spellStart"/>
      <w:r w:rsidRPr="00210914">
        <w:rPr>
          <w:rFonts w:ascii="Times New Roman" w:eastAsia="Times New Roman" w:hAnsi="Times New Roman" w:cs="Times New Roman"/>
          <w:kern w:val="0"/>
          <w:lang w:val="es" w:eastAsia="es-ES"/>
          <w14:ligatures w14:val="none"/>
        </w:rPr>
        <w:t>réels</w:t>
      </w:r>
      <w:proofErr w:type="spellEnd"/>
      <w:r w:rsidRPr="00210914">
        <w:rPr>
          <w:rFonts w:ascii="Times New Roman" w:eastAsia="Times New Roman" w:hAnsi="Times New Roman" w:cs="Times New Roman"/>
          <w:kern w:val="0"/>
          <w:lang w:val="es" w:eastAsia="es-ES"/>
          <w14:ligatures w14:val="none"/>
        </w:rPr>
        <w:t xml:space="preserve"> en </w:t>
      </w:r>
      <w:proofErr w:type="spellStart"/>
      <w:r w:rsidRPr="00210914">
        <w:rPr>
          <w:rFonts w:ascii="Times New Roman" w:eastAsia="Times New Roman" w:hAnsi="Times New Roman" w:cs="Times New Roman"/>
          <w:kern w:val="0"/>
          <w:lang w:val="es" w:eastAsia="es-ES"/>
          <w14:ligatures w14:val="none"/>
        </w:rPr>
        <w:t>classe</w:t>
      </w:r>
      <w:proofErr w:type="spellEnd"/>
      <w:r w:rsidRPr="00210914">
        <w:rPr>
          <w:rFonts w:ascii="Times New Roman" w:eastAsia="Times New Roman" w:hAnsi="Times New Roman" w:cs="Times New Roman"/>
          <w:kern w:val="0"/>
          <w:lang w:val="es" w:eastAsia="es-ES"/>
          <w14:ligatures w14:val="none"/>
        </w:rPr>
        <w:t xml:space="preserve"> de mathématiques: le </w:t>
      </w:r>
      <w:proofErr w:type="spellStart"/>
      <w:r w:rsidRPr="00210914">
        <w:rPr>
          <w:rFonts w:ascii="Times New Roman" w:eastAsia="Times New Roman" w:hAnsi="Times New Roman" w:cs="Times New Roman"/>
          <w:kern w:val="0"/>
          <w:lang w:val="es" w:eastAsia="es-ES"/>
          <w14:ligatures w14:val="none"/>
        </w:rPr>
        <w:t>didactiquement</w:t>
      </w:r>
      <w:proofErr w:type="spellEnd"/>
      <w:r w:rsidRPr="00210914">
        <w:rPr>
          <w:rFonts w:ascii="Times New Roman" w:eastAsia="Times New Roman" w:hAnsi="Times New Roman" w:cs="Times New Roman"/>
          <w:kern w:val="0"/>
          <w:lang w:val="es" w:eastAsia="es-ES"/>
          <w14:ligatures w14:val="none"/>
        </w:rPr>
        <w:t xml:space="preserve"> </w:t>
      </w:r>
      <w:proofErr w:type="spellStart"/>
      <w:r w:rsidRPr="00210914">
        <w:rPr>
          <w:rFonts w:ascii="Times New Roman" w:eastAsia="Times New Roman" w:hAnsi="Times New Roman" w:cs="Times New Roman"/>
          <w:kern w:val="0"/>
          <w:lang w:val="es" w:eastAsia="es-ES"/>
          <w14:ligatures w14:val="none"/>
        </w:rPr>
        <w:t>correct</w:t>
      </w:r>
      <w:proofErr w:type="spellEnd"/>
      <w:r w:rsidRPr="00210914">
        <w:rPr>
          <w:rFonts w:ascii="Times New Roman" w:eastAsia="Times New Roman" w:hAnsi="Times New Roman" w:cs="Times New Roman"/>
          <w:kern w:val="0"/>
          <w:lang w:val="es" w:eastAsia="es-ES"/>
          <w14:ligatures w14:val="none"/>
        </w:rPr>
        <w:t xml:space="preserve">, un </w:t>
      </w:r>
      <w:proofErr w:type="spellStart"/>
      <w:r w:rsidRPr="00210914">
        <w:rPr>
          <w:rFonts w:ascii="Times New Roman" w:eastAsia="Times New Roman" w:hAnsi="Times New Roman" w:cs="Times New Roman"/>
          <w:kern w:val="0"/>
          <w:lang w:val="es" w:eastAsia="es-ES"/>
          <w14:ligatures w14:val="none"/>
        </w:rPr>
        <w:t>enjeu</w:t>
      </w:r>
      <w:proofErr w:type="spellEnd"/>
      <w:r w:rsidRPr="00210914">
        <w:rPr>
          <w:rFonts w:ascii="Times New Roman" w:eastAsia="Times New Roman" w:hAnsi="Times New Roman" w:cs="Times New Roman"/>
          <w:kern w:val="0"/>
          <w:lang w:val="es" w:eastAsia="es-ES"/>
          <w14:ligatures w14:val="none"/>
        </w:rPr>
        <w:t xml:space="preserve"> de la formation des (</w:t>
      </w:r>
      <w:proofErr w:type="spellStart"/>
      <w:r w:rsidRPr="00210914">
        <w:rPr>
          <w:rFonts w:ascii="Times New Roman" w:eastAsia="Times New Roman" w:hAnsi="Times New Roman" w:cs="Times New Roman"/>
          <w:kern w:val="0"/>
          <w:lang w:val="es" w:eastAsia="es-ES"/>
          <w14:ligatures w14:val="none"/>
        </w:rPr>
        <w:t>futurs</w:t>
      </w:r>
      <w:proofErr w:type="spellEnd"/>
      <w:r w:rsidRPr="00210914">
        <w:rPr>
          <w:rFonts w:ascii="Times New Roman" w:eastAsia="Times New Roman" w:hAnsi="Times New Roman" w:cs="Times New Roman"/>
          <w:kern w:val="0"/>
          <w:lang w:val="es" w:eastAsia="es-ES"/>
          <w14:ligatures w14:val="none"/>
        </w:rPr>
        <w:t xml:space="preserve">) enseignants (en collègeet </w:t>
      </w:r>
      <w:proofErr w:type="spellStart"/>
      <w:r w:rsidRPr="00210914">
        <w:rPr>
          <w:rFonts w:ascii="Times New Roman" w:eastAsia="Times New Roman" w:hAnsi="Times New Roman" w:cs="Times New Roman"/>
          <w:kern w:val="0"/>
          <w:lang w:val="es" w:eastAsia="es-ES"/>
          <w14:ligatures w14:val="none"/>
        </w:rPr>
        <w:t>lycée</w:t>
      </w:r>
      <w:proofErr w:type="spellEnd"/>
      <w:r w:rsidRPr="00210914">
        <w:rPr>
          <w:rFonts w:ascii="Times New Roman" w:eastAsia="Times New Roman" w:hAnsi="Times New Roman" w:cs="Times New Roman"/>
          <w:kern w:val="0"/>
          <w:lang w:val="es" w:eastAsia="es-ES"/>
          <w14:ligatures w14:val="none"/>
        </w:rPr>
        <w:t xml:space="preserve">). </w:t>
      </w:r>
      <w:r w:rsidRPr="00210914">
        <w:rPr>
          <w:rFonts w:ascii="Times New Roman" w:eastAsia="Times New Roman" w:hAnsi="Times New Roman" w:cs="Times New Roman"/>
          <w:i/>
          <w:iCs/>
          <w:kern w:val="0"/>
          <w:lang w:val="es" w:eastAsia="es-ES"/>
          <w14:ligatures w14:val="none"/>
        </w:rPr>
        <w:t>Didaskalia</w:t>
      </w:r>
      <w:r w:rsidRPr="00210914">
        <w:rPr>
          <w:rFonts w:ascii="Times New Roman" w:eastAsia="Times New Roman" w:hAnsi="Times New Roman" w:cs="Times New Roman"/>
          <w:kern w:val="0"/>
          <w:lang w:val="es" w:eastAsia="es-ES"/>
          <w14:ligatures w14:val="none"/>
        </w:rPr>
        <w:t>, 22, 99-116.</w:t>
      </w:r>
    </w:p>
    <w:p w14:paraId="1790855E" w14:textId="77777777" w:rsidR="00210914" w:rsidRPr="00210914" w:rsidRDefault="00210914" w:rsidP="00210914">
      <w:pPr>
        <w:widowControl w:val="0"/>
        <w:pBdr>
          <w:top w:val="nil"/>
          <w:left w:val="nil"/>
          <w:bottom w:val="nil"/>
          <w:right w:val="nil"/>
          <w:between w:val="nil"/>
        </w:pBdr>
        <w:spacing w:after="0" w:line="240" w:lineRule="auto"/>
        <w:ind w:left="850" w:hanging="850"/>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Sadovsky, P., Quaranta, M. E., Itzcovich, H., Becerril, M. M. y García, P. (2015). La noción de relaciones</w:t>
      </w:r>
      <w:r w:rsidRPr="00210914">
        <w:rPr>
          <w:rFonts w:ascii="Times New Roman" w:eastAsia="Times New Roman" w:hAnsi="Times New Roman" w:cs="Times New Roman"/>
          <w:kern w:val="0"/>
          <w:lang w:val="es" w:eastAsia="es-ES"/>
          <w14:ligatures w14:val="none"/>
        </w:rPr>
        <w:tab/>
        <w:t>entre</w:t>
      </w:r>
      <w:r w:rsidRPr="00210914">
        <w:rPr>
          <w:rFonts w:ascii="Times New Roman" w:eastAsia="Times New Roman" w:hAnsi="Times New Roman" w:cs="Times New Roman"/>
          <w:kern w:val="0"/>
          <w:lang w:val="es" w:eastAsia="es-ES"/>
          <w14:ligatures w14:val="none"/>
        </w:rPr>
        <w:tab/>
        <w:t>cálculos y</w:t>
      </w:r>
      <w:r w:rsidRPr="00210914">
        <w:rPr>
          <w:rFonts w:ascii="Times New Roman" w:eastAsia="Times New Roman" w:hAnsi="Times New Roman" w:cs="Times New Roman"/>
          <w:kern w:val="0"/>
          <w:lang w:val="es" w:eastAsia="es-ES"/>
          <w14:ligatures w14:val="none"/>
        </w:rPr>
        <w:tab/>
        <w:t>la producción</w:t>
      </w:r>
      <w:r w:rsidRPr="00210914">
        <w:rPr>
          <w:rFonts w:ascii="Times New Roman" w:eastAsia="Times New Roman" w:hAnsi="Times New Roman" w:cs="Times New Roman"/>
          <w:kern w:val="0"/>
          <w:lang w:val="es" w:eastAsia="es-ES"/>
          <w14:ligatures w14:val="none"/>
        </w:rPr>
        <w:tab/>
        <w:t xml:space="preserve">de explicaciones en la clase de matemática como objetos de enseñanza. Su configuración en el marco de un trabajo colaborativo entre investigadores y docentes. </w:t>
      </w:r>
      <w:r w:rsidRPr="00210914">
        <w:rPr>
          <w:rFonts w:ascii="Times New Roman" w:eastAsia="Times New Roman" w:hAnsi="Times New Roman" w:cs="Times New Roman"/>
          <w:i/>
          <w:iCs/>
          <w:kern w:val="0"/>
          <w:lang w:val="es" w:eastAsia="es-ES"/>
          <w14:ligatures w14:val="none"/>
        </w:rPr>
        <w:t>Educación matemática</w:t>
      </w:r>
      <w:r w:rsidRPr="00210914">
        <w:rPr>
          <w:rFonts w:ascii="Times New Roman" w:eastAsia="Times New Roman" w:hAnsi="Times New Roman" w:cs="Times New Roman"/>
          <w:kern w:val="0"/>
          <w:lang w:val="es" w:eastAsia="es-ES"/>
          <w14:ligatures w14:val="none"/>
        </w:rPr>
        <w:t xml:space="preserve">, 27 (1), 7-36. </w:t>
      </w:r>
    </w:p>
    <w:p w14:paraId="1E592EDB" w14:textId="77777777" w:rsidR="00210914" w:rsidRPr="00210914" w:rsidRDefault="00210914" w:rsidP="00210914">
      <w:pPr>
        <w:widowControl w:val="0"/>
        <w:pBdr>
          <w:top w:val="nil"/>
          <w:left w:val="nil"/>
          <w:bottom w:val="nil"/>
          <w:right w:val="nil"/>
          <w:between w:val="nil"/>
        </w:pBdr>
        <w:spacing w:after="0" w:line="240" w:lineRule="auto"/>
        <w:ind w:left="850" w:hanging="850"/>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Sadovsky, P., Itzcovich, H., Quaranta, M.E.; Becerril, M.M. &amp; García, P. (2016). Tensiones y desafíos en la construcción de un trabajo colaborativo entre docentes e investigadores en didáctica de la matemática. </w:t>
      </w:r>
      <w:r w:rsidRPr="00210914">
        <w:rPr>
          <w:rFonts w:ascii="Times New Roman" w:eastAsia="Times New Roman" w:hAnsi="Times New Roman" w:cs="Times New Roman"/>
          <w:i/>
          <w:iCs/>
          <w:kern w:val="0"/>
          <w:lang w:val="es" w:eastAsia="es-ES"/>
          <w14:ligatures w14:val="none"/>
        </w:rPr>
        <w:t>Educación Matemática</w:t>
      </w:r>
      <w:r w:rsidRPr="00210914">
        <w:rPr>
          <w:rFonts w:ascii="Times New Roman" w:eastAsia="Times New Roman" w:hAnsi="Times New Roman" w:cs="Times New Roman"/>
          <w:kern w:val="0"/>
          <w:lang w:val="es" w:eastAsia="es-ES"/>
          <w14:ligatures w14:val="none"/>
        </w:rPr>
        <w:t>, 28 (3), 1-22.</w:t>
      </w:r>
    </w:p>
    <w:p w14:paraId="5E675AE1" w14:textId="77777777" w:rsidR="00210914" w:rsidRPr="00210914" w:rsidRDefault="00210914" w:rsidP="00210914">
      <w:pPr>
        <w:widowControl w:val="0"/>
        <w:spacing w:after="0" w:line="240" w:lineRule="auto"/>
        <w:ind w:left="850" w:hanging="850"/>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Savoie-Zajc, L., y Descamps-Bednarz, N. (2007). Action research and collaborative research: Their specific contributions to professional development. E</w:t>
      </w:r>
      <w:r w:rsidRPr="00210914">
        <w:rPr>
          <w:rFonts w:ascii="Times New Roman" w:eastAsia="Times New Roman" w:hAnsi="Times New Roman" w:cs="Times New Roman"/>
          <w:i/>
          <w:iCs/>
          <w:kern w:val="0"/>
          <w:lang w:val="es" w:eastAsia="es-ES"/>
          <w14:ligatures w14:val="none"/>
        </w:rPr>
        <w:t>ducational action research</w:t>
      </w:r>
      <w:r w:rsidRPr="00210914">
        <w:rPr>
          <w:rFonts w:ascii="Times New Roman" w:eastAsia="Times New Roman" w:hAnsi="Times New Roman" w:cs="Times New Roman"/>
          <w:kern w:val="0"/>
          <w:lang w:val="es" w:eastAsia="es-ES"/>
          <w14:ligatures w14:val="none"/>
        </w:rPr>
        <w:t>, 15(4), 577-596.</w:t>
      </w:r>
    </w:p>
    <w:p w14:paraId="3E1642FA" w14:textId="77777777" w:rsidR="00210914" w:rsidRPr="00210914" w:rsidRDefault="00210914" w:rsidP="00210914">
      <w:pPr>
        <w:widowControl w:val="0"/>
        <w:spacing w:after="0" w:line="240" w:lineRule="auto"/>
        <w:ind w:left="850" w:hanging="850"/>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Sensevy, G. (2011). </w:t>
      </w:r>
      <w:r w:rsidRPr="00210914">
        <w:rPr>
          <w:rFonts w:ascii="Times New Roman" w:eastAsia="Times New Roman" w:hAnsi="Times New Roman" w:cs="Times New Roman"/>
          <w:i/>
          <w:iCs/>
          <w:kern w:val="0"/>
          <w:lang w:val="es" w:eastAsia="es-ES"/>
          <w14:ligatures w14:val="none"/>
        </w:rPr>
        <w:t>Le sens du savoir</w:t>
      </w:r>
      <w:r w:rsidRPr="00210914">
        <w:rPr>
          <w:rFonts w:ascii="Times New Roman" w:eastAsia="Times New Roman" w:hAnsi="Times New Roman" w:cs="Times New Roman"/>
          <w:kern w:val="0"/>
          <w:lang w:val="es" w:eastAsia="es-ES"/>
          <w14:ligatures w14:val="none"/>
        </w:rPr>
        <w:t>. De Broek.</w:t>
      </w:r>
    </w:p>
    <w:p w14:paraId="77145778" w14:textId="77777777" w:rsidR="00210914" w:rsidRPr="00210914" w:rsidRDefault="00210914" w:rsidP="00210914">
      <w:pPr>
        <w:widowControl w:val="0"/>
        <w:spacing w:after="0" w:line="240" w:lineRule="auto"/>
        <w:ind w:left="850" w:hanging="850"/>
        <w:jc w:val="both"/>
        <w:rPr>
          <w:rFonts w:ascii="Times New Roman" w:eastAsia="Times New Roman" w:hAnsi="Times New Roman" w:cs="Times New Roman"/>
          <w:color w:val="333333"/>
          <w:kern w:val="0"/>
          <w:lang w:val="es" w:eastAsia="es-ES"/>
          <w14:ligatures w14:val="none"/>
        </w:rPr>
      </w:pPr>
      <w:r w:rsidRPr="00210914">
        <w:rPr>
          <w:rFonts w:ascii="Times New Roman" w:eastAsia="Times New Roman" w:hAnsi="Times New Roman" w:cs="Times New Roman"/>
          <w:color w:val="333333"/>
          <w:kern w:val="0"/>
          <w:lang w:val="es" w:eastAsia="es-ES"/>
          <w14:ligatures w14:val="none"/>
        </w:rPr>
        <w:t xml:space="preserve">Sensevy, G., Forest, D., Quilio, S., y Morales, G. (2013). Cooperative engineering as a specific design-based research. </w:t>
      </w:r>
      <w:r w:rsidRPr="00210914">
        <w:rPr>
          <w:rFonts w:ascii="Times New Roman" w:eastAsia="Times New Roman" w:hAnsi="Times New Roman" w:cs="Times New Roman"/>
          <w:i/>
          <w:iCs/>
          <w:color w:val="333333"/>
          <w:kern w:val="0"/>
          <w:lang w:val="es" w:eastAsia="es-ES"/>
          <w14:ligatures w14:val="none"/>
        </w:rPr>
        <w:t>ZDM, The International Journal on Mathematics Education, 45</w:t>
      </w:r>
      <w:r w:rsidRPr="00210914">
        <w:rPr>
          <w:rFonts w:ascii="Times New Roman" w:eastAsia="Times New Roman" w:hAnsi="Times New Roman" w:cs="Times New Roman"/>
          <w:color w:val="333333"/>
          <w:kern w:val="0"/>
          <w:lang w:val="es" w:eastAsia="es-ES"/>
          <w14:ligatures w14:val="none"/>
        </w:rPr>
        <w:t>(7), 1031–1043.</w:t>
      </w:r>
    </w:p>
    <w:p w14:paraId="626C90F3" w14:textId="77777777" w:rsidR="00210914" w:rsidRPr="00210914" w:rsidRDefault="00210914" w:rsidP="00210914">
      <w:pPr>
        <w:widowControl w:val="0"/>
        <w:spacing w:after="0" w:line="240" w:lineRule="auto"/>
        <w:ind w:left="850" w:hanging="850"/>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Serra, M. S. (2010). ¿Cuánto es una pizca de sal? Acerca del juego de la transmisión y las reglas de la pedagogía. En G. Frigerio y G. Diker comps), </w:t>
      </w:r>
      <w:r w:rsidRPr="00210914">
        <w:rPr>
          <w:rFonts w:ascii="Times New Roman" w:eastAsia="Times New Roman" w:hAnsi="Times New Roman" w:cs="Times New Roman"/>
          <w:i/>
          <w:iCs/>
          <w:kern w:val="0"/>
          <w:lang w:val="es" w:eastAsia="es-ES"/>
          <w14:ligatures w14:val="none"/>
        </w:rPr>
        <w:t>Educar: saberes alterados. Entre Ríos</w:t>
      </w:r>
      <w:r w:rsidRPr="00210914">
        <w:rPr>
          <w:rFonts w:ascii="Times New Roman" w:eastAsia="Times New Roman" w:hAnsi="Times New Roman" w:cs="Times New Roman"/>
          <w:kern w:val="0"/>
          <w:lang w:val="es" w:eastAsia="es-ES"/>
          <w14:ligatures w14:val="none"/>
        </w:rPr>
        <w:t>: La Hendija.</w:t>
      </w:r>
    </w:p>
    <w:p w14:paraId="7A01ABF1" w14:textId="77777777" w:rsidR="00210914" w:rsidRPr="00210914" w:rsidRDefault="00210914" w:rsidP="00210914">
      <w:pPr>
        <w:widowControl w:val="0"/>
        <w:spacing w:after="0" w:line="240" w:lineRule="auto"/>
        <w:ind w:left="850" w:hanging="850"/>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Stake, R. (1998</w:t>
      </w:r>
      <w:r w:rsidRPr="00210914">
        <w:rPr>
          <w:rFonts w:ascii="Times New Roman" w:eastAsia="Times New Roman" w:hAnsi="Times New Roman" w:cs="Times New Roman"/>
          <w:i/>
          <w:iCs/>
          <w:kern w:val="0"/>
          <w:lang w:val="es" w:eastAsia="es-ES"/>
          <w14:ligatures w14:val="none"/>
        </w:rPr>
        <w:t>). Investigación con estudio de casos</w:t>
      </w:r>
      <w:r w:rsidRPr="00210914">
        <w:rPr>
          <w:rFonts w:ascii="Times New Roman" w:eastAsia="Times New Roman" w:hAnsi="Times New Roman" w:cs="Times New Roman"/>
          <w:kern w:val="0"/>
          <w:lang w:val="es" w:eastAsia="es-ES"/>
          <w14:ligatures w14:val="none"/>
        </w:rPr>
        <w:t>. Morata.</w:t>
      </w:r>
    </w:p>
    <w:p w14:paraId="2D2E2B72" w14:textId="77777777" w:rsidR="00210914" w:rsidRPr="00210914" w:rsidRDefault="00210914" w:rsidP="00210914">
      <w:pPr>
        <w:widowControl w:val="0"/>
        <w:spacing w:after="0" w:line="240" w:lineRule="auto"/>
        <w:ind w:left="850" w:hanging="850"/>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Tardif, M. (2004). </w:t>
      </w:r>
      <w:r w:rsidRPr="00210914">
        <w:rPr>
          <w:rFonts w:ascii="Times New Roman" w:eastAsia="Times New Roman" w:hAnsi="Times New Roman" w:cs="Times New Roman"/>
          <w:i/>
          <w:iCs/>
          <w:kern w:val="0"/>
          <w:lang w:val="es" w:eastAsia="es-ES"/>
          <w14:ligatures w14:val="none"/>
        </w:rPr>
        <w:t>Los saberes del docente y su desarrollo profesional</w:t>
      </w:r>
      <w:r w:rsidRPr="00210914">
        <w:rPr>
          <w:rFonts w:ascii="Times New Roman" w:eastAsia="Times New Roman" w:hAnsi="Times New Roman" w:cs="Times New Roman"/>
          <w:kern w:val="0"/>
          <w:lang w:val="es" w:eastAsia="es-ES"/>
          <w14:ligatures w14:val="none"/>
        </w:rPr>
        <w:t>. Narcea Ediciones.</w:t>
      </w:r>
    </w:p>
    <w:p w14:paraId="5F4587A8" w14:textId="77777777" w:rsidR="00210914" w:rsidRPr="00210914" w:rsidRDefault="00210914" w:rsidP="00210914">
      <w:pPr>
        <w:widowControl w:val="0"/>
        <w:spacing w:after="0" w:line="240" w:lineRule="auto"/>
        <w:ind w:left="850" w:hanging="850"/>
        <w:jc w:val="both"/>
        <w:rPr>
          <w:rFonts w:ascii="Times New Roman" w:eastAsia="Times New Roman" w:hAnsi="Times New Roman" w:cs="Times New Roman"/>
          <w:kern w:val="0"/>
          <w:lang w:val="es" w:eastAsia="es-ES"/>
          <w14:ligatures w14:val="none"/>
        </w:rPr>
      </w:pPr>
      <w:r w:rsidRPr="00210914">
        <w:rPr>
          <w:rFonts w:ascii="Times New Roman" w:eastAsia="Times New Roman" w:hAnsi="Times New Roman" w:cs="Times New Roman"/>
          <w:kern w:val="0"/>
          <w:lang w:val="es" w:eastAsia="es-ES"/>
          <w14:ligatures w14:val="none"/>
        </w:rPr>
        <w:t xml:space="preserve">Terigi, F. (2012) </w:t>
      </w:r>
      <w:r w:rsidRPr="00210914">
        <w:rPr>
          <w:rFonts w:ascii="Times New Roman" w:eastAsia="Times New Roman" w:hAnsi="Times New Roman" w:cs="Times New Roman"/>
          <w:i/>
          <w:iCs/>
          <w:kern w:val="0"/>
          <w:lang w:val="es" w:eastAsia="es-ES"/>
          <w14:ligatures w14:val="none"/>
        </w:rPr>
        <w:t xml:space="preserve">Los saberes de los docentes: formación, elaboración en la experiencia e investigación. Documento básico. </w:t>
      </w:r>
      <w:r w:rsidRPr="00210914">
        <w:rPr>
          <w:rFonts w:ascii="Times New Roman" w:eastAsia="Times New Roman" w:hAnsi="Times New Roman" w:cs="Times New Roman"/>
          <w:kern w:val="0"/>
          <w:lang w:val="es" w:eastAsia="es-ES"/>
          <w14:ligatures w14:val="none"/>
        </w:rPr>
        <w:t>Santillana.</w:t>
      </w:r>
    </w:p>
    <w:p w14:paraId="097230AB" w14:textId="77777777" w:rsidR="00210914" w:rsidRPr="00210914" w:rsidRDefault="00210914" w:rsidP="00210914">
      <w:pPr>
        <w:widowControl w:val="0"/>
        <w:spacing w:after="0" w:line="240" w:lineRule="auto"/>
        <w:ind w:left="850" w:hanging="850"/>
        <w:jc w:val="both"/>
        <w:rPr>
          <w:rFonts w:ascii="Times New Roman" w:eastAsia="Times New Roman" w:hAnsi="Times New Roman" w:cs="Times New Roman"/>
          <w:color w:val="212121"/>
          <w:kern w:val="0"/>
          <w:lang w:val="es" w:eastAsia="es-ES"/>
          <w14:ligatures w14:val="none"/>
        </w:rPr>
      </w:pPr>
      <w:r w:rsidRPr="00210914">
        <w:rPr>
          <w:rFonts w:ascii="Times New Roman" w:eastAsia="Times New Roman" w:hAnsi="Times New Roman" w:cs="Times New Roman"/>
          <w:color w:val="212121"/>
          <w:kern w:val="0"/>
          <w:lang w:val="es" w:eastAsia="es-ES"/>
          <w14:ligatures w14:val="none"/>
        </w:rPr>
        <w:t xml:space="preserve">Zeichner, K. M. (1998). Para além da divisão entre professor-pesquisador e pesquisador acadêmico. </w:t>
      </w:r>
      <w:r w:rsidRPr="00210914">
        <w:rPr>
          <w:rFonts w:ascii="Times New Roman" w:eastAsia="Times New Roman" w:hAnsi="Times New Roman" w:cs="Times New Roman"/>
          <w:i/>
          <w:iCs/>
          <w:color w:val="212121"/>
          <w:kern w:val="0"/>
          <w:lang w:val="es" w:eastAsia="es-ES"/>
          <w14:ligatures w14:val="none"/>
        </w:rPr>
        <w:t>Cartografias do trabalho docente. Campinas: Mercado de Letras</w:t>
      </w:r>
      <w:r w:rsidRPr="00210914">
        <w:rPr>
          <w:rFonts w:ascii="Times New Roman" w:eastAsia="Times New Roman" w:hAnsi="Times New Roman" w:cs="Times New Roman"/>
          <w:color w:val="212121"/>
          <w:kern w:val="0"/>
          <w:lang w:val="es" w:eastAsia="es-ES"/>
          <w14:ligatures w14:val="none"/>
        </w:rPr>
        <w:t>, 207-236.</w:t>
      </w:r>
    </w:p>
    <w:p w14:paraId="7CC1D487" w14:textId="77777777" w:rsidR="00210914" w:rsidRPr="00210914" w:rsidRDefault="00210914" w:rsidP="00210914">
      <w:pPr>
        <w:widowControl w:val="0"/>
        <w:spacing w:after="0" w:line="240" w:lineRule="auto"/>
        <w:ind w:left="850" w:hanging="850"/>
        <w:jc w:val="both"/>
        <w:rPr>
          <w:rFonts w:ascii="Arial" w:eastAsia="Arial" w:hAnsi="Arial" w:cs="Arial"/>
          <w:kern w:val="0"/>
          <w:sz w:val="22"/>
          <w:szCs w:val="22"/>
          <w:lang w:val="es" w:eastAsia="es-ES"/>
          <w14:ligatures w14:val="none"/>
        </w:rPr>
      </w:pPr>
    </w:p>
    <w:p w14:paraId="33033907" w14:textId="77777777" w:rsidR="00210914" w:rsidRPr="00210914" w:rsidRDefault="00210914" w:rsidP="00210914">
      <w:pPr>
        <w:widowControl w:val="0"/>
        <w:spacing w:after="0" w:line="240" w:lineRule="auto"/>
        <w:ind w:right="137"/>
        <w:jc w:val="both"/>
        <w:rPr>
          <w:rFonts w:ascii="Arial" w:eastAsia="Arial" w:hAnsi="Arial" w:cs="Arial"/>
          <w:kern w:val="0"/>
          <w:sz w:val="22"/>
          <w:szCs w:val="22"/>
          <w:lang w:val="es" w:eastAsia="es-ES"/>
          <w14:ligatures w14:val="none"/>
        </w:rPr>
      </w:pPr>
    </w:p>
    <w:p w14:paraId="1DAF904C" w14:textId="77777777" w:rsidR="00210914" w:rsidRPr="00210914" w:rsidRDefault="00210914" w:rsidP="00210914">
      <w:pPr>
        <w:widowControl w:val="0"/>
        <w:spacing w:after="0" w:line="240" w:lineRule="auto"/>
        <w:ind w:right="137"/>
        <w:jc w:val="both"/>
        <w:rPr>
          <w:rFonts w:ascii="Arial" w:eastAsia="Arial" w:hAnsi="Arial" w:cs="Arial"/>
          <w:kern w:val="0"/>
          <w:sz w:val="22"/>
          <w:szCs w:val="22"/>
          <w:lang w:val="es" w:eastAsia="es-ES"/>
          <w14:ligatures w14:val="none"/>
        </w:rPr>
      </w:pPr>
    </w:p>
    <w:p w14:paraId="733F6369" w14:textId="77777777" w:rsidR="00210914" w:rsidRPr="00210914" w:rsidRDefault="00210914" w:rsidP="00210914">
      <w:pPr>
        <w:widowControl w:val="0"/>
        <w:spacing w:after="0" w:line="240" w:lineRule="auto"/>
        <w:ind w:right="137"/>
        <w:jc w:val="both"/>
        <w:rPr>
          <w:rFonts w:ascii="Arial" w:eastAsia="Arial" w:hAnsi="Arial" w:cs="Arial"/>
          <w:kern w:val="0"/>
          <w:sz w:val="22"/>
          <w:szCs w:val="22"/>
          <w:lang w:val="es" w:eastAsia="es-ES"/>
          <w14:ligatures w14:val="none"/>
        </w:rPr>
      </w:pPr>
    </w:p>
    <w:p w14:paraId="61D5AF00" w14:textId="77777777" w:rsidR="00210914" w:rsidRPr="00210914" w:rsidRDefault="00210914" w:rsidP="00210914">
      <w:pPr>
        <w:widowControl w:val="0"/>
        <w:spacing w:after="0" w:line="240" w:lineRule="auto"/>
        <w:ind w:right="137"/>
        <w:jc w:val="both"/>
        <w:rPr>
          <w:rFonts w:ascii="Arial" w:eastAsia="Arial" w:hAnsi="Arial" w:cs="Arial"/>
          <w:kern w:val="0"/>
          <w:sz w:val="22"/>
          <w:szCs w:val="22"/>
          <w:lang w:val="es" w:eastAsia="es-ES"/>
          <w14:ligatures w14:val="none"/>
        </w:rPr>
      </w:pPr>
    </w:p>
    <w:p w14:paraId="5DA77694" w14:textId="77777777" w:rsidR="00210914" w:rsidRPr="00210914" w:rsidRDefault="00210914" w:rsidP="00210914">
      <w:pPr>
        <w:widowControl w:val="0"/>
        <w:spacing w:after="0" w:line="240" w:lineRule="auto"/>
        <w:ind w:right="137"/>
        <w:jc w:val="both"/>
        <w:rPr>
          <w:rFonts w:ascii="Arial" w:eastAsia="Arial" w:hAnsi="Arial" w:cs="Arial"/>
          <w:kern w:val="0"/>
          <w:sz w:val="22"/>
          <w:szCs w:val="22"/>
          <w:lang w:val="es" w:eastAsia="es-ES"/>
          <w14:ligatures w14:val="none"/>
        </w:rPr>
      </w:pPr>
    </w:p>
    <w:p w14:paraId="7C7CF4F6" w14:textId="77777777" w:rsidR="00210914" w:rsidRPr="00210914" w:rsidRDefault="00210914" w:rsidP="00210914">
      <w:pPr>
        <w:widowControl w:val="0"/>
        <w:spacing w:after="0" w:line="240" w:lineRule="auto"/>
        <w:ind w:right="137"/>
        <w:jc w:val="both"/>
        <w:rPr>
          <w:rFonts w:ascii="Times New Roman" w:eastAsia="Times New Roman" w:hAnsi="Times New Roman" w:cs="Times New Roman"/>
          <w:kern w:val="0"/>
          <w:lang w:val="es" w:eastAsia="es-ES"/>
          <w14:ligatures w14:val="none"/>
        </w:rPr>
      </w:pPr>
    </w:p>
    <w:p w14:paraId="60CE8278" w14:textId="77777777" w:rsidR="00210914" w:rsidRPr="00210914" w:rsidRDefault="00210914" w:rsidP="00210914">
      <w:pPr>
        <w:widowControl w:val="0"/>
        <w:spacing w:after="0" w:line="240" w:lineRule="auto"/>
        <w:ind w:right="137"/>
        <w:jc w:val="both"/>
        <w:rPr>
          <w:rFonts w:ascii="Times New Roman" w:eastAsia="Times New Roman" w:hAnsi="Times New Roman" w:cs="Times New Roman"/>
          <w:kern w:val="0"/>
          <w:lang w:val="es" w:eastAsia="es-ES"/>
          <w14:ligatures w14:val="none"/>
        </w:rPr>
      </w:pPr>
    </w:p>
    <w:p w14:paraId="6D700E3B" w14:textId="77777777" w:rsidR="00210914" w:rsidRPr="00210914" w:rsidRDefault="00210914" w:rsidP="00210914">
      <w:pPr>
        <w:rPr>
          <w:rFonts w:ascii="Aptos" w:eastAsia="Aptos" w:hAnsi="Aptos" w:cs="Aptos"/>
          <w:kern w:val="0"/>
          <w:lang w:val="es" w:eastAsia="es-ES"/>
          <w14:ligatures w14:val="none"/>
        </w:rPr>
      </w:pPr>
      <w:r w:rsidRPr="00210914">
        <w:rPr>
          <w:rFonts w:ascii="Aptos" w:eastAsia="Aptos" w:hAnsi="Aptos" w:cs="Aptos"/>
          <w:noProof/>
          <w:kern w:val="0"/>
          <w:lang w:val="es" w:eastAsia="es-ES"/>
          <w14:ligatures w14:val="none"/>
        </w:rPr>
        <mc:AlternateContent>
          <mc:Choice Requires="wps">
            <w:drawing>
              <wp:anchor distT="0" distB="0" distL="0" distR="0" simplePos="0" relativeHeight="251659264" behindDoc="0" locked="0" layoutInCell="1" hidden="0" allowOverlap="1" wp14:anchorId="7EDEE910" wp14:editId="489FFFED">
                <wp:simplePos x="0" y="0"/>
                <wp:positionH relativeFrom="column">
                  <wp:posOffset>-316</wp:posOffset>
                </wp:positionH>
                <wp:positionV relativeFrom="paragraph">
                  <wp:posOffset>248007</wp:posOffset>
                </wp:positionV>
                <wp:extent cx="1829435" cy="12700"/>
                <wp:effectExtent l="0" t="0" r="0" b="0"/>
                <wp:wrapTopAndBottom distT="0" distB="0"/>
                <wp:docPr id="1" name="Forma libre: forma 1"/>
                <wp:cNvGraphicFramePr/>
                <a:graphic xmlns:a="http://schemas.openxmlformats.org/drawingml/2006/main">
                  <a:graphicData uri="http://schemas.microsoft.com/office/word/2010/wordprocessingShape">
                    <wps:wsp>
                      <wps:cNvSpPr/>
                      <wps:spPr>
                        <a:xfrm>
                          <a:off x="4431283" y="3776190"/>
                          <a:ext cx="1829435" cy="7620"/>
                        </a:xfrm>
                        <a:custGeom>
                          <a:avLst/>
                          <a:gdLst/>
                          <a:ahLst/>
                          <a:cxnLst/>
                          <a:rect l="l" t="t" r="r" b="b"/>
                          <a:pathLst>
                            <a:path w="1829435" h="7620" extrusionOk="0">
                              <a:moveTo>
                                <a:pt x="1829435" y="0"/>
                              </a:moveTo>
                              <a:lnTo>
                                <a:pt x="0" y="0"/>
                              </a:lnTo>
                              <a:lnTo>
                                <a:pt x="0" y="7619"/>
                              </a:lnTo>
                              <a:lnTo>
                                <a:pt x="1829435" y="7619"/>
                              </a:lnTo>
                              <a:lnTo>
                                <a:pt x="1829435"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7A0D426C" id="Forma libre: forma 1" o:spid="_x0000_s1026" style="position:absolute;margin-left:0;margin-top:19.55pt;width:144.05pt;height:1pt;z-index:251659264;visibility:visible;mso-wrap-style:square;mso-wrap-distance-left:0;mso-wrap-distance-top:0;mso-wrap-distance-right:0;mso-wrap-distance-bottom:0;mso-position-horizontal:absolute;mso-position-horizontal-relative:text;mso-position-vertical:absolute;mso-position-vertical-relative:text;v-text-anchor:middle"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" path="m1829435,l,,,7619r1829435,l1829435,xe" fillcolor="black" stroked="f">
                <v:path arrowok="t" o:extrusionok="f"/>
                <w10:wrap type="topAndBottom"/>
              </v:shape>
            </w:pict>
          </mc:Fallback>
        </mc:AlternateContent>
      </w:r>
    </w:p>
    <w:p w14:paraId="4FDB3483" w14:textId="77777777" w:rsidR="00C802F5" w:rsidRPr="00BA642E" w:rsidRDefault="00C802F5" w:rsidP="001923DC">
      <w:pPr>
        <w:jc w:val="center"/>
        <w:rPr>
          <w:rFonts w:ascii="Times New Roman" w:hAnsi="Times New Roman" w:cs="Times New Roman"/>
        </w:rPr>
      </w:pPr>
    </w:p>
    <w:p w14:paraId="7E83515B" w14:textId="247E552E"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11"/>
      <w:footerReference w:type="default" r:id="rId12"/>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2C457" w14:textId="77777777" w:rsidR="00372B18" w:rsidRPr="00BA642E" w:rsidRDefault="00372B18" w:rsidP="00C802F5">
      <w:pPr>
        <w:spacing w:after="0" w:line="240" w:lineRule="auto"/>
      </w:pPr>
      <w:r w:rsidRPr="00BA642E">
        <w:separator/>
      </w:r>
    </w:p>
  </w:endnote>
  <w:endnote w:type="continuationSeparator" w:id="0">
    <w:p w14:paraId="0DEC1DE1" w14:textId="77777777" w:rsidR="00372B18" w:rsidRPr="00BA642E" w:rsidRDefault="00372B18"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4EBA0" w14:textId="77777777" w:rsidR="00372B18" w:rsidRPr="00BA642E" w:rsidRDefault="00372B18" w:rsidP="00C802F5">
      <w:pPr>
        <w:spacing w:after="0" w:line="240" w:lineRule="auto"/>
      </w:pPr>
      <w:r w:rsidRPr="00BA642E">
        <w:separator/>
      </w:r>
    </w:p>
  </w:footnote>
  <w:footnote w:type="continuationSeparator" w:id="0">
    <w:p w14:paraId="06E94B29" w14:textId="77777777" w:rsidR="00372B18" w:rsidRPr="00BA642E" w:rsidRDefault="00372B18"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0E318F"/>
    <w:multiLevelType w:val="multilevel"/>
    <w:tmpl w:val="1EA4CD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465007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210914"/>
    <w:rsid w:val="002327C3"/>
    <w:rsid w:val="00312392"/>
    <w:rsid w:val="00372B18"/>
    <w:rsid w:val="004040C0"/>
    <w:rsid w:val="00437E9C"/>
    <w:rsid w:val="00550766"/>
    <w:rsid w:val="005B7E90"/>
    <w:rsid w:val="005F3B2E"/>
    <w:rsid w:val="00701F64"/>
    <w:rsid w:val="007B5B5F"/>
    <w:rsid w:val="007D233B"/>
    <w:rsid w:val="0085070B"/>
    <w:rsid w:val="00A17247"/>
    <w:rsid w:val="00BA642E"/>
    <w:rsid w:val="00BC236F"/>
    <w:rsid w:val="00C802F5"/>
    <w:rsid w:val="00C96B2C"/>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vele.uncoma.edu.ar/htdoc/revele/index.php/confluenciadesaberes/article/view/279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evele.uncoma.edu.ar/htdoc/revele/index.php/confluenciadesaberes/article/view/2795"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revele.uncoma.edu.ar/htdoc/revele/index.php/confluenciadesaberes/article/view/2795" TargetMode="External"/><Relationship Id="rId4" Type="http://schemas.openxmlformats.org/officeDocument/2006/relationships/webSettings" Target="webSettings.xml"/><Relationship Id="rId9" Type="http://schemas.openxmlformats.org/officeDocument/2006/relationships/hyperlink" Target="http://revele.uncoma.edu.ar/htdoc/revele/index.php/confluenciadesaberes/article/view/2795"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5449</Words>
  <Characters>29975</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silvina muzzanti</cp:lastModifiedBy>
  <cp:revision>2</cp:revision>
  <dcterms:created xsi:type="dcterms:W3CDTF">2026-07-12T22:40:00Z</dcterms:created>
  <dcterms:modified xsi:type="dcterms:W3CDTF">2026-07-12T22:40:00Z</dcterms:modified>
</cp:coreProperties>
</file>